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2D5BF" w14:textId="77777777" w:rsidR="00A865B8" w:rsidRDefault="004F5F3B" w:rsidP="00AF2ECB">
      <w:pPr>
        <w:pStyle w:val="Heading1"/>
        <w:pBdr>
          <w:bottom w:val="single" w:sz="18" w:space="1" w:color="1F3B5F"/>
        </w:pBdr>
        <w:spacing w:after="200"/>
      </w:pPr>
      <w:bookmarkStart w:id="0" w:name="X9aa5b1fb92daf196e7813621e180690cbc4efa0"/>
      <w:r>
        <w:t>What happened — and how it affects Michael Li’s partnership entitlements</w:t>
      </w:r>
    </w:p>
    <w:p w14:paraId="792EED54" w14:textId="77777777" w:rsidR="00A865B8" w:rsidRPr="00AF2ECB" w:rsidRDefault="004F5F3B">
      <w:pPr>
        <w:pStyle w:val="FirstParagraph"/>
        <w:rPr>
          <w:rFonts w:ascii="Segoe UI" w:hAnsi="Segoe UI" w:cs="Segoe UI"/>
          <w:color w:val="596674"/>
          <w:sz w:val="17"/>
        </w:rPr>
      </w:pPr>
      <w:r w:rsidRPr="00AF2ECB">
        <w:rPr>
          <w:rFonts w:ascii="Segoe UI" w:hAnsi="Segoe UI" w:cs="Segoe UI"/>
          <w:bCs/>
          <w:color w:val="596674"/>
          <w:sz w:val="17"/>
        </w:rPr>
        <w:t>A note for the partners</w:t>
      </w:r>
      <w:r w:rsidRPr="00AF2ECB">
        <w:rPr>
          <w:rFonts w:ascii="Segoe UI" w:hAnsi="Segoe UI" w:cs="Segoe UI"/>
          <w:color w:val="596674"/>
          <w:sz w:val="17"/>
        </w:rPr>
        <w:t xml:space="preserve"> · Prepared by Ian Lalonde (Ops &amp; IT) · 2026-07-14 · </w:t>
      </w:r>
      <w:r w:rsidRPr="00AF2ECB">
        <w:rPr>
          <w:rFonts w:ascii="Segoe UI" w:hAnsi="Segoe UI" w:cs="Segoe UI"/>
          <w:bCs/>
          <w:color w:val="596674"/>
          <w:sz w:val="17"/>
        </w:rPr>
        <w:t>For: the partners → legal</w:t>
      </w:r>
      <w:r w:rsidRPr="00AF2ECB">
        <w:rPr>
          <w:rFonts w:ascii="Segoe UI" w:hAnsi="Segoe UI" w:cs="Segoe UI"/>
          <w:color w:val="596674"/>
          <w:sz w:val="17"/>
        </w:rPr>
        <w:t xml:space="preserve"> · </w:t>
      </w:r>
      <w:r w:rsidRPr="00AF2ECB">
        <w:rPr>
          <w:rFonts w:ascii="Segoe UI" w:hAnsi="Segoe UI" w:cs="Segoe UI"/>
          <w:i/>
          <w:iCs/>
          <w:color w:val="596674"/>
          <w:sz w:val="17"/>
        </w:rPr>
        <w:t>Not legal advice</w:t>
      </w:r>
    </w:p>
    <w:p w14:paraId="1853B3C4" w14:textId="77777777" w:rsidR="00A865B8" w:rsidRDefault="004F5F3B">
      <w:r>
        <w:pict w14:anchorId="0A300B0D">
          <v:rect id="_x0000_i1025" style="width:0;height:1.5pt" o:hralign="center" o:hrstd="t" o:hr="t"/>
        </w:pict>
      </w:r>
    </w:p>
    <w:p w14:paraId="5E24309B" w14:textId="77777777" w:rsidR="00A865B8" w:rsidRPr="00AF2ECB" w:rsidRDefault="004F5F3B" w:rsidP="00AF2ECB">
      <w:pPr>
        <w:pStyle w:val="BlockText"/>
        <w:pBdr>
          <w:left w:val="single" w:sz="24" w:space="4" w:color="1F3B5F"/>
        </w:pBdr>
        <w:shd w:val="clear" w:color="auto" w:fill="E8EEF6"/>
        <w:spacing w:before="160" w:after="160"/>
        <w:ind w:left="240" w:right="200"/>
        <w:rPr>
          <w:rFonts w:ascii="Segoe UI" w:hAnsi="Segoe UI" w:cs="Segoe UI"/>
        </w:rPr>
      </w:pPr>
      <w:r w:rsidRPr="00AF2ECB">
        <w:rPr>
          <w:rFonts w:ascii="Segoe UI" w:hAnsi="Segoe UI" w:cs="Segoe UI"/>
          <w:b/>
          <w:bCs/>
        </w:rPr>
        <w:t>Read this first.</w:t>
      </w:r>
      <w:r w:rsidRPr="00AF2ECB">
        <w:rPr>
          <w:rFonts w:ascii="Segoe UI" w:hAnsi="Segoe UI" w:cs="Segoe UI"/>
        </w:rPr>
        <w:t xml:space="preserve"> This is my own read, put together from the records I could get to — the Partnership Agreement, our BC registry filings, the partner balance sheet, and Deltek. </w:t>
      </w:r>
      <w:r w:rsidRPr="00AF2ECB">
        <w:rPr>
          <w:rFonts w:ascii="Segoe UI" w:hAnsi="Segoe UI" w:cs="Segoe UI"/>
          <w:b/>
          <w:bCs/>
        </w:rPr>
        <w:t>It may contain mistakes, and it is not legal advice.</w:t>
      </w:r>
      <w:r w:rsidRPr="00AF2ECB">
        <w:rPr>
          <w:rFonts w:ascii="Segoe UI" w:hAnsi="Segoe UI" w:cs="Segoe UI"/>
        </w:rPr>
        <w:t xml:space="preserve"> </w:t>
      </w:r>
      <w:r w:rsidRPr="00AF2ECB">
        <w:rPr>
          <w:rFonts w:ascii="Segoe UI" w:hAnsi="Segoe UI" w:cs="Segoe UI"/>
        </w:rPr>
        <w:t>It’s meant to give the partners the shape of the situation and a starting point for legal — the numbers and the enforceability of everything below need Finance and counsel to confirm.</w:t>
      </w:r>
    </w:p>
    <w:p w14:paraId="2D69924F" w14:textId="77777777" w:rsidR="00A865B8" w:rsidRDefault="004F5F3B">
      <w:r>
        <w:pict w14:anchorId="7024A712">
          <v:rect id="_x0000_i1026" style="width:0;height:1.5pt" o:hralign="center" o:hrstd="t" o:hr="t"/>
        </w:pict>
      </w:r>
    </w:p>
    <w:p w14:paraId="461EBF09" w14:textId="77777777" w:rsidR="00A865B8" w:rsidRDefault="004F5F3B" w:rsidP="00AF2ECB">
      <w:pPr>
        <w:pStyle w:val="Heading2"/>
        <w:pageBreakBefore/>
      </w:pPr>
      <w:bookmarkStart w:id="1" w:name="whats-at-stake-and-what-we-can-recoup"/>
      <w:r>
        <w:t>What’s at stake — and what we can recoup</w:t>
      </w:r>
    </w:p>
    <w:p w14:paraId="24938A0C" w14:textId="77777777" w:rsidR="00A865B8" w:rsidRDefault="004F5F3B">
      <w:pPr>
        <w:pStyle w:val="FirstParagraph"/>
      </w:pPr>
      <w:r>
        <w:t>What we would otherwise pay him, and what the firm can set off against it for the cost his conduct created. Figures are ballpark and as-dated — Finance to firm up.</w:t>
      </w:r>
    </w:p>
    <w:tbl>
      <w:tblPr>
        <w:tblStyle w:val="TableGrid"/>
        <w:tblW w:w="5000" w:type="pct"/>
        <w:tblBorders>
          <w:top w:val="single" w:sz="8" w:space="0" w:color="1F3B5F"/>
          <w:left w:val="none" w:sz="0" w:space="0" w:color="auto"/>
          <w:bottom w:val="single" w:sz="4" w:space="0" w:color="D1D9E2"/>
          <w:right w:val="none" w:sz="0" w:space="0" w:color="auto"/>
          <w:insideH w:val="single" w:sz="2" w:space="0" w:color="D1D9E2"/>
          <w:insideV w:val="none" w:sz="0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800"/>
        <w:gridCol w:w="4800"/>
      </w:tblGrid>
      <w:tr w:rsidR="00A865B8" w:rsidRPr="00AF2ECB" w14:paraId="506A9980" w14:textId="77777777" w:rsidTr="00AF2ECB">
        <w:trPr>
          <w:cantSplit/>
          <w:tblHeader/>
        </w:trPr>
        <w:tc>
          <w:tcPr>
            <w:tcW w:w="2500" w:type="pct"/>
            <w:tcBorders>
              <w:top w:val="single" w:sz="8" w:space="0" w:color="1F3B5F"/>
              <w:bottom w:val="single" w:sz="12" w:space="0" w:color="1F3B5F"/>
            </w:tcBorders>
          </w:tcPr>
          <w:p w14:paraId="4B23B6AA" w14:textId="77777777" w:rsidR="00A865B8" w:rsidRPr="00AF2ECB" w:rsidRDefault="004F5F3B">
            <w:pPr>
              <w:pStyle w:val="Compact"/>
              <w:rPr>
                <w:rFonts w:ascii="Segoe UI" w:hAnsi="Segoe UI" w:cs="Segoe UI"/>
                <w:b/>
                <w:caps/>
                <w:color w:val="1F3B5F"/>
                <w:sz w:val="16"/>
              </w:rPr>
            </w:pPr>
            <w:r w:rsidRPr="00AF2ECB">
              <w:rPr>
                <w:rFonts w:ascii="Segoe UI" w:hAnsi="Segoe UI" w:cs="Segoe UI"/>
                <w:b/>
                <w:caps/>
                <w:color w:val="1F3B5F"/>
                <w:sz w:val="16"/>
              </w:rPr>
              <w:t>Item</w:t>
            </w:r>
          </w:p>
        </w:tc>
        <w:tc>
          <w:tcPr>
            <w:tcW w:w="2500" w:type="pct"/>
            <w:tcBorders>
              <w:top w:val="single" w:sz="8" w:space="0" w:color="1F3B5F"/>
              <w:bottom w:val="single" w:sz="12" w:space="0" w:color="1F3B5F"/>
            </w:tcBorders>
          </w:tcPr>
          <w:p w14:paraId="34237C76" w14:textId="77777777" w:rsidR="00A865B8" w:rsidRPr="00AF2ECB" w:rsidRDefault="004F5F3B">
            <w:pPr>
              <w:pStyle w:val="Compact"/>
              <w:rPr>
                <w:rFonts w:ascii="Segoe UI" w:hAnsi="Segoe UI" w:cs="Segoe UI"/>
                <w:b/>
                <w:caps/>
                <w:color w:val="1F3B5F"/>
                <w:sz w:val="16"/>
              </w:rPr>
            </w:pPr>
            <w:r w:rsidRPr="00AF2ECB">
              <w:rPr>
                <w:rFonts w:ascii="Segoe UI" w:hAnsi="Segoe UI" w:cs="Segoe UI"/>
                <w:b/>
                <w:caps/>
                <w:color w:val="1F3B5F"/>
                <w:sz w:val="16"/>
              </w:rPr>
              <w:t>CAD, ballpark</w:t>
            </w:r>
          </w:p>
        </w:tc>
      </w:tr>
      <w:tr w:rsidR="00A865B8" w:rsidRPr="00AF2ECB" w14:paraId="0CB2981E" w14:textId="77777777" w:rsidTr="00AF2ECB">
        <w:trPr>
          <w:cantSplit/>
        </w:trPr>
        <w:tc>
          <w:tcPr>
            <w:tcW w:w="2500" w:type="pct"/>
            <w:tcBorders>
              <w:top w:val="single" w:sz="12" w:space="0" w:color="1F3B5F"/>
            </w:tcBorders>
          </w:tcPr>
          <w:p w14:paraId="248FAD27" w14:textId="77777777" w:rsidR="00A865B8" w:rsidRPr="00AF2ECB" w:rsidRDefault="004F5F3B">
            <w:pPr>
              <w:pStyle w:val="Compact"/>
              <w:rPr>
                <w:rFonts w:ascii="Segoe UI" w:hAnsi="Segoe UI" w:cs="Segoe UI"/>
                <w:sz w:val="18"/>
              </w:rPr>
            </w:pPr>
            <w:r w:rsidRPr="00AF2ECB">
              <w:rPr>
                <w:rFonts w:ascii="Segoe UI" w:hAnsi="Segoe UI" w:cs="Segoe UI"/>
                <w:b/>
                <w:bCs/>
                <w:sz w:val="18"/>
              </w:rPr>
              <w:t>What we’d otherwise pay him — §9.6</w:t>
            </w:r>
          </w:p>
        </w:tc>
        <w:tc>
          <w:tcPr>
            <w:tcW w:w="2500" w:type="pct"/>
            <w:tcBorders>
              <w:top w:val="single" w:sz="12" w:space="0" w:color="1F3B5F"/>
            </w:tcBorders>
          </w:tcPr>
          <w:p w14:paraId="36F268FE" w14:textId="77777777" w:rsidR="00A865B8" w:rsidRPr="00AF2ECB" w:rsidRDefault="00A865B8">
            <w:pPr>
              <w:pStyle w:val="Compact"/>
              <w:rPr>
                <w:rFonts w:ascii="Segoe UI" w:hAnsi="Segoe UI" w:cs="Segoe UI"/>
                <w:sz w:val="18"/>
              </w:rPr>
            </w:pPr>
          </w:p>
        </w:tc>
      </w:tr>
      <w:tr w:rsidR="00A865B8" w:rsidRPr="00AF2ECB" w14:paraId="6247A7CE" w14:textId="77777777" w:rsidTr="00AF2ECB">
        <w:trPr>
          <w:cantSplit/>
        </w:trPr>
        <w:tc>
          <w:tcPr>
            <w:tcW w:w="2500" w:type="pct"/>
          </w:tcPr>
          <w:p w14:paraId="3A826115" w14:textId="77777777" w:rsidR="00A865B8" w:rsidRPr="00AF2ECB" w:rsidRDefault="004F5F3B">
            <w:pPr>
              <w:pStyle w:val="Compact"/>
              <w:rPr>
                <w:rFonts w:ascii="Segoe UI" w:hAnsi="Segoe UI" w:cs="Segoe UI"/>
                <w:sz w:val="18"/>
              </w:rPr>
            </w:pPr>
            <w:r w:rsidRPr="00AF2ECB">
              <w:rPr>
                <w:rFonts w:ascii="Segoe UI" w:hAnsi="Segoe UI" w:cs="Segoe UI"/>
                <w:sz w:val="18"/>
              </w:rPr>
              <w:t>Paid-in capital (Buy-In account)</w:t>
            </w:r>
          </w:p>
        </w:tc>
        <w:tc>
          <w:tcPr>
            <w:tcW w:w="2500" w:type="pct"/>
          </w:tcPr>
          <w:p w14:paraId="36D34696" w14:textId="77777777" w:rsidR="00A865B8" w:rsidRPr="00AF2ECB" w:rsidRDefault="004F5F3B">
            <w:pPr>
              <w:pStyle w:val="Compact"/>
              <w:rPr>
                <w:rFonts w:ascii="Segoe UI" w:hAnsi="Segoe UI" w:cs="Segoe UI"/>
                <w:sz w:val="18"/>
              </w:rPr>
            </w:pPr>
            <w:r w:rsidRPr="00AF2ECB">
              <w:rPr>
                <w:rFonts w:ascii="Segoe UI" w:hAnsi="Segoe UI" w:cs="Segoe UI"/>
                <w:sz w:val="18"/>
              </w:rPr>
              <w:t>$35,600</w:t>
            </w:r>
          </w:p>
        </w:tc>
      </w:tr>
      <w:tr w:rsidR="00A865B8" w:rsidRPr="00AF2ECB" w14:paraId="69EE878E" w14:textId="77777777" w:rsidTr="00AF2ECB">
        <w:trPr>
          <w:cantSplit/>
        </w:trPr>
        <w:tc>
          <w:tcPr>
            <w:tcW w:w="2500" w:type="pct"/>
          </w:tcPr>
          <w:p w14:paraId="71FD7654" w14:textId="77777777" w:rsidR="00A865B8" w:rsidRPr="00AF2ECB" w:rsidRDefault="004F5F3B">
            <w:pPr>
              <w:pStyle w:val="Compact"/>
              <w:rPr>
                <w:rFonts w:ascii="Segoe UI" w:hAnsi="Segoe UI" w:cs="Segoe UI"/>
                <w:sz w:val="18"/>
              </w:rPr>
            </w:pPr>
            <w:r w:rsidRPr="00AF2ECB">
              <w:rPr>
                <w:rFonts w:ascii="Segoe UI" w:hAnsi="Segoe UI" w:cs="Segoe UI"/>
                <w:sz w:val="18"/>
              </w:rPr>
              <w:t>Unpaid allocations (net)</w:t>
            </w:r>
          </w:p>
        </w:tc>
        <w:tc>
          <w:tcPr>
            <w:tcW w:w="2500" w:type="pct"/>
          </w:tcPr>
          <w:p w14:paraId="23B17552" w14:textId="77777777" w:rsidR="00A865B8" w:rsidRPr="00AF2ECB" w:rsidRDefault="004F5F3B">
            <w:pPr>
              <w:pStyle w:val="Compact"/>
              <w:rPr>
                <w:rFonts w:ascii="Segoe UI" w:hAnsi="Segoe UI" w:cs="Segoe UI"/>
                <w:sz w:val="18"/>
              </w:rPr>
            </w:pPr>
            <w:r w:rsidRPr="00AF2ECB">
              <w:rPr>
                <w:rFonts w:ascii="Segoe UI" w:hAnsi="Segoe UI" w:cs="Segoe UI"/>
                <w:sz w:val="18"/>
              </w:rPr>
              <w:t>$36,733</w:t>
            </w:r>
          </w:p>
        </w:tc>
      </w:tr>
      <w:tr w:rsidR="00A865B8" w:rsidRPr="00AF2ECB" w14:paraId="157DAC26" w14:textId="77777777" w:rsidTr="00AF2ECB">
        <w:trPr>
          <w:cantSplit/>
        </w:trPr>
        <w:tc>
          <w:tcPr>
            <w:tcW w:w="2500" w:type="pct"/>
          </w:tcPr>
          <w:p w14:paraId="7ED33856" w14:textId="77777777" w:rsidR="00A865B8" w:rsidRPr="00AF2ECB" w:rsidRDefault="004F5F3B">
            <w:pPr>
              <w:pStyle w:val="Compact"/>
              <w:rPr>
                <w:rFonts w:ascii="Segoe UI" w:hAnsi="Segoe UI" w:cs="Segoe UI"/>
                <w:sz w:val="18"/>
              </w:rPr>
            </w:pPr>
            <w:r w:rsidRPr="00AF2ECB">
              <w:rPr>
                <w:rFonts w:ascii="Segoe UI" w:hAnsi="Segoe UI" w:cs="Segoe UI"/>
                <w:sz w:val="18"/>
              </w:rPr>
              <w:t>Buyout (indicative — Finance to confirm)</w:t>
            </w:r>
          </w:p>
        </w:tc>
        <w:tc>
          <w:tcPr>
            <w:tcW w:w="2500" w:type="pct"/>
          </w:tcPr>
          <w:p w14:paraId="08252EB6" w14:textId="77777777" w:rsidR="00A865B8" w:rsidRPr="00AF2ECB" w:rsidRDefault="004F5F3B">
            <w:pPr>
              <w:pStyle w:val="Compact"/>
              <w:rPr>
                <w:rFonts w:ascii="Segoe UI" w:hAnsi="Segoe UI" w:cs="Segoe UI"/>
                <w:sz w:val="18"/>
              </w:rPr>
            </w:pPr>
            <w:r w:rsidRPr="00AF2ECB">
              <w:rPr>
                <w:rFonts w:ascii="Segoe UI" w:hAnsi="Segoe UI" w:cs="Segoe UI"/>
                <w:sz w:val="18"/>
              </w:rPr>
              <w:t>~$90,000</w:t>
            </w:r>
          </w:p>
        </w:tc>
      </w:tr>
      <w:tr w:rsidR="00A865B8" w:rsidRPr="00AF2ECB" w14:paraId="3562003E" w14:textId="77777777" w:rsidTr="00AF2ECB">
        <w:trPr>
          <w:cantSplit/>
        </w:trPr>
        <w:tc>
          <w:tcPr>
            <w:tcW w:w="2500" w:type="pct"/>
          </w:tcPr>
          <w:p w14:paraId="1141F1D8" w14:textId="77777777" w:rsidR="00A865B8" w:rsidRPr="00AF2ECB" w:rsidRDefault="004F5F3B">
            <w:pPr>
              <w:pStyle w:val="Compact"/>
              <w:rPr>
                <w:rFonts w:ascii="Segoe UI" w:hAnsi="Segoe UI" w:cs="Segoe UI"/>
                <w:sz w:val="18"/>
              </w:rPr>
            </w:pPr>
            <w:r w:rsidRPr="00AF2ECB">
              <w:rPr>
                <w:rFonts w:ascii="Segoe UI" w:hAnsi="Segoe UI" w:cs="Segoe UI"/>
                <w:sz w:val="18"/>
              </w:rPr>
              <w:t>Retained equity, KOR USA Corp (US$15,498)</w:t>
            </w:r>
          </w:p>
        </w:tc>
        <w:tc>
          <w:tcPr>
            <w:tcW w:w="2500" w:type="pct"/>
          </w:tcPr>
          <w:p w14:paraId="29E79C40" w14:textId="77777777" w:rsidR="00A865B8" w:rsidRPr="00AF2ECB" w:rsidRDefault="004F5F3B">
            <w:pPr>
              <w:pStyle w:val="Compact"/>
              <w:rPr>
                <w:rFonts w:ascii="Segoe UI" w:hAnsi="Segoe UI" w:cs="Segoe UI"/>
                <w:sz w:val="18"/>
              </w:rPr>
            </w:pPr>
            <w:r w:rsidRPr="00AF2ECB">
              <w:rPr>
                <w:rFonts w:ascii="Segoe UI" w:hAnsi="Segoe UI" w:cs="Segoe UI"/>
                <w:sz w:val="18"/>
              </w:rPr>
              <w:t>~$21,000</w:t>
            </w:r>
          </w:p>
        </w:tc>
      </w:tr>
      <w:tr w:rsidR="00A865B8" w:rsidRPr="00AF2ECB" w14:paraId="200226FD" w14:textId="77777777" w:rsidTr="00AF2ECB">
        <w:trPr>
          <w:cantSplit/>
        </w:trPr>
        <w:tc>
          <w:tcPr>
            <w:tcW w:w="2500" w:type="pct"/>
          </w:tcPr>
          <w:p w14:paraId="0BB01ED2" w14:textId="77777777" w:rsidR="00A865B8" w:rsidRPr="00AF2ECB" w:rsidRDefault="004F5F3B">
            <w:pPr>
              <w:pStyle w:val="Compact"/>
              <w:rPr>
                <w:rFonts w:ascii="Segoe UI" w:hAnsi="Segoe UI" w:cs="Segoe UI"/>
                <w:sz w:val="18"/>
              </w:rPr>
            </w:pPr>
            <w:r w:rsidRPr="00AF2ECB">
              <w:rPr>
                <w:rFonts w:ascii="Segoe UI" w:hAnsi="Segoe UI" w:cs="Segoe UI"/>
                <w:b/>
                <w:bCs/>
                <w:sz w:val="18"/>
              </w:rPr>
              <w:t>Gross payout</w:t>
            </w:r>
          </w:p>
        </w:tc>
        <w:tc>
          <w:tcPr>
            <w:tcW w:w="2500" w:type="pct"/>
          </w:tcPr>
          <w:p w14:paraId="7E9B1F06" w14:textId="77777777" w:rsidR="00A865B8" w:rsidRPr="00AF2ECB" w:rsidRDefault="004F5F3B">
            <w:pPr>
              <w:pStyle w:val="Compact"/>
              <w:rPr>
                <w:rFonts w:ascii="Segoe UI" w:hAnsi="Segoe UI" w:cs="Segoe UI"/>
                <w:sz w:val="18"/>
              </w:rPr>
            </w:pPr>
            <w:r w:rsidRPr="00AF2ECB">
              <w:rPr>
                <w:rFonts w:ascii="Segoe UI" w:hAnsi="Segoe UI" w:cs="Segoe UI"/>
                <w:b/>
                <w:bCs/>
                <w:sz w:val="18"/>
              </w:rPr>
              <w:t>~$180,000</w:t>
            </w:r>
          </w:p>
        </w:tc>
      </w:tr>
      <w:tr w:rsidR="00A865B8" w:rsidRPr="00AF2ECB" w14:paraId="5F0EFDEA" w14:textId="77777777" w:rsidTr="00AF2ECB">
        <w:trPr>
          <w:cantSplit/>
        </w:trPr>
        <w:tc>
          <w:tcPr>
            <w:tcW w:w="2500" w:type="pct"/>
          </w:tcPr>
          <w:p w14:paraId="0D9E6A7D" w14:textId="77777777" w:rsidR="00A865B8" w:rsidRPr="00AF2ECB" w:rsidRDefault="004F5F3B">
            <w:pPr>
              <w:pStyle w:val="Compact"/>
              <w:rPr>
                <w:rFonts w:ascii="Segoe UI" w:hAnsi="Segoe UI" w:cs="Segoe UI"/>
                <w:sz w:val="18"/>
              </w:rPr>
            </w:pPr>
            <w:r w:rsidRPr="00AF2ECB">
              <w:rPr>
                <w:rFonts w:ascii="Segoe UI" w:hAnsi="Segoe UI" w:cs="Segoe UI"/>
                <w:b/>
                <w:bCs/>
                <w:sz w:val="18"/>
              </w:rPr>
              <w:t>What we can set off against it — §6.16</w:t>
            </w:r>
          </w:p>
        </w:tc>
        <w:tc>
          <w:tcPr>
            <w:tcW w:w="2500" w:type="pct"/>
          </w:tcPr>
          <w:p w14:paraId="11680831" w14:textId="77777777" w:rsidR="00A865B8" w:rsidRPr="00AF2ECB" w:rsidRDefault="00A865B8">
            <w:pPr>
              <w:pStyle w:val="Compact"/>
              <w:rPr>
                <w:rFonts w:ascii="Segoe UI" w:hAnsi="Segoe UI" w:cs="Segoe UI"/>
                <w:sz w:val="18"/>
              </w:rPr>
            </w:pPr>
          </w:p>
        </w:tc>
      </w:tr>
      <w:tr w:rsidR="00A865B8" w:rsidRPr="00AF2ECB" w14:paraId="0B60F0C9" w14:textId="77777777" w:rsidTr="00AF2ECB">
        <w:trPr>
          <w:cantSplit/>
        </w:trPr>
        <w:tc>
          <w:tcPr>
            <w:tcW w:w="2500" w:type="pct"/>
          </w:tcPr>
          <w:p w14:paraId="5D2FEA19" w14:textId="77777777" w:rsidR="00A865B8" w:rsidRPr="00AF2ECB" w:rsidRDefault="004F5F3B">
            <w:pPr>
              <w:pStyle w:val="Compact"/>
              <w:rPr>
                <w:rFonts w:ascii="Segoe UI" w:hAnsi="Segoe UI" w:cs="Segoe UI"/>
                <w:sz w:val="18"/>
              </w:rPr>
            </w:pPr>
            <w:r w:rsidRPr="00AF2ECB">
              <w:rPr>
                <w:rFonts w:ascii="Segoe UI" w:hAnsi="Segoe UI" w:cs="Segoe UI"/>
                <w:sz w:val="18"/>
              </w:rPr>
              <w:t>Rebuild the toolset he obfuscated &amp; took (multi-month developer)</w:t>
            </w:r>
          </w:p>
        </w:tc>
        <w:tc>
          <w:tcPr>
            <w:tcW w:w="2500" w:type="pct"/>
          </w:tcPr>
          <w:p w14:paraId="1234B719" w14:textId="77777777" w:rsidR="00A865B8" w:rsidRPr="00AF2ECB" w:rsidRDefault="004F5F3B">
            <w:pPr>
              <w:pStyle w:val="Compact"/>
              <w:rPr>
                <w:rFonts w:ascii="Segoe UI" w:hAnsi="Segoe UI" w:cs="Segoe UI"/>
                <w:sz w:val="18"/>
              </w:rPr>
            </w:pPr>
            <w:r w:rsidRPr="00AF2ECB">
              <w:rPr>
                <w:rFonts w:ascii="Segoe UI" w:hAnsi="Segoe UI" w:cs="Segoe UI"/>
                <w:sz w:val="18"/>
              </w:rPr>
              <w:t>~$75k–$150k+</w:t>
            </w:r>
          </w:p>
        </w:tc>
      </w:tr>
      <w:tr w:rsidR="00A865B8" w:rsidRPr="00AF2ECB" w14:paraId="5758101C" w14:textId="77777777" w:rsidTr="00AF2ECB">
        <w:trPr>
          <w:cantSplit/>
        </w:trPr>
        <w:tc>
          <w:tcPr>
            <w:tcW w:w="2500" w:type="pct"/>
          </w:tcPr>
          <w:p w14:paraId="2101F310" w14:textId="77777777" w:rsidR="00A865B8" w:rsidRPr="00AF2ECB" w:rsidRDefault="004F5F3B">
            <w:pPr>
              <w:pStyle w:val="Compact"/>
              <w:rPr>
                <w:rFonts w:ascii="Segoe UI" w:hAnsi="Segoe UI" w:cs="Segoe UI"/>
                <w:sz w:val="18"/>
              </w:rPr>
            </w:pPr>
            <w:r w:rsidRPr="00AF2ECB">
              <w:rPr>
                <w:rFonts w:ascii="Segoe UI" w:hAnsi="Segoe UI" w:cs="Segoe UI"/>
                <w:sz w:val="18"/>
              </w:rPr>
              <w:t>Investigation &amp; re-securing the environment</w:t>
            </w:r>
          </w:p>
        </w:tc>
        <w:tc>
          <w:tcPr>
            <w:tcW w:w="2500" w:type="pct"/>
          </w:tcPr>
          <w:p w14:paraId="62D66E73" w14:textId="77777777" w:rsidR="00A865B8" w:rsidRPr="00AF2ECB" w:rsidRDefault="004F5F3B">
            <w:pPr>
              <w:pStyle w:val="Compact"/>
              <w:rPr>
                <w:rFonts w:ascii="Segoe UI" w:hAnsi="Segoe UI" w:cs="Segoe UI"/>
                <w:sz w:val="18"/>
              </w:rPr>
            </w:pPr>
            <w:r w:rsidRPr="00AF2ECB">
              <w:rPr>
                <w:rFonts w:ascii="Segoe UI" w:hAnsi="Segoe UI" w:cs="Segoe UI"/>
                <w:sz w:val="18"/>
              </w:rPr>
              <w:t>~$10k–$30k</w:t>
            </w:r>
          </w:p>
        </w:tc>
      </w:tr>
      <w:tr w:rsidR="00A865B8" w:rsidRPr="00AF2ECB" w14:paraId="1515B1DB" w14:textId="77777777" w:rsidTr="00AF2ECB">
        <w:trPr>
          <w:cantSplit/>
        </w:trPr>
        <w:tc>
          <w:tcPr>
            <w:tcW w:w="2500" w:type="pct"/>
          </w:tcPr>
          <w:p w14:paraId="686EF64F" w14:textId="77777777" w:rsidR="00A865B8" w:rsidRPr="00AF2ECB" w:rsidRDefault="004F5F3B">
            <w:pPr>
              <w:pStyle w:val="Compact"/>
              <w:rPr>
                <w:rFonts w:ascii="Segoe UI" w:hAnsi="Segoe UI" w:cs="Segoe UI"/>
                <w:sz w:val="18"/>
              </w:rPr>
            </w:pPr>
            <w:r w:rsidRPr="00AF2ECB">
              <w:rPr>
                <w:rFonts w:ascii="Segoe UI" w:hAnsi="Segoe UI" w:cs="Segoe UI"/>
                <w:b/>
                <w:bCs/>
                <w:sz w:val="18"/>
              </w:rPr>
              <w:t>Set-off (estimate)</w:t>
            </w:r>
          </w:p>
        </w:tc>
        <w:tc>
          <w:tcPr>
            <w:tcW w:w="2500" w:type="pct"/>
          </w:tcPr>
          <w:p w14:paraId="03EC235F" w14:textId="77777777" w:rsidR="00A865B8" w:rsidRPr="00AF2ECB" w:rsidRDefault="004F5F3B">
            <w:pPr>
              <w:pStyle w:val="Compact"/>
              <w:rPr>
                <w:rFonts w:ascii="Segoe UI" w:hAnsi="Segoe UI" w:cs="Segoe UI"/>
                <w:sz w:val="18"/>
              </w:rPr>
            </w:pPr>
            <w:r w:rsidRPr="00AF2ECB">
              <w:rPr>
                <w:rFonts w:ascii="Segoe UI" w:hAnsi="Segoe UI" w:cs="Segoe UI"/>
                <w:b/>
                <w:bCs/>
                <w:sz w:val="18"/>
              </w:rPr>
              <w:t>~$85k–$180k</w:t>
            </w:r>
          </w:p>
        </w:tc>
      </w:tr>
      <w:tr w:rsidR="00A865B8" w:rsidRPr="00AF2ECB" w14:paraId="06CF9419" w14:textId="77777777" w:rsidTr="00AF2ECB">
        <w:trPr>
          <w:cantSplit/>
        </w:trPr>
        <w:tc>
          <w:tcPr>
            <w:tcW w:w="2500" w:type="pct"/>
          </w:tcPr>
          <w:p w14:paraId="7C54D6D4" w14:textId="77777777" w:rsidR="00A865B8" w:rsidRPr="00AF2ECB" w:rsidRDefault="004F5F3B">
            <w:pPr>
              <w:pStyle w:val="Compact"/>
              <w:rPr>
                <w:rFonts w:ascii="Segoe UI" w:hAnsi="Segoe UI" w:cs="Segoe UI"/>
                <w:sz w:val="18"/>
              </w:rPr>
            </w:pPr>
            <w:r w:rsidRPr="00AF2ECB">
              <w:rPr>
                <w:rFonts w:ascii="Segoe UI" w:hAnsi="Segoe UI" w:cs="Segoe UI"/>
                <w:b/>
                <w:bCs/>
                <w:sz w:val="18"/>
              </w:rPr>
              <w:t>Realistic net actually payable to him</w:t>
            </w:r>
          </w:p>
        </w:tc>
        <w:tc>
          <w:tcPr>
            <w:tcW w:w="2500" w:type="pct"/>
          </w:tcPr>
          <w:p w14:paraId="5DC26CAA" w14:textId="77777777" w:rsidR="00A865B8" w:rsidRPr="00AF2ECB" w:rsidRDefault="004F5F3B">
            <w:pPr>
              <w:pStyle w:val="Compact"/>
              <w:rPr>
                <w:rFonts w:ascii="Segoe UI" w:hAnsi="Segoe UI" w:cs="Segoe UI"/>
                <w:sz w:val="18"/>
              </w:rPr>
            </w:pPr>
            <w:r w:rsidRPr="00AF2ECB">
              <w:rPr>
                <w:rFonts w:ascii="Segoe UI" w:hAnsi="Segoe UI" w:cs="Segoe UI"/>
                <w:b/>
                <w:bCs/>
                <w:sz w:val="18"/>
              </w:rPr>
              <w:t>~$0–$95k</w:t>
            </w:r>
          </w:p>
        </w:tc>
      </w:tr>
    </w:tbl>
    <w:p w14:paraId="64712A7E" w14:textId="77777777" w:rsidR="00A865B8" w:rsidRDefault="004F5F3B">
      <w:pPr>
        <w:pStyle w:val="BodyText"/>
      </w:pPr>
      <w:r>
        <w:t xml:space="preserve">Gross entitlement ≈ </w:t>
      </w:r>
      <w:r>
        <w:rPr>
          <w:b/>
          <w:bCs/>
        </w:rPr>
        <w:t>$180,000</w:t>
      </w:r>
      <w:r>
        <w:t xml:space="preserve"> </w:t>
      </w:r>
      <w:r>
        <w:t xml:space="preserve">(table above). Under §6.16 the firm may apply its documented costs from the conduct in Section 1 against that total. On the cost estimates shown ($85k–$180k), the arithmetic net payable is roughly </w:t>
      </w:r>
      <w:r>
        <w:rPr>
          <w:b/>
          <w:bCs/>
        </w:rPr>
        <w:t>$0–$95k</w:t>
      </w:r>
      <w:r>
        <w:t>. The buyout (~$90k) and unpaid allocations fall entirely within the set-off; return of his own paid-in capital (~$35.6k) is the item most likely to be treated differently — a question for counsel.</w:t>
      </w:r>
    </w:p>
    <w:p w14:paraId="64781271" w14:textId="77777777" w:rsidR="00A865B8" w:rsidRDefault="004F5F3B">
      <w:pPr>
        <w:pStyle w:val="BodyText"/>
      </w:pPr>
      <w:r>
        <w:rPr>
          <w:b/>
          <w:bCs/>
        </w:rPr>
        <w:lastRenderedPageBreak/>
        <w:t>Mechanics, not advice.</w:t>
      </w:r>
      <w:r>
        <w:t xml:space="preserve"> Set-off under §6.16 is exercised by the Finance Department </w:t>
      </w:r>
      <w:r>
        <w:t xml:space="preserve">“at any time and without prior notice” — no court process. Recovering </w:t>
      </w:r>
      <w:r>
        <w:rPr>
          <w:i/>
          <w:iCs/>
        </w:rPr>
        <w:t>beyond</w:t>
      </w:r>
      <w:r>
        <w:t xml:space="preserve"> the set-off (a damages claim exceeding his entitlement) would require separate legal action. Which course to take is for the partners and counsel; this note sets out only the figures and the contract terms.</w:t>
      </w:r>
    </w:p>
    <w:p w14:paraId="6D685DC1" w14:textId="77777777" w:rsidR="00A865B8" w:rsidRDefault="004F5F3B">
      <w:r>
        <w:pict w14:anchorId="492A43F7">
          <v:rect id="_x0000_i1027" style="width:0;height:1.5pt" o:hralign="center" o:hrstd="t" o:hr="t"/>
        </w:pict>
      </w:r>
    </w:p>
    <w:p w14:paraId="57E193BF" w14:textId="77777777" w:rsidR="00A865B8" w:rsidRDefault="004F5F3B" w:rsidP="00AF2ECB">
      <w:pPr>
        <w:pStyle w:val="Heading2"/>
        <w:pageBreakBefore/>
      </w:pPr>
      <w:bookmarkStart w:id="2" w:name="what-happened"/>
      <w:bookmarkEnd w:id="1"/>
      <w:r>
        <w:t>1. What happened</w:t>
      </w:r>
    </w:p>
    <w:p w14:paraId="03EDF01D" w14:textId="77777777" w:rsidR="00A865B8" w:rsidRDefault="004F5F3B">
      <w:pPr>
        <w:pStyle w:val="FirstParagraph"/>
      </w:pPr>
      <w:r>
        <w:t xml:space="preserve">He gave formal notice on </w:t>
      </w:r>
      <w:r>
        <w:rPr>
          <w:b/>
          <w:bCs/>
        </w:rPr>
        <w:t>2026-06-19</w:t>
      </w:r>
      <w:r>
        <w:t xml:space="preserve"> (effective </w:t>
      </w:r>
      <w:r>
        <w:rPr>
          <w:b/>
          <w:bCs/>
        </w:rPr>
        <w:t>2026-07-31</w:t>
      </w:r>
      <w:r>
        <w:t xml:space="preserve">), stating he was “fully committed to helping with the handover… to make sure nothing is left undone.” </w:t>
      </w:r>
      <w:r>
        <w:rPr>
          <w:b/>
          <w:bCs/>
        </w:rPr>
        <w:t>During that notice period</w:t>
      </w:r>
      <w:r>
        <w:t xml:space="preserve">, the following was recorded on his company workstation (documented with evidence in the separate </w:t>
      </w:r>
      <w:r>
        <w:rPr>
          <w:i/>
          <w:iCs/>
        </w:rPr>
        <w:t>KOR-302N Security Incident Dossier</w:t>
      </w:r>
      <w:r>
        <w:t>):</w:t>
      </w:r>
    </w:p>
    <w:p w14:paraId="5A214753" w14:textId="77777777" w:rsidR="00A865B8" w:rsidRDefault="004F5F3B">
      <w:pPr>
        <w:pStyle w:val="Compact"/>
        <w:numPr>
          <w:ilvl w:val="0"/>
          <w:numId w:val="2"/>
        </w:numPr>
      </w:pPr>
      <w:r>
        <w:rPr>
          <w:b/>
          <w:bCs/>
        </w:rPr>
        <w:t>He took the company’s source code.</w:t>
      </w:r>
      <w:r>
        <w:t xml:space="preserve"> His working-source folders were emptied 2026-07-08, with Explorer open to the same projects on a personal USB — a move, not a delete. KOR’s custom Revit tooling source left our systems.</w:t>
      </w:r>
    </w:p>
    <w:p w14:paraId="49BA1D3C" w14:textId="77777777" w:rsidR="00A865B8" w:rsidRDefault="004F5F3B">
      <w:pPr>
        <w:pStyle w:val="Compact"/>
        <w:numPr>
          <w:ilvl w:val="0"/>
          <w:numId w:val="2"/>
        </w:numPr>
      </w:pPr>
      <w:r>
        <w:rPr>
          <w:b/>
          <w:bCs/>
        </w:rPr>
        <w:t>He obfuscated the company’s own tools.</w:t>
      </w:r>
      <w:r>
        <w:t xml:space="preserve"> </w:t>
      </w:r>
      <w:r>
        <w:t>169 of ~195 deployed tool DLLs were deliberately scrambled so they can’t be read or rebuilt. Applied to KOR’s own software, the only effect is to stop KOR maintaining it.</w:t>
      </w:r>
    </w:p>
    <w:p w14:paraId="040057B9" w14:textId="77777777" w:rsidR="00A865B8" w:rsidRDefault="004F5F3B">
      <w:pPr>
        <w:pStyle w:val="Compact"/>
        <w:numPr>
          <w:ilvl w:val="0"/>
          <w:numId w:val="2"/>
        </w:numPr>
      </w:pPr>
      <w:r>
        <w:rPr>
          <w:b/>
          <w:bCs/>
        </w:rPr>
        <w:t>He exported his KOR mailbox</w:t>
      </w:r>
      <w:r>
        <w:t xml:space="preserve"> to a 357 MB file using a purpose-built tool (2026-06-29).</w:t>
      </w:r>
    </w:p>
    <w:p w14:paraId="1C320E47" w14:textId="77777777" w:rsidR="00A865B8" w:rsidRDefault="004F5F3B">
      <w:pPr>
        <w:pStyle w:val="Compact"/>
        <w:numPr>
          <w:ilvl w:val="0"/>
          <w:numId w:val="2"/>
        </w:numPr>
      </w:pPr>
      <w:r>
        <w:rPr>
          <w:b/>
          <w:bCs/>
        </w:rPr>
        <w:t>He ran unauthorized outside access.</w:t>
      </w:r>
      <w:r>
        <w:t xml:space="preserve"> </w:t>
      </w:r>
      <w:r>
        <w:t>A personal VPN tied to an unidentified account bridged his KOR machine to an off-domain PC for ~6 weeks; an unauthorized never-expiring admin account (confirmed not IT-created) was present on the machine; the company’s remote-management agent was removed from it; his browser history was wiped the night of 2026-07-09.</w:t>
      </w:r>
    </w:p>
    <w:p w14:paraId="475A8ADE" w14:textId="77777777" w:rsidR="00A865B8" w:rsidRDefault="004F5F3B">
      <w:pPr>
        <w:pStyle w:val="FirstParagraph"/>
      </w:pPr>
      <w:r>
        <w:t>All of the above are dated after his 2026-06-19 notice. The confidentiality and non-solicitation obligations in the agreement (§9.11, below) apply to partners and Former Partners; whether this conduct breaches them, or supports a damages claim, is for counsel to assess.</w:t>
      </w:r>
    </w:p>
    <w:p w14:paraId="778E2EA7" w14:textId="77777777" w:rsidR="00A865B8" w:rsidRDefault="004F5F3B">
      <w:r>
        <w:pict w14:anchorId="757E4041">
          <v:rect id="_x0000_i1028" style="width:0;height:1.5pt" o:hralign="center" o:hrstd="t" o:hr="t"/>
        </w:pict>
      </w:r>
    </w:p>
    <w:p w14:paraId="24A0ABDD" w14:textId="77777777" w:rsidR="00A865B8" w:rsidRDefault="004F5F3B" w:rsidP="00AF2ECB">
      <w:pPr>
        <w:pStyle w:val="Heading2"/>
        <w:pageBreakBefore/>
      </w:pPr>
      <w:bookmarkStart w:id="3" w:name="X1c0b506e6af99ec06260fcd2addb2a329b5a5e7"/>
      <w:bookmarkEnd w:id="2"/>
      <w:r>
        <w:t>2. How it affects his partnership entitlements</w:t>
      </w:r>
    </w:p>
    <w:p w14:paraId="42EE060A" w14:textId="77777777" w:rsidR="00A865B8" w:rsidRDefault="004F5F3B">
      <w:pPr>
        <w:pStyle w:val="FirstParagraph"/>
      </w:pPr>
      <w:r>
        <w:t xml:space="preserve">He has resigned and left. His interest is held through </w:t>
      </w:r>
      <w:r>
        <w:rPr>
          <w:b/>
          <w:bCs/>
        </w:rPr>
        <w:t>L&amp;Z Concept Consultants Ltd.</w:t>
      </w:r>
      <w:r>
        <w:t>, so his figures show under that name. Under our current agreement (</w:t>
      </w:r>
      <w:r>
        <w:rPr>
          <w:i/>
          <w:iCs/>
        </w:rPr>
        <w:t>Kor Structural — Partnership Agreement, 2023-12-01</w:t>
      </w:r>
      <w:r>
        <w:t>):</w:t>
      </w:r>
    </w:p>
    <w:p w14:paraId="406A95C9" w14:textId="77777777" w:rsidR="00A865B8" w:rsidRDefault="004F5F3B">
      <w:pPr>
        <w:pStyle w:val="Heading3"/>
      </w:pPr>
      <w:bookmarkStart w:id="4" w:name="going-forward-he-gets-nothing-9.1-9.8"/>
      <w:r>
        <w:t>Going forward, he gets nothing — §9.1 / §9.8</w:t>
      </w:r>
    </w:p>
    <w:p w14:paraId="540105ED" w14:textId="77777777" w:rsidR="00A865B8" w:rsidRDefault="004F5F3B">
      <w:pPr>
        <w:pStyle w:val="FirstParagraph"/>
      </w:pPr>
      <w:r>
        <w:t xml:space="preserve">A partner who resigns </w:t>
      </w:r>
      <w:r>
        <w:rPr>
          <w:b/>
          <w:bCs/>
        </w:rPr>
        <w:t>“will not be entitled to any further draws, distributions or allocations or the payment of any other future amounts”</w:t>
      </w:r>
      <w:r>
        <w:t xml:space="preserve"> after his final month (§9.1). He </w:t>
      </w:r>
      <w:r>
        <w:rPr>
          <w:b/>
          <w:bCs/>
        </w:rPr>
        <w:lastRenderedPageBreak/>
        <w:t>surrenders his entire interest</w:t>
      </w:r>
      <w:r>
        <w:t xml:space="preserve"> in the firm’s funds, assets and any profit earned after he ceases (§9.8, Effect of Ceasing). No ongoing income, no share of future firm value.</w:t>
      </w:r>
    </w:p>
    <w:p w14:paraId="464D40FF" w14:textId="77777777" w:rsidR="00A865B8" w:rsidRDefault="004F5F3B">
      <w:pPr>
        <w:pStyle w:val="Heading3"/>
      </w:pPr>
      <w:bookmarkStart w:id="5" w:name="X2c315e6a1e7bfe805db50e8f6ec692d49135947"/>
      <w:bookmarkEnd w:id="4"/>
      <w:r>
        <w:t>What he is owed is a short, closed list — §9.6</w:t>
      </w:r>
    </w:p>
    <w:p w14:paraId="1CC33FB2" w14:textId="77777777" w:rsidR="00A865B8" w:rsidRDefault="004F5F3B">
      <w:pPr>
        <w:pStyle w:val="FirstParagraph"/>
      </w:pPr>
      <w:r>
        <w:t xml:space="preserve">§9.6 is exhaustive — it ends </w:t>
      </w:r>
      <w:r>
        <w:rPr>
          <w:b/>
          <w:bCs/>
        </w:rPr>
        <w:t>“no other or additional payment to a Former Partner for any reason.”</w:t>
      </w:r>
      <w:r>
        <w:t xml:space="preserve"> Three things only, and every one is exposed to set-off (below):</w:t>
      </w:r>
    </w:p>
    <w:tbl>
      <w:tblPr>
        <w:tblStyle w:val="TableGrid"/>
        <w:tblW w:w="5000" w:type="pct"/>
        <w:tblBorders>
          <w:top w:val="single" w:sz="8" w:space="0" w:color="1F3B5F"/>
          <w:left w:val="none" w:sz="0" w:space="0" w:color="auto"/>
          <w:bottom w:val="single" w:sz="4" w:space="0" w:color="D1D9E2"/>
          <w:right w:val="none" w:sz="0" w:space="0" w:color="auto"/>
          <w:insideH w:val="single" w:sz="2" w:space="0" w:color="D1D9E2"/>
          <w:insideV w:val="none" w:sz="0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800"/>
        <w:gridCol w:w="4800"/>
      </w:tblGrid>
      <w:tr w:rsidR="00A865B8" w:rsidRPr="00AF2ECB" w14:paraId="26A4F091" w14:textId="77777777" w:rsidTr="00AF2ECB">
        <w:trPr>
          <w:cantSplit/>
          <w:tblHeader/>
        </w:trPr>
        <w:tc>
          <w:tcPr>
            <w:tcW w:w="2500" w:type="pct"/>
            <w:tcBorders>
              <w:top w:val="single" w:sz="8" w:space="0" w:color="1F3B5F"/>
              <w:bottom w:val="single" w:sz="12" w:space="0" w:color="1F3B5F"/>
            </w:tcBorders>
          </w:tcPr>
          <w:p w14:paraId="096F46F7" w14:textId="77777777" w:rsidR="00A865B8" w:rsidRPr="00AF2ECB" w:rsidRDefault="004F5F3B">
            <w:pPr>
              <w:pStyle w:val="Compact"/>
              <w:rPr>
                <w:rFonts w:ascii="Segoe UI" w:hAnsi="Segoe UI" w:cs="Segoe UI"/>
                <w:b/>
                <w:caps/>
                <w:color w:val="1F3B5F"/>
                <w:sz w:val="16"/>
              </w:rPr>
            </w:pPr>
            <w:r w:rsidRPr="00AF2ECB">
              <w:rPr>
                <w:rFonts w:ascii="Segoe UI" w:hAnsi="Segoe UI" w:cs="Segoe UI"/>
                <w:b/>
                <w:caps/>
                <w:color w:val="1F3B5F"/>
                <w:sz w:val="16"/>
              </w:rPr>
              <w:t>What he’s owed</w:t>
            </w:r>
          </w:p>
        </w:tc>
        <w:tc>
          <w:tcPr>
            <w:tcW w:w="2500" w:type="pct"/>
            <w:tcBorders>
              <w:top w:val="single" w:sz="8" w:space="0" w:color="1F3B5F"/>
              <w:bottom w:val="single" w:sz="12" w:space="0" w:color="1F3B5F"/>
            </w:tcBorders>
          </w:tcPr>
          <w:p w14:paraId="0D022728" w14:textId="77777777" w:rsidR="00A865B8" w:rsidRPr="00AF2ECB" w:rsidRDefault="004F5F3B">
            <w:pPr>
              <w:pStyle w:val="Compact"/>
              <w:rPr>
                <w:rFonts w:ascii="Segoe UI" w:hAnsi="Segoe UI" w:cs="Segoe UI"/>
                <w:b/>
                <w:caps/>
                <w:color w:val="1F3B5F"/>
                <w:sz w:val="16"/>
              </w:rPr>
            </w:pPr>
            <w:r w:rsidRPr="00AF2ECB">
              <w:rPr>
                <w:rFonts w:ascii="Segoe UI" w:hAnsi="Segoe UI" w:cs="Segoe UI"/>
                <w:b/>
                <w:caps/>
                <w:color w:val="1F3B5F"/>
                <w:sz w:val="16"/>
              </w:rPr>
              <w:t>Amount (as-dated — refresh needed)</w:t>
            </w:r>
          </w:p>
        </w:tc>
      </w:tr>
      <w:tr w:rsidR="00A865B8" w:rsidRPr="00AF2ECB" w14:paraId="0182E191" w14:textId="77777777" w:rsidTr="00AF2ECB">
        <w:trPr>
          <w:cantSplit/>
        </w:trPr>
        <w:tc>
          <w:tcPr>
            <w:tcW w:w="2500" w:type="pct"/>
            <w:tcBorders>
              <w:top w:val="single" w:sz="12" w:space="0" w:color="1F3B5F"/>
            </w:tcBorders>
          </w:tcPr>
          <w:p w14:paraId="20ADA5A6" w14:textId="77777777" w:rsidR="00A865B8" w:rsidRPr="00AF2ECB" w:rsidRDefault="004F5F3B">
            <w:pPr>
              <w:pStyle w:val="Compact"/>
              <w:rPr>
                <w:rFonts w:ascii="Segoe UI" w:hAnsi="Segoe UI" w:cs="Segoe UI"/>
                <w:sz w:val="18"/>
              </w:rPr>
            </w:pPr>
            <w:r w:rsidRPr="00AF2ECB">
              <w:rPr>
                <w:rFonts w:ascii="Segoe UI" w:hAnsi="Segoe UI" w:cs="Segoe UI"/>
                <w:sz w:val="18"/>
              </w:rPr>
              <w:t>(a) Paid-in capital — his Buy-In / Contribution account</w:t>
            </w:r>
          </w:p>
        </w:tc>
        <w:tc>
          <w:tcPr>
            <w:tcW w:w="2500" w:type="pct"/>
            <w:tcBorders>
              <w:top w:val="single" w:sz="12" w:space="0" w:color="1F3B5F"/>
            </w:tcBorders>
          </w:tcPr>
          <w:p w14:paraId="40B882E8" w14:textId="77777777" w:rsidR="00A865B8" w:rsidRPr="00AF2ECB" w:rsidRDefault="004F5F3B">
            <w:pPr>
              <w:pStyle w:val="Compact"/>
              <w:rPr>
                <w:rFonts w:ascii="Segoe UI" w:hAnsi="Segoe UI" w:cs="Segoe UI"/>
                <w:sz w:val="18"/>
              </w:rPr>
            </w:pPr>
            <w:r w:rsidRPr="00AF2ECB">
              <w:rPr>
                <w:rFonts w:ascii="Segoe UI" w:hAnsi="Segoe UI" w:cs="Segoe UI"/>
                <w:sz w:val="18"/>
              </w:rPr>
              <w:t>$35,600 (Jan 1 2025)</w:t>
            </w:r>
          </w:p>
        </w:tc>
      </w:tr>
      <w:tr w:rsidR="00A865B8" w:rsidRPr="00AF2ECB" w14:paraId="4BB03141" w14:textId="77777777" w:rsidTr="00AF2ECB">
        <w:trPr>
          <w:cantSplit/>
        </w:trPr>
        <w:tc>
          <w:tcPr>
            <w:tcW w:w="2500" w:type="pct"/>
          </w:tcPr>
          <w:p w14:paraId="15141EA4" w14:textId="77777777" w:rsidR="00A865B8" w:rsidRPr="00AF2ECB" w:rsidRDefault="004F5F3B">
            <w:pPr>
              <w:pStyle w:val="Compact"/>
              <w:rPr>
                <w:rFonts w:ascii="Segoe UI" w:hAnsi="Segoe UI" w:cs="Segoe UI"/>
                <w:sz w:val="18"/>
              </w:rPr>
            </w:pPr>
            <w:r w:rsidRPr="00AF2ECB">
              <w:rPr>
                <w:rFonts w:ascii="Segoe UI" w:hAnsi="Segoe UI" w:cs="Segoe UI"/>
                <w:sz w:val="18"/>
              </w:rPr>
              <w:t>(b) Unpaid allocations (net)</w:t>
            </w:r>
          </w:p>
        </w:tc>
        <w:tc>
          <w:tcPr>
            <w:tcW w:w="2500" w:type="pct"/>
          </w:tcPr>
          <w:p w14:paraId="3FE83E70" w14:textId="77777777" w:rsidR="00A865B8" w:rsidRPr="00AF2ECB" w:rsidRDefault="004F5F3B">
            <w:pPr>
              <w:pStyle w:val="Compact"/>
              <w:rPr>
                <w:rFonts w:ascii="Segoe UI" w:hAnsi="Segoe UI" w:cs="Segoe UI"/>
                <w:sz w:val="18"/>
              </w:rPr>
            </w:pPr>
            <w:r w:rsidRPr="00AF2ECB">
              <w:rPr>
                <w:rFonts w:ascii="Segoe UI" w:hAnsi="Segoe UI" w:cs="Segoe UI"/>
                <w:sz w:val="18"/>
              </w:rPr>
              <w:t>$36,732.71 (May 31 2025)</w:t>
            </w:r>
          </w:p>
        </w:tc>
      </w:tr>
      <w:tr w:rsidR="00A865B8" w:rsidRPr="00AF2ECB" w14:paraId="34A3C8EA" w14:textId="77777777" w:rsidTr="00AF2ECB">
        <w:trPr>
          <w:cantSplit/>
        </w:trPr>
        <w:tc>
          <w:tcPr>
            <w:tcW w:w="2500" w:type="pct"/>
          </w:tcPr>
          <w:p w14:paraId="415E759C" w14:textId="77777777" w:rsidR="00A865B8" w:rsidRPr="00AF2ECB" w:rsidRDefault="004F5F3B">
            <w:pPr>
              <w:pStyle w:val="Compact"/>
              <w:rPr>
                <w:rFonts w:ascii="Segoe UI" w:hAnsi="Segoe UI" w:cs="Segoe UI"/>
                <w:sz w:val="18"/>
              </w:rPr>
            </w:pPr>
            <w:r w:rsidRPr="00AF2ECB">
              <w:rPr>
                <w:rFonts w:ascii="Segoe UI" w:hAnsi="Segoe UI" w:cs="Segoe UI"/>
                <w:sz w:val="18"/>
              </w:rPr>
              <w:t>(c) Buyout — Schedule D (see below)</w:t>
            </w:r>
          </w:p>
        </w:tc>
        <w:tc>
          <w:tcPr>
            <w:tcW w:w="2500" w:type="pct"/>
          </w:tcPr>
          <w:p w14:paraId="5FD2CA32" w14:textId="77777777" w:rsidR="00A865B8" w:rsidRPr="00AF2ECB" w:rsidRDefault="004F5F3B">
            <w:pPr>
              <w:pStyle w:val="Compact"/>
              <w:rPr>
                <w:rFonts w:ascii="Segoe UI" w:hAnsi="Segoe UI" w:cs="Segoe UI"/>
                <w:sz w:val="18"/>
              </w:rPr>
            </w:pPr>
            <w:r w:rsidRPr="00AF2ECB">
              <w:rPr>
                <w:rFonts w:ascii="Segoe UI" w:hAnsi="Segoe UI" w:cs="Segoe UI"/>
                <w:sz w:val="18"/>
              </w:rPr>
              <w:t>qualifies</w:t>
            </w:r>
          </w:p>
        </w:tc>
      </w:tr>
      <w:tr w:rsidR="00A865B8" w:rsidRPr="00AF2ECB" w14:paraId="31D5FDF9" w14:textId="77777777" w:rsidTr="00AF2ECB">
        <w:trPr>
          <w:cantSplit/>
        </w:trPr>
        <w:tc>
          <w:tcPr>
            <w:tcW w:w="2500" w:type="pct"/>
          </w:tcPr>
          <w:p w14:paraId="0A5F904E" w14:textId="77777777" w:rsidR="00A865B8" w:rsidRPr="00AF2ECB" w:rsidRDefault="004F5F3B">
            <w:pPr>
              <w:pStyle w:val="Compact"/>
              <w:rPr>
                <w:rFonts w:ascii="Segoe UI" w:hAnsi="Segoe UI" w:cs="Segoe UI"/>
                <w:sz w:val="18"/>
              </w:rPr>
            </w:pPr>
            <w:r w:rsidRPr="00AF2ECB">
              <w:rPr>
                <w:rFonts w:ascii="Segoe UI" w:hAnsi="Segoe UI" w:cs="Segoe UI"/>
                <w:sz w:val="18"/>
              </w:rPr>
              <w:t>Separate: retained equity in KOR Structural USA Corp.</w:t>
            </w:r>
          </w:p>
        </w:tc>
        <w:tc>
          <w:tcPr>
            <w:tcW w:w="2500" w:type="pct"/>
          </w:tcPr>
          <w:p w14:paraId="0F2FA4E7" w14:textId="77777777" w:rsidR="00A865B8" w:rsidRPr="00AF2ECB" w:rsidRDefault="004F5F3B">
            <w:pPr>
              <w:pStyle w:val="Compact"/>
              <w:rPr>
                <w:rFonts w:ascii="Segoe UI" w:hAnsi="Segoe UI" w:cs="Segoe UI"/>
                <w:sz w:val="18"/>
              </w:rPr>
            </w:pPr>
            <w:r w:rsidRPr="00AF2ECB">
              <w:rPr>
                <w:rFonts w:ascii="Segoe UI" w:hAnsi="Segoe UI" w:cs="Segoe UI"/>
                <w:sz w:val="18"/>
              </w:rPr>
              <w:t>US$15,497.71 (Dec 31 2024)</w:t>
            </w:r>
          </w:p>
        </w:tc>
      </w:tr>
    </w:tbl>
    <w:p w14:paraId="797CFAF1" w14:textId="77777777" w:rsidR="00A865B8" w:rsidRDefault="004F5F3B">
      <w:pPr>
        <w:pStyle w:val="BodyText"/>
      </w:pPr>
      <w:r>
        <w:t xml:space="preserve">Capital is repaid over 12 months, no interest (§9.7). </w:t>
      </w:r>
      <w:r>
        <w:rPr>
          <w:b/>
          <w:bCs/>
        </w:rPr>
        <w:t>These figures are over a year old — Finance must refresh to his cease date.</w:t>
      </w:r>
    </w:p>
    <w:p w14:paraId="4AB3E650" w14:textId="77777777" w:rsidR="00A865B8" w:rsidRDefault="004F5F3B">
      <w:pPr>
        <w:pStyle w:val="Heading3"/>
      </w:pPr>
      <w:bookmarkStart w:id="6" w:name="X15bd63b55acb98ef7836937387033ac1c15564e"/>
      <w:bookmarkEnd w:id="5"/>
      <w:r>
        <w:t>The buyout — he qualifies (Years of Service ≥ 10) — Schedule D</w:t>
      </w:r>
    </w:p>
    <w:p w14:paraId="72976127" w14:textId="77777777" w:rsidR="00A865B8" w:rsidRDefault="004F5F3B">
      <w:pPr>
        <w:pStyle w:val="FirstParagraph"/>
      </w:pPr>
      <w:r>
        <w:t xml:space="preserve">The buyout needs </w:t>
      </w:r>
      <w:r>
        <w:rPr>
          <w:b/>
          <w:bCs/>
        </w:rPr>
        <w:t>10 Years of Service</w:t>
      </w:r>
      <w:r>
        <w:t xml:space="preserve"> (years as a partner + 50% of pre-partner firm years). Our records — hired </w:t>
      </w:r>
      <w:r>
        <w:rPr>
          <w:b/>
          <w:bCs/>
        </w:rPr>
        <w:t>2014-10-01</w:t>
      </w:r>
      <w:r>
        <w:t xml:space="preserve">, a partner </w:t>
      </w:r>
      <w:r>
        <w:rPr>
          <w:b/>
          <w:bCs/>
        </w:rPr>
        <w:t>in 2015</w:t>
      </w:r>
      <w:r>
        <w:t xml:space="preserve"> (2015 profit-share allocated; partner draws from Aug 2015; L&amp;Z in the BC registry by Jan 2016) — put him at </w:t>
      </w:r>
      <w:r>
        <w:rPr>
          <w:b/>
          <w:bCs/>
        </w:rPr>
        <w:t>~11 years, over the line</w:t>
      </w:r>
      <w:r>
        <w:t xml:space="preserve"> (his own notice says “over 11 years”</w:t>
      </w:r>
      <w:r>
        <w:t xml:space="preserve">). So it is </w:t>
      </w:r>
      <w:r>
        <w:rPr>
          <w:b/>
          <w:bCs/>
        </w:rPr>
        <w:t>not</w:t>
      </w:r>
      <w:r>
        <w:t xml:space="preserve"> auto-zeroed; he qualifies.</w:t>
      </w:r>
    </w:p>
    <w:p w14:paraId="34770A0F" w14:textId="77777777" w:rsidR="00A865B8" w:rsidRDefault="004F5F3B">
      <w:pPr>
        <w:pStyle w:val="BodyText"/>
      </w:pPr>
      <w:r>
        <w:t xml:space="preserve">Amount = </w:t>
      </w:r>
      <w:r>
        <w:rPr>
          <w:b/>
          <w:bCs/>
        </w:rPr>
        <w:t>his 5-year-average allocation × a factor</w:t>
      </w:r>
      <w:r>
        <w:t xml:space="preserve"> (0.50 at 10 yrs rising to 1.50 at 30; ~</w:t>
      </w:r>
      <w:r>
        <w:rPr>
          <w:b/>
          <w:bCs/>
        </w:rPr>
        <w:t>0.56</w:t>
      </w:r>
      <w:r>
        <w:t xml:space="preserve"> at his ~11 yrs), then </w:t>
      </w:r>
      <w:r>
        <w:rPr>
          <w:b/>
          <w:bCs/>
        </w:rPr>
        <w:t>capped at 10% of the firm’s 3-year-average profit</w:t>
      </w:r>
      <w:r>
        <w:t>. His verified allocations (the “incl. dividends” basis the firm uses), from the internal allocation ledger:</w:t>
      </w:r>
    </w:p>
    <w:tbl>
      <w:tblPr>
        <w:tblStyle w:val="TableGrid"/>
        <w:tblW w:w="5000" w:type="pct"/>
        <w:tblBorders>
          <w:top w:val="single" w:sz="8" w:space="0" w:color="1F3B5F"/>
          <w:left w:val="none" w:sz="0" w:space="0" w:color="auto"/>
          <w:bottom w:val="single" w:sz="4" w:space="0" w:color="D1D9E2"/>
          <w:right w:val="none" w:sz="0" w:space="0" w:color="auto"/>
          <w:insideH w:val="single" w:sz="2" w:space="0" w:color="D1D9E2"/>
          <w:insideV w:val="none" w:sz="0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372"/>
        <w:gridCol w:w="1372"/>
        <w:gridCol w:w="1372"/>
        <w:gridCol w:w="1371"/>
        <w:gridCol w:w="1371"/>
        <w:gridCol w:w="1371"/>
        <w:gridCol w:w="1371"/>
      </w:tblGrid>
      <w:tr w:rsidR="00A865B8" w:rsidRPr="00AF2ECB" w14:paraId="7732D1B2" w14:textId="77777777" w:rsidTr="00AF2ECB">
        <w:trPr>
          <w:cantSplit/>
          <w:tblHeader/>
        </w:trPr>
        <w:tc>
          <w:tcPr>
            <w:tcW w:w="714" w:type="pct"/>
            <w:tcBorders>
              <w:top w:val="single" w:sz="8" w:space="0" w:color="1F3B5F"/>
              <w:bottom w:val="single" w:sz="12" w:space="0" w:color="1F3B5F"/>
            </w:tcBorders>
          </w:tcPr>
          <w:p w14:paraId="55C9A2B6" w14:textId="77777777" w:rsidR="00A865B8" w:rsidRPr="00AF2ECB" w:rsidRDefault="004F5F3B">
            <w:pPr>
              <w:pStyle w:val="Compact"/>
              <w:rPr>
                <w:rFonts w:ascii="Segoe UI" w:hAnsi="Segoe UI" w:cs="Segoe UI"/>
                <w:b/>
                <w:caps/>
                <w:color w:val="1F3B5F"/>
                <w:sz w:val="16"/>
              </w:rPr>
            </w:pPr>
            <w:r w:rsidRPr="00AF2ECB">
              <w:rPr>
                <w:rFonts w:ascii="Segoe UI" w:hAnsi="Segoe UI" w:cs="Segoe UI"/>
                <w:b/>
                <w:caps/>
                <w:color w:val="1F3B5F"/>
                <w:sz w:val="16"/>
              </w:rPr>
              <w:t>Year</w:t>
            </w:r>
          </w:p>
        </w:tc>
        <w:tc>
          <w:tcPr>
            <w:tcW w:w="714" w:type="pct"/>
            <w:tcBorders>
              <w:top w:val="single" w:sz="8" w:space="0" w:color="1F3B5F"/>
              <w:bottom w:val="single" w:sz="12" w:space="0" w:color="1F3B5F"/>
            </w:tcBorders>
          </w:tcPr>
          <w:p w14:paraId="337401FA" w14:textId="77777777" w:rsidR="00A865B8" w:rsidRPr="00AF2ECB" w:rsidRDefault="004F5F3B">
            <w:pPr>
              <w:pStyle w:val="Compact"/>
              <w:rPr>
                <w:rFonts w:ascii="Segoe UI" w:hAnsi="Segoe UI" w:cs="Segoe UI"/>
                <w:b/>
                <w:caps/>
                <w:color w:val="1F3B5F"/>
                <w:sz w:val="16"/>
              </w:rPr>
            </w:pPr>
            <w:r w:rsidRPr="00AF2ECB">
              <w:rPr>
                <w:rFonts w:ascii="Segoe UI" w:hAnsi="Segoe UI" w:cs="Segoe UI"/>
                <w:b/>
                <w:caps/>
                <w:color w:val="1F3B5F"/>
                <w:sz w:val="16"/>
              </w:rPr>
              <w:t>2020</w:t>
            </w:r>
          </w:p>
        </w:tc>
        <w:tc>
          <w:tcPr>
            <w:tcW w:w="714" w:type="pct"/>
            <w:tcBorders>
              <w:top w:val="single" w:sz="8" w:space="0" w:color="1F3B5F"/>
              <w:bottom w:val="single" w:sz="12" w:space="0" w:color="1F3B5F"/>
            </w:tcBorders>
          </w:tcPr>
          <w:p w14:paraId="047C8FD8" w14:textId="77777777" w:rsidR="00A865B8" w:rsidRPr="00AF2ECB" w:rsidRDefault="004F5F3B">
            <w:pPr>
              <w:pStyle w:val="Compact"/>
              <w:rPr>
                <w:rFonts w:ascii="Segoe UI" w:hAnsi="Segoe UI" w:cs="Segoe UI"/>
                <w:b/>
                <w:caps/>
                <w:color w:val="1F3B5F"/>
                <w:sz w:val="16"/>
              </w:rPr>
            </w:pPr>
            <w:r w:rsidRPr="00AF2ECB">
              <w:rPr>
                <w:rFonts w:ascii="Segoe UI" w:hAnsi="Segoe UI" w:cs="Segoe UI"/>
                <w:b/>
                <w:caps/>
                <w:color w:val="1F3B5F"/>
                <w:sz w:val="16"/>
              </w:rPr>
              <w:t>2021</w:t>
            </w:r>
          </w:p>
        </w:tc>
        <w:tc>
          <w:tcPr>
            <w:tcW w:w="714" w:type="pct"/>
            <w:tcBorders>
              <w:top w:val="single" w:sz="8" w:space="0" w:color="1F3B5F"/>
              <w:bottom w:val="single" w:sz="12" w:space="0" w:color="1F3B5F"/>
            </w:tcBorders>
          </w:tcPr>
          <w:p w14:paraId="39A6F18A" w14:textId="77777777" w:rsidR="00A865B8" w:rsidRPr="00AF2ECB" w:rsidRDefault="004F5F3B">
            <w:pPr>
              <w:pStyle w:val="Compact"/>
              <w:rPr>
                <w:rFonts w:ascii="Segoe UI" w:hAnsi="Segoe UI" w:cs="Segoe UI"/>
                <w:b/>
                <w:caps/>
                <w:color w:val="1F3B5F"/>
                <w:sz w:val="16"/>
              </w:rPr>
            </w:pPr>
            <w:r w:rsidRPr="00AF2ECB">
              <w:rPr>
                <w:rFonts w:ascii="Segoe UI" w:hAnsi="Segoe UI" w:cs="Segoe UI"/>
                <w:b/>
                <w:caps/>
                <w:color w:val="1F3B5F"/>
                <w:sz w:val="16"/>
              </w:rPr>
              <w:t>2022</w:t>
            </w:r>
          </w:p>
        </w:tc>
        <w:tc>
          <w:tcPr>
            <w:tcW w:w="714" w:type="pct"/>
            <w:tcBorders>
              <w:top w:val="single" w:sz="8" w:space="0" w:color="1F3B5F"/>
              <w:bottom w:val="single" w:sz="12" w:space="0" w:color="1F3B5F"/>
            </w:tcBorders>
          </w:tcPr>
          <w:p w14:paraId="548D0B15" w14:textId="77777777" w:rsidR="00A865B8" w:rsidRPr="00AF2ECB" w:rsidRDefault="004F5F3B">
            <w:pPr>
              <w:pStyle w:val="Compact"/>
              <w:rPr>
                <w:rFonts w:ascii="Segoe UI" w:hAnsi="Segoe UI" w:cs="Segoe UI"/>
                <w:b/>
                <w:caps/>
                <w:color w:val="1F3B5F"/>
                <w:sz w:val="16"/>
              </w:rPr>
            </w:pPr>
            <w:r w:rsidRPr="00AF2ECB">
              <w:rPr>
                <w:rFonts w:ascii="Segoe UI" w:hAnsi="Segoe UI" w:cs="Segoe UI"/>
                <w:b/>
                <w:caps/>
                <w:color w:val="1F3B5F"/>
                <w:sz w:val="16"/>
              </w:rPr>
              <w:t>2023</w:t>
            </w:r>
          </w:p>
        </w:tc>
        <w:tc>
          <w:tcPr>
            <w:tcW w:w="714" w:type="pct"/>
            <w:tcBorders>
              <w:top w:val="single" w:sz="8" w:space="0" w:color="1F3B5F"/>
              <w:bottom w:val="single" w:sz="12" w:space="0" w:color="1F3B5F"/>
            </w:tcBorders>
          </w:tcPr>
          <w:p w14:paraId="41EEF733" w14:textId="77777777" w:rsidR="00A865B8" w:rsidRPr="00AF2ECB" w:rsidRDefault="004F5F3B">
            <w:pPr>
              <w:pStyle w:val="Compact"/>
              <w:rPr>
                <w:rFonts w:ascii="Segoe UI" w:hAnsi="Segoe UI" w:cs="Segoe UI"/>
                <w:b/>
                <w:caps/>
                <w:color w:val="1F3B5F"/>
                <w:sz w:val="16"/>
              </w:rPr>
            </w:pPr>
            <w:r w:rsidRPr="00AF2ECB">
              <w:rPr>
                <w:rFonts w:ascii="Segoe UI" w:hAnsi="Segoe UI" w:cs="Segoe UI"/>
                <w:b/>
                <w:caps/>
                <w:color w:val="1F3B5F"/>
                <w:sz w:val="16"/>
              </w:rPr>
              <w:t>2024</w:t>
            </w:r>
          </w:p>
        </w:tc>
        <w:tc>
          <w:tcPr>
            <w:tcW w:w="714" w:type="pct"/>
            <w:tcBorders>
              <w:top w:val="single" w:sz="8" w:space="0" w:color="1F3B5F"/>
              <w:bottom w:val="single" w:sz="12" w:space="0" w:color="1F3B5F"/>
            </w:tcBorders>
          </w:tcPr>
          <w:p w14:paraId="078E3FD0" w14:textId="77777777" w:rsidR="00A865B8" w:rsidRPr="00AF2ECB" w:rsidRDefault="004F5F3B">
            <w:pPr>
              <w:pStyle w:val="Compact"/>
              <w:rPr>
                <w:rFonts w:ascii="Segoe UI" w:hAnsi="Segoe UI" w:cs="Segoe UI"/>
                <w:b/>
                <w:caps/>
                <w:color w:val="1F3B5F"/>
                <w:sz w:val="16"/>
              </w:rPr>
            </w:pPr>
            <w:r w:rsidRPr="00AF2ECB">
              <w:rPr>
                <w:rFonts w:ascii="Segoe UI" w:hAnsi="Segoe UI" w:cs="Segoe UI"/>
                <w:b/>
                <w:caps/>
                <w:color w:val="1F3B5F"/>
                <w:sz w:val="16"/>
              </w:rPr>
              <w:t>5-yr avg</w:t>
            </w:r>
          </w:p>
        </w:tc>
      </w:tr>
      <w:tr w:rsidR="00A865B8" w:rsidRPr="00AF2ECB" w14:paraId="0B7BDB86" w14:textId="77777777" w:rsidTr="00AF2ECB">
        <w:trPr>
          <w:cantSplit/>
        </w:trPr>
        <w:tc>
          <w:tcPr>
            <w:tcW w:w="714" w:type="pct"/>
            <w:tcBorders>
              <w:top w:val="single" w:sz="12" w:space="0" w:color="1F3B5F"/>
            </w:tcBorders>
          </w:tcPr>
          <w:p w14:paraId="73A39046" w14:textId="77777777" w:rsidR="00A865B8" w:rsidRPr="00AF2ECB" w:rsidRDefault="004F5F3B">
            <w:pPr>
              <w:pStyle w:val="Compact"/>
              <w:rPr>
                <w:rFonts w:ascii="Segoe UI" w:hAnsi="Segoe UI" w:cs="Segoe UI"/>
                <w:sz w:val="18"/>
              </w:rPr>
            </w:pPr>
            <w:r w:rsidRPr="00AF2ECB">
              <w:rPr>
                <w:rFonts w:ascii="Segoe UI" w:hAnsi="Segoe UI" w:cs="Segoe UI"/>
                <w:sz w:val="18"/>
              </w:rPr>
              <w:t>Allocation</w:t>
            </w:r>
          </w:p>
        </w:tc>
        <w:tc>
          <w:tcPr>
            <w:tcW w:w="714" w:type="pct"/>
            <w:tcBorders>
              <w:top w:val="single" w:sz="12" w:space="0" w:color="1F3B5F"/>
            </w:tcBorders>
          </w:tcPr>
          <w:p w14:paraId="64E2BBF2" w14:textId="77777777" w:rsidR="00A865B8" w:rsidRPr="00AF2ECB" w:rsidRDefault="004F5F3B">
            <w:pPr>
              <w:pStyle w:val="Compact"/>
              <w:rPr>
                <w:rFonts w:ascii="Segoe UI" w:hAnsi="Segoe UI" w:cs="Segoe UI"/>
                <w:sz w:val="18"/>
              </w:rPr>
            </w:pPr>
            <w:r w:rsidRPr="00AF2ECB">
              <w:rPr>
                <w:rFonts w:ascii="Segoe UI" w:hAnsi="Segoe UI" w:cs="Segoe UI"/>
                <w:sz w:val="18"/>
              </w:rPr>
              <w:t>$189,949</w:t>
            </w:r>
          </w:p>
        </w:tc>
        <w:tc>
          <w:tcPr>
            <w:tcW w:w="714" w:type="pct"/>
            <w:tcBorders>
              <w:top w:val="single" w:sz="12" w:space="0" w:color="1F3B5F"/>
            </w:tcBorders>
          </w:tcPr>
          <w:p w14:paraId="6951301E" w14:textId="77777777" w:rsidR="00A865B8" w:rsidRPr="00AF2ECB" w:rsidRDefault="004F5F3B">
            <w:pPr>
              <w:pStyle w:val="Compact"/>
              <w:rPr>
                <w:rFonts w:ascii="Segoe UI" w:hAnsi="Segoe UI" w:cs="Segoe UI"/>
                <w:sz w:val="18"/>
              </w:rPr>
            </w:pPr>
            <w:r w:rsidRPr="00AF2ECB">
              <w:rPr>
                <w:rFonts w:ascii="Segoe UI" w:hAnsi="Segoe UI" w:cs="Segoe UI"/>
                <w:sz w:val="18"/>
              </w:rPr>
              <w:t>$152,071</w:t>
            </w:r>
          </w:p>
        </w:tc>
        <w:tc>
          <w:tcPr>
            <w:tcW w:w="714" w:type="pct"/>
            <w:tcBorders>
              <w:top w:val="single" w:sz="12" w:space="0" w:color="1F3B5F"/>
            </w:tcBorders>
          </w:tcPr>
          <w:p w14:paraId="6AAFDCBE" w14:textId="77777777" w:rsidR="00A865B8" w:rsidRPr="00AF2ECB" w:rsidRDefault="004F5F3B">
            <w:pPr>
              <w:pStyle w:val="Compact"/>
              <w:rPr>
                <w:rFonts w:ascii="Segoe UI" w:hAnsi="Segoe UI" w:cs="Segoe UI"/>
                <w:sz w:val="18"/>
              </w:rPr>
            </w:pPr>
            <w:r w:rsidRPr="00AF2ECB">
              <w:rPr>
                <w:rFonts w:ascii="Segoe UI" w:hAnsi="Segoe UI" w:cs="Segoe UI"/>
                <w:sz w:val="18"/>
              </w:rPr>
              <w:t>$187,537</w:t>
            </w:r>
          </w:p>
        </w:tc>
        <w:tc>
          <w:tcPr>
            <w:tcW w:w="714" w:type="pct"/>
            <w:tcBorders>
              <w:top w:val="single" w:sz="12" w:space="0" w:color="1F3B5F"/>
            </w:tcBorders>
          </w:tcPr>
          <w:p w14:paraId="77B449CD" w14:textId="77777777" w:rsidR="00A865B8" w:rsidRPr="00AF2ECB" w:rsidRDefault="004F5F3B">
            <w:pPr>
              <w:pStyle w:val="Compact"/>
              <w:rPr>
                <w:rFonts w:ascii="Segoe UI" w:hAnsi="Segoe UI" w:cs="Segoe UI"/>
                <w:sz w:val="18"/>
              </w:rPr>
            </w:pPr>
            <w:r w:rsidRPr="00AF2ECB">
              <w:rPr>
                <w:rFonts w:ascii="Segoe UI" w:hAnsi="Segoe UI" w:cs="Segoe UI"/>
                <w:sz w:val="18"/>
              </w:rPr>
              <w:t>$193,116</w:t>
            </w:r>
          </w:p>
        </w:tc>
        <w:tc>
          <w:tcPr>
            <w:tcW w:w="714" w:type="pct"/>
            <w:tcBorders>
              <w:top w:val="single" w:sz="12" w:space="0" w:color="1F3B5F"/>
            </w:tcBorders>
          </w:tcPr>
          <w:p w14:paraId="5A802313" w14:textId="77777777" w:rsidR="00A865B8" w:rsidRPr="00AF2ECB" w:rsidRDefault="004F5F3B">
            <w:pPr>
              <w:pStyle w:val="Compact"/>
              <w:rPr>
                <w:rFonts w:ascii="Segoe UI" w:hAnsi="Segoe UI" w:cs="Segoe UI"/>
                <w:sz w:val="18"/>
              </w:rPr>
            </w:pPr>
            <w:r w:rsidRPr="00AF2ECB">
              <w:rPr>
                <w:rFonts w:ascii="Segoe UI" w:hAnsi="Segoe UI" w:cs="Segoe UI"/>
                <w:sz w:val="18"/>
              </w:rPr>
              <w:t>$88,114</w:t>
            </w:r>
          </w:p>
        </w:tc>
        <w:tc>
          <w:tcPr>
            <w:tcW w:w="714" w:type="pct"/>
            <w:tcBorders>
              <w:top w:val="single" w:sz="12" w:space="0" w:color="1F3B5F"/>
            </w:tcBorders>
          </w:tcPr>
          <w:p w14:paraId="00CE756F" w14:textId="77777777" w:rsidR="00A865B8" w:rsidRPr="00AF2ECB" w:rsidRDefault="004F5F3B">
            <w:pPr>
              <w:pStyle w:val="Compact"/>
              <w:rPr>
                <w:rFonts w:ascii="Segoe UI" w:hAnsi="Segoe UI" w:cs="Segoe UI"/>
                <w:sz w:val="18"/>
              </w:rPr>
            </w:pPr>
            <w:r w:rsidRPr="00AF2ECB">
              <w:rPr>
                <w:rFonts w:ascii="Segoe UI" w:hAnsi="Segoe UI" w:cs="Segoe UI"/>
                <w:b/>
                <w:bCs/>
                <w:sz w:val="18"/>
              </w:rPr>
              <w:t>$162,157</w:t>
            </w:r>
          </w:p>
        </w:tc>
      </w:tr>
    </w:tbl>
    <w:p w14:paraId="29A16000" w14:textId="77777777" w:rsidR="00A865B8" w:rsidRDefault="004F5F3B">
      <w:pPr>
        <w:pStyle w:val="BodyText"/>
      </w:pPr>
      <w:r>
        <w:rPr>
          <w:b/>
          <w:bCs/>
        </w:rPr>
        <w:t>Indicative buyout ≈ $90,000</w:t>
      </w:r>
      <w:r>
        <w:t xml:space="preserve"> </w:t>
      </w:r>
      <w:r>
        <w:t xml:space="preserve">($162,157 × ~0.56), and at that level the 10%-of-3-yr-profit cap almost certainly does </w:t>
      </w:r>
      <w:r>
        <w:rPr>
          <w:i/>
          <w:iCs/>
        </w:rPr>
        <w:t>not</w:t>
      </w:r>
      <w:r>
        <w:t xml:space="preserve"> bind. It “resolves all future financial claims on the Firm,” and its terms can’t be changed without every partner’s written consent.</w:t>
      </w:r>
    </w:p>
    <w:p w14:paraId="2EECA772" w14:textId="77777777" w:rsidR="00A865B8" w:rsidRDefault="004F5F3B">
      <w:pPr>
        <w:pStyle w:val="BodyText"/>
      </w:pPr>
      <w:r>
        <w:rPr>
          <w:i/>
          <w:iCs/>
        </w:rPr>
        <w:t>My calculation — Finance to confirm.</w:t>
      </w:r>
      <w:r>
        <w:t xml:space="preserve"> With a </w:t>
      </w:r>
      <w:r>
        <w:rPr>
          <w:b/>
          <w:bCs/>
        </w:rPr>
        <w:t>31 July 2026</w:t>
      </w:r>
      <w:r>
        <w:t xml:space="preserve"> cease date the buyout window is the five full fiscal years </w:t>
      </w:r>
      <w:r>
        <w:rPr>
          <w:b/>
          <w:bCs/>
        </w:rPr>
        <w:t>2021–2025</w:t>
      </w:r>
      <w:r>
        <w:t xml:space="preserve">; I’ve shown </w:t>
      </w:r>
      <w:r>
        <w:rPr>
          <w:b/>
          <w:bCs/>
        </w:rPr>
        <w:t>2020–2024</w:t>
      </w:r>
      <w:r>
        <w:t xml:space="preserve"> </w:t>
      </w:r>
      <w:r>
        <w:t xml:space="preserve">as a proxy because 2025’s allocation wasn’t finalized in the records I had — Finance should drop 2020 and add 2025, then apply the exact factor and the 10%-of-profit cap. (The firm’s </w:t>
      </w:r>
      <w:r>
        <w:rPr>
          <w:b/>
          <w:bCs/>
        </w:rPr>
        <w:t>3-year</w:t>
      </w:r>
      <w:r>
        <w:t xml:space="preserve"> average, $156k, is the separate </w:t>
      </w:r>
      <w:r>
        <w:rPr>
          <w:b/>
          <w:bCs/>
        </w:rPr>
        <w:t>buy-in / capital</w:t>
      </w:r>
      <w:r>
        <w:t xml:space="preserve"> figure — not the buyout.)</w:t>
      </w:r>
    </w:p>
    <w:p w14:paraId="47E08E87" w14:textId="77777777" w:rsidR="00A865B8" w:rsidRDefault="004F5F3B">
      <w:pPr>
        <w:pStyle w:val="Heading3"/>
      </w:pPr>
      <w:bookmarkStart w:id="7" w:name="but-all-of-it-is-exposed-to-set-off-6.16"/>
      <w:bookmarkEnd w:id="6"/>
      <w:r>
        <w:t>But all of it is exposed to set-off — §6.16</w:t>
      </w:r>
    </w:p>
    <w:p w14:paraId="0CC8A587" w14:textId="77777777" w:rsidR="00A865B8" w:rsidRDefault="004F5F3B">
      <w:pPr>
        <w:pStyle w:val="FirstParagraph"/>
      </w:pPr>
      <w:r>
        <w:t xml:space="preserve">§6.16 (verbatim): </w:t>
      </w:r>
      <w:r>
        <w:t>“…the Partnership and any related entities will have the right to set off any amount owed by a Partner or a Former Partner, against any amount payable to any such Partner or Former Partner under this Agreement. This right may be exercised by the Finance Department … at any time and without prior notice.”</w:t>
      </w:r>
    </w:p>
    <w:p w14:paraId="0882EAFD" w14:textId="77777777" w:rsidR="00A865B8" w:rsidRDefault="004F5F3B">
      <w:pPr>
        <w:pStyle w:val="BodyText"/>
      </w:pPr>
      <w:r>
        <w:rPr>
          <w:b/>
          <w:bCs/>
        </w:rPr>
        <w:t>Observation:</w:t>
      </w:r>
      <w:r>
        <w:t xml:space="preserve"> the agreement contains </w:t>
      </w:r>
      <w:r>
        <w:rPr>
          <w:b/>
          <w:bCs/>
        </w:rPr>
        <w:t>no separate “for-cause forfeiture” provision</w:t>
      </w:r>
      <w:r>
        <w:t>; set-off is the mechanism it provides for recovering what a Former Partner owes. Where that amount equals or exceeds his §9.6 entitlement, the net payable is nil.</w:t>
      </w:r>
    </w:p>
    <w:p w14:paraId="217D8F34" w14:textId="77777777" w:rsidR="00A865B8" w:rsidRDefault="004F5F3B">
      <w:pPr>
        <w:pStyle w:val="Heading3"/>
      </w:pPr>
      <w:bookmarkStart w:id="8" w:name="Xfebad6be1dc3333d06d0f79285fbcd9ca4031aa"/>
      <w:bookmarkEnd w:id="7"/>
      <w:r>
        <w:t>Obligations that survive his departure — §9.11</w:t>
      </w:r>
    </w:p>
    <w:p w14:paraId="68EB8692" w14:textId="77777777" w:rsidR="00A865B8" w:rsidRDefault="004F5F3B">
      <w:pPr>
        <w:pStyle w:val="FirstParagraph"/>
      </w:pPr>
      <w:r>
        <w:t xml:space="preserve">As a Former Partner he remains bound by the </w:t>
      </w:r>
      <w:r>
        <w:rPr>
          <w:b/>
          <w:bCs/>
        </w:rPr>
        <w:t>non-solicitation</w:t>
      </w:r>
      <w:r>
        <w:t xml:space="preserve"> of KOR clients and staff (§9.11) and by </w:t>
      </w:r>
      <w:r>
        <w:rPr>
          <w:b/>
          <w:bCs/>
        </w:rPr>
        <w:t>confidentiality</w:t>
      </w:r>
      <w:r>
        <w:t>. The conduct in Section 1 involved company source code and mailbox data; application of these obligations to it is for counsel.</w:t>
      </w:r>
    </w:p>
    <w:p w14:paraId="2E967039" w14:textId="77777777" w:rsidR="00A865B8" w:rsidRDefault="004F5F3B">
      <w:r>
        <w:pict w14:anchorId="0774028A">
          <v:rect id="_x0000_i1029" style="width:0;height:1.5pt" o:hralign="center" o:hrstd="t" o:hr="t"/>
        </w:pict>
      </w:r>
    </w:p>
    <w:p w14:paraId="5C5C04BC" w14:textId="77777777" w:rsidR="00A865B8" w:rsidRDefault="004F5F3B" w:rsidP="00AF2ECB">
      <w:pPr>
        <w:pStyle w:val="Heading2"/>
        <w:pageBreakBefore/>
      </w:pPr>
      <w:bookmarkStart w:id="9" w:name="X1a0be3ebee7fa319ce3cfe03218d271e7e23f8c"/>
      <w:bookmarkEnd w:id="3"/>
      <w:bookmarkEnd w:id="8"/>
      <w:r>
        <w:t>3. The set-off basis — what his conduct cost us</w:t>
      </w:r>
    </w:p>
    <w:tbl>
      <w:tblPr>
        <w:tblStyle w:val="TableGrid"/>
        <w:tblW w:w="5000" w:type="pct"/>
        <w:tblBorders>
          <w:top w:val="single" w:sz="8" w:space="0" w:color="1F3B5F"/>
          <w:left w:val="none" w:sz="0" w:space="0" w:color="auto"/>
          <w:bottom w:val="single" w:sz="4" w:space="0" w:color="D1D9E2"/>
          <w:right w:val="none" w:sz="0" w:space="0" w:color="auto"/>
          <w:insideH w:val="single" w:sz="2" w:space="0" w:color="D1D9E2"/>
          <w:insideV w:val="none" w:sz="0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800"/>
        <w:gridCol w:w="4800"/>
      </w:tblGrid>
      <w:tr w:rsidR="00A865B8" w:rsidRPr="00AF2ECB" w14:paraId="5B84E78D" w14:textId="77777777" w:rsidTr="00AF2ECB">
        <w:trPr>
          <w:cantSplit/>
          <w:tblHeader/>
        </w:trPr>
        <w:tc>
          <w:tcPr>
            <w:tcW w:w="2500" w:type="pct"/>
            <w:tcBorders>
              <w:top w:val="single" w:sz="8" w:space="0" w:color="1F3B5F"/>
              <w:bottom w:val="single" w:sz="12" w:space="0" w:color="1F3B5F"/>
            </w:tcBorders>
          </w:tcPr>
          <w:p w14:paraId="512E8BD1" w14:textId="77777777" w:rsidR="00A865B8" w:rsidRPr="00AF2ECB" w:rsidRDefault="004F5F3B">
            <w:pPr>
              <w:pStyle w:val="Compact"/>
              <w:rPr>
                <w:rFonts w:ascii="Segoe UI" w:hAnsi="Segoe UI" w:cs="Segoe UI"/>
                <w:b/>
                <w:caps/>
                <w:color w:val="1F3B5F"/>
                <w:sz w:val="16"/>
              </w:rPr>
            </w:pPr>
            <w:r w:rsidRPr="00AF2ECB">
              <w:rPr>
                <w:rFonts w:ascii="Segoe UI" w:hAnsi="Segoe UI" w:cs="Segoe UI"/>
                <w:b/>
                <w:caps/>
                <w:color w:val="1F3B5F"/>
                <w:sz w:val="16"/>
              </w:rPr>
              <w:t>Cost</w:t>
            </w:r>
          </w:p>
        </w:tc>
        <w:tc>
          <w:tcPr>
            <w:tcW w:w="2500" w:type="pct"/>
            <w:tcBorders>
              <w:top w:val="single" w:sz="8" w:space="0" w:color="1F3B5F"/>
              <w:bottom w:val="single" w:sz="12" w:space="0" w:color="1F3B5F"/>
            </w:tcBorders>
          </w:tcPr>
          <w:p w14:paraId="01B6C3DF" w14:textId="77777777" w:rsidR="00A865B8" w:rsidRPr="00AF2ECB" w:rsidRDefault="004F5F3B">
            <w:pPr>
              <w:pStyle w:val="Compact"/>
              <w:rPr>
                <w:rFonts w:ascii="Segoe UI" w:hAnsi="Segoe UI" w:cs="Segoe UI"/>
                <w:b/>
                <w:caps/>
                <w:color w:val="1F3B5F"/>
                <w:sz w:val="16"/>
              </w:rPr>
            </w:pPr>
            <w:r w:rsidRPr="00AF2ECB">
              <w:rPr>
                <w:rFonts w:ascii="Segoe UI" w:hAnsi="Segoe UI" w:cs="Segoe UI"/>
                <w:b/>
                <w:caps/>
                <w:color w:val="1F3B5F"/>
                <w:sz w:val="16"/>
              </w:rPr>
              <w:t>Basis</w:t>
            </w:r>
          </w:p>
        </w:tc>
      </w:tr>
      <w:tr w:rsidR="00A865B8" w:rsidRPr="00AF2ECB" w14:paraId="4F96E1A0" w14:textId="77777777" w:rsidTr="00AF2ECB">
        <w:trPr>
          <w:cantSplit/>
        </w:trPr>
        <w:tc>
          <w:tcPr>
            <w:tcW w:w="2500" w:type="pct"/>
            <w:tcBorders>
              <w:top w:val="single" w:sz="12" w:space="0" w:color="1F3B5F"/>
            </w:tcBorders>
          </w:tcPr>
          <w:p w14:paraId="14B3E624" w14:textId="77777777" w:rsidR="00A865B8" w:rsidRPr="00AF2ECB" w:rsidRDefault="004F5F3B">
            <w:pPr>
              <w:pStyle w:val="Compact"/>
              <w:rPr>
                <w:rFonts w:ascii="Segoe UI" w:hAnsi="Segoe UI" w:cs="Segoe UI"/>
                <w:sz w:val="18"/>
              </w:rPr>
            </w:pPr>
            <w:r w:rsidRPr="00AF2ECB">
              <w:rPr>
                <w:rFonts w:ascii="Segoe UI" w:hAnsi="Segoe UI" w:cs="Segoe UI"/>
                <w:b/>
                <w:bCs/>
                <w:sz w:val="18"/>
              </w:rPr>
              <w:t>Rebuilding the Revit toolset</w:t>
            </w:r>
            <w:r w:rsidRPr="00AF2ECB">
              <w:rPr>
                <w:rFonts w:ascii="Segoe UI" w:hAnsi="Segoe UI" w:cs="Segoe UI"/>
                <w:sz w:val="18"/>
              </w:rPr>
              <w:t xml:space="preserve"> he obfuscated and removed the source for</w:t>
            </w:r>
          </w:p>
        </w:tc>
        <w:tc>
          <w:tcPr>
            <w:tcW w:w="2500" w:type="pct"/>
            <w:tcBorders>
              <w:top w:val="single" w:sz="12" w:space="0" w:color="1F3B5F"/>
            </w:tcBorders>
          </w:tcPr>
          <w:p w14:paraId="5490BC5B" w14:textId="77777777" w:rsidR="00A865B8" w:rsidRPr="00AF2ECB" w:rsidRDefault="004F5F3B">
            <w:pPr>
              <w:pStyle w:val="Compact"/>
              <w:rPr>
                <w:rFonts w:ascii="Segoe UI" w:hAnsi="Segoe UI" w:cs="Segoe UI"/>
                <w:sz w:val="18"/>
              </w:rPr>
            </w:pPr>
            <w:r w:rsidRPr="00AF2ECB">
              <w:rPr>
                <w:rFonts w:ascii="Segoe UI" w:hAnsi="Segoe UI" w:cs="Segoe UI"/>
                <w:sz w:val="18"/>
              </w:rPr>
              <w:t>A multi-month engineering project needing a dedicated Revit/C# developer (per the Rebuild SOW). A direct, avoidable cost created by the obfuscation + source removal.</w:t>
            </w:r>
          </w:p>
        </w:tc>
      </w:tr>
      <w:tr w:rsidR="00A865B8" w:rsidRPr="00AF2ECB" w14:paraId="4F043B01" w14:textId="77777777" w:rsidTr="00AF2ECB">
        <w:trPr>
          <w:cantSplit/>
        </w:trPr>
        <w:tc>
          <w:tcPr>
            <w:tcW w:w="2500" w:type="pct"/>
          </w:tcPr>
          <w:p w14:paraId="6A5A868C" w14:textId="77777777" w:rsidR="00A865B8" w:rsidRPr="00AF2ECB" w:rsidRDefault="004F5F3B">
            <w:pPr>
              <w:pStyle w:val="Compact"/>
              <w:rPr>
                <w:rFonts w:ascii="Segoe UI" w:hAnsi="Segoe UI" w:cs="Segoe UI"/>
                <w:sz w:val="18"/>
              </w:rPr>
            </w:pPr>
            <w:r w:rsidRPr="00AF2ECB">
              <w:rPr>
                <w:rFonts w:ascii="Segoe UI" w:hAnsi="Segoe UI" w:cs="Segoe UI"/>
                <w:b/>
                <w:bCs/>
                <w:sz w:val="18"/>
              </w:rPr>
              <w:t>Forensic investigation &amp; re-securing</w:t>
            </w:r>
          </w:p>
        </w:tc>
        <w:tc>
          <w:tcPr>
            <w:tcW w:w="2500" w:type="pct"/>
          </w:tcPr>
          <w:p w14:paraId="2DE89761" w14:textId="77777777" w:rsidR="00A865B8" w:rsidRPr="00AF2ECB" w:rsidRDefault="004F5F3B">
            <w:pPr>
              <w:pStyle w:val="Compact"/>
              <w:rPr>
                <w:rFonts w:ascii="Segoe UI" w:hAnsi="Segoe UI" w:cs="Segoe UI"/>
                <w:sz w:val="18"/>
              </w:rPr>
            </w:pPr>
            <w:r w:rsidRPr="00AF2ECB">
              <w:rPr>
                <w:rFonts w:ascii="Segoe UI" w:hAnsi="Segoe UI" w:cs="Segoe UI"/>
                <w:sz w:val="18"/>
              </w:rPr>
              <w:t>IT time to investigate, preserve evidence, and close the account / VPN / backdoor exposures across the fleet.</w:t>
            </w:r>
          </w:p>
        </w:tc>
      </w:tr>
      <w:tr w:rsidR="00A865B8" w:rsidRPr="00AF2ECB" w14:paraId="450539AD" w14:textId="77777777" w:rsidTr="00AF2ECB">
        <w:trPr>
          <w:cantSplit/>
        </w:trPr>
        <w:tc>
          <w:tcPr>
            <w:tcW w:w="2500" w:type="pct"/>
          </w:tcPr>
          <w:p w14:paraId="70587C3D" w14:textId="77777777" w:rsidR="00A865B8" w:rsidRPr="00AF2ECB" w:rsidRDefault="004F5F3B">
            <w:pPr>
              <w:pStyle w:val="Compact"/>
              <w:rPr>
                <w:rFonts w:ascii="Segoe UI" w:hAnsi="Segoe UI" w:cs="Segoe UI"/>
                <w:sz w:val="18"/>
              </w:rPr>
            </w:pPr>
            <w:r w:rsidRPr="00AF2ECB">
              <w:rPr>
                <w:rFonts w:ascii="Segoe UI" w:hAnsi="Segoe UI" w:cs="Segoe UI"/>
                <w:b/>
                <w:bCs/>
                <w:sz w:val="18"/>
              </w:rPr>
              <w:t>Disruption &amp; risk</w:t>
            </w:r>
          </w:p>
        </w:tc>
        <w:tc>
          <w:tcPr>
            <w:tcW w:w="2500" w:type="pct"/>
          </w:tcPr>
          <w:p w14:paraId="0DA31910" w14:textId="77777777" w:rsidR="00A865B8" w:rsidRPr="00AF2ECB" w:rsidRDefault="004F5F3B">
            <w:pPr>
              <w:pStyle w:val="Compact"/>
              <w:rPr>
                <w:rFonts w:ascii="Segoe UI" w:hAnsi="Segoe UI" w:cs="Segoe UI"/>
                <w:sz w:val="18"/>
              </w:rPr>
            </w:pPr>
            <w:r w:rsidRPr="00AF2ECB">
              <w:rPr>
                <w:rFonts w:ascii="Segoe UI" w:hAnsi="Segoe UI" w:cs="Segoe UI"/>
                <w:sz w:val="18"/>
              </w:rPr>
              <w:t>Lost maintainability of tools the drafting team uses daily; the standing exposure from an outside VPN into our network for ~6 weeks.</w:t>
            </w:r>
          </w:p>
        </w:tc>
      </w:tr>
    </w:tbl>
    <w:p w14:paraId="74828AE5" w14:textId="77777777" w:rsidR="00A865B8" w:rsidRDefault="004F5F3B">
      <w:pPr>
        <w:pStyle w:val="BodyText"/>
      </w:pPr>
      <w:r>
        <w:t>These are order-of-magnitude figures for Finance/legal to quantify, not a computed total. On the SOW scope, the rebuild alone is a multi-month developer engagement — on that basis it could approach or exceed his net entitlement.</w:t>
      </w:r>
    </w:p>
    <w:p w14:paraId="4F17665B" w14:textId="77777777" w:rsidR="00A865B8" w:rsidRDefault="004F5F3B">
      <w:r>
        <w:pict w14:anchorId="0892249B">
          <v:rect id="_x0000_i1030" style="width:0;height:1.5pt" o:hralign="center" o:hrstd="t" o:hr="t"/>
        </w:pict>
      </w:r>
    </w:p>
    <w:p w14:paraId="4FBE91F1" w14:textId="77777777" w:rsidR="00A865B8" w:rsidRDefault="004F5F3B" w:rsidP="00AF2ECB">
      <w:pPr>
        <w:pStyle w:val="Heading2"/>
        <w:pageBreakBefore/>
      </w:pPr>
      <w:bookmarkStart w:id="10" w:name="for-legal-next-steps"/>
      <w:bookmarkEnd w:id="9"/>
      <w:r>
        <w:t>4. For legal / next steps</w:t>
      </w:r>
    </w:p>
    <w:p w14:paraId="5CF19F12" w14:textId="77777777" w:rsidR="00A865B8" w:rsidRDefault="004F5F3B">
      <w:pPr>
        <w:pStyle w:val="Compact"/>
        <w:numPr>
          <w:ilvl w:val="0"/>
          <w:numId w:val="3"/>
        </w:numPr>
      </w:pPr>
      <w:r>
        <w:rPr>
          <w:b/>
          <w:bCs/>
        </w:rPr>
        <w:t>Don’t pay or sign anything yet.</w:t>
      </w:r>
      <w:r>
        <w:t xml:space="preserve"> A voluntary payment or a clean release can waive the set-off.</w:t>
      </w:r>
    </w:p>
    <w:p w14:paraId="3C704B2F" w14:textId="77777777" w:rsidR="00A865B8" w:rsidRDefault="004F5F3B">
      <w:pPr>
        <w:pStyle w:val="Compact"/>
        <w:numPr>
          <w:ilvl w:val="0"/>
          <w:numId w:val="3"/>
        </w:numPr>
      </w:pPr>
      <w:r>
        <w:rPr>
          <w:b/>
          <w:bCs/>
        </w:rPr>
        <w:t>Finance:</w:t>
      </w:r>
      <w:r>
        <w:t xml:space="preserve"> </w:t>
      </w:r>
      <w:r>
        <w:t>refresh his entitlement to the cease date and compute the buyout (5-yr allocation average × ~0.55, then the 10%-of-profit cap).</w:t>
      </w:r>
    </w:p>
    <w:p w14:paraId="3B011527" w14:textId="77777777" w:rsidR="00A865B8" w:rsidRDefault="004F5F3B">
      <w:pPr>
        <w:pStyle w:val="Compact"/>
        <w:numPr>
          <w:ilvl w:val="0"/>
          <w:numId w:val="3"/>
        </w:numPr>
      </w:pPr>
      <w:r>
        <w:rPr>
          <w:b/>
          <w:bCs/>
        </w:rPr>
        <w:t>Finance/IT:</w:t>
      </w:r>
      <w:r>
        <w:t xml:space="preserve"> tally the set-off — rebuild + investigation + disruption — as a documented number.</w:t>
      </w:r>
    </w:p>
    <w:p w14:paraId="33955328" w14:textId="77777777" w:rsidR="00A865B8" w:rsidRDefault="004F5F3B">
      <w:pPr>
        <w:pStyle w:val="Compact"/>
        <w:numPr>
          <w:ilvl w:val="0"/>
          <w:numId w:val="3"/>
        </w:numPr>
      </w:pPr>
      <w:r>
        <w:rPr>
          <w:b/>
          <w:bCs/>
        </w:rPr>
        <w:t>Legal:</w:t>
      </w:r>
      <w:r>
        <w:t xml:space="preserve"> confirm the entitlement figures, the enforceability of set-off (especially against return of capital), and whether the conduct supports any position beyond set-off.</w:t>
      </w:r>
    </w:p>
    <w:p w14:paraId="02A40525" w14:textId="77777777" w:rsidR="00A865B8" w:rsidRDefault="004F5F3B">
      <w:pPr>
        <w:pStyle w:val="Compact"/>
        <w:numPr>
          <w:ilvl w:val="0"/>
          <w:numId w:val="3"/>
        </w:numPr>
      </w:pPr>
      <w:r>
        <w:rPr>
          <w:b/>
          <w:bCs/>
        </w:rPr>
        <w:t>Cease date: 31 July 2026</w:t>
      </w:r>
      <w:r>
        <w:t xml:space="preserve"> </w:t>
      </w:r>
      <w:r>
        <w:t xml:space="preserve">— per his resignation notice (emailed to the partners 2026-06-19, effective 2026-07-31). Under §9.1 that makes </w:t>
      </w:r>
      <w:r>
        <w:rPr>
          <w:b/>
          <w:bCs/>
        </w:rPr>
        <w:t>July 2026 his final month</w:t>
      </w:r>
      <w:r>
        <w:t>; strike the entitlement as of then. His Deltek record still shows him active with time to 2026-07-12 and no termination flag — deactivate it. (Domain, M365 and building access are already closed.)</w:t>
      </w:r>
    </w:p>
    <w:p w14:paraId="69660739" w14:textId="77777777" w:rsidR="00A865B8" w:rsidRDefault="004F5F3B">
      <w:pPr>
        <w:pStyle w:val="FirstParagraph"/>
      </w:pPr>
      <w:r>
        <w:rPr>
          <w:i/>
          <w:iCs/>
        </w:rPr>
        <w:t>Sources: the executed Partnership Agreement (2023-12-01) incl. Schedule D; BC Registry partnership filings; the Partner Balance Sheet (2025-05-31); Deltek Vantagepoint (employee P0010); the KOR-302N Security Incident Dossier; and the Revit Toolset Rebuild SOW. Financial figures are as-dated and must be refreshed to the cease date.</w:t>
      </w:r>
      <w:bookmarkEnd w:id="0"/>
      <w:bookmarkEnd w:id="10"/>
    </w:p>
    <w:sectPr w:rsidR="00A865B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8DB48" w14:textId="77777777" w:rsidR="004F5F3B" w:rsidRDefault="004F5F3B" w:rsidP="00AF2ECB">
      <w:pPr>
        <w:spacing w:after="0" w:line="240" w:lineRule="auto"/>
      </w:pPr>
      <w:r>
        <w:separator/>
      </w:r>
    </w:p>
  </w:endnote>
  <w:endnote w:type="continuationSeparator" w:id="0">
    <w:p w14:paraId="1DBFFA37" w14:textId="77777777" w:rsidR="004F5F3B" w:rsidRDefault="004F5F3B" w:rsidP="00AF2E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A9EFC" w14:textId="77777777" w:rsidR="00AF2ECB" w:rsidRDefault="00AF2E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3E2D8" w14:textId="7AD99670" w:rsidR="00AF2ECB" w:rsidRPr="00AF2ECB" w:rsidRDefault="00AF2ECB" w:rsidP="00AF2ECB">
    <w:pPr>
      <w:pStyle w:val="Footer"/>
      <w:pBdr>
        <w:top w:val="single" w:sz="4" w:space="1" w:color="D1D9E2"/>
      </w:pBdr>
      <w:rPr>
        <w:rFonts w:ascii="Segoe UI" w:hAnsi="Segoe UI" w:cs="Segoe UI"/>
        <w:color w:val="596674"/>
        <w:sz w:val="15"/>
      </w:rPr>
    </w:pPr>
    <w:r>
      <w:rPr>
        <w:rFonts w:ascii="Segoe UI" w:hAnsi="Segoe UI" w:cs="Segoe UI"/>
        <w:color w:val="596674"/>
        <w:sz w:val="15"/>
      </w:rPr>
      <w:t>KOR Structural  ·  KOR MLi Partnership Entitlements Note 2026 07 14</w:t>
    </w:r>
    <w:r>
      <w:rPr>
        <w:rFonts w:ascii="Segoe UI" w:hAnsi="Segoe UI" w:cs="Segoe UI"/>
        <w:color w:val="596674"/>
        <w:sz w:val="15"/>
      </w:rPr>
      <w:tab/>
    </w:r>
    <w:r>
      <w:rPr>
        <w:rFonts w:ascii="Segoe UI" w:hAnsi="Segoe UI" w:cs="Segoe UI"/>
        <w:color w:val="596674"/>
        <w:sz w:val="15"/>
      </w:rPr>
      <w:tab/>
    </w:r>
    <w:r>
      <w:rPr>
        <w:rFonts w:ascii="Segoe UI" w:hAnsi="Segoe UI" w:cs="Segoe UI"/>
        <w:color w:val="596674"/>
        <w:sz w:val="15"/>
      </w:rPr>
      <w:fldChar w:fldCharType="begin"/>
    </w:r>
    <w:r>
      <w:rPr>
        <w:rFonts w:ascii="Segoe UI" w:hAnsi="Segoe UI" w:cs="Segoe UI"/>
        <w:color w:val="596674"/>
        <w:sz w:val="15"/>
      </w:rPr>
      <w:instrText xml:space="preserve"> PAGE  \* MERGEFORMAT </w:instrText>
    </w:r>
    <w:r>
      <w:rPr>
        <w:rFonts w:ascii="Segoe UI" w:hAnsi="Segoe UI" w:cs="Segoe UI"/>
        <w:color w:val="596674"/>
        <w:sz w:val="15"/>
      </w:rPr>
      <w:fldChar w:fldCharType="separate"/>
    </w:r>
    <w:r>
      <w:rPr>
        <w:rFonts w:ascii="Segoe UI" w:hAnsi="Segoe UI" w:cs="Segoe UI"/>
        <w:noProof/>
        <w:color w:val="596674"/>
        <w:sz w:val="15"/>
      </w:rPr>
      <w:t>1</w:t>
    </w:r>
    <w:r>
      <w:rPr>
        <w:rFonts w:ascii="Segoe UI" w:hAnsi="Segoe UI" w:cs="Segoe UI"/>
        <w:color w:val="596674"/>
        <w:sz w:val="15"/>
      </w:rPr>
      <w:fldChar w:fldCharType="end"/>
    </w:r>
    <w:r>
      <w:rPr>
        <w:rFonts w:ascii="Segoe UI" w:hAnsi="Segoe UI" w:cs="Segoe UI"/>
        <w:color w:val="596674"/>
        <w:sz w:val="15"/>
      </w:rPr>
      <w:t xml:space="preserve"> of </w:t>
    </w:r>
    <w:r>
      <w:rPr>
        <w:rFonts w:ascii="Segoe UI" w:hAnsi="Segoe UI" w:cs="Segoe UI"/>
        <w:color w:val="596674"/>
        <w:sz w:val="15"/>
      </w:rPr>
      <w:fldChar w:fldCharType="begin"/>
    </w:r>
    <w:r>
      <w:rPr>
        <w:rFonts w:ascii="Segoe UI" w:hAnsi="Segoe UI" w:cs="Segoe UI"/>
        <w:color w:val="596674"/>
        <w:sz w:val="15"/>
      </w:rPr>
      <w:instrText xml:space="preserve"> NUMPAGES  \* MERGEFORMAT </w:instrText>
    </w:r>
    <w:r>
      <w:rPr>
        <w:rFonts w:ascii="Segoe UI" w:hAnsi="Segoe UI" w:cs="Segoe UI"/>
        <w:color w:val="596674"/>
        <w:sz w:val="15"/>
      </w:rPr>
      <w:fldChar w:fldCharType="separate"/>
    </w:r>
    <w:r>
      <w:rPr>
        <w:rFonts w:ascii="Segoe UI" w:hAnsi="Segoe UI" w:cs="Segoe UI"/>
        <w:noProof/>
        <w:color w:val="596674"/>
        <w:sz w:val="15"/>
      </w:rPr>
      <w:t>3</w:t>
    </w:r>
    <w:r>
      <w:rPr>
        <w:rFonts w:ascii="Segoe UI" w:hAnsi="Segoe UI" w:cs="Segoe UI"/>
        <w:color w:val="596674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D07BF" w14:textId="77777777" w:rsidR="00AF2ECB" w:rsidRDefault="00AF2E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D2630" w14:textId="77777777" w:rsidR="004F5F3B" w:rsidRDefault="004F5F3B" w:rsidP="00AF2ECB">
      <w:pPr>
        <w:spacing w:after="0" w:line="240" w:lineRule="auto"/>
      </w:pPr>
      <w:r>
        <w:separator/>
      </w:r>
    </w:p>
  </w:footnote>
  <w:footnote w:type="continuationSeparator" w:id="0">
    <w:p w14:paraId="210058F4" w14:textId="77777777" w:rsidR="004F5F3B" w:rsidRDefault="004F5F3B" w:rsidP="00AF2E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75969" w14:textId="77777777" w:rsidR="00AF2ECB" w:rsidRDefault="00AF2E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C4C80" w14:textId="77777777" w:rsidR="00AF2ECB" w:rsidRDefault="00AF2EC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DEBD5" w14:textId="77777777" w:rsidR="00AF2ECB" w:rsidRDefault="00AF2E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93CA7A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EBA035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331488513">
    <w:abstractNumId w:val="0"/>
  </w:num>
  <w:num w:numId="2" w16cid:durableId="639070653">
    <w:abstractNumId w:val="1"/>
  </w:num>
  <w:num w:numId="3" w16cid:durableId="536242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65B8"/>
    <w:rsid w:val="000831EE"/>
    <w:rsid w:val="004F5F3B"/>
    <w:rsid w:val="00A865B8"/>
    <w:rsid w:val="00AF2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D9156"/>
  <w15:docId w15:val="{025630D3-1236-4828-8775-CB2E4C52F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40" w:line="264" w:lineRule="auto"/>
    </w:pPr>
    <w:rPr>
      <w:rFonts w:ascii="Georgia" w:hAnsi="Georgia"/>
      <w:sz w:val="20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20" w:after="100"/>
      <w:outlineLvl w:val="0"/>
    </w:pPr>
    <w:rPr>
      <w:rFonts w:ascii="Segoe UI Semibold" w:eastAsiaTheme="majorEastAsia" w:hAnsi="Segoe UI Semibold" w:cstheme="majorBidi"/>
      <w:color w:val="1F3B5F"/>
      <w:sz w:val="4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Segoe UI Semibold" w:eastAsiaTheme="majorEastAsia" w:hAnsi="Segoe UI Semibold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320" w:after="100"/>
      <w:outlineLvl w:val="2"/>
    </w:pPr>
    <w:rPr>
      <w:rFonts w:ascii="Segoe UI Semibold" w:eastAsiaTheme="majorEastAsia" w:hAnsi="Segoe UI Semibold" w:cstheme="majorBidi"/>
      <w:b/>
      <w:color w:val="44546A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spacing w:before="320" w:after="100" w:line="240" w:lineRule="auto"/>
      <w:contextualSpacing/>
      <w:jc w:val="center"/>
    </w:pPr>
    <w:rPr>
      <w:rFonts w:ascii="Segoe UI Semibold" w:eastAsiaTheme="majorEastAsia" w:hAnsi="Segoe UI Semibold" w:cstheme="majorBidi"/>
      <w:color w:val="1F3B5F"/>
      <w:sz w:val="4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Segoe UI Semibold" w:eastAsiaTheme="majorEastAsia" w:hAnsi="Segoe UI Semibold" w:cstheme="majorBidi"/>
      <w:color w:val="1F3B5F"/>
      <w:sz w:val="4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Segoe UI Semibold" w:eastAsiaTheme="majorEastAsia" w:hAnsi="Segoe UI Semibold" w:cstheme="majorBidi"/>
      <w:color w:val="1F3B5F"/>
      <w:sz w:val="4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Segoe UI Semibold" w:eastAsiaTheme="majorEastAsia" w:hAnsi="Segoe UI Semibold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Segoe UI Semibold" w:eastAsiaTheme="majorEastAsia" w:hAnsi="Segoe UI Semibold" w:cstheme="majorBidi"/>
      <w:b/>
      <w:color w:val="44546A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AF2EC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AF2E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AF2ECB"/>
    <w:rPr>
      <w:rFonts w:ascii="Georgia" w:hAnsi="Georgia"/>
      <w:sz w:val="20"/>
    </w:rPr>
  </w:style>
  <w:style w:type="paragraph" w:styleId="Footer">
    <w:name w:val="footer"/>
    <w:basedOn w:val="Normal"/>
    <w:link w:val="FooterChar"/>
    <w:rsid w:val="00AF2E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AF2ECB"/>
    <w:rPr>
      <w:rFonts w:ascii="Georgia" w:hAnsi="Georgia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1390</Words>
  <Characters>7927</Characters>
  <Application>Microsoft Office Word</Application>
  <DocSecurity>0</DocSecurity>
  <Lines>66</Lines>
  <Paragraphs>18</Paragraphs>
  <ScaleCrop>false</ScaleCrop>
  <Company/>
  <LinksUpToDate>false</LinksUpToDate>
  <CharactersWithSpaces>9299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Ian Lalonde</cp:lastModifiedBy>
  <cp:revision>2</cp:revision>
  <dcterms:created xsi:type="dcterms:W3CDTF">2026-07-15T01:13:00Z</dcterms:created>
  <dcterms:modified xsi:type="dcterms:W3CDTF">2026-07-15T01:13:00Z</dcterms:modified>
</cp:coreProperties>
</file>