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7c6ec0102d20435f" /></Relationships>
</file>

<file path=word/document.xml><?xml version="1.0" encoding="utf-8"?>
<w:document xmlns:w="http://schemas.openxmlformats.org/wordprocessingml/2006/main">
  <w:body>
    <w:p>
      <w:pPr>
        <w:pStyle w:val="Heading1"/>
      </w:pPr>
      <w:r>
        <w:t xml:space="preserve">KOR Structural — Indigenous Partnerships BD Report</w:t>
      </w:r>
    </w:p>
    <w:p>
      <w:r>
        <w:rPr>
          <w:i/>
          <w:sz w:val="18"/>
        </w:rPr>
        <w:t xml:space="preserve">BC + Alberta First Nations / Métis / Indigenous construction pipeline. Verdicts: PURSUE / MONITOR / DEAD / DISCOVER. Indigenous procurement is relationship-driven, not open-bid — warm-introduction paths and 1-3 year relationship cadence acknowledged in every recommendation. Cultural-competency and protocol-respect baked into the honing PROMPT. Generated 2026-06-23 20:39 UTC from live KorOpportunitiesDb honing verdicts.</w:t>
      </w:r>
    </w:p>
    <w:p>
      <w:pPr>
        <w:pStyle w:val="Heading2"/>
      </w:pPr>
      <w:r>
        <w:t xml:space="preserve">Executive Summary</w:t>
      </w:r>
    </w:p>
    <w:tbl>
      <w:tblPr>
        <w:tblW w:w="0" w:type="auto"/>
        <w:tblCellSpacing w:w="40" w:type="dxa"/>
        <w:tblLayout w:type="autofit"/>
      </w:tblPr>
      <w:tblGrid>
        <w:gridCol/>
        <w:gridCol/>
        <w:gridCol/>
        <w:gridCol/>
        <w:gridCol/>
      </w:tblGrid>
      <w:tr>
        <w:tc>
          <w:tcPr>
            <w:tcBorders>
              <w:top w:val="single" w:color="FF5B35" w:sz="24"/>
              <w:left w:val="single" w:color="D5DAE0" w:sz="4"/>
              <w:bottom w:val="single" w:color="D5DAE0" w:sz="4"/>
              <w:right w:val="single" w:color="D5DAE0" w:sz="4"/>
            </w:tcBorders>
            <w:tcMar>
              <w:top w:w="80" w:type="dxa"/>
              <w:left w:w="160" w:type="dxa"/>
              <w:bottom w:w="60" w:type="dxa"/>
              <w:right w:w="160" w:type="dxa"/>
            </w:tcMar>
          </w:tcPr>
          <w:p>
            <w:pPr>
              <w:spacing w:after="0"/>
            </w:pPr>
            <w:r>
              <w:rPr>
                <w:b/>
                <w:color w:val="3F5364"/>
                <w:sz w:val="40"/>
              </w:rPr>
              <w:t xml:space="preserve">28</w:t>
            </w:r>
          </w:p>
          <w:p>
            <w:pPr>
              <w:spacing w:after="0"/>
            </w:pPr>
            <w:r>
              <w:rPr>
                <w:caps/>
                <w:color w:val="6B7280"/>
                <w:sz w:val="15"/>
              </w:rPr>
              <w:t xml:space="preserve">Projects honed</w:t>
            </w:r>
          </w:p>
        </w:tc>
        <w:tc>
          <w:tcPr>
            <w:tcBorders>
              <w:top w:val="single" w:color="C0392B" w:sz="24"/>
              <w:left w:val="single" w:color="D5DAE0" w:sz="4"/>
              <w:bottom w:val="single" w:color="D5DAE0" w:sz="4"/>
              <w:right w:val="single" w:color="D5DAE0" w:sz="4"/>
            </w:tcBorders>
            <w:tcMar>
              <w:top w:w="80" w:type="dxa"/>
              <w:left w:w="160" w:type="dxa"/>
              <w:bottom w:w="60" w:type="dxa"/>
              <w:right w:w="160" w:type="dxa"/>
            </w:tcMar>
          </w:tcPr>
          <w:p>
            <w:pPr>
              <w:spacing w:after="0"/>
            </w:pPr>
            <w:r>
              <w:rPr>
                <w:b/>
                <w:color w:val="C0392B"/>
                <w:sz w:val="40"/>
              </w:rPr>
              <w:t xml:space="preserve">1</w:t>
            </w:r>
          </w:p>
          <w:p>
            <w:pPr>
              <w:spacing w:after="0"/>
            </w:pPr>
            <w:r>
              <w:rPr>
                <w:caps/>
                <w:color w:val="6B7280"/>
                <w:sz w:val="15"/>
              </w:rPr>
              <w:t xml:space="preserve">Urgent</w:t>
            </w:r>
          </w:p>
        </w:tc>
        <w:tc>
          <w:tcPr>
            <w:tcBorders>
              <w:top w:val="single" w:color="1E8449" w:sz="24"/>
              <w:left w:val="single" w:color="D5DAE0" w:sz="4"/>
              <w:bottom w:val="single" w:color="D5DAE0" w:sz="4"/>
              <w:right w:val="single" w:color="D5DAE0" w:sz="4"/>
            </w:tcBorders>
            <w:tcMar>
              <w:top w:w="80" w:type="dxa"/>
              <w:left w:w="160" w:type="dxa"/>
              <w:bottom w:w="60" w:type="dxa"/>
              <w:right w:w="160" w:type="dxa"/>
            </w:tcMar>
          </w:tcPr>
          <w:p>
            <w:pPr>
              <w:spacing w:after="0"/>
            </w:pPr>
            <w:r>
              <w:rPr>
                <w:b/>
                <w:color w:val="1E8449"/>
                <w:sz w:val="40"/>
              </w:rPr>
              <w:t xml:space="preserve">7</w:t>
            </w:r>
          </w:p>
          <w:p>
            <w:pPr>
              <w:spacing w:after="0"/>
            </w:pPr>
            <w:r>
              <w:rPr>
                <w:caps/>
                <w:color w:val="6B7280"/>
                <w:sz w:val="15"/>
              </w:rPr>
              <w:t xml:space="preserve">Pursue</w:t>
            </w:r>
          </w:p>
        </w:tc>
        <w:tc>
          <w:tcPr>
            <w:tcBorders>
              <w:top w:val="single" w:color="B7950B" w:sz="24"/>
              <w:left w:val="single" w:color="D5DAE0" w:sz="4"/>
              <w:bottom w:val="single" w:color="D5DAE0" w:sz="4"/>
              <w:right w:val="single" w:color="D5DAE0" w:sz="4"/>
            </w:tcBorders>
            <w:tcMar>
              <w:top w:w="80" w:type="dxa"/>
              <w:left w:w="160" w:type="dxa"/>
              <w:bottom w:w="60" w:type="dxa"/>
              <w:right w:w="160" w:type="dxa"/>
            </w:tcMar>
          </w:tcPr>
          <w:p>
            <w:pPr>
              <w:spacing w:after="0"/>
            </w:pPr>
            <w:r>
              <w:rPr>
                <w:b/>
                <w:color w:val="B7950B"/>
                <w:sz w:val="40"/>
              </w:rPr>
              <w:t xml:space="preserve">9</w:t>
            </w:r>
          </w:p>
          <w:p>
            <w:pPr>
              <w:spacing w:after="0"/>
            </w:pPr>
            <w:r>
              <w:rPr>
                <w:caps/>
                <w:color w:val="6B7280"/>
                <w:sz w:val="15"/>
              </w:rPr>
              <w:t xml:space="preserve">Monitor</w:t>
            </w:r>
          </w:p>
        </w:tc>
        <w:tc>
          <w:tcPr>
            <w:tcBorders>
              <w:top w:val="single" w:color="2471A3" w:sz="24"/>
              <w:left w:val="single" w:color="D5DAE0" w:sz="4"/>
              <w:bottom w:val="single" w:color="D5DAE0" w:sz="4"/>
              <w:right w:val="single" w:color="D5DAE0" w:sz="4"/>
            </w:tcBorders>
            <w:tcMar>
              <w:top w:w="80" w:type="dxa"/>
              <w:left w:w="160" w:type="dxa"/>
              <w:bottom w:w="60" w:type="dxa"/>
              <w:right w:w="160" w:type="dxa"/>
            </w:tcMar>
          </w:tcPr>
          <w:p>
            <w:pPr>
              <w:spacing w:after="0"/>
            </w:pPr>
            <w:r>
              <w:rPr>
                <w:b/>
                <w:color w:val="2471A3"/>
                <w:sz w:val="40"/>
              </w:rPr>
              <w:t xml:space="preserve">11</w:t>
            </w:r>
          </w:p>
          <w:p>
            <w:pPr>
              <w:spacing w:after="0"/>
            </w:pPr>
            <w:r>
              <w:rPr>
                <w:caps/>
                <w:color w:val="6B7280"/>
                <w:sz w:val="15"/>
              </w:rPr>
              <w:t xml:space="preserve">Discover</w:t>
            </w:r>
          </w:p>
        </w:tc>
      </w:tr>
    </w:tbl>
    <w:p>
      <w:r>
        <w:t xml:space="preserve"/>
      </w:r>
    </w:p>
    <w:p>
      <w:r>
        <w:rPr>
          <w:b/>
        </w:rPr>
        <w:t xml:space="preserve">DEAD — locked or delivered: </w:t>
      </w:r>
      <w:r>
        <w:t xml:space="preserve">0</w:t>
      </w:r>
    </w:p>
    <w:p>
      <w:r>
        <w:rPr>
          <w:b/>
        </w:rPr>
        <w:t xml:space="preserve">DUPLICATE — flagged for MPI consolidation: </w:t>
      </w:r>
      <w:r>
        <w:t xml:space="preserve">0</w:t>
      </w:r>
    </w:p>
    <w:p>
      <w:r>
        <w:t xml:space="preserve">Indigenous BD reality: most projects are NOT competitive open-RFP. They are relationship-led procurement where Nation chief and council, development corporations, or non-profit operators select trusted partners. KOR's pursuit play is a 1-3 year relationship cadence. The PURSUE projects below have either explicit RFP windows OR specific named warm-introduction paths surfaced by the honing pass.</w:t>
      </w:r>
    </w:p>
    <w:p>
      <w:pPr>
        <w:pStyle w:val="Heading2"/>
      </w:pPr>
      <w:r>
        <w:t xml:space="preserve">URGENT — IMMEDIATE action required</w:t>
      </w:r>
    </w:p>
    <w:p>
      <w:pPr>
        <w:pStyle w:val="Heading3"/>
      </w:pPr>
      <w:r>
        <w:t xml:space="preserve">1. Langara Family YMCA Redevelopment — Musqueam / Townline / YMCA (282 West 49th Ave)</w:t>
      </w:r>
    </w:p>
    <w:p>
      <w:r>
        <w:rPr>
          <w:i/>
          <w:sz w:val="18"/>
        </w:rPr>
        <w:t xml:space="preserve">Id 6925  ·  BC  ·  Proponent: Musqueam First Nation / Townline Homes / YMCA of Greater Vancouver  ·  Cost: Not publicly disclosed  ·  Status: POST-DP — BP application stage. SE appointment likely underway. CONTACT ARCHITECT IMMEDIATELY.</w:t>
      </w:r>
    </w:p>
    <w:p>
      <w:r>
        <w:t xml:space="preserve">PURSUE URGENT — BP application likely filed; SE appointment underway. Contact Boniface Oleksiuk Positano Architects immediately about structural sub-consultant role. 33+37-storey towers with complex podium = major structural scope and KOR BC specialty.</w:t>
      </w:r>
    </w:p>
    <w:p>
      <w:pPr>
        <w:pStyle w:val="Heading2"/>
      </w:pPr>
      <w:r>
        <w:t xml:space="preserve">PURSUE — Open opportunities (not yet urgent)</w:t>
      </w:r>
    </w:p>
    <w:tbl>
      <w:tblPr>
        <w:tblW w:w="5000" w:type="pct"/>
        <w:tblBorders>
          <w:top w:val="single" w:color="D5DAE0" w:sz="4"/>
          <w:left w:val="single" w:color="D5DAE0" w:sz="4"/>
          <w:bottom w:val="single" w:color="D5DAE0" w:sz="4"/>
          <w:right w:val="single" w:color="D5DAE0" w:sz="4"/>
          <w:insideH w:val="single" w:color="D5DAE0" w:sz="4"/>
          <w:insideV w:val="single" w:color="D5DAE0" w:sz="4"/>
        </w:tblBorders>
      </w:tblPr>
      <w:tblGrid>
        <w:gridCol/>
        <w:gridCol/>
        <w:gridCol/>
        <w:gridCol/>
        <w:gridCol/>
        <w:gridCol/>
      </w:tblGrid>
      <w:tr>
        <w:tc>
          <w:tcPr>
            <w:shd w:val="clear" w:fill="3F5364"/>
          </w:tcPr>
          <w:p>
            <w:pPr>
              <w:spacing w:after="0"/>
              <w:jc w:val="right"/>
            </w:pPr>
            <w:r>
              <w:rPr>
                <w:b/>
                <w:color w:val="FFFFFF"/>
                <w:sz w:val="17"/>
              </w:rPr>
              <w:t xml:space="preserve">Id</w:t>
            </w:r>
          </w:p>
        </w:tc>
        <w:tc>
          <w:tcPr>
            <w:shd w:val="clear" w:fill="3F5364"/>
          </w:tcPr>
          <w:p>
            <w:pPr>
              <w:spacing w:after="0"/>
            </w:pPr>
            <w:r>
              <w:rPr>
                <w:b/>
                <w:color w:val="FFFFFF"/>
                <w:sz w:val="17"/>
              </w:rPr>
              <w:t xml:space="preserve">Project</w:t>
            </w:r>
          </w:p>
        </w:tc>
        <w:tc>
          <w:tcPr>
            <w:shd w:val="clear" w:fill="3F5364"/>
          </w:tcPr>
          <w:p>
            <w:pPr>
              <w:spacing w:after="0"/>
            </w:pPr>
            <w:r>
              <w:rPr>
                <w:b/>
                <w:color w:val="FFFFFF"/>
                <w:sz w:val="17"/>
              </w:rPr>
              <w:t xml:space="preserve">Proponent</w:t>
            </w:r>
          </w:p>
        </w:tc>
        <w:tc>
          <w:tcPr>
            <w:shd w:val="clear" w:fill="3F5364"/>
          </w:tcPr>
          <w:p>
            <w:pPr>
              <w:spacing w:after="0"/>
            </w:pPr>
            <w:r>
              <w:rPr>
                <w:b/>
                <w:color w:val="FFFFFF"/>
                <w:sz w:val="17"/>
              </w:rPr>
              <w:t xml:space="preserve">Province</w:t>
            </w:r>
          </w:p>
        </w:tc>
        <w:tc>
          <w:tcPr>
            <w:shd w:val="clear" w:fill="3F5364"/>
          </w:tcPr>
          <w:p>
            <w:pPr>
              <w:spacing w:after="0"/>
              <w:jc w:val="right"/>
            </w:pPr>
            <w:r>
              <w:rPr>
                <w:b/>
                <w:color w:val="FFFFFF"/>
                <w:sz w:val="17"/>
              </w:rPr>
              <w:t xml:space="preserve">Cost</w:t>
            </w:r>
          </w:p>
        </w:tc>
        <w:tc>
          <w:tcPr>
            <w:shd w:val="clear" w:fill="3F5364"/>
          </w:tcPr>
          <w:p>
            <w:pPr>
              <w:spacing w:after="0"/>
            </w:pPr>
            <w:r>
              <w:rPr>
                <w:b/>
                <w:color w:val="FFFFFF"/>
                <w:sz w:val="17"/>
              </w:rPr>
              <w:t xml:space="preserve">Why PURSUE</w:t>
            </w:r>
          </w:p>
        </w:tc>
      </w:tr>
      <w:tr>
        <w:tc>
          <w:p>
            <w:pPr>
              <w:spacing w:after="0"/>
              <w:jc w:val="right"/>
            </w:pPr>
            <w:r>
              <w:rPr>
                <w:sz w:val="17"/>
              </w:rPr>
              <w:t xml:space="preserve">6999</w:t>
            </w:r>
          </w:p>
        </w:tc>
        <w:tc>
          <w:p>
            <w:pPr>
              <w:spacing w:after="0"/>
            </w:pPr>
            <w:r>
              <w:rPr>
                <w:sz w:val="17"/>
              </w:rPr>
              <w:t xml:space="preserve">Alexander First Nation Mamawatoskewin Prevention Buildi</w:t>
            </w:r>
          </w:p>
        </w:tc>
        <w:tc>
          <w:p>
            <w:pPr>
              <w:spacing w:after="0"/>
            </w:pPr>
            <w:r>
              <w:rPr>
                <w:sz w:val="17"/>
              </w:rPr>
              <w:t xml:space="preserve">Alexander First Nation</w:t>
            </w:r>
          </w:p>
        </w:tc>
        <w:tc>
          <w:p>
            <w:pPr>
              <w:spacing w:after="0"/>
            </w:pPr>
            <w:r>
              <w:rPr>
                <w:sz w:val="17"/>
              </w:rPr>
              <w:t xml:space="preserve">AB</w:t>
            </w:r>
          </w:p>
        </w:tc>
        <w:tc>
          <w:p>
            <w:pPr>
              <w:spacing w:after="0"/>
              <w:jc w:val="right"/>
            </w:pPr>
            <w:r>
              <w:rPr>
                <w:sz w:val="17"/>
              </w:rPr>
              <w:t xml:space="preserve"/>
            </w:r>
          </w:p>
        </w:tc>
        <w:tc>
          <w:p>
            <w:pPr>
              <w:spacing w:after="0"/>
            </w:pPr>
            <w:r>
              <w:rPr>
                <w:sz w:val="17"/>
              </w:rPr>
              <w:t xml:space="preserve">PURSUE — ISC-funded with EA cleared. Design procurement likely underway. Contact Alexander FN via chiefarcand@alexanderfn.ca or via First Nations architect network (Manasc Isaac, Kasian, Indigenous Works). KOR Edmonton office proximity.</w:t>
            </w:r>
          </w:p>
        </w:tc>
      </w:tr>
      <w:tr>
        <w:tc>
          <w:tcPr>
            <w:shd w:val="clear" w:fill="F4F6F8"/>
          </w:tcPr>
          <w:p>
            <w:pPr>
              <w:spacing w:after="0"/>
              <w:jc w:val="right"/>
            </w:pPr>
            <w:r>
              <w:rPr>
                <w:sz w:val="17"/>
              </w:rPr>
              <w:t xml:space="preserve">4873</w:t>
            </w:r>
          </w:p>
        </w:tc>
        <w:tc>
          <w:tcPr>
            <w:shd w:val="clear" w:fill="F4F6F8"/>
          </w:tcPr>
          <w:p>
            <w:pPr>
              <w:spacing w:after="0"/>
            </w:pPr>
            <w:r>
              <w:rPr>
                <w:sz w:val="17"/>
              </w:rPr>
              <w:t xml:space="preserve">Build 600 Affordable Homes Action Plan (Squamish Nation</w:t>
            </w:r>
          </w:p>
        </w:tc>
        <w:tc>
          <w:tcPr>
            <w:shd w:val="clear" w:fill="F4F6F8"/>
          </w:tcPr>
          <w:p>
            <w:pPr>
              <w:spacing w:after="0"/>
            </w:pPr>
            <w:r>
              <w:rPr>
                <w:sz w:val="17"/>
              </w:rPr>
              <w:t xml:space="preserve">Squamish Nation / Hiy̓ám̓ ta S</w:t>
            </w:r>
          </w:p>
        </w:tc>
        <w:tc>
          <w:tcPr>
            <w:shd w:val="clear" w:fill="F4F6F8"/>
          </w:tcPr>
          <w:p>
            <w:pPr>
              <w:spacing w:after="0"/>
            </w:pPr>
            <w:r>
              <w:rPr>
                <w:sz w:val="17"/>
              </w:rPr>
              <w:t xml:space="preserve">BC</w:t>
            </w:r>
          </w:p>
        </w:tc>
        <w:tc>
          <w:tcPr>
            <w:shd w:val="clear" w:fill="F4F6F8"/>
          </w:tcPr>
          <w:p>
            <w:pPr>
              <w:spacing w:after="0"/>
              <w:jc w:val="right"/>
            </w:pPr>
            <w:r>
              <w:rPr>
                <w:sz w:val="17"/>
              </w:rPr>
              <w:t xml:space="preserve"/>
            </w:r>
          </w:p>
        </w:tc>
        <w:tc>
          <w:tcPr>
            <w:shd w:val="clear" w:fill="F4F6F8"/>
          </w:tcPr>
          <w:p>
            <w:pPr>
              <w:spacing w:after="0"/>
            </w:pPr>
            <w:r>
              <w:rPr>
                <w:sz w:val="17"/>
              </w:rPr>
              <w:t xml:space="preserve">PURSUE — 295 homes still in pipeline. Contact DIALOG for modular housing SE sub. Contact Urban Arts Architecture for Capilano IR No. 5 structural sub. Direct contact with Nch'kay: pcprojects@squamish.net.</w:t>
            </w:r>
          </w:p>
        </w:tc>
      </w:tr>
      <w:tr>
        <w:tc>
          <w:p>
            <w:pPr>
              <w:spacing w:after="0"/>
              <w:jc w:val="right"/>
            </w:pPr>
            <w:r>
              <w:rPr>
                <w:sz w:val="17"/>
              </w:rPr>
              <w:t xml:space="preserve">7101</w:t>
            </w:r>
          </w:p>
        </w:tc>
        <w:tc>
          <w:p>
            <w:pPr>
              <w:spacing w:after="0"/>
            </w:pPr>
            <w:r>
              <w:rPr>
                <w:sz w:val="17"/>
              </w:rPr>
              <w:t xml:space="preserve">Enoch Cree Nation Cultural Interpretive Centre and Muse</w:t>
            </w:r>
          </w:p>
        </w:tc>
        <w:tc>
          <w:p>
            <w:pPr>
              <w:spacing w:after="0"/>
            </w:pPr>
            <w:r>
              <w:rPr>
                <w:sz w:val="17"/>
              </w:rPr>
              <w:t xml:space="preserve">Enoch Cree Nation</w:t>
            </w:r>
          </w:p>
        </w:tc>
        <w:tc>
          <w:p>
            <w:pPr>
              <w:spacing w:after="0"/>
            </w:pPr>
            <w:r>
              <w:rPr>
                <w:sz w:val="17"/>
              </w:rPr>
              <w:t xml:space="preserve">AB</w:t>
            </w:r>
          </w:p>
        </w:tc>
        <w:tc>
          <w:p>
            <w:pPr>
              <w:spacing w:after="0"/>
              <w:jc w:val="right"/>
            </w:pPr>
            <w:r>
              <w:rPr>
                <w:sz w:val="17"/>
              </w:rPr>
              <w:t xml:space="preserve"/>
            </w:r>
          </w:p>
        </w:tc>
        <w:tc>
          <w:p>
            <w:pPr>
              <w:spacing w:after="0"/>
            </w:pPr>
            <w:r>
              <w:rPr>
                <w:sz w:val="17"/>
              </w:rPr>
              <w:t xml:space="preserve">Tawaw Architecture Collective (Wanda Dalla Costa) is the gateway to Enoch Cree Nation projects including both the CIC and Elders Lodge. CIB $100M infrastructure loan closed March 2025 — capital is committed, reserve development is active. Contact Wanda Dalla Costa directly with genuine engagement on both projects, respecting cultural protocols. KOR Edmonton proximity to Enoch territory and any pri</w:t>
            </w:r>
          </w:p>
        </w:tc>
      </w:tr>
      <w:tr>
        <w:tc>
          <w:tcPr>
            <w:shd w:val="clear" w:fill="F4F6F8"/>
          </w:tcPr>
          <w:p>
            <w:pPr>
              <w:spacing w:after="0"/>
              <w:jc w:val="right"/>
            </w:pPr>
            <w:r>
              <w:rPr>
                <w:sz w:val="17"/>
              </w:rPr>
              <w:t xml:space="preserve">7102</w:t>
            </w:r>
          </w:p>
        </w:tc>
        <w:tc>
          <w:tcPr>
            <w:shd w:val="clear" w:fill="F4F6F8"/>
          </w:tcPr>
          <w:p>
            <w:pPr>
              <w:spacing w:after="0"/>
            </w:pPr>
            <w:r>
              <w:rPr>
                <w:sz w:val="17"/>
              </w:rPr>
              <w:t xml:space="preserve">Enoch Cree Nation Elders Lodge</w:t>
            </w:r>
          </w:p>
        </w:tc>
        <w:tc>
          <w:tcPr>
            <w:shd w:val="clear" w:fill="F4F6F8"/>
          </w:tcPr>
          <w:p>
            <w:pPr>
              <w:spacing w:after="0"/>
            </w:pPr>
            <w:r>
              <w:rPr>
                <w:sz w:val="17"/>
              </w:rPr>
              <w:t xml:space="preserve">Enoch Cree Nation</w:t>
            </w:r>
          </w:p>
        </w:tc>
        <w:tc>
          <w:tcPr>
            <w:shd w:val="clear" w:fill="F4F6F8"/>
          </w:tcPr>
          <w:p>
            <w:pPr>
              <w:spacing w:after="0"/>
            </w:pPr>
            <w:r>
              <w:rPr>
                <w:sz w:val="17"/>
              </w:rPr>
              <w:t xml:space="preserve">AB</w:t>
            </w:r>
          </w:p>
        </w:tc>
        <w:tc>
          <w:tcPr>
            <w:shd w:val="clear" w:fill="F4F6F8"/>
          </w:tcPr>
          <w:p>
            <w:pPr>
              <w:spacing w:after="0"/>
              <w:jc w:val="right"/>
            </w:pPr>
            <w:r>
              <w:rPr>
                <w:sz w:val="17"/>
              </w:rPr>
              <w:t xml:space="preserve"/>
            </w:r>
          </w:p>
        </w:tc>
        <w:tc>
          <w:tcPr>
            <w:shd w:val="clear" w:fill="F4F6F8"/>
          </w:tcPr>
          <w:p>
            <w:pPr>
              <w:spacing w:after="0"/>
            </w:pPr>
            <w:r>
              <w:rPr>
                <w:sz w:val="17"/>
              </w:rPr>
              <w:t xml:space="preserve">Same as CIC (7101) — Tawaw Architecture Collective (Wanda Dalla Costa) is the single contact for both Enoch projects. $25M seniors housing + cultural centre in one Tawaw conversation. CIB $100M reserve loan means capital is committed and enabling infrastructure is moving. KOR should establish the Tawaw relationship now as both projects progress into construction documentation.</w:t>
            </w:r>
          </w:p>
        </w:tc>
      </w:tr>
      <w:tr>
        <w:tc>
          <w:p>
            <w:pPr>
              <w:spacing w:after="0"/>
              <w:jc w:val="right"/>
            </w:pPr>
            <w:r>
              <w:rPr>
                <w:sz w:val="17"/>
              </w:rPr>
              <w:t xml:space="preserve">6996</w:t>
            </w:r>
          </w:p>
        </w:tc>
        <w:tc>
          <w:p>
            <w:pPr>
              <w:spacing w:after="0"/>
            </w:pPr>
            <w:r>
              <w:rPr>
                <w:sz w:val="17"/>
              </w:rPr>
              <w:t xml:space="preserve">Enoch Cree Nation Northeast Development</w:t>
            </w:r>
          </w:p>
        </w:tc>
        <w:tc>
          <w:p>
            <w:pPr>
              <w:spacing w:after="0"/>
            </w:pPr>
            <w:r>
              <w:rPr>
                <w:sz w:val="17"/>
              </w:rPr>
              <w:t xml:space="preserve">Enoch Cree Nation</w:t>
            </w:r>
          </w:p>
        </w:tc>
        <w:tc>
          <w:p>
            <w:pPr>
              <w:spacing w:after="0"/>
            </w:pPr>
            <w:r>
              <w:rPr>
                <w:sz w:val="17"/>
              </w:rPr>
              <w:t xml:space="preserve">AB</w:t>
            </w:r>
          </w:p>
        </w:tc>
        <w:tc>
          <w:p>
            <w:pPr>
              <w:spacing w:after="0"/>
              <w:jc w:val="right"/>
            </w:pPr>
            <w:r>
              <w:rPr>
                <w:sz w:val="17"/>
              </w:rPr>
              <w:t xml:space="preserve"/>
            </w:r>
          </w:p>
        </w:tc>
        <w:tc>
          <w:p>
            <w:pPr>
              <w:spacing w:after="0"/>
            </w:pPr>
            <w:r>
              <w:rPr>
                <w:sz w:val="17"/>
              </w:rPr>
              <w:t xml:space="preserve">PURSUE — building structural opportunity post-2027. Build Tawaw Architecture Collective relationship now via CIC (7101) and Elders Lodge (7102). One relationship covers the full Enoch portfolio.</w:t>
            </w:r>
          </w:p>
        </w:tc>
      </w:tr>
      <w:tr>
        <w:tc>
          <w:tcPr>
            <w:shd w:val="clear" w:fill="F4F6F8"/>
          </w:tcPr>
          <w:p>
            <w:pPr>
              <w:spacing w:after="0"/>
              <w:jc w:val="right"/>
            </w:pPr>
            <w:r>
              <w:rPr>
                <w:sz w:val="17"/>
              </w:rPr>
              <w:t xml:space="preserve">4860</w:t>
            </w:r>
          </w:p>
        </w:tc>
        <w:tc>
          <w:tcPr>
            <w:shd w:val="clear" w:fill="F4F6F8"/>
          </w:tcPr>
          <w:p>
            <w:pPr>
              <w:spacing w:after="0"/>
            </w:pPr>
            <w:r>
              <w:rPr>
                <w:sz w:val="17"/>
              </w:rPr>
              <w:t xml:space="preserve">Outma Sqilx'w School Addition (955 m²)</w:t>
            </w:r>
          </w:p>
        </w:tc>
        <w:tc>
          <w:tcPr>
            <w:shd w:val="clear" w:fill="F4F6F8"/>
          </w:tcPr>
          <w:p>
            <w:pPr>
              <w:spacing w:after="0"/>
            </w:pPr>
            <w:r>
              <w:rPr>
                <w:sz w:val="17"/>
              </w:rPr>
              <w:t xml:space="preserve">Penticton Indian Band</w:t>
            </w:r>
          </w:p>
        </w:tc>
        <w:tc>
          <w:tcPr>
            <w:shd w:val="clear" w:fill="F4F6F8"/>
          </w:tcPr>
          <w:p>
            <w:pPr>
              <w:spacing w:after="0"/>
            </w:pPr>
            <w:r>
              <w:rPr>
                <w:sz w:val="17"/>
              </w:rPr>
              <w:t xml:space="preserve">BC</w:t>
            </w:r>
          </w:p>
        </w:tc>
        <w:tc>
          <w:tcPr>
            <w:shd w:val="clear" w:fill="F4F6F8"/>
          </w:tcPr>
          <w:p>
            <w:pPr>
              <w:spacing w:after="0"/>
              <w:jc w:val="right"/>
            </w:pPr>
            <w:r>
              <w:rPr>
                <w:sz w:val="17"/>
              </w:rPr>
              <w:t xml:space="preserve"/>
            </w:r>
          </w:p>
        </w:tc>
        <w:tc>
          <w:tcPr>
            <w:shd w:val="clear" w:fill="F4F6F8"/>
          </w:tcPr>
          <w:p>
            <w:pPr>
              <w:spacing w:after="0"/>
            </w:pPr>
            <w:r>
              <w:rPr>
                <w:sz w:val="17"/>
              </w:rPr>
              <w:t xml:space="preserve">PURSUE — Iredale Architecture is the entry point. Contact Iredale Victoria office about SE sub-consultant role for Outma Sqilx'w school addition. Iredale Indigenous school portfolio across BC = relationship value beyond this project.</w:t>
            </w:r>
          </w:p>
        </w:tc>
      </w:tr>
      <w:tr>
        <w:tc>
          <w:p>
            <w:pPr>
              <w:spacing w:after="0"/>
              <w:jc w:val="right"/>
            </w:pPr>
            <w:r>
              <w:rPr>
                <w:sz w:val="17"/>
              </w:rPr>
              <w:t xml:space="preserve">5821</w:t>
            </w:r>
          </w:p>
        </w:tc>
        <w:tc>
          <w:p>
            <w:pPr>
              <w:spacing w:after="0"/>
            </w:pPr>
            <w:r>
              <w:rPr>
                <w:sz w:val="17"/>
              </w:rPr>
              <w:t xml:space="preserve">Redford Housing – Uchucklesaht First Nation (3830 5th A</w:t>
            </w:r>
          </w:p>
        </w:tc>
        <w:tc>
          <w:p>
            <w:pPr>
              <w:spacing w:after="0"/>
            </w:pPr>
            <w:r>
              <w:rPr>
                <w:sz w:val="17"/>
              </w:rPr>
              <w:t xml:space="preserve">Uchucklesaht Tribe Government</w:t>
            </w:r>
          </w:p>
        </w:tc>
        <w:tc>
          <w:p>
            <w:pPr>
              <w:spacing w:after="0"/>
            </w:pPr>
            <w:r>
              <w:rPr>
                <w:sz w:val="17"/>
              </w:rPr>
              <w:t xml:space="preserve">BC</w:t>
            </w:r>
          </w:p>
        </w:tc>
        <w:tc>
          <w:p>
            <w:pPr>
              <w:spacing w:after="0"/>
              <w:jc w:val="right"/>
            </w:pPr>
            <w:r>
              <w:rPr>
                <w:sz w:val="17"/>
              </w:rPr>
              <w:t xml:space="preserve"/>
            </w:r>
          </w:p>
        </w:tc>
        <w:tc>
          <w:p>
            <w:pPr>
              <w:spacing w:after="0"/>
            </w:pPr>
            <w:r>
              <w:rPr>
                <w:sz w:val="17"/>
              </w:rPr>
              <w:t xml:space="preserve">PURSUE. Structural EOR has not been publicly named and construction start is not until fall 2026/spring 2027 — design team appointment is likely happening in 2026. Uchucklesaht Development Corporation (UDC) is a new development entity with no established structural relationships from prior Port Alberni projects (the Redford site is their first major residential development). No incumbent SE identi</w:t>
            </w:r>
          </w:p>
        </w:tc>
      </w:tr>
    </w:tbl>
    <w:p>
      <w:r>
        <w:t xml:space="preserve"/>
      </w:r>
    </w:p>
    <w:p>
      <w:pPr>
        <w:pStyle w:val="Heading2"/>
      </w:pPr>
      <w:r>
        <w:t xml:space="preserve">MONITOR — Current phase locked, future phases open</w:t>
      </w:r>
    </w:p>
    <w:tbl>
      <w:tblPr>
        <w:tblW w:w="5000" w:type="pct"/>
        <w:tblBorders>
          <w:top w:val="single" w:color="D5DAE0" w:sz="4"/>
          <w:left w:val="single" w:color="D5DAE0" w:sz="4"/>
          <w:bottom w:val="single" w:color="D5DAE0" w:sz="4"/>
          <w:right w:val="single" w:color="D5DAE0" w:sz="4"/>
          <w:insideH w:val="single" w:color="D5DAE0" w:sz="4"/>
          <w:insideV w:val="single" w:color="D5DAE0" w:sz="4"/>
        </w:tblBorders>
      </w:tblPr>
      <w:tblGrid>
        <w:gridCol/>
        <w:gridCol/>
        <w:gridCol/>
        <w:gridCol/>
        <w:gridCol/>
        <w:gridCol/>
      </w:tblGrid>
      <w:tr>
        <w:tc>
          <w:tcPr>
            <w:shd w:val="clear" w:fill="3F5364"/>
          </w:tcPr>
          <w:p>
            <w:pPr>
              <w:spacing w:after="0"/>
              <w:jc w:val="right"/>
            </w:pPr>
            <w:r>
              <w:rPr>
                <w:b/>
                <w:color w:val="FFFFFF"/>
                <w:sz w:val="17"/>
              </w:rPr>
              <w:t xml:space="preserve">Id</w:t>
            </w:r>
          </w:p>
        </w:tc>
        <w:tc>
          <w:tcPr>
            <w:shd w:val="clear" w:fill="3F5364"/>
          </w:tcPr>
          <w:p>
            <w:pPr>
              <w:spacing w:after="0"/>
            </w:pPr>
            <w:r>
              <w:rPr>
                <w:b/>
                <w:color w:val="FFFFFF"/>
                <w:sz w:val="17"/>
              </w:rPr>
              <w:t xml:space="preserve">Project</w:t>
            </w:r>
          </w:p>
        </w:tc>
        <w:tc>
          <w:tcPr>
            <w:shd w:val="clear" w:fill="3F5364"/>
          </w:tcPr>
          <w:p>
            <w:pPr>
              <w:spacing w:after="0"/>
            </w:pPr>
            <w:r>
              <w:rPr>
                <w:b/>
                <w:color w:val="FFFFFF"/>
                <w:sz w:val="17"/>
              </w:rPr>
              <w:t xml:space="preserve">Proponent</w:t>
            </w:r>
          </w:p>
        </w:tc>
        <w:tc>
          <w:tcPr>
            <w:shd w:val="clear" w:fill="3F5364"/>
          </w:tcPr>
          <w:p>
            <w:pPr>
              <w:spacing w:after="0"/>
            </w:pPr>
            <w:r>
              <w:rPr>
                <w:b/>
                <w:color w:val="FFFFFF"/>
                <w:sz w:val="17"/>
              </w:rPr>
              <w:t xml:space="preserve">Province</w:t>
            </w:r>
          </w:p>
        </w:tc>
        <w:tc>
          <w:tcPr>
            <w:shd w:val="clear" w:fill="3F5364"/>
          </w:tcPr>
          <w:p>
            <w:pPr>
              <w:spacing w:after="0"/>
              <w:jc w:val="right"/>
            </w:pPr>
            <w:r>
              <w:rPr>
                <w:b/>
                <w:color w:val="FFFFFF"/>
                <w:sz w:val="17"/>
              </w:rPr>
              <w:t xml:space="preserve">Cost</w:t>
            </w:r>
          </w:p>
        </w:tc>
        <w:tc>
          <w:tcPr>
            <w:shd w:val="clear" w:fill="3F5364"/>
          </w:tcPr>
          <w:p>
            <w:pPr>
              <w:spacing w:after="0"/>
            </w:pPr>
            <w:r>
              <w:rPr>
                <w:b/>
                <w:color w:val="FFFFFF"/>
                <w:sz w:val="17"/>
              </w:rPr>
              <w:t xml:space="preserve">Why MONITOR</w:t>
            </w:r>
          </w:p>
        </w:tc>
      </w:tr>
      <w:tr>
        <w:tc>
          <w:p>
            <w:pPr>
              <w:spacing w:after="0"/>
              <w:jc w:val="right"/>
            </w:pPr>
            <w:r>
              <w:rPr>
                <w:sz w:val="17"/>
              </w:rPr>
              <w:t xml:space="preserve">1294</w:t>
            </w:r>
          </w:p>
        </w:tc>
        <w:tc>
          <w:p>
            <w:pPr>
              <w:spacing w:after="0"/>
            </w:pPr>
            <w:r>
              <w:rPr>
                <w:sz w:val="17"/>
              </w:rPr>
              <w:t xml:space="preserve">South Burrard Development</w:t>
            </w:r>
          </w:p>
        </w:tc>
        <w:tc>
          <w:p>
            <w:pPr>
              <w:spacing w:after="0"/>
            </w:pPr>
            <w:r>
              <w:rPr>
                <w:sz w:val="17"/>
              </w:rPr>
              <w:t xml:space="preserve">Squamish First Nation</w:t>
            </w:r>
          </w:p>
        </w:tc>
        <w:tc>
          <w:p>
            <w:pPr>
              <w:spacing w:after="0"/>
            </w:pPr>
            <w:r>
              <w:rPr>
                <w:sz w:val="17"/>
              </w:rPr>
              <w:t xml:space="preserve">BC</w:t>
            </w:r>
          </w:p>
        </w:tc>
        <w:tc>
          <w:p>
            <w:pPr>
              <w:spacing w:after="0"/>
              <w:jc w:val="right"/>
            </w:pPr>
            <w:r>
              <w:rPr>
                <w:sz w:val="17"/>
              </w:rPr>
              <w:t xml:space="preserve">1000</w:t>
            </w:r>
          </w:p>
        </w:tc>
        <w:tc>
          <w:p>
            <w:pPr>
              <w:spacing w:after="0"/>
            </w:pPr>
            <w:r>
              <w:rPr>
                <w:sz w:val="17"/>
              </w:rPr>
              <w:t xml:space="preserve">MONITOR — Glotman Simpson is the Phase 1 structural engineer (rival). Squamish Nation + OPTrust are not KOR cl</w:t>
            </w:r>
          </w:p>
        </w:tc>
      </w:tr>
      <w:tr>
        <w:tc>
          <w:tcPr>
            <w:shd w:val="clear" w:fill="F4F6F8"/>
          </w:tcPr>
          <w:p>
            <w:pPr>
              <w:spacing w:after="0"/>
              <w:jc w:val="right"/>
            </w:pPr>
            <w:r>
              <w:rPr>
                <w:sz w:val="17"/>
              </w:rPr>
              <w:t xml:space="preserve">5184</w:t>
            </w:r>
          </w:p>
        </w:tc>
        <w:tc>
          <w:tcPr>
            <w:shd w:val="clear" w:fill="F4F6F8"/>
          </w:tcPr>
          <w:p>
            <w:pPr>
              <w:spacing w:after="0"/>
            </w:pPr>
            <w:r>
              <w:rPr>
                <w:sz w:val="17"/>
              </w:rPr>
              <w:t xml:space="preserve">Comox Valley RCMP Detachment Replacement</w:t>
            </w:r>
          </w:p>
        </w:tc>
        <w:tc>
          <w:tcPr>
            <w:shd w:val="clear" w:fill="F4F6F8"/>
          </w:tcPr>
          <w:p>
            <w:pPr>
              <w:spacing w:after="0"/>
            </w:pPr>
            <w:r>
              <w:rPr>
                <w:sz w:val="17"/>
              </w:rPr>
              <w:t xml:space="preserve">City of Courtenay / Town of Co</w:t>
            </w:r>
          </w:p>
        </w:tc>
        <w:tc>
          <w:tcPr>
            <w:shd w:val="clear" w:fill="F4F6F8"/>
          </w:tcPr>
          <w:p>
            <w:pPr>
              <w:spacing w:after="0"/>
            </w:pPr>
            <w:r>
              <w:rPr>
                <w:sz w:val="17"/>
              </w:rPr>
              <w:t xml:space="preserve">BC</w:t>
            </w:r>
          </w:p>
        </w:tc>
        <w:tc>
          <w:tcPr>
            <w:shd w:val="clear" w:fill="F4F6F8"/>
          </w:tcPr>
          <w:p>
            <w:pPr>
              <w:spacing w:after="0"/>
              <w:jc w:val="right"/>
            </w:pPr>
            <w:r>
              <w:rPr>
                <w:sz w:val="17"/>
              </w:rPr>
              <w:t xml:space="preserve">~$47,000,000</w:t>
            </w:r>
          </w:p>
        </w:tc>
        <w:tc>
          <w:tcPr>
            <w:shd w:val="clear" w:fill="F4F6F8"/>
          </w:tcPr>
          <w:p>
            <w:pPr>
              <w:spacing w:after="0"/>
            </w:pPr>
            <w:r>
              <w:rPr>
                <w:sz w:val="17"/>
              </w:rPr>
              <w:t xml:space="preserve">MONITOR. Still in pre-project advocacy as of February 2026 — four-jurisdiction agreement not yet achieved, no </w:t>
            </w:r>
          </w:p>
        </w:tc>
      </w:tr>
      <w:tr>
        <w:tc>
          <w:p>
            <w:pPr>
              <w:spacing w:after="0"/>
              <w:jc w:val="right"/>
            </w:pPr>
            <w:r>
              <w:rPr>
                <w:sz w:val="17"/>
              </w:rPr>
              <w:t xml:space="preserve">4854</w:t>
            </w:r>
          </w:p>
        </w:tc>
        <w:tc>
          <w:p>
            <w:pPr>
              <w:spacing w:after="0"/>
            </w:pPr>
            <w:r>
              <w:rPr>
                <w:sz w:val="17"/>
              </w:rPr>
              <w:t xml:space="preserve">Farwell Road Subdivision — Phase 1 (~50 Lots)</w:t>
            </w:r>
          </w:p>
        </w:tc>
        <w:tc>
          <w:p>
            <w:pPr>
              <w:spacing w:after="0"/>
            </w:pPr>
            <w:r>
              <w:rPr>
                <w:sz w:val="17"/>
              </w:rPr>
              <w:t xml:space="preserve">Wei Wai Kum First Nation</w:t>
            </w:r>
          </w:p>
        </w:tc>
        <w:tc>
          <w:p>
            <w:pPr>
              <w:spacing w:after="0"/>
            </w:pPr>
            <w:r>
              <w:rPr>
                <w:sz w:val="17"/>
              </w:rPr>
              <w:t xml:space="preserve">BC</w:t>
            </w:r>
          </w:p>
        </w:tc>
        <w:tc>
          <w:p>
            <w:pPr>
              <w:spacing w:after="0"/>
              <w:jc w:val="right"/>
            </w:pPr>
            <w:r>
              <w:rPr>
                <w:sz w:val="17"/>
              </w:rPr>
              <w:t xml:space="preserve"/>
            </w:r>
          </w:p>
        </w:tc>
        <w:tc>
          <w:p>
            <w:pPr>
              <w:spacing w:after="0"/>
            </w:pPr>
            <w:r>
              <w:rPr>
                <w:sz w:val="17"/>
              </w:rPr>
              <w:t xml:space="preserve">MONITOR — low priority unless multi-family buildings confirmed. Contact Erica Haunch (ericahaunch@weiwaikum.ca</w:t>
            </w:r>
          </w:p>
        </w:tc>
      </w:tr>
      <w:tr>
        <w:tc>
          <w:tcPr>
            <w:shd w:val="clear" w:fill="F4F6F8"/>
          </w:tcPr>
          <w:p>
            <w:pPr>
              <w:spacing w:after="0"/>
              <w:jc w:val="right"/>
            </w:pPr>
            <w:r>
              <w:rPr>
                <w:sz w:val="17"/>
              </w:rPr>
              <w:t xml:space="preserve">4857</w:t>
            </w:r>
          </w:p>
        </w:tc>
        <w:tc>
          <w:tcPr>
            <w:shd w:val="clear" w:fill="F4F6F8"/>
          </w:tcPr>
          <w:p>
            <w:pPr>
              <w:spacing w:after="0"/>
            </w:pPr>
            <w:r>
              <w:rPr>
                <w:sz w:val="17"/>
              </w:rPr>
              <w:t xml:space="preserve">OKIB 35 New Affordable Homes (Pebble Park / Head of Lak</w:t>
            </w:r>
          </w:p>
        </w:tc>
        <w:tc>
          <w:tcPr>
            <w:shd w:val="clear" w:fill="F4F6F8"/>
          </w:tcPr>
          <w:p>
            <w:pPr>
              <w:spacing w:after="0"/>
            </w:pPr>
            <w:r>
              <w:rPr>
                <w:sz w:val="17"/>
              </w:rPr>
              <w:t xml:space="preserve">Okanagan Indian Band (OKIB)</w:t>
            </w:r>
          </w:p>
        </w:tc>
        <w:tc>
          <w:tcPr>
            <w:shd w:val="clear" w:fill="F4F6F8"/>
          </w:tcPr>
          <w:p>
            <w:pPr>
              <w:spacing w:after="0"/>
            </w:pPr>
            <w:r>
              <w:rPr>
                <w:sz w:val="17"/>
              </w:rPr>
              <w:t xml:space="preserve">BC</w:t>
            </w:r>
          </w:p>
        </w:tc>
        <w:tc>
          <w:tcPr>
            <w:shd w:val="clear" w:fill="F4F6F8"/>
          </w:tcPr>
          <w:p>
            <w:pPr>
              <w:spacing w:after="0"/>
              <w:jc w:val="right"/>
            </w:pPr>
            <w:r>
              <w:rPr>
                <w:sz w:val="17"/>
              </w:rPr>
              <w:t xml:space="preserve"/>
            </w:r>
          </w:p>
        </w:tc>
        <w:tc>
          <w:tcPr>
            <w:shd w:val="clear" w:fill="F4F6F8"/>
          </w:tcPr>
          <w:p>
            <w:pPr>
              <w:spacing w:after="0"/>
            </w:pPr>
            <w:r>
              <w:rPr>
                <w:sz w:val="17"/>
              </w:rPr>
              <w:t xml:space="preserve">MONITOR. BC Budget 2026 suspended the Indigenous Housing Fund — the primary funding stream for OKIB's 35-unit </w:t>
            </w:r>
          </w:p>
        </w:tc>
      </w:tr>
      <w:tr>
        <w:tc>
          <w:p>
            <w:pPr>
              <w:spacing w:after="0"/>
              <w:jc w:val="right"/>
            </w:pPr>
            <w:r>
              <w:rPr>
                <w:sz w:val="17"/>
              </w:rPr>
              <w:t xml:space="preserve">4851</w:t>
            </w:r>
          </w:p>
        </w:tc>
        <w:tc>
          <w:p>
            <w:pPr>
              <w:spacing w:after="0"/>
            </w:pPr>
            <w:r>
              <w:rPr>
                <w:sz w:val="17"/>
              </w:rPr>
              <w:t xml:space="preserve">Queneesh Trailer Park Site Redevelopment (Future Housin</w:t>
            </w:r>
          </w:p>
        </w:tc>
        <w:tc>
          <w:p>
            <w:pPr>
              <w:spacing w:after="0"/>
            </w:pPr>
            <w:r>
              <w:rPr>
                <w:sz w:val="17"/>
              </w:rPr>
              <w:t xml:space="preserve">K'ómoks First Nation</w:t>
            </w:r>
          </w:p>
        </w:tc>
        <w:tc>
          <w:p>
            <w:pPr>
              <w:spacing w:after="0"/>
            </w:pPr>
            <w:r>
              <w:rPr>
                <w:sz w:val="17"/>
              </w:rPr>
              <w:t xml:space="preserve">BC</w:t>
            </w:r>
          </w:p>
        </w:tc>
        <w:tc>
          <w:p>
            <w:pPr>
              <w:spacing w:after="0"/>
              <w:jc w:val="right"/>
            </w:pPr>
            <w:r>
              <w:rPr>
                <w:sz w:val="17"/>
              </w:rPr>
              <w:t xml:space="preserve"/>
            </w:r>
          </w:p>
        </w:tc>
        <w:tc>
          <w:p>
            <w:pPr>
              <w:spacing w:after="0"/>
            </w:pPr>
            <w:r>
              <w:rPr>
                <w:sz w:val="17"/>
              </w:rPr>
              <w:t xml:space="preserve">MONITOR. Queneesh is a confirmed, locked redevelopment timeline — trailer park closes January 31, 2028, and Na</w:t>
            </w:r>
          </w:p>
        </w:tc>
      </w:tr>
      <w:tr>
        <w:tc>
          <w:tcPr>
            <w:shd w:val="clear" w:fill="F4F6F8"/>
          </w:tcPr>
          <w:p>
            <w:pPr>
              <w:spacing w:after="0"/>
              <w:jc w:val="right"/>
            </w:pPr>
            <w:r>
              <w:rPr>
                <w:sz w:val="17"/>
              </w:rPr>
              <w:t xml:space="preserve">3228</w:t>
            </w:r>
          </w:p>
        </w:tc>
        <w:tc>
          <w:tcPr>
            <w:shd w:val="clear" w:fill="F4F6F8"/>
          </w:tcPr>
          <w:p>
            <w:pPr>
              <w:spacing w:after="0"/>
            </w:pPr>
            <w:r>
              <w:rPr>
                <w:sz w:val="17"/>
              </w:rPr>
              <w:t xml:space="preserve">Raven Woods / Seymour Village</w:t>
            </w:r>
          </w:p>
        </w:tc>
        <w:tc>
          <w:tcPr>
            <w:shd w:val="clear" w:fill="F4F6F8"/>
          </w:tcPr>
          <w:p>
            <w:pPr>
              <w:spacing w:after="0"/>
            </w:pPr>
            <w:r>
              <w:rPr>
                <w:sz w:val="17"/>
              </w:rPr>
              <w:t xml:space="preserve">Takaya Developments + Aquilini</w:t>
            </w:r>
          </w:p>
        </w:tc>
        <w:tc>
          <w:tcPr>
            <w:shd w:val="clear" w:fill="F4F6F8"/>
          </w:tcPr>
          <w:p>
            <w:pPr>
              <w:spacing w:after="0"/>
            </w:pPr>
            <w:r>
              <w:rPr>
                <w:sz w:val="17"/>
              </w:rPr>
              <w:t xml:space="preserve">BC</w:t>
            </w:r>
          </w:p>
        </w:tc>
        <w:tc>
          <w:tcPr>
            <w:shd w:val="clear" w:fill="F4F6F8"/>
          </w:tcPr>
          <w:p>
            <w:pPr>
              <w:spacing w:after="0"/>
              <w:jc w:val="right"/>
            </w:pPr>
            <w:r>
              <w:rPr>
                <w:sz w:val="17"/>
              </w:rPr>
              <w:t xml:space="preserve"/>
            </w:r>
          </w:p>
        </w:tc>
        <w:tc>
          <w:tcPr>
            <w:shd w:val="clear" w:fill="F4F6F8"/>
          </w:tcPr>
          <w:p>
            <w:pPr>
              <w:spacing w:after="0"/>
            </w:pPr>
            <w:r>
              <w:rPr>
                <w:sz w:val="17"/>
              </w:rPr>
              <w:t xml:space="preserve"/>
            </w:r>
          </w:p>
        </w:tc>
      </w:tr>
      <w:tr>
        <w:tc>
          <w:p>
            <w:pPr>
              <w:spacing w:after="0"/>
              <w:jc w:val="right"/>
            </w:pPr>
            <w:r>
              <w:rPr>
                <w:sz w:val="17"/>
              </w:rPr>
              <w:t xml:space="preserve">6910</w:t>
            </w:r>
          </w:p>
        </w:tc>
        <w:tc>
          <w:p>
            <w:pPr>
              <w:spacing w:after="0"/>
            </w:pPr>
            <w:r>
              <w:rPr>
                <w:sz w:val="17"/>
              </w:rPr>
              <w:t xml:space="preserve">Sen̓áḵw Phases 3 &amp; 4 — Towers 7–11 (Squamish Nation 100</w:t>
            </w:r>
          </w:p>
        </w:tc>
        <w:tc>
          <w:p>
            <w:pPr>
              <w:spacing w:after="0"/>
            </w:pPr>
            <w:r>
              <w:rPr>
                <w:sz w:val="17"/>
              </w:rPr>
              <w:t xml:space="preserve">Squamish Nation (100% ownershi</w:t>
            </w:r>
          </w:p>
        </w:tc>
        <w:tc>
          <w:p>
            <w:pPr>
              <w:spacing w:after="0"/>
            </w:pPr>
            <w:r>
              <w:rPr>
                <w:sz w:val="17"/>
              </w:rPr>
              <w:t xml:space="preserve">BC</w:t>
            </w:r>
          </w:p>
        </w:tc>
        <w:tc>
          <w:p>
            <w:pPr>
              <w:spacing w:after="0"/>
              <w:jc w:val="right"/>
            </w:pPr>
            <w:r>
              <w:rPr>
                <w:sz w:val="17"/>
              </w:rPr>
              <w:t xml:space="preserve">Not publicly disclosed; Nation holds 100% of Phases 3–4</w:t>
            </w:r>
          </w:p>
        </w:tc>
        <w:tc>
          <w:p>
            <w:pPr>
              <w:spacing w:after="0"/>
            </w:pPr>
            <w:r>
              <w:rPr>
                <w:sz w:val="17"/>
              </w:rPr>
              <w:t xml:space="preserve"/>
            </w:r>
          </w:p>
        </w:tc>
      </w:tr>
      <w:tr>
        <w:tc>
          <w:tcPr>
            <w:shd w:val="clear" w:fill="F4F6F8"/>
          </w:tcPr>
          <w:p>
            <w:pPr>
              <w:spacing w:after="0"/>
              <w:jc w:val="right"/>
            </w:pPr>
            <w:r>
              <w:rPr>
                <w:sz w:val="17"/>
              </w:rPr>
              <w:t xml:space="preserve">4844</w:t>
            </w:r>
          </w:p>
        </w:tc>
        <w:tc>
          <w:tcPr>
            <w:shd w:val="clear" w:fill="F4F6F8"/>
          </w:tcPr>
          <w:p>
            <w:pPr>
              <w:spacing w:after="0"/>
            </w:pPr>
            <w:r>
              <w:rPr>
                <w:sz w:val="17"/>
              </w:rPr>
              <w:t xml:space="preserve">sxwayxwum Village (1 Terminal Avenue) — Redevelopment</w:t>
            </w:r>
          </w:p>
        </w:tc>
        <w:tc>
          <w:tcPr>
            <w:shd w:val="clear" w:fill="F4F6F8"/>
          </w:tcPr>
          <w:p>
            <w:pPr>
              <w:spacing w:after="0"/>
            </w:pPr>
            <w:r>
              <w:rPr>
                <w:sz w:val="17"/>
              </w:rPr>
              <w:t xml:space="preserve">Petroglyph Development Group /</w:t>
            </w:r>
          </w:p>
        </w:tc>
        <w:tc>
          <w:tcPr>
            <w:shd w:val="clear" w:fill="F4F6F8"/>
          </w:tcPr>
          <w:p>
            <w:pPr>
              <w:spacing w:after="0"/>
            </w:pPr>
            <w:r>
              <w:rPr>
                <w:sz w:val="17"/>
              </w:rPr>
              <w:t xml:space="preserve">BC</w:t>
            </w:r>
          </w:p>
        </w:tc>
        <w:tc>
          <w:tcPr>
            <w:shd w:val="clear" w:fill="F4F6F8"/>
          </w:tcPr>
          <w:p>
            <w:pPr>
              <w:spacing w:after="0"/>
              <w:jc w:val="right"/>
            </w:pPr>
            <w:r>
              <w:rPr>
                <w:sz w:val="17"/>
              </w:rPr>
              <w:t xml:space="preserve"/>
            </w:r>
          </w:p>
        </w:tc>
        <w:tc>
          <w:tcPr>
            <w:shd w:val="clear" w:fill="F4F6F8"/>
          </w:tcPr>
          <w:p>
            <w:pPr>
              <w:spacing w:after="0"/>
            </w:pPr>
            <w:r>
              <w:rPr>
                <w:sz w:val="17"/>
              </w:rPr>
              <w:t xml:space="preserve">MONITOR. sxwayxwum is a culturally significant returned land site — the redevelopment programming will be driv</w:t>
            </w:r>
          </w:p>
        </w:tc>
      </w:tr>
      <w:tr>
        <w:tc>
          <w:p>
            <w:pPr>
              <w:spacing w:after="0"/>
              <w:jc w:val="right"/>
            </w:pPr>
            <w:r>
              <w:rPr>
                <w:sz w:val="17"/>
              </w:rPr>
              <w:t xml:space="preserve">4848</w:t>
            </w:r>
          </w:p>
        </w:tc>
        <w:tc>
          <w:p>
            <w:pPr>
              <w:spacing w:after="0"/>
            </w:pPr>
            <w:r>
              <w:rPr>
                <w:sz w:val="17"/>
              </w:rPr>
              <w:t xml:space="preserve">Tseshaht Economic Park (Highway 4)</w:t>
            </w:r>
          </w:p>
        </w:tc>
        <w:tc>
          <w:p>
            <w:pPr>
              <w:spacing w:after="0"/>
            </w:pPr>
            <w:r>
              <w:rPr>
                <w:sz w:val="17"/>
              </w:rPr>
              <w:t xml:space="preserve">Tseshaht First Nation</w:t>
            </w:r>
          </w:p>
        </w:tc>
        <w:tc>
          <w:p>
            <w:pPr>
              <w:spacing w:after="0"/>
            </w:pPr>
            <w:r>
              <w:rPr>
                <w:sz w:val="17"/>
              </w:rPr>
              <w:t xml:space="preserve">BC</w:t>
            </w:r>
          </w:p>
        </w:tc>
        <w:tc>
          <w:p>
            <w:pPr>
              <w:spacing w:after="0"/>
              <w:jc w:val="right"/>
            </w:pPr>
            <w:r>
              <w:rPr>
                <w:sz w:val="17"/>
              </w:rPr>
              <w:t xml:space="preserve"/>
            </w:r>
          </w:p>
        </w:tc>
        <w:tc>
          <w:p>
            <w:pPr>
              <w:spacing w:after="0"/>
            </w:pPr>
            <w:r>
              <w:rPr>
                <w:sz w:val="17"/>
              </w:rPr>
              <w:t xml:space="preserve">MONITOR. Tseshaht Economic Park follows the Nation-owned commercial lease park model — structural opportunitie</w:t>
            </w:r>
          </w:p>
        </w:tc>
      </w:tr>
    </w:tbl>
    <w:p>
      <w:r>
        <w:t xml:space="preserve"/>
      </w:r>
    </w:p>
    <w:p>
      <w:pPr>
        <w:pStyle w:val="Heading2"/>
      </w:pPr>
      <w:r>
        <w:t xml:space="preserve">MARKET SIGNALS</w:t>
      </w:r>
    </w:p>
    <w:p>
      <w:r>
        <w:rPr>
          <w:b/>
        </w:rPr>
        <w:t xml:space="preserve">• KOR_OPPORTUNITY: </w:t>
      </w:r>
      <w:r>
        <w:t xml:space="preserve">Gwaii Engineering — Live teaming triggers - KOR pursuits on Gwaii-client land — KOR active pursuits whose owners are Gwaii incumbent clients: Duncan River's Edge (Cowichan Tribes + BC Housing), Saanichton Tsawout First Nation (7593 Tetayut), Vancouver Island BC Housing (Nanaimo/Saanich/Campbell River), Penticton Skaha Assembly Redevelopment (PURSUE_URGENT). These are the immediate, named teaming triggers - lead outreach with one of them.</w:t>
      </w:r>
    </w:p>
    <w:p>
      <w:r>
        <w:rPr>
          <w:b/>
        </w:rPr>
        <w:t xml:space="preserve">• KOR_OPPORTUNITY: </w:t>
      </w:r>
      <w:r>
        <w:t xml:space="preserve">Gwaii Engineering — Indigenous-owned civil incumbent - teaming unlocks CCAB credit on First Nations + BC Housing work — Gwaii is the incumbent civil engineer for 25+ First Nations and BC Housing across coastal BC. A KOR structural + Gwaii civil team gains Indigenous-participation scoring on public RFQs and warm access to Gwaii's client relationships. No KOR-Gwaii contractual history in Deltek - this is net-new teaming, not a renewal.</w:t>
      </w:r>
    </w:p>
    <w:p>
      <w:r>
        <w:rPr>
          <w:b/>
        </w:rPr>
        <w:t xml:space="preserve">• LeadershipChange: </w:t>
      </w:r>
      <w:r>
        <w:t xml:space="preserve">hcma architecture + design — Three new principals appointed: Aiden Callison, Ali Kenyon, Darin Harding — hcma expanded its partnership group in February 2025 with three promotions. Callison leads Indigenous design work; Kenyon leads public space and community buildings; Harding leads Alberta/Calgary office work. All three are fresh principals with no locked structural incumbent — KOR entry points.</w:t>
      </w:r>
    </w:p>
    <w:p>
      <w:r>
        <w:rPr>
          <w:b/>
        </w:rPr>
        <w:t xml:space="preserve">• LeadershipChange: </w:t>
      </w:r>
      <w:r>
        <w:t xml:space="preserve">Boniface Oleksiuk Politano Architects — New hire: Director of Operations &amp; Strategy (Ashleigh Lowe) joined BOP — A Director of Operations &amp; Strategy role was filled at BOP Architects, with the incoming hire announcing via LinkedIn: 'I'm thrilled to share that I've joined BOP Architects as Director of Operations and Strategy.' SignalHire also lists 'Ashleigh Lowe — Director of Operations &amp; Strategy' at BOP. This is a new, senior non-principal hire representing a meaningful step in firm maturation</w:t>
      </w:r>
    </w:p>
    <w:p>
      <w:r>
        <w:rPr>
          <w:b/>
        </w:rPr>
        <w:t xml:space="preserve">• LeadershipChange: </w:t>
      </w:r>
      <w:r>
        <w:t xml:space="preserve">Boniface Oleksiuk Politano Architects — CORRECTIVE: Alan Boniface confirmed still Principal at BOP — prior departure flag was incorrect — Previous CURRENT_KNOWLEDGE marked Alan Boniface as isCurrent: false (departed). SignalHire (updated 2025-05-07) and LinkedIn both confirm he remains Principal at BOP Architects. His email alan@bop.ca is active. The departure flag should be cleared. He continues to post publicly under 'Principal at BOP Architects' on LinkedIn and is reposted by the firm's offic</w:t>
      </w:r>
    </w:p>
    <w:p>
      <w:r>
        <w:rPr>
          <w:b/>
        </w:rPr>
        <w:t xml:space="preserve">• LeadershipChange: </w:t>
      </w:r>
      <w:r>
        <w:t xml:space="preserve">Boniface Oleksiuk Politano Architects — Principal, Architect AIBC departure: Alan Boniface — CORRECTION — prior knowledge flagged as departed (isCurrent: false); multiple independent sources confirm Alan Boniface remains Principal at BOP Architects as of mid-2025. Past managing partner of DIALOG Vancouver; former Chair ULI Vancouver and Vancouver City Planning Commission. Senior industry figure and developer-relationship principal. KOR senior leadership contact target.</w:t>
      </w:r>
    </w:p>
    <w:p>
      <w:r>
        <w:rPr>
          <w:b/>
        </w:rPr>
        <w:t xml:space="preserve">• LeadershipChange: </w:t>
      </w:r>
      <w:r>
        <w:t xml:space="preserve">Revery Architecture Inc. (formerly Bing Thom Architects) — Skylarr Amari hired as Marketing Lead — first dedicated marketing role confirmed — ZoomInfo shows Skylarr Amari joined Revery as Marketing Lead on October 1, 2025. This is the first confirmed dedicated marketing hire visible in public data, suggesting the firm is formalizing BD and RFP processes. This person is now a relevant gatekeeper for SE firms seeking to be included on proposal teams.</w:t>
      </w:r>
    </w:p>
    <w:p>
      <w:r>
        <w:rPr>
          <w:b/>
        </w:rPr>
        <w:t xml:space="preserve">• LeadershipChange: </w:t>
      </w:r>
      <w:r>
        <w:t xml:space="preserve">Workun Garrick Partnership — Tristan Hawryluk elevated to Partner in 2018 — confirmed still current — Hawryluk was announced as Partner in 2018 after 11 years as an Associate. He is confirmed as a current partner on the firm website People page alongside MacGregor and Rabinovitch as of June 2026. He holds LEED AP BD+C credentials, making him relevant for sustainability-forward school and community projects.</w:t>
      </w:r>
    </w:p>
    <w:p>
      <w:r>
        <w:rPr>
          <w:b/>
        </w:rPr>
        <w:t xml:space="preserve">• LeadershipChange: </w:t>
      </w:r>
      <w:r>
        <w:t xml:space="preserve">Workun Garrick Partnership — CORRECTION — Dave Christie retired 2013; NOT a current principal — Prior knowledge listed Dave Christie as a current co-principal. The firm's own About page confirms Christie retired in 2013, leaving MacGregor and Rabinovitch as sole directors at that time. Christie should be removed from current decision-maker lists. Current leadership is MacGregor, Rabinovitch, and Hawryluk (3 partners).</w:t>
      </w:r>
    </w:p>
    <w:p>
      <w:r>
        <w:rPr>
          <w:b/>
        </w:rPr>
        <w:t xml:space="preserve">• SE_OPEN: </w:t>
      </w:r>
      <w:r>
        <w:t xml:space="preserve">Revery Architecture Inc. (formerly Bing Thom Architects) — Fast+Epp confirmed on special/civic structures: PNE Amphitheatre + Oakridge Park — Fast+Epp SE on: (1) PNE Amphitheatre — mass timber roof, $184M project, construction ongoing; (2) Oakridge Park — community/civic component, opened May 28, 2026. Fast+Epp is used exclusively on Revery's non-high-rise structural challenges. The SE pattern is clearly bifurcated: Glotman for high-rise residential, Fast+Epp for special/civic.</w:t>
      </w:r>
    </w:p>
    <w:p>
      <w:r>
        <w:rPr>
          <w:b/>
        </w:rPr>
        <w:t xml:space="preserve">• SE_SOFT: </w:t>
      </w:r>
      <w:r>
        <w:t xml:space="preserve">Revery Architecture Inc. (formerly Bing Thom Architects) — Glotman Simpson confirmed on both high-rise residential projects: Sen̓áḵw + The Butterfly — Glotman Simpson is SE on: (1) Sen̓áḵw — 11-tower, 6,000-unit, 4M SF, Indigenous-led masterplan (tallest 58 storeys), Squamish Nation + Westbank, under construction in phases; (2) The Butterfly — 57-storey luxury condo + First Baptist Church heritage integration, Westbank developer, Icon West contractor. Glotman's dominance on Revery's two major hi</w:t>
      </w:r>
    </w:p>
    <w:p>
      <w:r>
        <w:rPr>
          <w:b/>
        </w:rPr>
        <w:t xml:space="preserve">• LeadershipChange: </w:t>
      </w:r>
      <w:r>
        <w:t xml:space="preserve">Arts, Culture and Status of Women — Deputy Minister Kim Capstick departs ACSW for Indigenous Pipeline Engagement role — June 2026 — Kim Capstick, who served as ACSW's Deputy Minister since the ministry's creation in June 2023, was reassigned in June 2026 to become Deputy Minister Responsible for Indigenous Pipeline Engagement. A new DM (first name Heather, surname not yet publicly confirmed) was appointed in her place, with nearly 25 years of public service and a prior stint as DM of Culture. Th</w:t>
      </w:r>
    </w:p>
    <w:p>
      <w:r>
        <w:rPr>
          <w:b/>
        </w:rPr>
        <w:t xml:space="preserve">• LeadershipChange: </w:t>
      </w:r>
      <w:r>
        <w:t xml:space="preserve">Arts, Culture and Status of Women — Former Deputy Minister, Arts, Culture and Status of Women (now DM, Indigenous Pipeline Engagement) departure: Kim Capstick — Departed ACSW in June 2026 after serving as DM since June 2023. Was the key bureaucratic lead overseeing provincial capital investments in cultural infrastructure. Her departure is a relationship reset point for KOR. Now at Indigenous Relations.</w:t>
      </w:r>
    </w:p>
    <w:p>
      <w:r>
        <w:rPr>
          <w:b/>
        </w:rPr>
        <w:t xml:space="preserve">• LeadershipChange: </w:t>
      </w:r>
      <w:r>
        <w:t xml:space="preserve">MST Development Corporation (Musqueam, Squamish, Tsleil-Waututh) — CEO, MST Development Corporation departure: David Negrin — Former President of Aquilini Development. CEO of MST since 2016. Brings major Vancouver developer network to a First Nations-owned platform.</w:t>
      </w:r>
    </w:p>
    <w:p>
      <w:r>
        <w:rPr>
          <w:b/>
        </w:rPr>
        <w:t xml:space="preserve">• LeadershipChange: </w:t>
      </w:r>
      <w:r>
        <w:t xml:space="preserve">Skeena Resources Ltd. — SVP Environment and Social Affairs departure: Nalaine Morin — Former Lands Director, Tahltan Central Government. Key for Indigenous partnership and permitting. On Board of Directors.</w:t>
      </w:r>
    </w:p>
    <w:p>
      <w:r>
        <w:rPr>
          <w:b/>
        </w:rPr>
        <w:t xml:space="preserve">• LeadershipChange: </w:t>
      </w:r>
      <w:r>
        <w:t xml:space="preserve">North Island College (NIC) — Vice President (from June 2026) departure: Kelly Shopland — New VP from June 22. Former executive director Indigenous education. May influence future Indigenous student housing or facilities.</w:t>
      </w:r>
    </w:p>
    <w:p>
      <w:r>
        <w:rPr>
          <w:b/>
        </w:rPr>
        <w:t xml:space="preserve">• LeadershipChange: </w:t>
      </w:r>
      <w:r>
        <w:t xml:space="preserve">HESQUIAHT FIRST NATION — Special election Aug 12, 2026 to fill vacant positions — Hesquiaht First Nation has a special election scheduled for Aug 12, 2026 (nomination meeting June 28, 2026) to fill vacant Chief and Councillor positions. Current Chief Mariah Charleson's status post-election is uncertain.</w:t>
      </w:r>
    </w:p>
    <w:p>
      <w:r>
        <w:rPr>
          <w:b/>
        </w:rPr>
        <w:t xml:space="preserve">• LeadershipChange: </w:t>
      </w:r>
      <w:r>
        <w:t xml:space="preserve">Songhees Nation — Chief Ron Sam re-elected; new council sworn in June 2025 — Chief and five Councillors elected under First Nations Elections Act to four-year terms. Swearing-in June 25, 2025.</w:t>
      </w:r>
    </w:p>
    <w:p>
      <w:r>
        <w:rPr>
          <w:b/>
        </w:rPr>
        <w:t xml:space="preserve">• LeadershipChange: </w:t>
      </w:r>
      <w:r>
        <w:t xml:space="preserve">Hariri Pontarini Architects — Michael Attard promoted to Partner at HPA — CONFIRMED — October 2025 DCN and Canadian Architect announcements confirm Attard's promotion to Partner alongside Doron Meinhard. Both bring nearly two decades of HPA experience. Attard is the key BC-facing partner (Mayfair West, 1166 West Pender).</w:t>
      </w:r>
    </w:p>
    <w:p>
      <w:r>
        <w:rPr>
          <w:b/>
        </w:rPr>
        <w:t xml:space="preserve">• LeadershipChange: </w:t>
      </w:r>
      <w:r>
        <w:t xml:space="preserve">Hariri Pontarini Architects — Doron Meinhard promoted to Partner at HPA — HPA announced Doron Meinhard and Michael Attard as new partners in October 2025. Meinhard brings 25 years of experience and focuses on institutional and cultural projects. He was a key team member on the SFU Gibson Art Museum (Burnaby, completed 2025) and was public spokesperson for the Ontario Science Centre shortlisting.</w:t>
      </w:r>
    </w:p>
    <w:p>
      <w:r>
        <w:rPr>
          <w:b/>
        </w:rPr>
        <w:t xml:space="preserve">• LeadershipChange: </w:t>
      </w:r>
      <w:r>
        <w:t xml:space="preserve">Hariri Pontarini Architects — Director, Office Lead — Arcadis (formerly IBI) departure: Anita Leonoff — Arcadis (formerly IBI) is AOR alongside HPA on Mayfair West. Leonoff runs the Vancouver office. AOR must coordinate with SE for permit drawings — influence but not final vote on SE selection. Useful warm-up call before approaching Grosvenor.</w:t>
      </w:r>
    </w:p>
    <w:p>
      <w:r>
        <w:rPr>
          <w:b/>
        </w:rPr>
        <w:t xml:space="preserve">• LeadershipChange: </w:t>
      </w:r>
      <w:r>
        <w:t xml:space="preserve">D Akers Property Solutions — Unnamed Pacific Modular executive departed to focus on Indigenous community consulting — A former Pacific Modular team member posted publicly on LinkedIn announcing departure from Pacific Modular to pivot to Indigenous economic development consulting. Post explicitly names Dan Akers and Cory Handyside as the remaining owners and founders. This may reduce Pacific Modular's business development capacity but does not affect Akers Property Solutions' leadership.</w:t>
      </w:r>
    </w:p>
    <w:p>
      <w:r>
        <w:rPr>
          <w:b/>
        </w:rPr>
        <w:t xml:space="preserve">• LeadershipChange: </w:t>
      </w:r>
      <w:r>
        <w:t xml:space="preserve">Checkwitch Poiron Architects Inc. — Architect AIBC, Principal departure: David Poiron — Co-founder. Architect AIBC. M.Arch with RAIC Gold Medal, University of Manitoba 1997. Based primarily in Nanaimo. Former faculty at Vancouver Island University Interior Design program (2001–2014). Established David Poiron Architect Inc. in 2002 before forming CPA in 2012. Firm general email: contact@cparch.ca; Nanaimo office: +1.250.714.1963.</w:t>
      </w:r>
    </w:p>
    <w:p>
      <w:r>
        <w:rPr>
          <w:b/>
        </w:rPr>
        <w:t xml:space="preserve">• LeadershipChange: </w:t>
      </w:r>
      <w:r>
        <w:t xml:space="preserve">Ministry of Environment and ParksProcurement Services Branch — Tamara Davidson replaces George Heyman as Minister — Tamara Davidson was appointed Minister of Environment and Parks on November 18, 2024, succeeding George Heyman who held the role from 2017. Davidson is a first-term MLA with an Indigenous stewardship and federal land-management background rather than an engineering or urban infrastructure background. This is a meaningful relationship-reset for engineering consultants who had cultiv</w:t>
      </w:r>
    </w:p>
    <w:p>
      <w:r>
        <w:rPr>
          <w:b/>
        </w:rPr>
        <w:t xml:space="preserve">• SE_OPEN: </w:t>
      </w:r>
      <w:r>
        <w:t xml:space="preserve">McFarland Marceau Architects — No SE relationships found in public sources — SE_OPEN confirmed — No structural engineer credits identified in any public source for MMAL projects. Firm specializes in institutional, recreational, educational, and Indigenous cultural facilities — SE selection for these projects varies widely (wood structures may use Fast+Epp; concrete civic may use other SEs). GAP REMAINS OPEN — tried: mmal.ca projects page, ConstructConnect (no free data), ZoomInfo (403). 7-person</w:t>
      </w:r>
    </w:p>
    <w:p>
      <w:r>
        <w:rPr>
          <w:b/>
        </w:rPr>
        <w:t xml:space="preserve">• SE_OPEN: </w:t>
      </w:r>
      <w:r>
        <w:t xml:space="preserve">Boniface Oleksiuk Politano Architects — Dialog/HBBH alumni — no external SE incumbent relationship from prior firms — Alan Boniface and Adrian Politano previously at DIALOG (which has in-house structural engineering via DIALOG Engineering). DIALOG projects wouldn't have established external SE relationships. Shane Oleksiuk from HBBH. BOP's SE selection from 2019 onward is effectively being built from scratch — no inherited SE incumbent. First KOR contact has maximum impact.</w:t>
      </w:r>
    </w:p>
    <w:p>
      <w:r>
        <w:rPr>
          <w:b/>
        </w:rPr>
        <w:t xml:space="preserve">• SE_OPEN: </w:t>
      </w:r>
      <w:r>
        <w:t xml:space="preserve">Boniface Oleksiuk Politano Architects — No SE relationships confirmed — SE_OPEN genuinely — BOP Architects founded 2019. Principals came from Dialog (which has in-house structural DIALOG Engineering — no external SE relationship to carry forward) and HBBH. No external SE credits found on BOP-specific projects in public sources. GAP REMAINS OPEN — tried: bop.ca projects page, changingcitybook, vancouvermarket, constructconnect. Firm is new enough that SE relationships are still being established.</w:t>
      </w:r>
    </w:p>
    <w:p>
      <w:r>
        <w:rPr>
          <w:b/>
        </w:rPr>
        <w:t xml:space="preserve">• SE_OPEN: </w:t>
      </w:r>
      <w:r>
        <w:t xml:space="preserve">GBL Architects — Fast+Epp confirmed as SE on Chief Leonard George Building (mass timber, Passive House) — Chief Leonard George Building: non-market residential + daycare, Passive House + mass timber. Fast+Epp as SE. 2025 AFBC Innovation Award, 2026 ASHRAE BC Technology Award. GBL uses Fast+Epp for sustainability/mass-timber projects, Glotman for market high-rise. Two-SE pattern = SE_OPEN.</w:t>
      </w:r>
    </w:p>
    <w:p>
      <w:r>
        <w:rPr>
          <w:b/>
        </w:rPr>
        <w:t xml:space="preserve">• SE_OPEN: </w:t>
      </w:r>
      <w:r>
        <w:t xml:space="preserve">GBL Architects — Glotman Simpson confirmed as SE on 8X On The Park (35-storey, Brenhill) — 8X On The Park, 35-storey mixed-use (market + rental + retail) in Yaletown, Brenhill Developments. SE: Glotman Simpson. Project completed after decade-long design process. LEED Gold. This shows GBL uses Glotman on market high-rise residential.</w:t>
      </w:r>
    </w:p>
    <w:p>
      <w:r>
        <w:rPr>
          <w:b/>
        </w:rPr>
        <w:t xml:space="preserve">• LeadershipChange: </w:t>
      </w:r>
      <w:r>
        <w:t xml:space="preserve">K'ómoks Economic Development Corporation — New CEO (Jan 2025) and CAO (Mar 2025) — leadership renewal at KEDC and K'ómoks FN — Both the CEO of the economic development corporation and the CAO of K'ómoks First Nation were new appointments in early 2025. Leadership renewal may drive expanded development ambitions on K'ómoks lands in the Comox Valley.</w:t>
      </w:r>
    </w:p>
    <w:p>
      <w:pPr>
        <w:pStyle w:val="Heading2"/>
      </w:pPr>
      <w:r>
        <w:t xml:space="preserve">DISCOVER — Pre-procurement relationship-build</w:t>
      </w:r>
    </w:p>
    <w:tbl>
      <w:tblPr>
        <w:tblW w:w="5000" w:type="pct"/>
        <w:tblBorders>
          <w:top w:val="single" w:color="D5DAE0" w:sz="4"/>
          <w:left w:val="single" w:color="D5DAE0" w:sz="4"/>
          <w:bottom w:val="single" w:color="D5DAE0" w:sz="4"/>
          <w:right w:val="single" w:color="D5DAE0" w:sz="4"/>
          <w:insideH w:val="single" w:color="D5DAE0" w:sz="4"/>
          <w:insideV w:val="single" w:color="D5DAE0" w:sz="4"/>
        </w:tblBorders>
      </w:tblPr>
      <w:tblGrid>
        <w:gridCol/>
        <w:gridCol/>
        <w:gridCol/>
        <w:gridCol/>
        <w:gridCol/>
      </w:tblGrid>
      <w:tr>
        <w:tc>
          <w:tcPr>
            <w:shd w:val="clear" w:fill="3F5364"/>
          </w:tcPr>
          <w:p>
            <w:pPr>
              <w:spacing w:after="0"/>
              <w:jc w:val="right"/>
            </w:pPr>
            <w:r>
              <w:rPr>
                <w:b/>
                <w:color w:val="FFFFFF"/>
                <w:sz w:val="17"/>
              </w:rPr>
              <w:t xml:space="preserve">Id</w:t>
            </w:r>
          </w:p>
        </w:tc>
        <w:tc>
          <w:tcPr>
            <w:shd w:val="clear" w:fill="3F5364"/>
          </w:tcPr>
          <w:p>
            <w:pPr>
              <w:spacing w:after="0"/>
            </w:pPr>
            <w:r>
              <w:rPr>
                <w:b/>
                <w:color w:val="FFFFFF"/>
                <w:sz w:val="17"/>
              </w:rPr>
              <w:t xml:space="preserve">Project</w:t>
            </w:r>
          </w:p>
        </w:tc>
        <w:tc>
          <w:tcPr>
            <w:shd w:val="clear" w:fill="3F5364"/>
          </w:tcPr>
          <w:p>
            <w:pPr>
              <w:spacing w:after="0"/>
            </w:pPr>
            <w:r>
              <w:rPr>
                <w:b/>
                <w:color w:val="FFFFFF"/>
                <w:sz w:val="17"/>
              </w:rPr>
              <w:t xml:space="preserve">Proponent</w:t>
            </w:r>
          </w:p>
        </w:tc>
        <w:tc>
          <w:tcPr>
            <w:shd w:val="clear" w:fill="3F5364"/>
          </w:tcPr>
          <w:p>
            <w:pPr>
              <w:spacing w:after="0"/>
            </w:pPr>
            <w:r>
              <w:rPr>
                <w:b/>
                <w:color w:val="FFFFFF"/>
                <w:sz w:val="17"/>
              </w:rPr>
              <w:t xml:space="preserve">Province</w:t>
            </w:r>
          </w:p>
        </w:tc>
        <w:tc>
          <w:tcPr>
            <w:shd w:val="clear" w:fill="3F5364"/>
          </w:tcPr>
          <w:p>
            <w:pPr>
              <w:spacing w:after="0"/>
              <w:jc w:val="right"/>
            </w:pPr>
            <w:r>
              <w:rPr>
                <w:b/>
                <w:color w:val="FFFFFF"/>
                <w:sz w:val="17"/>
              </w:rPr>
              <w:t xml:space="preserve">Cost</w:t>
            </w:r>
          </w:p>
        </w:tc>
      </w:tr>
      <w:tr>
        <w:tc>
          <w:p>
            <w:pPr>
              <w:spacing w:after="0"/>
              <w:jc w:val="right"/>
            </w:pPr>
            <w:r>
              <w:rPr>
                <w:sz w:val="17"/>
              </w:rPr>
              <w:t xml:space="preserve">3221</w:t>
            </w:r>
          </w:p>
        </w:tc>
        <w:tc>
          <w:p>
            <w:pPr>
              <w:spacing w:after="0"/>
            </w:pPr>
            <w:r>
              <w:rPr>
                <w:sz w:val="17"/>
              </w:rPr>
              <w:t xml:space="preserve">Heather Lands</w:t>
            </w:r>
          </w:p>
        </w:tc>
        <w:tc>
          <w:p>
            <w:pPr>
              <w:spacing w:after="0"/>
            </w:pPr>
            <w:r>
              <w:rPr>
                <w:sz w:val="17"/>
              </w:rPr>
              <w:t xml:space="preserve">MST Development Corporation + </w:t>
            </w:r>
          </w:p>
        </w:tc>
        <w:tc>
          <w:p>
            <w:pPr>
              <w:spacing w:after="0"/>
            </w:pPr>
            <w:r>
              <w:rPr>
                <w:sz w:val="17"/>
              </w:rPr>
              <w:t xml:space="preserve">BC</w:t>
            </w:r>
          </w:p>
        </w:tc>
        <w:tc>
          <w:p>
            <w:pPr>
              <w:spacing w:after="0"/>
              <w:jc w:val="right"/>
            </w:pPr>
            <w:r>
              <w:rPr>
                <w:sz w:val="17"/>
              </w:rPr>
              <w:t xml:space="preserve"/>
            </w:r>
          </w:p>
        </w:tc>
      </w:tr>
      <w:tr>
        <w:tc>
          <w:tcPr>
            <w:shd w:val="clear" w:fill="F4F6F8"/>
          </w:tcPr>
          <w:p>
            <w:pPr>
              <w:spacing w:after="0"/>
              <w:jc w:val="right"/>
            </w:pPr>
            <w:r>
              <w:rPr>
                <w:sz w:val="17"/>
              </w:rPr>
              <w:t xml:space="preserve">3220</w:t>
            </w:r>
          </w:p>
        </w:tc>
        <w:tc>
          <w:tcPr>
            <w:shd w:val="clear" w:fill="F4F6F8"/>
          </w:tcPr>
          <w:p>
            <w:pPr>
              <w:spacing w:after="0"/>
            </w:pPr>
            <w:r>
              <w:rPr>
                <w:sz w:val="17"/>
              </w:rPr>
              <w:t xml:space="preserve">Jericho Lands (ʔəy̓alməxʷ/Iy̓álmexw)</w:t>
            </w:r>
          </w:p>
        </w:tc>
        <w:tc>
          <w:tcPr>
            <w:shd w:val="clear" w:fill="F4F6F8"/>
          </w:tcPr>
          <w:p>
            <w:pPr>
              <w:spacing w:after="0"/>
            </w:pPr>
            <w:r>
              <w:rPr>
                <w:sz w:val="17"/>
              </w:rPr>
              <w:t xml:space="preserve">MST Development Corporation + </w:t>
            </w:r>
          </w:p>
        </w:tc>
        <w:tc>
          <w:tcPr>
            <w:shd w:val="clear" w:fill="F4F6F8"/>
          </w:tcPr>
          <w:p>
            <w:pPr>
              <w:spacing w:after="0"/>
            </w:pPr>
            <w:r>
              <w:rPr>
                <w:sz w:val="17"/>
              </w:rPr>
              <w:t xml:space="preserve">BC</w:t>
            </w:r>
          </w:p>
        </w:tc>
        <w:tc>
          <w:tcPr>
            <w:shd w:val="clear" w:fill="F4F6F8"/>
          </w:tcPr>
          <w:p>
            <w:pPr>
              <w:spacing w:after="0"/>
              <w:jc w:val="right"/>
            </w:pPr>
            <w:r>
              <w:rPr>
                <w:sz w:val="17"/>
              </w:rPr>
              <w:t xml:space="preserve"/>
            </w:r>
          </w:p>
        </w:tc>
      </w:tr>
      <w:tr>
        <w:tc>
          <w:p>
            <w:pPr>
              <w:spacing w:after="0"/>
              <w:jc w:val="right"/>
            </w:pPr>
            <w:r>
              <w:rPr>
                <w:sz w:val="17"/>
              </w:rPr>
              <w:t xml:space="preserve">6911</w:t>
            </w:r>
          </w:p>
        </w:tc>
        <w:tc>
          <w:p>
            <w:pPr>
              <w:spacing w:after="0"/>
            </w:pPr>
            <w:r>
              <w:rPr>
                <w:sz w:val="17"/>
              </w:rPr>
              <w:t xml:space="preserve">Jericho Lands Phase 1 — ʔəy̓alməxʷ/Iy̓álmexw/Jericho Lands (</w:t>
            </w:r>
          </w:p>
        </w:tc>
        <w:tc>
          <w:p>
            <w:pPr>
              <w:spacing w:after="0"/>
            </w:pPr>
            <w:r>
              <w:rPr>
                <w:sz w:val="17"/>
              </w:rPr>
              <w:t xml:space="preserve">MST Partnership (Musqueam, Squ</w:t>
            </w:r>
          </w:p>
        </w:tc>
        <w:tc>
          <w:p>
            <w:pPr>
              <w:spacing w:after="0"/>
            </w:pPr>
            <w:r>
              <w:rPr>
                <w:sz w:val="17"/>
              </w:rPr>
              <w:t xml:space="preserve">BC</w:t>
            </w:r>
          </w:p>
        </w:tc>
        <w:tc>
          <w:p>
            <w:pPr>
              <w:spacing w:after="0"/>
              <w:jc w:val="right"/>
            </w:pPr>
            <w:r>
              <w:rPr>
                <w:sz w:val="17"/>
              </w:rPr>
              <w:t xml:space="preserve">Multi-billion over 25-year build-out; Phase 1 cost not yet disclosed</w:t>
            </w:r>
          </w:p>
        </w:tc>
      </w:tr>
      <w:tr>
        <w:tc>
          <w:tcPr>
            <w:shd w:val="clear" w:fill="F4F6F8"/>
          </w:tcPr>
          <w:p>
            <w:pPr>
              <w:spacing w:after="0"/>
              <w:jc w:val="right"/>
            </w:pPr>
            <w:r>
              <w:rPr>
                <w:sz w:val="17"/>
              </w:rPr>
              <w:t xml:space="preserve">4876</w:t>
            </w:r>
          </w:p>
        </w:tc>
        <w:tc>
          <w:tcPr>
            <w:shd w:val="clear" w:fill="F4F6F8"/>
          </w:tcPr>
          <w:p>
            <w:pPr>
              <w:spacing w:after="0"/>
            </w:pPr>
            <w:r>
              <w:rPr>
                <w:sz w:val="17"/>
              </w:rPr>
              <w:t xml:space="preserve">leləm̓ Block F Towers (5 Towers, 22–34 Storeys)</w:t>
            </w:r>
          </w:p>
        </w:tc>
        <w:tc>
          <w:tcPr>
            <w:shd w:val="clear" w:fill="F4F6F8"/>
          </w:tcPr>
          <w:p>
            <w:pPr>
              <w:spacing w:after="0"/>
            </w:pPr>
            <w:r>
              <w:rPr>
                <w:sz w:val="17"/>
              </w:rPr>
              <w:t xml:space="preserve">Musqueam Capital Corporation /</w:t>
            </w:r>
          </w:p>
        </w:tc>
        <w:tc>
          <w:tcPr>
            <w:shd w:val="clear" w:fill="F4F6F8"/>
          </w:tcPr>
          <w:p>
            <w:pPr>
              <w:spacing w:after="0"/>
            </w:pPr>
            <w:r>
              <w:rPr>
                <w:sz w:val="17"/>
              </w:rPr>
              <w:t xml:space="preserve">BC</w:t>
            </w:r>
          </w:p>
        </w:tc>
        <w:tc>
          <w:tcPr>
            <w:shd w:val="clear" w:fill="F4F6F8"/>
          </w:tcPr>
          <w:p>
            <w:pPr>
              <w:spacing w:after="0"/>
              <w:jc w:val="right"/>
            </w:pPr>
            <w:r>
              <w:rPr>
                <w:sz w:val="17"/>
              </w:rPr>
              <w:t xml:space="preserve"/>
            </w:r>
          </w:p>
        </w:tc>
      </w:tr>
      <w:tr>
        <w:tc>
          <w:p>
            <w:pPr>
              <w:spacing w:after="0"/>
              <w:jc w:val="right"/>
            </w:pPr>
            <w:r>
              <w:rPr>
                <w:sz w:val="17"/>
              </w:rPr>
              <w:t xml:space="preserve">3223</w:t>
            </w:r>
          </w:p>
        </w:tc>
        <w:tc>
          <w:p>
            <w:pPr>
              <w:spacing w:after="0"/>
            </w:pPr>
            <w:r>
              <w:rPr>
                <w:sz w:val="17"/>
              </w:rPr>
              <w:t xml:space="preserve">Liquor Distribution Branch (LDB) Site</w:t>
            </w:r>
          </w:p>
        </w:tc>
        <w:tc>
          <w:p>
            <w:pPr>
              <w:spacing w:after="0"/>
            </w:pPr>
            <w:r>
              <w:rPr>
                <w:sz w:val="17"/>
              </w:rPr>
              <w:t xml:space="preserve">MST Development Corporation + </w:t>
            </w:r>
          </w:p>
        </w:tc>
        <w:tc>
          <w:p>
            <w:pPr>
              <w:spacing w:after="0"/>
            </w:pPr>
            <w:r>
              <w:rPr>
                <w:sz w:val="17"/>
              </w:rPr>
              <w:t xml:space="preserve">BC</w:t>
            </w:r>
          </w:p>
        </w:tc>
        <w:tc>
          <w:p>
            <w:pPr>
              <w:spacing w:after="0"/>
              <w:jc w:val="right"/>
            </w:pPr>
            <w:r>
              <w:rPr>
                <w:sz w:val="17"/>
              </w:rPr>
              <w:t xml:space="preserve"/>
            </w:r>
          </w:p>
        </w:tc>
      </w:tr>
      <w:tr>
        <w:tc>
          <w:tcPr>
            <w:shd w:val="clear" w:fill="F4F6F8"/>
          </w:tcPr>
          <w:p>
            <w:pPr>
              <w:spacing w:after="0"/>
              <w:jc w:val="right"/>
            </w:pPr>
            <w:r>
              <w:rPr>
                <w:sz w:val="17"/>
              </w:rPr>
              <w:t xml:space="preserve">7103</w:t>
            </w:r>
          </w:p>
        </w:tc>
        <w:tc>
          <w:tcPr>
            <w:shd w:val="clear" w:fill="F4F6F8"/>
          </w:tcPr>
          <w:p>
            <w:pPr>
              <w:spacing w:after="0"/>
            </w:pPr>
            <w:r>
              <w:rPr>
                <w:sz w:val="17"/>
              </w:rPr>
              <w:t xml:space="preserve">Maskwacis Cultural College – New Campus Complex</w:t>
            </w:r>
          </w:p>
        </w:tc>
        <w:tc>
          <w:tcPr>
            <w:shd w:val="clear" w:fill="F4F6F8"/>
          </w:tcPr>
          <w:p>
            <w:pPr>
              <w:spacing w:after="0"/>
            </w:pPr>
            <w:r>
              <w:rPr>
                <w:sz w:val="17"/>
              </w:rPr>
              <w:t xml:space="preserve">Maskwacis Cultural College / M</w:t>
            </w:r>
          </w:p>
        </w:tc>
        <w:tc>
          <w:tcPr>
            <w:shd w:val="clear" w:fill="F4F6F8"/>
          </w:tcPr>
          <w:p>
            <w:pPr>
              <w:spacing w:after="0"/>
            </w:pPr>
            <w:r>
              <w:rPr>
                <w:sz w:val="17"/>
              </w:rPr>
              <w:t xml:space="preserve">AB</w:t>
            </w:r>
          </w:p>
        </w:tc>
        <w:tc>
          <w:tcPr>
            <w:shd w:val="clear" w:fill="F4F6F8"/>
          </w:tcPr>
          <w:p>
            <w:pPr>
              <w:spacing w:after="0"/>
              <w:jc w:val="right"/>
            </w:pPr>
            <w:r>
              <w:rPr>
                <w:sz w:val="17"/>
              </w:rPr>
              <w:t xml:space="preserve"/>
            </w:r>
          </w:p>
        </w:tc>
      </w:tr>
      <w:tr>
        <w:tc>
          <w:p>
            <w:pPr>
              <w:spacing w:after="0"/>
              <w:jc w:val="right"/>
            </w:pPr>
            <w:r>
              <w:rPr>
                <w:sz w:val="17"/>
              </w:rPr>
              <w:t xml:space="preserve">6909</w:t>
            </w:r>
          </w:p>
        </w:tc>
        <w:tc>
          <w:p>
            <w:pPr>
              <w:spacing w:after="0"/>
            </w:pPr>
            <w:r>
              <w:rPr>
                <w:sz w:val="17"/>
              </w:rPr>
              <w:t xml:space="preserve">Sen̓áḵw Phase 2 — Towers 4–6 (Squamish Nation / OPTrust)</w:t>
            </w:r>
          </w:p>
        </w:tc>
        <w:tc>
          <w:p>
            <w:pPr>
              <w:spacing w:after="0"/>
            </w:pPr>
            <w:r>
              <w:rPr>
                <w:sz w:val="17"/>
              </w:rPr>
              <w:t xml:space="preserve">Squamish Nation / OPTrust</w:t>
            </w:r>
          </w:p>
        </w:tc>
        <w:tc>
          <w:p>
            <w:pPr>
              <w:spacing w:after="0"/>
            </w:pPr>
            <w:r>
              <w:rPr>
                <w:sz w:val="17"/>
              </w:rPr>
              <w:t xml:space="preserve">BC</w:t>
            </w:r>
          </w:p>
        </w:tc>
        <w:tc>
          <w:p>
            <w:pPr>
              <w:spacing w:after="0"/>
              <w:jc w:val="right"/>
            </w:pPr>
            <w:r>
              <w:rPr>
                <w:sz w:val="17"/>
              </w:rPr>
              <w:t xml:space="preserve">Not publicly disclosed; Phase 1 (3 towers) suggests $500M+ per phase</w:t>
            </w:r>
          </w:p>
        </w:tc>
      </w:tr>
      <w:tr>
        <w:tc>
          <w:tcPr>
            <w:shd w:val="clear" w:fill="F4F6F8"/>
          </w:tcPr>
          <w:p>
            <w:pPr>
              <w:spacing w:after="0"/>
              <w:jc w:val="right"/>
            </w:pPr>
            <w:r>
              <w:rPr>
                <w:sz w:val="17"/>
              </w:rPr>
              <w:t xml:space="preserve">4882</w:t>
            </w:r>
          </w:p>
        </w:tc>
        <w:tc>
          <w:tcPr>
            <w:shd w:val="clear" w:fill="F4F6F8"/>
          </w:tcPr>
          <w:p>
            <w:pPr>
              <w:spacing w:after="0"/>
            </w:pPr>
            <w:r>
              <w:rPr>
                <w:sz w:val="17"/>
              </w:rPr>
              <w:t xml:space="preserve">statləw̓ District — Maplewood Innovation District (Addition </w:t>
            </w:r>
          </w:p>
        </w:tc>
        <w:tc>
          <w:tcPr>
            <w:shd w:val="clear" w:fill="F4F6F8"/>
          </w:tcPr>
          <w:p>
            <w:pPr>
              <w:spacing w:after="0"/>
            </w:pPr>
            <w:r>
              <w:rPr>
                <w:sz w:val="17"/>
              </w:rPr>
              <w:t xml:space="preserve">Tsleil-Waututh Nation</w:t>
            </w:r>
          </w:p>
        </w:tc>
        <w:tc>
          <w:tcPr>
            <w:shd w:val="clear" w:fill="F4F6F8"/>
          </w:tcPr>
          <w:p>
            <w:pPr>
              <w:spacing w:after="0"/>
            </w:pPr>
            <w:r>
              <w:rPr>
                <w:sz w:val="17"/>
              </w:rPr>
              <w:t xml:space="preserve">BC</w:t>
            </w:r>
          </w:p>
        </w:tc>
        <w:tc>
          <w:tcPr>
            <w:shd w:val="clear" w:fill="F4F6F8"/>
          </w:tcPr>
          <w:p>
            <w:pPr>
              <w:spacing w:after="0"/>
              <w:jc w:val="right"/>
            </w:pPr>
            <w:r>
              <w:rPr>
                <w:sz w:val="17"/>
              </w:rPr>
              <w:t xml:space="preserve"/>
            </w:r>
          </w:p>
        </w:tc>
      </w:tr>
      <w:tr>
        <w:tc>
          <w:p>
            <w:pPr>
              <w:spacing w:after="0"/>
              <w:jc w:val="right"/>
            </w:pPr>
            <w:r>
              <w:rPr>
                <w:sz w:val="17"/>
              </w:rPr>
              <w:t xml:space="preserve">6913</w:t>
            </w:r>
          </w:p>
        </w:tc>
        <w:tc>
          <w:p>
            <w:pPr>
              <w:spacing w:after="0"/>
            </w:pPr>
            <w:r>
              <w:rPr>
                <w:sz w:val="17"/>
              </w:rPr>
              <w:t xml:space="preserve">Statləw̓ District — Tsleil-Waututh North Shore Innovation Di</w:t>
            </w:r>
          </w:p>
        </w:tc>
        <w:tc>
          <w:p>
            <w:pPr>
              <w:spacing w:after="0"/>
            </w:pPr>
            <w:r>
              <w:rPr>
                <w:sz w:val="17"/>
              </w:rPr>
              <w:t xml:space="preserve">Tsleil-Waututh Nation</w:t>
            </w:r>
          </w:p>
        </w:tc>
        <w:tc>
          <w:p>
            <w:pPr>
              <w:spacing w:after="0"/>
            </w:pPr>
            <w:r>
              <w:rPr>
                <w:sz w:val="17"/>
              </w:rPr>
              <w:t xml:space="preserve">BC</w:t>
            </w:r>
          </w:p>
        </w:tc>
        <w:tc>
          <w:p>
            <w:pPr>
              <w:spacing w:after="0"/>
              <w:jc w:val="right"/>
            </w:pPr>
            <w:r>
              <w:rPr>
                <w:sz w:val="17"/>
              </w:rPr>
              <w:t xml:space="preserve">Not publicly disclosed; 45-acre site; ~4,500 jobs targeted by 2030</w:t>
            </w:r>
          </w:p>
        </w:tc>
      </w:tr>
      <w:tr>
        <w:tc>
          <w:tcPr>
            <w:shd w:val="clear" w:fill="F4F6F8"/>
          </w:tcPr>
          <w:p>
            <w:pPr>
              <w:spacing w:after="0"/>
              <w:jc w:val="right"/>
            </w:pPr>
            <w:r>
              <w:rPr>
                <w:sz w:val="17"/>
              </w:rPr>
              <w:t xml:space="preserve">4843</w:t>
            </w:r>
          </w:p>
        </w:tc>
        <w:tc>
          <w:tcPr>
            <w:shd w:val="clear" w:fill="F4F6F8"/>
          </w:tcPr>
          <w:p>
            <w:pPr>
              <w:spacing w:after="0"/>
            </w:pPr>
            <w:r>
              <w:rPr>
                <w:sz w:val="17"/>
              </w:rPr>
              <w:t xml:space="preserve">te'tuxwtun (Camp Nanaimo Lands) Mixed-Use Development — 102 </w:t>
            </w:r>
          </w:p>
        </w:tc>
        <w:tc>
          <w:tcPr>
            <w:shd w:val="clear" w:fill="F4F6F8"/>
          </w:tcPr>
          <w:p>
            <w:pPr>
              <w:spacing w:after="0"/>
            </w:pPr>
            <w:r>
              <w:rPr>
                <w:sz w:val="17"/>
              </w:rPr>
              <w:t xml:space="preserve">Petroglyph Development Group /</w:t>
            </w:r>
          </w:p>
        </w:tc>
        <w:tc>
          <w:tcPr>
            <w:shd w:val="clear" w:fill="F4F6F8"/>
          </w:tcPr>
          <w:p>
            <w:pPr>
              <w:spacing w:after="0"/>
            </w:pPr>
            <w:r>
              <w:rPr>
                <w:sz w:val="17"/>
              </w:rPr>
              <w:t xml:space="preserve">BC</w:t>
            </w:r>
          </w:p>
        </w:tc>
        <w:tc>
          <w:tcPr>
            <w:shd w:val="clear" w:fill="F4F6F8"/>
          </w:tcPr>
          <w:p>
            <w:pPr>
              <w:spacing w:after="0"/>
              <w:jc w:val="right"/>
            </w:pPr>
            <w:r>
              <w:rPr>
                <w:sz w:val="17"/>
              </w:rPr>
              <w:t xml:space="preserve"/>
            </w:r>
          </w:p>
        </w:tc>
      </w:tr>
      <w:tr>
        <w:tc>
          <w:p>
            <w:pPr>
              <w:spacing w:after="0"/>
              <w:jc w:val="right"/>
            </w:pPr>
            <w:r>
              <w:rPr>
                <w:sz w:val="17"/>
              </w:rPr>
              <w:t xml:space="preserve">3222</w:t>
            </w:r>
          </w:p>
        </w:tc>
        <w:tc>
          <w:p>
            <w:pPr>
              <w:spacing w:after="0"/>
            </w:pPr>
            <w:r>
              <w:rPr>
                <w:sz w:val="17"/>
              </w:rPr>
              <w:t xml:space="preserve">Willingdon Lands</w:t>
            </w:r>
          </w:p>
        </w:tc>
        <w:tc>
          <w:p>
            <w:pPr>
              <w:spacing w:after="0"/>
            </w:pPr>
            <w:r>
              <w:rPr>
                <w:sz w:val="17"/>
              </w:rPr>
              <w:t xml:space="preserve">Musqueam + Tsleil-Waututh + Aq</w:t>
            </w:r>
          </w:p>
        </w:tc>
        <w:tc>
          <w:p>
            <w:pPr>
              <w:spacing w:after="0"/>
            </w:pPr>
            <w:r>
              <w:rPr>
                <w:sz w:val="17"/>
              </w:rPr>
              <w:t xml:space="preserve">BC</w:t>
            </w:r>
          </w:p>
        </w:tc>
        <w:tc>
          <w:p>
            <w:pPr>
              <w:spacing w:after="0"/>
              <w:jc w:val="right"/>
            </w:pPr>
            <w:r>
              <w:rPr>
                <w:sz w:val="17"/>
              </w:rPr>
              <w:t xml:space="preserve"/>
            </w:r>
          </w:p>
        </w:tc>
      </w:tr>
    </w:tbl>
    <w:p>
      <w:r>
        <w:t xml:space="preserve"/>
      </w:r>
    </w:p>
    <w:p>
      <w:pPr>
        <w:pStyle w:val="Heading2"/>
      </w:pPr>
      <w:r>
        <w:t xml:space="preserve">DEAD — Locked (Alliance / P3 / captive / Delivered)</w:t>
      </w:r>
    </w:p>
    <w:p>
      <w:r>
        <w:t xml:space="preserve">None in this honing pass.</w:t>
      </w:r>
    </w:p>
    <w:p>
      <w:pPr>
        <w:pStyle w:val="Heading2"/>
      </w:pPr>
      <w:r>
        <w:t xml:space="preserve">Strategic Synthesis</w:t>
      </w:r>
    </w:p>
    <w:p>
      <w:pPr>
        <w:pStyle w:val="Heading3"/>
      </w:pPr>
      <w:r>
        <w:t xml:space="preserve">Lower Mainland Nation development corp dominance</w:t>
      </w:r>
    </w:p>
    <w:p>
      <w:r>
        <w:t xml:space="preserve">Squamish Nation, Musqueam, Tsleil-Waututh control major Lower Mainland development pipelines (Senakw, Jericho Lands, Langara YMCA, Maplewood / statləw̓ District). These are billion-dollar multi-tower phased developments where structural-eng selection happens early in each phase. KOR's Lower Mainland concrete tower expertise is direct fit. Build relationships with the Development Corps directly: Senakw Development Corp (Squamish), MST Development Corporation (Musqueam-Squamish-Tsleil-Waututh).</w:t>
      </w:r>
    </w:p>
    <w:p>
      <w:pPr>
        <w:pStyle w:val="Heading3"/>
      </w:pPr>
      <w:r>
        <w:t xml:space="preserve">Vancouver Island Nation housing wave</w:t>
      </w:r>
    </w:p>
    <w:p>
      <w:r>
        <w:t xml:space="preserve">Tla'amin, Snuneymuxw, Tseshaht, Uchucklesaht, K'ómoks all have multi-unit affordable housing programs with BC Housing or CMHC co-funding. Smaller per-project value but RECURRING. Nation-level relationships compound across multiple project phases.</w:t>
      </w:r>
    </w:p>
    <w:p>
      <w:pPr>
        <w:pStyle w:val="Heading3"/>
      </w:pPr>
      <w:r>
        <w:t xml:space="preserve">Indigenous-owned structural firm requirement caution</w:t>
      </w:r>
    </w:p>
    <w:p>
      <w:r>
        <w:t xml:space="preserve">A growing number of Indigenous procurements require Indigenous-owned firms on the prime team. KOR is NOT Indigenous-owned. The play is: (1) sub-consultant to an Indigenous-led prime architect (Two Row Architect, Smoke Architecture, Brook McIlroy), (2) sub-consultant to a non-Indigenous prime with strong Indigenous track record (Stantec, DIALOG, IBI/Arcadis), or (3) joint-venture / teaming with an Indigenous-owned engineering firm for specific pursuits — KOR now has a named partner for option (3): see Gwaii Engineering below.</w:t>
      </w:r>
    </w:p>
    <w:p>
      <w:pPr>
        <w:pStyle w:val="Heading3"/>
      </w:pPr>
      <w:r>
        <w:t xml:space="preserve">Named Indigenous-owned engineering partner — Gwaii Engineering (Victoria)</w:t>
      </w:r>
    </w:p>
    <w:p>
      <w:r>
        <w:t xml:space="preserve">Gwaii Engineering (gwaiieng.com) is an Indigenous-owned (Haida) CCAB-certified civil &amp; environmental engineering firm, Victoria BC, founded 2017 by Corey Brown (Sta'staas Eagle Clan, Old Masset). ~20+ staff. It is the incumbent civil engineer for 25+ coastal-BC / Vancouver Island First Nations (Malahat, Cowichan, Tsawout, Tsawwassen, Songhees, Ditidaht, Ucluelet, Tla'amin, K'ómoks, Haida Nation) plus BC Housing — the same owners this pipeline tracks.</w:t>
      </w:r>
    </w:p>
    <w:p>
      <w:r>
        <w:t xml:space="preserve">WHY IT SOLVES THE CAUTION: civil (Gwaii) and structural (KOR) are complementary, non-competing disciplines. A KOR-structural + Gwaii-civil team satisfies the Indigenous-owned-firm / participation requirement (CCAB) AND brings Gwaii's standing with the Nation/owner — turning the 'KOR is not Indigenous-owned' blocker into a strength. No prior KOR–Gwaii contractual history (net-new white space).</w:t>
      </w:r>
    </w:p>
    <w:p>
      <w:r>
        <w:t xml:space="preserve">Sibling firm: Islander Engineering (Victoria, civil/land-dev) shares founder Corey Brown + staff — covers the conventional-market Island lane. Single relationship (Corey Brown, cbrown@gwaiieng.com; Brandon Ducharme, Capital Advisory, bducharme@gwaiieng.com) opens both. Full dossiers: docs/KOR-Gwaii-Engineering-Dossier + KOR-Islander-Gwaii-Exec-Teaming-Brief (2026-06-23).</w:t>
      </w:r>
    </w:p>
    <w:p>
      <w:pPr>
        <w:pStyle w:val="Heading2"/>
      </w:pPr>
      <w:r>
        <w:t xml:space="preserve">Recommended next actions</w:t>
      </w:r>
    </w:p>
    <w:p>
      <w:r>
        <w:t xml:space="preserve">1. Squamish Nation relationship play — Build 600 Affordable Homes Action Plan (Id 4873) + Sen̓áḵw Phases 3-4 (Id 6910). One named warm-intro target via Senakw Development Corp or via past architect.</w:t>
      </w:r>
    </w:p>
    <w:p>
      <w:r>
        <w:t xml:space="preserve">2. Musqueam-Tsleil-Waututh development corp — Jericho Lands Phase 1 (Id 6911) + Maplewood Innovation District (Id 4882) + statləw̓ District (Id 6913). MST Development Corp is the gate. KOR should target this single development corp relationship for compounding returns across Phase 1-N.</w:t>
      </w:r>
    </w:p>
    <w:p>
      <w:r>
        <w:t xml:space="preserve">3. VI housing wave — APD Lands Port Alberni (Id 4846), te'tuxwtun Camp Nanaimo (Id 4843), Redford Uchucklesaht (Id 5821). Smaller pursuits each but cumulative. Identify a Nation-relationship consultant or past-architect channel.</w:t>
      </w:r>
    </w:p>
    <w:p>
      <w:r>
        <w:t xml:space="preserve">4. AB Alexander First Nation Mamawatoskewin (Id 6999) — single PURSUE in AB. Direct opportunity if warm-intro path identified.</w:t>
      </w:r>
    </w:p>
    <w:sectPr>
      <w:pgMar w:top="720" w:right="1080" w:bottom="720" w:left="1080"/>
    </w:sectPr>
  </w:body>
</w:document>
</file>

<file path=word/styles.xml><?xml version="1.0" encoding="utf-8"?>
<w:styles xmlns:w="http://schemas.openxmlformats.org/wordprocessingml/2006/main">
  <w:style w:type="paragraph" w:styleId="Normal" w:default="true">
    <w:name w:val="Normal"/>
    <w:qFormat/>
    <w:pPr>
      <w:spacing w:after="80" w:line="240" w:lineRule="auto"/>
    </w:pPr>
    <w:rPr>
      <w:rFonts w:ascii="Calibri" w:hAnsi="Calibri"/>
      <w:sz w:val="20"/>
    </w:rPr>
  </w:style>
  <w:style w:type="paragraph" w:styleId="Heading1">
    <w:name w:val="heading 1"/>
    <w:basedOn w:val="Normal"/>
    <w:next w:val="Normal"/>
    <w:qFormat/>
    <w:pPr>
      <w:keepNext/>
      <w:pBdr>
        <w:bottom w:val="single" w:color="FF5B35" w:sz="12" w:space="2"/>
      </w:pBdr>
      <w:spacing w:before="0" w:after="160"/>
      <w:outlineLvl w:val="0"/>
    </w:pPr>
    <w:rPr>
      <w:rFonts w:ascii="Calibri" w:hAnsi="Calibri"/>
      <w:b/>
      <w:color w:val="3F5364"/>
      <w:sz w:val="32"/>
    </w:rPr>
  </w:style>
  <w:style w:type="paragraph" w:styleId="Heading2">
    <w:name w:val="heading 2"/>
    <w:basedOn w:val="Normal"/>
    <w:next w:val="Normal"/>
    <w:qFormat/>
    <w:pPr>
      <w:keepNext/>
      <w:pBdr>
        <w:bottom w:val="single" w:color="FF5B35" w:sz="6" w:space="2"/>
      </w:pBdr>
      <w:spacing w:before="320" w:after="80"/>
      <w:outlineLvl w:val="1"/>
    </w:pPr>
    <w:rPr>
      <w:rFonts w:ascii="Calibri" w:hAnsi="Calibri"/>
      <w:b/>
      <w:color w:val="3F5364"/>
      <w:sz w:val="24"/>
    </w:rPr>
  </w:style>
  <w:style w:type="paragraph" w:styleId="Heading3">
    <w:name w:val="heading 3"/>
    <w:basedOn w:val="Normal"/>
    <w:next w:val="Normal"/>
    <w:qFormat/>
    <w:pPr>
      <w:keepNext/>
      <w:spacing w:before="160" w:after="40"/>
      <w:outlineLvl w:val="2"/>
    </w:pPr>
    <w:rPr>
      <w:rFonts w:ascii="Calibri" w:hAnsi="Calibri"/>
      <w:b/>
      <w:color w:val="3F5364"/>
      <w:sz w:val="21"/>
    </w:rPr>
  </w:style>
</w:styles>
</file>

<file path=word/_rels/document.xml.rels>&#65279;<?xml version="1.0" encoding="utf-8"?><Relationships xmlns="http://schemas.openxmlformats.org/package/2006/relationships"><Relationship Type="http://schemas.openxmlformats.org/officeDocument/2006/relationships/styles" Target="/word/styles.xml" Id="Rbf850aed24554523" /></Relationships>
</file>