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D7F3A" w14:textId="77777777" w:rsidR="006C3893" w:rsidRDefault="00E8592D">
      <w:pPr>
        <w:pStyle w:val="Heading1"/>
      </w:pPr>
      <w:bookmarkStart w:id="0" w:name="the-structural-seat"/>
      <w:r>
        <w:t>The Structural Seat</w:t>
      </w:r>
    </w:p>
    <w:p w14:paraId="1CA6896C" w14:textId="77777777" w:rsidR="006C3893" w:rsidRDefault="00E8592D">
      <w:pPr>
        <w:pStyle w:val="Heading2"/>
      </w:pPr>
      <w:bookmarkStart w:id="1" w:name="X464fd0614af7583c07a5c608e232e98030d16fd"/>
      <w:r>
        <w:t>How structural engineering mandates are actually awarded in KOR’s markets — and the play for each channel</w:t>
      </w:r>
    </w:p>
    <w:p w14:paraId="3BF2B44C" w14:textId="77777777" w:rsidR="006C3893" w:rsidRDefault="00E8592D">
      <w:pPr>
        <w:pStyle w:val="FirstParagraph"/>
      </w:pPr>
      <w:r>
        <w:rPr>
          <w:b/>
          <w:bCs/>
        </w:rPr>
        <w:t>KOR Structural · 2026-07-01 · Synthesized from ~300 verified projects and firms researched June–July 2026 (every underlying claim primary-sourced and independently fact-checked; sources live in the project dossiers and the BD platform)</w:t>
      </w:r>
    </w:p>
    <w:p w14:paraId="68FBAD0F" w14:textId="77777777" w:rsidR="006C3893" w:rsidRDefault="00E8592D">
      <w:r>
        <w:pict w14:anchorId="76CDEF53">
          <v:rect id="_x0000_i1025" style="width:0;height:1.5pt" o:hralign="center" o:hrstd="t" o:hr="t"/>
        </w:pict>
      </w:r>
    </w:p>
    <w:p w14:paraId="1A2B1668" w14:textId="77777777" w:rsidR="006C3893" w:rsidRDefault="00E8592D">
      <w:pPr>
        <w:pStyle w:val="Heading2"/>
      </w:pPr>
      <w:bookmarkStart w:id="2" w:name="the-one-page-insight"/>
      <w:bookmarkEnd w:id="1"/>
      <w:r>
        <w:t>The one-page insight</w:t>
      </w:r>
    </w:p>
    <w:p w14:paraId="02075439" w14:textId="77777777" w:rsidR="006C3893" w:rsidRDefault="00E8592D">
      <w:pPr>
        <w:pStyle w:val="FirstParagraph"/>
      </w:pPr>
      <w:r>
        <w:rPr>
          <w:b/>
          <w:bCs/>
        </w:rPr>
        <w:t xml:space="preserve">The structural seat is never awarded by “the market.” </w:t>
      </w:r>
      <w:r>
        <w:rPr>
          <w:b/>
          <w:bCs/>
        </w:rPr>
        <w:t>It is held by one specific actor, and which actor depends entirely on the delivery model.</w:t>
      </w:r>
      <w:r>
        <w:t xml:space="preserve"> Six channels cover every project KOR pursues. Each has a different decision-maker, a different clock, and a different losing move — and almost all of them decide </w:t>
      </w:r>
      <w:r>
        <w:rPr>
          <w:b/>
          <w:bCs/>
        </w:rPr>
        <w:t>before anything appears in a public tender</w:t>
      </w:r>
      <w:r>
        <w:t>.</w:t>
      </w:r>
    </w:p>
    <w:p w14:paraId="6E36CA46" w14:textId="77777777" w:rsidR="006C3893" w:rsidRDefault="00E8592D">
      <w:pPr>
        <w:pStyle w:val="BodyText"/>
      </w:pPr>
      <w:r>
        <w:t xml:space="preserve">The meta-finding across every dossier this summer: </w:t>
      </w:r>
      <w:r>
        <w:rPr>
          <w:b/>
          <w:bCs/>
        </w:rPr>
        <w:t>by the time a structural seat is publicly visible, it is usually already gone.</w:t>
      </w:r>
      <w:r>
        <w:t xml:space="preserve"> KOR’s win record proves the corollary — our five Ledcor wins came from being </w:t>
      </w:r>
      <w:r>
        <w:rPr>
          <w:i/>
          <w:iCs/>
        </w:rPr>
        <w:t>inside the owner’s building program</w:t>
      </w:r>
      <w:r>
        <w:t>, not from responding to anything. The playbook below is therefore a pre-positioning system, not a bid list.</w:t>
      </w:r>
    </w:p>
    <w:tbl>
      <w:tblPr>
        <w:tblStyle w:val="GridTable4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1740"/>
        <w:gridCol w:w="1740"/>
        <w:gridCol w:w="1740"/>
        <w:gridCol w:w="1740"/>
        <w:gridCol w:w="1740"/>
        <w:gridCol w:w="1740"/>
      </w:tblGrid>
      <w:tr w:rsidR="006C3893" w:rsidRPr="00ED06C9" w14:paraId="1CC67909" w14:textId="77777777" w:rsidTr="00ED06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833" w:type="pct"/>
          </w:tcPr>
          <w:p w14:paraId="46FAC8C8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>#</w:t>
            </w:r>
          </w:p>
        </w:tc>
        <w:tc>
          <w:tcPr>
            <w:tcW w:w="833" w:type="pct"/>
          </w:tcPr>
          <w:p w14:paraId="1DF57A0C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>Channel</w:t>
            </w:r>
          </w:p>
        </w:tc>
        <w:tc>
          <w:tcPr>
            <w:tcW w:w="833" w:type="pct"/>
          </w:tcPr>
          <w:p w14:paraId="6D57EC95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>Who holds the seat</w:t>
            </w:r>
          </w:p>
        </w:tc>
        <w:tc>
          <w:tcPr>
            <w:tcW w:w="833" w:type="pct"/>
          </w:tcPr>
          <w:p w14:paraId="611C023E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>When it’s decided</w:t>
            </w:r>
          </w:p>
        </w:tc>
        <w:tc>
          <w:tcPr>
            <w:tcW w:w="833" w:type="pct"/>
          </w:tcPr>
          <w:p w14:paraId="0A8EF6F1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>KOR’s play</w:t>
            </w:r>
          </w:p>
        </w:tc>
        <w:tc>
          <w:tcPr>
            <w:tcW w:w="833" w:type="pct"/>
          </w:tcPr>
          <w:p w14:paraId="29A43D0A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>The losing move</w:t>
            </w:r>
          </w:p>
        </w:tc>
      </w:tr>
      <w:tr w:rsidR="006C3893" w:rsidRPr="00ED06C9" w14:paraId="24451C06" w14:textId="77777777" w:rsidTr="00ED0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833" w:type="pct"/>
          </w:tcPr>
          <w:p w14:paraId="051DFDEE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>1</w:t>
            </w:r>
          </w:p>
        </w:tc>
        <w:tc>
          <w:tcPr>
            <w:tcW w:w="833" w:type="pct"/>
          </w:tcPr>
          <w:p w14:paraId="6AA334A7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b/>
                <w:bCs/>
                <w:sz w:val="17"/>
              </w:rPr>
              <w:t>Owner / developer-direct</w:t>
            </w:r>
          </w:p>
        </w:tc>
        <w:tc>
          <w:tcPr>
            <w:tcW w:w="833" w:type="pct"/>
          </w:tcPr>
          <w:p w14:paraId="1227D66B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>The owner</w:t>
            </w:r>
          </w:p>
        </w:tc>
        <w:tc>
          <w:tcPr>
            <w:tcW w:w="833" w:type="pct"/>
          </w:tcPr>
          <w:p w14:paraId="1D5981FE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>Continuously, program-by-program</w:t>
            </w:r>
          </w:p>
        </w:tc>
        <w:tc>
          <w:tcPr>
            <w:tcW w:w="833" w:type="pct"/>
          </w:tcPr>
          <w:p w14:paraId="0DDCACD1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>Be the incumbent; expand program-wide</w:t>
            </w:r>
          </w:p>
        </w:tc>
        <w:tc>
          <w:tcPr>
            <w:tcW w:w="833" w:type="pct"/>
          </w:tcPr>
          <w:p w14:paraId="65DE8299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>Treating each building as a new sale</w:t>
            </w:r>
          </w:p>
        </w:tc>
      </w:tr>
      <w:tr w:rsidR="006C3893" w:rsidRPr="00ED06C9" w14:paraId="37C66AF8" w14:textId="77777777" w:rsidTr="00ED06C9">
        <w:trPr>
          <w:cantSplit/>
        </w:trPr>
        <w:tc>
          <w:tcPr>
            <w:tcW w:w="833" w:type="pct"/>
          </w:tcPr>
          <w:p w14:paraId="0A50D000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>2</w:t>
            </w:r>
          </w:p>
        </w:tc>
        <w:tc>
          <w:tcPr>
            <w:tcW w:w="833" w:type="pct"/>
          </w:tcPr>
          <w:p w14:paraId="59483DDB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b/>
                <w:bCs/>
                <w:sz w:val="17"/>
              </w:rPr>
              <w:t>Architect-led (no in-house SE)</w:t>
            </w:r>
          </w:p>
        </w:tc>
        <w:tc>
          <w:tcPr>
            <w:tcW w:w="833" w:type="pct"/>
          </w:tcPr>
          <w:p w14:paraId="4379DAB1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>The architect</w:t>
            </w:r>
          </w:p>
        </w:tc>
        <w:tc>
          <w:tcPr>
            <w:tcW w:w="833" w:type="pct"/>
          </w:tcPr>
          <w:p w14:paraId="34C793DD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>At/before funding</w:t>
            </w:r>
          </w:p>
        </w:tc>
        <w:tc>
          <w:tcPr>
            <w:tcW w:w="833" w:type="pct"/>
          </w:tcPr>
          <w:p w14:paraId="67805DC6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 xml:space="preserve">Warm the architect </w:t>
            </w:r>
            <w:r w:rsidRPr="00ED06C9">
              <w:rPr>
                <w:b/>
                <w:bCs/>
                <w:sz w:val="17"/>
              </w:rPr>
              <w:t>before</w:t>
            </w:r>
            <w:r w:rsidRPr="00ED06C9">
              <w:rPr>
                <w:sz w:val="17"/>
              </w:rPr>
              <w:t xml:space="preserve"> the grant lands</w:t>
            </w:r>
          </w:p>
        </w:tc>
        <w:tc>
          <w:tcPr>
            <w:tcW w:w="833" w:type="pct"/>
          </w:tcPr>
          <w:p w14:paraId="429A62A0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>Waiting for the RFP</w:t>
            </w:r>
          </w:p>
        </w:tc>
      </w:tr>
      <w:tr w:rsidR="006C3893" w:rsidRPr="00ED06C9" w14:paraId="793366BE" w14:textId="77777777" w:rsidTr="00ED0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833" w:type="pct"/>
          </w:tcPr>
          <w:p w14:paraId="52027393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>3</w:t>
            </w:r>
          </w:p>
        </w:tc>
        <w:tc>
          <w:tcPr>
            <w:tcW w:w="833" w:type="pct"/>
          </w:tcPr>
          <w:p w14:paraId="4318B32E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b/>
                <w:bCs/>
                <w:sz w:val="17"/>
              </w:rPr>
              <w:t>Architect-led (integrated firm)</w:t>
            </w:r>
          </w:p>
        </w:tc>
        <w:tc>
          <w:tcPr>
            <w:tcW w:w="833" w:type="pct"/>
          </w:tcPr>
          <w:p w14:paraId="259ED151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 xml:space="preserve">The firm — </w:t>
            </w:r>
            <w:r w:rsidRPr="00ED06C9">
              <w:rPr>
                <w:i/>
                <w:iCs/>
                <w:sz w:val="17"/>
              </w:rPr>
              <w:t>outside</w:t>
            </w:r>
            <w:r w:rsidRPr="00ED06C9">
              <w:rPr>
                <w:sz w:val="17"/>
              </w:rPr>
              <w:t xml:space="preserve"> its in-house scope only</w:t>
            </w:r>
          </w:p>
        </w:tc>
        <w:tc>
          <w:tcPr>
            <w:tcW w:w="833" w:type="pct"/>
          </w:tcPr>
          <w:p w14:paraId="58D0CF97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>At overflow/specialty moments</w:t>
            </w:r>
          </w:p>
        </w:tc>
        <w:tc>
          <w:tcPr>
            <w:tcW w:w="833" w:type="pct"/>
          </w:tcPr>
          <w:p w14:paraId="5DB8B26A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>Overflow + specialist positioning</w:t>
            </w:r>
          </w:p>
        </w:tc>
        <w:tc>
          <w:tcPr>
            <w:tcW w:w="833" w:type="pct"/>
          </w:tcPr>
          <w:p w14:paraId="11A16F31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>Pitching what they self-perform</w:t>
            </w:r>
          </w:p>
        </w:tc>
      </w:tr>
      <w:tr w:rsidR="006C3893" w:rsidRPr="00ED06C9" w14:paraId="12106973" w14:textId="77777777" w:rsidTr="00ED06C9">
        <w:trPr>
          <w:cantSplit/>
        </w:trPr>
        <w:tc>
          <w:tcPr>
            <w:tcW w:w="833" w:type="pct"/>
          </w:tcPr>
          <w:p w14:paraId="43F96CDA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>4</w:t>
            </w:r>
          </w:p>
        </w:tc>
        <w:tc>
          <w:tcPr>
            <w:tcW w:w="833" w:type="pct"/>
          </w:tcPr>
          <w:p w14:paraId="52D1BB57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b/>
                <w:bCs/>
                <w:sz w:val="17"/>
              </w:rPr>
              <w:t>GC design-build / ECI</w:t>
            </w:r>
          </w:p>
        </w:tc>
        <w:tc>
          <w:tcPr>
            <w:tcW w:w="833" w:type="pct"/>
          </w:tcPr>
          <w:p w14:paraId="530CD1C5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>The GC’s preconstruct</w:t>
            </w:r>
            <w:r w:rsidRPr="00ED06C9">
              <w:rPr>
                <w:sz w:val="17"/>
              </w:rPr>
              <w:lastRenderedPageBreak/>
              <w:t>ion team</w:t>
            </w:r>
          </w:p>
        </w:tc>
        <w:tc>
          <w:tcPr>
            <w:tcW w:w="833" w:type="pct"/>
          </w:tcPr>
          <w:p w14:paraId="2DD85240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lastRenderedPageBreak/>
              <w:t>At pursuit formation</w:t>
            </w:r>
          </w:p>
        </w:tc>
        <w:tc>
          <w:tcPr>
            <w:tcW w:w="833" w:type="pct"/>
          </w:tcPr>
          <w:p w14:paraId="5ED8395D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 xml:space="preserve">Be on the precon call </w:t>
            </w:r>
            <w:r w:rsidRPr="00ED06C9">
              <w:rPr>
                <w:sz w:val="17"/>
              </w:rPr>
              <w:lastRenderedPageBreak/>
              <w:t>list before pursuits form</w:t>
            </w:r>
          </w:p>
        </w:tc>
        <w:tc>
          <w:tcPr>
            <w:tcW w:w="833" w:type="pct"/>
          </w:tcPr>
          <w:p w14:paraId="281D9601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lastRenderedPageBreak/>
              <w:t>Chasing after award</w:t>
            </w:r>
          </w:p>
        </w:tc>
      </w:tr>
      <w:tr w:rsidR="006C3893" w:rsidRPr="00ED06C9" w14:paraId="7ED34BC0" w14:textId="77777777" w:rsidTr="00ED0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833" w:type="pct"/>
          </w:tcPr>
          <w:p w14:paraId="1AAA2663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>5</w:t>
            </w:r>
          </w:p>
        </w:tc>
        <w:tc>
          <w:tcPr>
            <w:tcW w:w="833" w:type="pct"/>
          </w:tcPr>
          <w:p w14:paraId="0C8F73FE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b/>
                <w:bCs/>
                <w:sz w:val="17"/>
              </w:rPr>
              <w:t>Alliance / IPD</w:t>
            </w:r>
          </w:p>
        </w:tc>
        <w:tc>
          <w:tcPr>
            <w:tcW w:w="833" w:type="pct"/>
          </w:tcPr>
          <w:p w14:paraId="76618A72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>The alliance, at formation</w:t>
            </w:r>
          </w:p>
        </w:tc>
        <w:tc>
          <w:tcPr>
            <w:tcW w:w="833" w:type="pct"/>
          </w:tcPr>
          <w:p w14:paraId="170939F1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>When participants are named</w:t>
            </w:r>
          </w:p>
        </w:tc>
        <w:tc>
          <w:tcPr>
            <w:tcW w:w="833" w:type="pct"/>
          </w:tcPr>
          <w:p w14:paraId="58009636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>Pair with architecture-only firms entering alliances</w:t>
            </w:r>
          </w:p>
        </w:tc>
        <w:tc>
          <w:tcPr>
            <w:tcW w:w="833" w:type="pct"/>
          </w:tcPr>
          <w:p w14:paraId="298F7048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>Assuming “no SE named” = open</w:t>
            </w:r>
          </w:p>
        </w:tc>
      </w:tr>
      <w:tr w:rsidR="006C3893" w:rsidRPr="00ED06C9" w14:paraId="0DF574C9" w14:textId="77777777" w:rsidTr="00ED06C9">
        <w:trPr>
          <w:cantSplit/>
        </w:trPr>
        <w:tc>
          <w:tcPr>
            <w:tcW w:w="833" w:type="pct"/>
          </w:tcPr>
          <w:p w14:paraId="0B0DFD8A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>6</w:t>
            </w:r>
          </w:p>
        </w:tc>
        <w:tc>
          <w:tcPr>
            <w:tcW w:w="833" w:type="pct"/>
          </w:tcPr>
          <w:p w14:paraId="32C4431E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b/>
                <w:bCs/>
                <w:sz w:val="17"/>
              </w:rPr>
              <w:t>P3 / consortium</w:t>
            </w:r>
          </w:p>
        </w:tc>
        <w:tc>
          <w:tcPr>
            <w:tcW w:w="833" w:type="pct"/>
          </w:tcPr>
          <w:p w14:paraId="2E4FA147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>The consortium, at bid</w:t>
            </w:r>
          </w:p>
        </w:tc>
        <w:tc>
          <w:tcPr>
            <w:tcW w:w="833" w:type="pct"/>
          </w:tcPr>
          <w:p w14:paraId="3FEAF04B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>At consortium formation</w:t>
            </w:r>
          </w:p>
        </w:tc>
        <w:tc>
          <w:tcPr>
            <w:tcW w:w="833" w:type="pct"/>
          </w:tcPr>
          <w:p w14:paraId="33113C5F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>Join teams early — or consciously skip</w:t>
            </w:r>
          </w:p>
        </w:tc>
        <w:tc>
          <w:tcPr>
            <w:tcW w:w="833" w:type="pct"/>
          </w:tcPr>
          <w:p w14:paraId="3745DB29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>Bidding energy on locked programs</w:t>
            </w:r>
          </w:p>
        </w:tc>
      </w:tr>
    </w:tbl>
    <w:p w14:paraId="1C8E0209" w14:textId="77777777" w:rsidR="006C3893" w:rsidRDefault="00E8592D">
      <w:r>
        <w:pict w14:anchorId="55634CF2">
          <v:rect id="_x0000_i1026" style="width:0;height:1.5pt" o:hralign="center" o:hrstd="t" o:hr="t"/>
        </w:pict>
      </w:r>
    </w:p>
    <w:p w14:paraId="0EF0E3E5" w14:textId="77777777" w:rsidR="006C3893" w:rsidRDefault="00E8592D">
      <w:pPr>
        <w:pStyle w:val="Heading2"/>
      </w:pPr>
      <w:bookmarkStart w:id="3" w:name="X19ac55d3df0628ef6d4ce0b2d916d3da71701f7"/>
      <w:bookmarkEnd w:id="2"/>
      <w:r>
        <w:t>Channel 1 — Owner / developer-direct: where KOR wins today</w:t>
      </w:r>
    </w:p>
    <w:p w14:paraId="4A638CC0" w14:textId="77777777" w:rsidR="006C3893" w:rsidRDefault="00E8592D">
      <w:pPr>
        <w:pStyle w:val="FirstParagraph"/>
      </w:pPr>
      <w:r>
        <w:rPr>
          <w:b/>
          <w:bCs/>
        </w:rPr>
        <w:t>How it works:</w:t>
      </w:r>
      <w:r>
        <w:t xml:space="preserve"> the owner procures the structural engineer directly — no architect gatekeeper, no GC. Relationship and delivery record decide everything. </w:t>
      </w:r>
      <w:r>
        <w:rPr>
          <w:b/>
          <w:bCs/>
        </w:rPr>
        <w:t>Verified evidence:</w:t>
      </w:r>
      <w:r>
        <w:t xml:space="preserve"> Ledcor Property Investments / </w:t>
      </w:r>
      <w:r>
        <w:rPr>
          <w:b/>
          <w:bCs/>
        </w:rPr>
        <w:t>Telus Living program</w:t>
      </w:r>
      <w:r>
        <w:t xml:space="preserve"> — 5 KOR wins (~$560k) since Apr 2024, 2 proposals pending, and </w:t>
      </w:r>
      <w:r>
        <w:rPr>
          <w:b/>
          <w:bCs/>
        </w:rPr>
        <w:t>3 of the 4 program rezonings approved Nov 2025–May 2026</w:t>
      </w:r>
      <w:r>
        <w:t xml:space="preserve"> with no SE publicly named — the program is converting to design with KOR already inside. Beyond Ledcor: te’tuxwtun/sxwayxwum (Snuneymuxw/Petroglyph), Enoch Cree vertical builds, Christ Church Cathedral seismic, independent schools &amp; faith capital programs, Troika, Morguard. </w:t>
      </w:r>
      <w:r>
        <w:rPr>
          <w:b/>
          <w:bCs/>
        </w:rPr>
        <w:t>Win conditions:</w:t>
      </w:r>
      <w:r>
        <w:t xml:space="preserve"> responsiveness, fee-proposal cadence, program-level (not project-level) coverage. </w:t>
      </w:r>
      <w:r>
        <w:rPr>
          <w:b/>
          <w:bCs/>
        </w:rPr>
        <w:t>The play:</w:t>
      </w:r>
      <w:r>
        <w:t xml:space="preserve"> </w:t>
      </w:r>
      <w:r>
        <w:t>convert every project win into a program conversation; owner-direct is also where Indigenous, faith and institutional owners live — KOR’s verified June call-sheet is largely this channel.</w:t>
      </w:r>
    </w:p>
    <w:p w14:paraId="681B834E" w14:textId="77777777" w:rsidR="006C3893" w:rsidRDefault="00E8592D">
      <w:pPr>
        <w:pStyle w:val="Heading2"/>
      </w:pPr>
      <w:bookmarkStart w:id="4" w:name="Xdff3108f11e8981adc0f5aed420c344154635d8"/>
      <w:bookmarkEnd w:id="3"/>
      <w:r>
        <w:t>Channel 2 — Architect-led, no in-house structural: the pre-funding channel</w:t>
      </w:r>
    </w:p>
    <w:p w14:paraId="02893436" w14:textId="77777777" w:rsidR="006C3893" w:rsidRDefault="00E8592D">
      <w:pPr>
        <w:pStyle w:val="FirstParagraph"/>
      </w:pPr>
      <w:r>
        <w:rPr>
          <w:b/>
          <w:bCs/>
        </w:rPr>
        <w:t>How it works:</w:t>
      </w:r>
      <w:r>
        <w:t xml:space="preserve"> architecture-only firms hire the SE — and they decide </w:t>
      </w:r>
      <w:r>
        <w:rPr>
          <w:b/>
          <w:bCs/>
        </w:rPr>
        <w:t>early</w:t>
      </w:r>
      <w:r>
        <w:t xml:space="preserve">, often before the project is funded, from relationships. </w:t>
      </w:r>
      <w:r>
        <w:rPr>
          <w:b/>
          <w:bCs/>
        </w:rPr>
        <w:t>Verified evidence:</w:t>
      </w:r>
      <w:r>
        <w:t xml:space="preserve"> GEC (NorQuest CSC ~$240M — capital grant </w:t>
      </w:r>
      <w:r>
        <w:rPr>
          <w:i/>
          <w:iCs/>
        </w:rPr>
        <w:t>not yet approved</w:t>
      </w:r>
      <w:r>
        <w:t xml:space="preserve">, SE </w:t>
      </w:r>
      <w:r>
        <w:rPr>
          <w:i/>
          <w:iCs/>
        </w:rPr>
        <w:t>not yet engaged</w:t>
      </w:r>
      <w:r>
        <w:t xml:space="preserve">: the textbook pre-positioning window), Station One (SD62/SD23 schools), Tawaw (Enoch program — no in-house SE, verified), MCM (Broadway Plan towers), mcfarlane biggar (YYJ terminal program), KMBR, Meiklejohn. </w:t>
      </w:r>
      <w:r>
        <w:rPr>
          <w:b/>
          <w:bCs/>
        </w:rPr>
        <w:t>Win conditions:</w:t>
      </w:r>
      <w:r>
        <w:t xml:space="preserve"> be known to the architect before money exists; engineers-talking-to-architects beats BD-talking-to-procurement. </w:t>
      </w:r>
      <w:r>
        <w:rPr>
          <w:b/>
          <w:bCs/>
        </w:rPr>
        <w:t>The play:</w:t>
      </w:r>
      <w:r>
        <w:t xml:space="preserve"> a standing warm-architect roster with a </w:t>
      </w:r>
      <w:r>
        <w:rPr>
          <w:i/>
          <w:iCs/>
        </w:rPr>
        <w:t>funding-watch</w:t>
      </w:r>
      <w:r>
        <w:t xml:space="preserve"> on each firm’s stalled projects — when the grant lands, the SE call happens within weeks.</w:t>
      </w:r>
    </w:p>
    <w:p w14:paraId="64A4AC2B" w14:textId="77777777" w:rsidR="006C3893" w:rsidRDefault="00E8592D">
      <w:pPr>
        <w:pStyle w:val="Heading2"/>
      </w:pPr>
      <w:bookmarkStart w:id="5" w:name="X67290c75fa9098f72c167c03b90cff6d4754405"/>
      <w:bookmarkEnd w:id="4"/>
      <w:r>
        <w:lastRenderedPageBreak/>
        <w:t>Channel 3 — Architect-led, integrated firm: the overflow channel</w:t>
      </w:r>
    </w:p>
    <w:p w14:paraId="1C6DE270" w14:textId="77777777" w:rsidR="006C3893" w:rsidRDefault="00E8592D">
      <w:pPr>
        <w:pStyle w:val="FirstParagraph"/>
      </w:pPr>
      <w:r>
        <w:rPr>
          <w:b/>
          <w:bCs/>
        </w:rPr>
        <w:t>How it works:</w:t>
      </w:r>
      <w:r>
        <w:t xml:space="preserve"> firms with in-house structural (DIALOG, Stantec, HDR/Arcadis) self-perform by default. The seat exists only at the edges: </w:t>
      </w:r>
      <w:r>
        <w:rPr>
          <w:b/>
          <w:bCs/>
        </w:rPr>
        <w:t>mega-scale co-SE</w:t>
      </w:r>
      <w:r>
        <w:t xml:space="preserve"> (DIALOG took Yolles as </w:t>
      </w:r>
      <w:r>
        <w:rPr>
          <w:i/>
          <w:iCs/>
        </w:rPr>
        <w:t>equal partner</w:t>
      </w:r>
      <w:r>
        <w:t xml:space="preserve"> on the $900M Kaye Clinic; DIALOG+Stantec co-SE’d the $1.4B Calgary Cancer Centre — both under design-build), </w:t>
      </w:r>
      <w:r>
        <w:rPr>
          <w:b/>
          <w:bCs/>
        </w:rPr>
        <w:t>specialist gaps</w:t>
      </w:r>
      <w:r>
        <w:t xml:space="preserve"> (Fast+Epp on pioneer mass timber; Equilibrium on rammed earth), and </w:t>
      </w:r>
      <w:r>
        <w:rPr>
          <w:b/>
          <w:bCs/>
        </w:rPr>
        <w:t>studio gaps</w:t>
      </w:r>
      <w:r>
        <w:t xml:space="preserve"> </w:t>
      </w:r>
      <w:r>
        <w:t xml:space="preserve">(DIALOG Vancouver has no healthcare structural track record). </w:t>
      </w:r>
      <w:r>
        <w:rPr>
          <w:b/>
          <w:bCs/>
        </w:rPr>
        <w:t>Win conditions:</w:t>
      </w:r>
      <w:r>
        <w:t xml:space="preserve"> peer credibility + a named specialty + patience. </w:t>
      </w:r>
      <w:r>
        <w:rPr>
          <w:b/>
          <w:bCs/>
        </w:rPr>
        <w:t>The play:</w:t>
      </w:r>
      <w:r>
        <w:t xml:space="preserve"> the July 10 DIALOG posture — become the firm they think of at the overflow/specialty moment; never lecture their code people; never pitch what they self-perform (DIALOG: bridges, transit, sub-$800M home-market hospitals).</w:t>
      </w:r>
    </w:p>
    <w:p w14:paraId="3E94B3FC" w14:textId="77777777" w:rsidR="006C3893" w:rsidRDefault="00E8592D">
      <w:pPr>
        <w:pStyle w:val="Heading2"/>
      </w:pPr>
      <w:bookmarkStart w:id="6" w:name="Xf1502eedc9e0757d8006bb0112b85dbfed818fc"/>
      <w:bookmarkEnd w:id="5"/>
      <w:r>
        <w:t>Channel 4 — GC design-build / ECI: the precon channel</w:t>
      </w:r>
    </w:p>
    <w:p w14:paraId="69C9A775" w14:textId="77777777" w:rsidR="006C3893" w:rsidRDefault="00E8592D">
      <w:pPr>
        <w:pStyle w:val="FirstParagraph"/>
      </w:pPr>
      <w:r>
        <w:rPr>
          <w:b/>
          <w:bCs/>
        </w:rPr>
        <w:t>How it works:</w:t>
      </w:r>
      <w:r>
        <w:t xml:space="preserve"> on design-build, P3-lite, and early-contractor-involvement work, the </w:t>
      </w:r>
      <w:r>
        <w:rPr>
          <w:b/>
          <w:bCs/>
        </w:rPr>
        <w:t>GC’s preconstruction function assembles the design team</w:t>
      </w:r>
      <w:r>
        <w:t xml:space="preserve"> — there is typically </w:t>
      </w:r>
      <w:r>
        <w:rPr>
          <w:b/>
          <w:bCs/>
        </w:rPr>
        <w:t>no public roster</w:t>
      </w:r>
      <w:r>
        <w:t xml:space="preserve"> (verified at Ledcor: none exists; entry is relationship-based). </w:t>
      </w:r>
      <w:r>
        <w:rPr>
          <w:b/>
          <w:bCs/>
        </w:rPr>
        <w:t>Verified evidence:</w:t>
      </w:r>
      <w:r>
        <w:t xml:space="preserve"> </w:t>
      </w:r>
      <w:r>
        <w:t xml:space="preserve">Ledcor Design-Build → Fast+Epp on BC Children’s Centre for Health Complexity; Ledcor ECI → Fast+Epp on BCIT Tall Timber; PCL’s Alberta mega-DB pattern (Kaye, Calgary Cancer) forcing co-SE arrangements; Clark Builders (Turner) partnering external design firms; James Cowan Theatre (Ledcor DB — SE never publicly named, and the one rumour about it failed verification). </w:t>
      </w:r>
      <w:r>
        <w:rPr>
          <w:b/>
          <w:bCs/>
        </w:rPr>
        <w:t>Win conditions:</w:t>
      </w:r>
      <w:r>
        <w:t xml:space="preserve"> be on the precon call list </w:t>
      </w:r>
      <w:r>
        <w:rPr>
          <w:i/>
          <w:iCs/>
        </w:rPr>
        <w:t>before</w:t>
      </w:r>
      <w:r>
        <w:t xml:space="preserve"> the pursuit forms. </w:t>
      </w:r>
      <w:r>
        <w:rPr>
          <w:b/>
          <w:bCs/>
        </w:rPr>
        <w:t>The play:</w:t>
      </w:r>
      <w:r>
        <w:t xml:space="preserve"> </w:t>
      </w:r>
      <w:r>
        <w:t>named precon/BD relationships per GC — at Ledcor that is Aaron Grenier (Estimating &amp; Precon) and Barry Murphy (BD); at Clark, the Lenarduzzi/Harding roster ask. One good design-build teaming per GC converts to a standing slot.</w:t>
      </w:r>
    </w:p>
    <w:p w14:paraId="782A1655" w14:textId="77777777" w:rsidR="006C3893" w:rsidRDefault="00E8592D">
      <w:pPr>
        <w:pStyle w:val="Heading2"/>
      </w:pPr>
      <w:bookmarkStart w:id="7" w:name="Xb6ec041e0ecbdfb286cb60e4a9675716ba59204"/>
      <w:bookmarkEnd w:id="6"/>
      <w:r>
        <w:t>Channel 5 — Alliance / IPD: the formation channel</w:t>
      </w:r>
    </w:p>
    <w:p w14:paraId="01A7AB20" w14:textId="77777777" w:rsidR="006C3893" w:rsidRDefault="00E8592D">
      <w:pPr>
        <w:pStyle w:val="FirstParagraph"/>
      </w:pPr>
      <w:r>
        <w:rPr>
          <w:b/>
          <w:bCs/>
        </w:rPr>
        <w:t>How it works:</w:t>
      </w:r>
      <w:r>
        <w:t xml:space="preserve"> BC health capital increasingly uses alliance contracting. The formal alliance signatories are few (owner, builder, architect, agencies) — </w:t>
      </w:r>
      <w:r>
        <w:rPr>
          <w:b/>
          <w:bCs/>
        </w:rPr>
        <w:t>the structural engineer enters as part of the design team the architect assembles</w:t>
      </w:r>
      <w:r>
        <w:t xml:space="preserve">, decided around alliance formation. Verified: Cowichan/Quw’utsun Valley Hospital (~$1.5B, ~90% complete): architect Parkin (no in-house SE) → </w:t>
      </w:r>
      <w:r>
        <w:rPr>
          <w:b/>
          <w:bCs/>
        </w:rPr>
        <w:t>Bush Bohlman as the design team’s structural engineer</w:t>
      </w:r>
      <w:r>
        <w:t xml:space="preserve"> (a sub-consultant seat, not a signatory — the distinction matters for how you pursue it). UHNBC: DIALOG BC (engineering in-house) → </w:t>
      </w:r>
      <w:r>
        <w:rPr>
          <w:b/>
          <w:bCs/>
        </w:rPr>
        <w:t>no external structural named; the seat lives inside the design lead</w:t>
      </w:r>
      <w:r>
        <w:t xml:space="preserve"> (verified unannounced as of Jul 2026). </w:t>
      </w:r>
      <w:r>
        <w:rPr>
          <w:b/>
          <w:bCs/>
        </w:rPr>
        <w:t>Win conditions:</w:t>
      </w:r>
      <w:r>
        <w:t xml:space="preserve"> </w:t>
      </w:r>
      <w:r>
        <w:t xml:space="preserve">know which architecture-only firms are entering alliance pursuits, and be </w:t>
      </w:r>
      <w:r>
        <w:rPr>
          <w:b/>
          <w:bCs/>
        </w:rPr>
        <w:t>their</w:t>
      </w:r>
      <w:r>
        <w:t xml:space="preserve"> structural partner before the team forms. </w:t>
      </w:r>
      <w:r>
        <w:rPr>
          <w:b/>
          <w:bCs/>
        </w:rPr>
        <w:t>The play:</w:t>
      </w:r>
      <w:r>
        <w:t xml:space="preserve"> the BC health-capital map (companion report, in production) lists the upcoming alliance-model projects and their likely design leads — the pursuit target is the architect, not the alliance itself.</w:t>
      </w:r>
    </w:p>
    <w:p w14:paraId="185CA200" w14:textId="77777777" w:rsidR="006C3893" w:rsidRDefault="00E8592D">
      <w:pPr>
        <w:pStyle w:val="Heading2"/>
      </w:pPr>
      <w:bookmarkStart w:id="8" w:name="Xa85db797ea507c399f5d462f7109d9c3c4bf04f"/>
      <w:bookmarkEnd w:id="7"/>
      <w:r>
        <w:t>Channel 6 — P3 / consortium: mostly locked — choose or skip</w:t>
      </w:r>
    </w:p>
    <w:p w14:paraId="34BF9665" w14:textId="77777777" w:rsidR="006C3893" w:rsidRDefault="00E8592D">
      <w:pPr>
        <w:pStyle w:val="FirstParagraph"/>
      </w:pPr>
      <w:r>
        <w:rPr>
          <w:b/>
          <w:bCs/>
        </w:rPr>
        <w:t>How it works:</w:t>
      </w:r>
      <w:r>
        <w:t xml:space="preserve"> </w:t>
      </w:r>
      <w:r>
        <w:t xml:space="preserve">consortiums lock the full design team at bid. Verified locked examples: Surrey-Langley SkyTrain (Entuitive inside), Broadway Subway, Calgary Green Line, BC </w:t>
      </w:r>
      <w:r>
        <w:lastRenderedPageBreak/>
        <w:t xml:space="preserve">Ferries programs, </w:t>
      </w:r>
      <w:r>
        <w:rPr>
          <w:b/>
          <w:bCs/>
        </w:rPr>
        <w:t>Alberta’s school accelerator (Alberta Infrastructure consortiums pick the SE — not school boards)</w:t>
      </w:r>
      <w:r>
        <w:t xml:space="preserve">. </w:t>
      </w:r>
      <w:r>
        <w:rPr>
          <w:b/>
          <w:bCs/>
        </w:rPr>
        <w:t>The play:</w:t>
      </w:r>
      <w:r>
        <w:t xml:space="preserve"> either join a consortium at formation (a deliberate, priced decision) or consciously spend zero energy. </w:t>
      </w:r>
      <w:r>
        <w:rPr>
          <w:b/>
          <w:bCs/>
        </w:rPr>
        <w:t>The rare exception to watch:</w:t>
      </w:r>
      <w:r>
        <w:t xml:space="preserve"> a public owner running its own design competition — </w:t>
      </w:r>
      <w:r>
        <w:rPr>
          <w:b/>
          <w:bCs/>
        </w:rPr>
        <w:t>Surrey City Centre Arena (award ~Aug 2026, design team genuinely open)</w:t>
      </w:r>
      <w:r>
        <w:t xml:space="preserve"> is the current live case, stamped and watched in the platform.</w:t>
      </w:r>
    </w:p>
    <w:p w14:paraId="34F96F1B" w14:textId="77777777" w:rsidR="006C3893" w:rsidRDefault="00E8592D">
      <w:r>
        <w:pict w14:anchorId="5D8BBB40">
          <v:rect id="_x0000_i1027" style="width:0;height:1.5pt" o:hralign="center" o:hrstd="t" o:hr="t"/>
        </w:pict>
      </w:r>
    </w:p>
    <w:p w14:paraId="602828CC" w14:textId="77777777" w:rsidR="006C3893" w:rsidRDefault="00E8592D">
      <w:pPr>
        <w:pStyle w:val="Heading2"/>
      </w:pPr>
      <w:bookmarkStart w:id="9" w:name="Xa67e6d90891b370e7027139e8d2f84c7b80f85d"/>
      <w:bookmarkEnd w:id="8"/>
      <w:r>
        <w:t>Where KOR stands, by channel (evidence, not aspiration)</w:t>
      </w:r>
    </w:p>
    <w:p w14:paraId="7FB21553" w14:textId="77777777" w:rsidR="006C3893" w:rsidRDefault="00E8592D">
      <w:pPr>
        <w:pStyle w:val="Compact"/>
        <w:numPr>
          <w:ilvl w:val="0"/>
          <w:numId w:val="2"/>
        </w:numPr>
      </w:pPr>
      <w:r>
        <w:rPr>
          <w:b/>
          <w:bCs/>
        </w:rPr>
        <w:t>Winning now:</w:t>
      </w:r>
      <w:r>
        <w:t xml:space="preserve"> Channel 1 (Ledcor/Telus Living + the owner-direct call-sheet). Protect and expand — program-level asks.</w:t>
      </w:r>
    </w:p>
    <w:p w14:paraId="6DE9195F" w14:textId="77777777" w:rsidR="006C3893" w:rsidRDefault="00E8592D">
      <w:pPr>
        <w:pStyle w:val="Compact"/>
        <w:numPr>
          <w:ilvl w:val="0"/>
          <w:numId w:val="2"/>
        </w:numPr>
      </w:pPr>
      <w:r>
        <w:rPr>
          <w:b/>
          <w:bCs/>
        </w:rPr>
        <w:t>Positioned, pre-revenue:</w:t>
      </w:r>
      <w:r>
        <w:t xml:space="preserve"> Channel 2 (GEC, Station One, Tawaw, MCM, mcfarlane biggar — all warm, all pre-funding) and Channel 3 (DIALOG relationship launching July 10).</w:t>
      </w:r>
    </w:p>
    <w:p w14:paraId="227F340B" w14:textId="77777777" w:rsidR="006C3893" w:rsidRDefault="00E8592D">
      <w:pPr>
        <w:pStyle w:val="Compact"/>
        <w:numPr>
          <w:ilvl w:val="0"/>
          <w:numId w:val="2"/>
        </w:numPr>
      </w:pPr>
      <w:r>
        <w:rPr>
          <w:b/>
          <w:bCs/>
        </w:rPr>
        <w:t>Underdeveloped:</w:t>
      </w:r>
      <w:r>
        <w:t xml:space="preserve"> </w:t>
      </w:r>
      <w:r>
        <w:t>Channel 4 — KOR has GC contacts but no standing design-build teaming slots; the Ledcor and Clark precon relationships are the near-term fix.</w:t>
      </w:r>
    </w:p>
    <w:p w14:paraId="04FC5E72" w14:textId="77777777" w:rsidR="006C3893" w:rsidRDefault="00E8592D">
      <w:pPr>
        <w:pStyle w:val="Compact"/>
        <w:numPr>
          <w:ilvl w:val="0"/>
          <w:numId w:val="2"/>
        </w:numPr>
      </w:pPr>
      <w:r>
        <w:rPr>
          <w:b/>
          <w:bCs/>
        </w:rPr>
        <w:t>Unmapped until now:</w:t>
      </w:r>
      <w:r>
        <w:t xml:space="preserve"> Channel 5 — the companion BC health-capital report converts it into a named target list.</w:t>
      </w:r>
    </w:p>
    <w:p w14:paraId="60BFE3B9" w14:textId="77777777" w:rsidR="006C3893" w:rsidRDefault="00E8592D">
      <w:pPr>
        <w:pStyle w:val="Compact"/>
        <w:numPr>
          <w:ilvl w:val="0"/>
          <w:numId w:val="2"/>
        </w:numPr>
      </w:pPr>
      <w:r>
        <w:rPr>
          <w:b/>
          <w:bCs/>
        </w:rPr>
        <w:t>Correctly ignored:</w:t>
      </w:r>
      <w:r>
        <w:t xml:space="preserve"> Channel 6, except the Surrey Arena watch.</w:t>
      </w:r>
    </w:p>
    <w:p w14:paraId="3C9025C5" w14:textId="77777777" w:rsidR="006C3893" w:rsidRDefault="00E8592D">
      <w:pPr>
        <w:pStyle w:val="Heading2"/>
      </w:pPr>
      <w:bookmarkStart w:id="10" w:name="X7dffd07605bcba00de64cd4d7cbdcd3f010a7a1"/>
      <w:bookmarkEnd w:id="9"/>
      <w:r>
        <w:t>The dated watch-list (consolidated — all items live in the BD platform)</w:t>
      </w:r>
    </w:p>
    <w:tbl>
      <w:tblPr>
        <w:tblStyle w:val="GridTable4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3480"/>
        <w:gridCol w:w="3481"/>
        <w:gridCol w:w="3479"/>
      </w:tblGrid>
      <w:tr w:rsidR="006C3893" w:rsidRPr="00ED06C9" w14:paraId="01EEA87E" w14:textId="77777777" w:rsidTr="00ED06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667" w:type="pct"/>
          </w:tcPr>
          <w:p w14:paraId="0105D02F" w14:textId="77777777" w:rsidR="006C3893" w:rsidRPr="00ED06C9" w:rsidRDefault="00E8592D">
            <w:pPr>
              <w:pStyle w:val="Compact"/>
              <w:rPr>
                <w:b w:val="0"/>
                <w:sz w:val="17"/>
              </w:rPr>
            </w:pPr>
            <w:r w:rsidRPr="00ED06C9">
              <w:rPr>
                <w:b w:val="0"/>
                <w:sz w:val="17"/>
              </w:rPr>
              <w:t>When</w:t>
            </w:r>
          </w:p>
        </w:tc>
        <w:tc>
          <w:tcPr>
            <w:tcW w:w="1667" w:type="pct"/>
          </w:tcPr>
          <w:p w14:paraId="571057D7" w14:textId="77777777" w:rsidR="006C3893" w:rsidRPr="00ED06C9" w:rsidRDefault="00E8592D">
            <w:pPr>
              <w:pStyle w:val="Compact"/>
              <w:rPr>
                <w:b w:val="0"/>
                <w:sz w:val="17"/>
              </w:rPr>
            </w:pPr>
            <w:r w:rsidRPr="00ED06C9">
              <w:rPr>
                <w:b w:val="0"/>
                <w:sz w:val="17"/>
              </w:rPr>
              <w:t>Item</w:t>
            </w:r>
          </w:p>
        </w:tc>
        <w:tc>
          <w:tcPr>
            <w:tcW w:w="1667" w:type="pct"/>
          </w:tcPr>
          <w:p w14:paraId="2906B8DC" w14:textId="77777777" w:rsidR="006C3893" w:rsidRPr="00ED06C9" w:rsidRDefault="00E8592D">
            <w:pPr>
              <w:pStyle w:val="Compact"/>
              <w:rPr>
                <w:b w:val="0"/>
                <w:sz w:val="17"/>
              </w:rPr>
            </w:pPr>
            <w:r w:rsidRPr="00ED06C9">
              <w:rPr>
                <w:b w:val="0"/>
                <w:sz w:val="17"/>
              </w:rPr>
              <w:t>Action</w:t>
            </w:r>
          </w:p>
        </w:tc>
      </w:tr>
      <w:tr w:rsidR="006C3893" w:rsidRPr="00ED06C9" w14:paraId="2F1E86EC" w14:textId="77777777" w:rsidTr="00ED0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3BC291B6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b/>
                <w:bCs/>
                <w:sz w:val="17"/>
              </w:rPr>
              <w:t>Jul 2026</w:t>
            </w:r>
          </w:p>
        </w:tc>
        <w:tc>
          <w:tcPr>
            <w:tcW w:w="1667" w:type="pct"/>
          </w:tcPr>
          <w:p w14:paraId="325CC5D7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>Telus Living pending proposals (E 10th $175k; Kingsway-match $125k)</w:t>
            </w:r>
          </w:p>
        </w:tc>
        <w:tc>
          <w:tcPr>
            <w:tcW w:w="1667" w:type="pct"/>
          </w:tcPr>
          <w:p w14:paraId="2C1EA7F7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>Close; then LPI program-level ask (Wolinsky)</w:t>
            </w:r>
          </w:p>
        </w:tc>
      </w:tr>
      <w:tr w:rsidR="006C3893" w:rsidRPr="00ED06C9" w14:paraId="5AA209C6" w14:textId="77777777" w:rsidTr="00ED06C9">
        <w:trPr>
          <w:cantSplit/>
        </w:trPr>
        <w:tc>
          <w:tcPr>
            <w:tcW w:w="1667" w:type="pct"/>
          </w:tcPr>
          <w:p w14:paraId="412ADD8E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b/>
                <w:bCs/>
                <w:sz w:val="17"/>
              </w:rPr>
              <w:t>Jul 10 2026</w:t>
            </w:r>
          </w:p>
        </w:tc>
        <w:tc>
          <w:tcPr>
            <w:tcW w:w="1667" w:type="pct"/>
          </w:tcPr>
          <w:p w14:paraId="248277EA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>DIALOG Edmonton meeting</w:t>
            </w:r>
          </w:p>
        </w:tc>
        <w:tc>
          <w:tcPr>
            <w:tcW w:w="1667" w:type="pct"/>
          </w:tcPr>
          <w:p w14:paraId="3C3F11FE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>Run the card; debrief into the platform within 24h</w:t>
            </w:r>
          </w:p>
        </w:tc>
      </w:tr>
      <w:tr w:rsidR="006C3893" w:rsidRPr="00ED06C9" w14:paraId="644018B1" w14:textId="77777777" w:rsidTr="00ED0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155DDC3B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b/>
                <w:bCs/>
                <w:sz w:val="17"/>
              </w:rPr>
              <w:t>Jul–Aug 2026</w:t>
            </w:r>
          </w:p>
        </w:tc>
        <w:tc>
          <w:tcPr>
            <w:tcW w:w="1667" w:type="pct"/>
          </w:tcPr>
          <w:p w14:paraId="4CD67B1B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>Enoch vertical builds prequalification; NAIT SE question</w:t>
            </w:r>
          </w:p>
        </w:tc>
        <w:tc>
          <w:tcPr>
            <w:tcW w:w="1667" w:type="pct"/>
          </w:tcPr>
          <w:p w14:paraId="5B3D9313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>Via Enoch Infrastructure (McDonald/Morin); via GEC/DIALOG</w:t>
            </w:r>
          </w:p>
        </w:tc>
      </w:tr>
      <w:tr w:rsidR="006C3893" w:rsidRPr="00ED06C9" w14:paraId="4CF8FDA6" w14:textId="77777777" w:rsidTr="00ED06C9">
        <w:trPr>
          <w:cantSplit/>
        </w:trPr>
        <w:tc>
          <w:tcPr>
            <w:tcW w:w="1667" w:type="pct"/>
          </w:tcPr>
          <w:p w14:paraId="0A002182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b/>
                <w:bCs/>
                <w:sz w:val="17"/>
              </w:rPr>
              <w:t>~Aug 2026</w:t>
            </w:r>
          </w:p>
        </w:tc>
        <w:tc>
          <w:tcPr>
            <w:tcW w:w="1667" w:type="pct"/>
          </w:tcPr>
          <w:p w14:paraId="42123E96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b/>
                <w:bCs/>
                <w:sz w:val="17"/>
              </w:rPr>
              <w:t>Surrey City Centre Arena award</w:t>
            </w:r>
          </w:p>
        </w:tc>
        <w:tc>
          <w:tcPr>
            <w:tcW w:w="1667" w:type="pct"/>
          </w:tcPr>
          <w:p w14:paraId="50F7C979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>If the winning team lacks a set SE — move immediately</w:t>
            </w:r>
          </w:p>
        </w:tc>
      </w:tr>
      <w:tr w:rsidR="006C3893" w:rsidRPr="00ED06C9" w14:paraId="300CB3C0" w14:textId="77777777" w:rsidTr="00ED0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0727A937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b/>
                <w:bCs/>
                <w:sz w:val="17"/>
              </w:rPr>
              <w:t>Fall 2026</w:t>
            </w:r>
          </w:p>
        </w:tc>
        <w:tc>
          <w:tcPr>
            <w:tcW w:w="1667" w:type="pct"/>
          </w:tcPr>
          <w:p w14:paraId="179369A4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>UHNBC design phase closes; NorQuest capital grant</w:t>
            </w:r>
          </w:p>
        </w:tc>
        <w:tc>
          <w:tcPr>
            <w:tcW w:w="1667" w:type="pct"/>
          </w:tcPr>
          <w:p w14:paraId="0D487712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>BC-studio capacity probe; be positioned with GEC pre-grant</w:t>
            </w:r>
          </w:p>
        </w:tc>
      </w:tr>
      <w:tr w:rsidR="006C3893" w:rsidRPr="00ED06C9" w14:paraId="6B019115" w14:textId="77777777" w:rsidTr="00ED06C9">
        <w:trPr>
          <w:cantSplit/>
        </w:trPr>
        <w:tc>
          <w:tcPr>
            <w:tcW w:w="1667" w:type="pct"/>
          </w:tcPr>
          <w:p w14:paraId="725887CA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b/>
                <w:bCs/>
                <w:sz w:val="17"/>
              </w:rPr>
              <w:t>Ongoing</w:t>
            </w:r>
          </w:p>
        </w:tc>
        <w:tc>
          <w:tcPr>
            <w:tcW w:w="1667" w:type="pct"/>
          </w:tcPr>
          <w:p w14:paraId="495E55AE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>Misericordia tower architect selection (open); Grey Nuns (Stantec — teaming)</w:t>
            </w:r>
          </w:p>
        </w:tc>
        <w:tc>
          <w:tcPr>
            <w:tcW w:w="1667" w:type="pct"/>
          </w:tcPr>
          <w:p w14:paraId="4309D372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>Alberta health watch</w:t>
            </w:r>
          </w:p>
        </w:tc>
      </w:tr>
      <w:tr w:rsidR="006C3893" w:rsidRPr="00ED06C9" w14:paraId="45A07E32" w14:textId="77777777" w:rsidTr="00ED0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3627B636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b/>
                <w:bCs/>
                <w:sz w:val="17"/>
              </w:rPr>
              <w:t>2027+</w:t>
            </w:r>
          </w:p>
        </w:tc>
        <w:tc>
          <w:tcPr>
            <w:tcW w:w="1667" w:type="pct"/>
          </w:tcPr>
          <w:p w14:paraId="2C85F888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t xml:space="preserve">Kingsway rezoning; Stollery design procurement </w:t>
            </w:r>
            <w:r w:rsidRPr="00ED06C9">
              <w:rPr>
                <w:sz w:val="17"/>
              </w:rPr>
              <w:lastRenderedPageBreak/>
              <w:t>(~2028); Edmonton Event Park SE</w:t>
            </w:r>
          </w:p>
        </w:tc>
        <w:tc>
          <w:tcPr>
            <w:tcW w:w="1667" w:type="pct"/>
          </w:tcPr>
          <w:p w14:paraId="2A9C34C0" w14:textId="77777777" w:rsidR="006C3893" w:rsidRPr="00ED06C9" w:rsidRDefault="00E8592D">
            <w:pPr>
              <w:pStyle w:val="Compact"/>
              <w:rPr>
                <w:sz w:val="17"/>
              </w:rPr>
            </w:pPr>
            <w:r w:rsidRPr="00ED06C9">
              <w:rPr>
                <w:sz w:val="17"/>
              </w:rPr>
              <w:lastRenderedPageBreak/>
              <w:t>Long-lead; keep warm</w:t>
            </w:r>
          </w:p>
        </w:tc>
      </w:tr>
    </w:tbl>
    <w:p w14:paraId="391612D7" w14:textId="77777777" w:rsidR="006C3893" w:rsidRDefault="00E8592D">
      <w:pPr>
        <w:pStyle w:val="Heading2"/>
      </w:pPr>
      <w:bookmarkStart w:id="11" w:name="operating-cadence-how-this-stays-alive"/>
      <w:bookmarkEnd w:id="10"/>
      <w:r>
        <w:t>Operating cadence (how this stays alive)</w:t>
      </w:r>
    </w:p>
    <w:p w14:paraId="1EDD914F" w14:textId="77777777" w:rsidR="006C3893" w:rsidRDefault="00E8592D">
      <w:pPr>
        <w:pStyle w:val="Compact"/>
        <w:numPr>
          <w:ilvl w:val="0"/>
          <w:numId w:val="3"/>
        </w:numPr>
      </w:pPr>
      <w:r>
        <w:rPr>
          <w:b/>
          <w:bCs/>
        </w:rPr>
        <w:t>Formation events, not tender ads:</w:t>
      </w:r>
      <w:r>
        <w:t xml:space="preserve"> the platform’s research jobs watch rezoning approvals, capital-grant announcements, alliance formations, and preferred-proponent awards — the moments seats actually get decided.</w:t>
      </w:r>
    </w:p>
    <w:p w14:paraId="351C36F3" w14:textId="77777777" w:rsidR="006C3893" w:rsidRDefault="00E8592D">
      <w:pPr>
        <w:pStyle w:val="Compact"/>
        <w:numPr>
          <w:ilvl w:val="0"/>
          <w:numId w:val="3"/>
        </w:numPr>
      </w:pPr>
      <w:r>
        <w:rPr>
          <w:b/>
          <w:bCs/>
        </w:rPr>
        <w:t>Every engineer meeting feeds the machine:</w:t>
      </w:r>
      <w:r>
        <w:t xml:space="preserve"> </w:t>
      </w:r>
      <w:r>
        <w:t>debriefs are ingested within a day; every named firm/person/project becomes a record. The next pursuit starts warmer than the last.</w:t>
      </w:r>
    </w:p>
    <w:p w14:paraId="1674EB69" w14:textId="77777777" w:rsidR="006C3893" w:rsidRDefault="00E8592D">
      <w:pPr>
        <w:pStyle w:val="Compact"/>
        <w:numPr>
          <w:ilvl w:val="0"/>
          <w:numId w:val="3"/>
        </w:numPr>
      </w:pPr>
      <w:r>
        <w:rPr>
          <w:b/>
          <w:bCs/>
        </w:rPr>
        <w:t>Every claim stays challengeable:</w:t>
      </w:r>
      <w:r>
        <w:t xml:space="preserve"> all of the above traces to primary sources or KOR’s own Deltek records; anything inferred is labeled. When a fact fails re-verification, it gets corrected in the source dossier — this document inherits those corrections.</w:t>
      </w:r>
    </w:p>
    <w:p w14:paraId="1E77DA89" w14:textId="77777777" w:rsidR="006C3893" w:rsidRDefault="00E8592D">
      <w:r>
        <w:pict w14:anchorId="549B7033">
          <v:rect id="_x0000_i1028" style="width:0;height:1.5pt" o:hralign="center" o:hrstd="t" o:hr="t"/>
        </w:pict>
      </w:r>
    </w:p>
    <w:p w14:paraId="770786DE" w14:textId="77777777" w:rsidR="006C3893" w:rsidRDefault="00E8592D">
      <w:pPr>
        <w:pStyle w:val="FirstParagraph"/>
      </w:pPr>
      <w:r>
        <w:rPr>
          <w:i/>
          <w:iCs/>
        </w:rPr>
        <w:t>Method: synthesized exclusively from verified material — the DIALOG brief (11 research/verification passes), the Ledcor dossier (6 passes), the Edmonton trip pack, and the June 2026 market research (~200 organizations, ~60 DIALOG projects, ~50 Ledcor-adjacent projects, all primary-sourced). No new unverified claims were introduced in this synthesis. Companion report in production: “BC Health Capital — the named-seat map.”</w:t>
      </w:r>
      <w:bookmarkEnd w:id="0"/>
      <w:bookmarkEnd w:id="11"/>
    </w:p>
    <w:sectPr w:rsidR="006C3893" w:rsidSect="00ED06C9">
      <w:footnotePr>
        <w:numRestart w:val="eachSect"/>
      </w:footnotePr>
      <w:pgSz w:w="12240" w:h="15840"/>
      <w:pgMar w:top="860" w:right="1000" w:bottom="860" w:left="1000" w:header="720" w:footer="720" w:gutter="0"/>
      <w:cols w:space="720"/>
      <w:docGrid w:linePitch="2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7D470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930780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5F832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37131248">
    <w:abstractNumId w:val="0"/>
  </w:num>
  <w:num w:numId="2" w16cid:durableId="919287364">
    <w:abstractNumId w:val="1"/>
  </w:num>
  <w:num w:numId="3" w16cid:durableId="19252640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3893"/>
    <w:rsid w:val="006B72CF"/>
    <w:rsid w:val="006C3893"/>
    <w:rsid w:val="00E8592D"/>
    <w:rsid w:val="00ED0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BE2CE"/>
  <w15:docId w15:val="{E3C5209B-7B8D-462A-B281-3193BE2AC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40"/>
    </w:pPr>
    <w:rPr>
      <w:rFonts w:ascii="Calibri" w:hAnsi="Calibri" w:cs="Calibri"/>
      <w:sz w:val="18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100" w:after="20"/>
      <w:outlineLvl w:val="0"/>
    </w:pPr>
    <w:rPr>
      <w:rFonts w:eastAsiaTheme="majorEastAsia"/>
      <w:b/>
      <w:color w:val="1F3B5F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/>
      <w:outlineLvl w:val="2"/>
    </w:pPr>
    <w:rPr>
      <w:rFonts w:eastAsiaTheme="majorEastAsia"/>
      <w:b/>
      <w:color w:val="44546A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before="100" w:after="20"/>
      <w:contextualSpacing/>
      <w:jc w:val="center"/>
    </w:pPr>
    <w:rPr>
      <w:rFonts w:eastAsiaTheme="majorEastAsia"/>
      <w:b/>
      <w:color w:val="1F3B5F"/>
      <w:sz w:val="2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eastAsiaTheme="majorEastAsia" w:hAnsi="Calibri" w:cs="Calibri"/>
      <w:b/>
      <w:color w:val="1F3B5F"/>
      <w:sz w:val="2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eastAsiaTheme="majorEastAsia" w:hAnsi="Calibri" w:cs="Calibri"/>
      <w:b/>
      <w:color w:val="1F3B5F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eastAsiaTheme="majorEastAsia" w:hAnsi="Calibri" w:cs="Calibr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Calibri" w:eastAsiaTheme="majorEastAsia" w:hAnsi="Calibri" w:cs="Calibri"/>
      <w:b/>
      <w:color w:val="44546A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ridTable4">
    <w:name w:val="Grid Table 4"/>
    <w:basedOn w:val="TableNormal"/>
    <w:uiPriority w:val="49"/>
    <w:rsid w:val="00ED06C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1492</Words>
  <Characters>8508</Characters>
  <Application>Microsoft Office Word</Application>
  <DocSecurity>0</DocSecurity>
  <Lines>70</Lines>
  <Paragraphs>19</Paragraphs>
  <ScaleCrop>false</ScaleCrop>
  <Company/>
  <LinksUpToDate>false</LinksUpToDate>
  <CharactersWithSpaces>9981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Ian Lalonde</cp:lastModifiedBy>
  <cp:revision>2</cp:revision>
  <dcterms:created xsi:type="dcterms:W3CDTF">2026-07-02T22:40:00Z</dcterms:created>
  <dcterms:modified xsi:type="dcterms:W3CDTF">2026-07-02T22:40:00Z</dcterms:modified>
</cp:coreProperties>
</file>