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677770361"/>
        <w:docPartObj>
          <w:docPartGallery w:val="Table of Contents"/>
          <w:docPartUnique/>
        </w:docPartObj>
      </w:sdtPr>
      <w:sdtEndPr>
        <w:rPr>
          <w:rFonts w:ascii="Calibri" w:hAnsi="Calibri" w:cs="Calibri"/>
          <w:b w:val="0"/>
          <w:sz w:val="21"/>
        </w:rPr>
      </w:sdtEndPr>
      <w:sdtContent>
        <w:p w14:paraId="7D7DE409" w14:textId="77777777" w:rsidR="00C27857" w:rsidRDefault="00B54920" w:rsidP="003663E5">
          <w:pPr>
            <w:pStyle w:val="TOCHeading"/>
            <w:pageBreakBefore/>
          </w:pPr>
          <w:r>
            <w:t>Table of Contents</w:t>
          </w:r>
        </w:p>
        <w:p w14:paraId="61A2284D" w14:textId="77777777" w:rsidR="003663E5" w:rsidRDefault="00B549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754120" w:history="1">
            <w:r w:rsidR="003663E5" w:rsidRPr="007F07D1">
              <w:rPr>
                <w:rStyle w:val="Hyperlink"/>
                <w:noProof/>
              </w:rPr>
              <w:t>DIALOG — Structural Outsourcing Brief</w:t>
            </w:r>
            <w:r w:rsidR="003663E5">
              <w:rPr>
                <w:noProof/>
                <w:webHidden/>
              </w:rPr>
              <w:tab/>
            </w:r>
            <w:r w:rsidR="003663E5">
              <w:rPr>
                <w:noProof/>
                <w:webHidden/>
              </w:rPr>
              <w:fldChar w:fldCharType="begin"/>
            </w:r>
            <w:r w:rsidR="003663E5">
              <w:rPr>
                <w:noProof/>
                <w:webHidden/>
              </w:rPr>
              <w:instrText xml:space="preserve"> PAGEREF _Toc233754120 \h </w:instrText>
            </w:r>
            <w:r w:rsidR="003663E5">
              <w:rPr>
                <w:noProof/>
                <w:webHidden/>
              </w:rPr>
            </w:r>
            <w:r w:rsidR="003663E5">
              <w:rPr>
                <w:noProof/>
                <w:webHidden/>
              </w:rPr>
              <w:fldChar w:fldCharType="separate"/>
            </w:r>
            <w:r w:rsidR="003663E5">
              <w:rPr>
                <w:noProof/>
                <w:webHidden/>
              </w:rPr>
              <w:t>1</w:t>
            </w:r>
            <w:r w:rsidR="003663E5">
              <w:rPr>
                <w:noProof/>
                <w:webHidden/>
              </w:rPr>
              <w:fldChar w:fldCharType="end"/>
            </w:r>
          </w:hyperlink>
        </w:p>
        <w:p w14:paraId="24F0F5B4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1" w:history="1">
            <w:r w:rsidRPr="007F07D1">
              <w:rPr>
                <w:rStyle w:val="Hyperlink"/>
                <w:noProof/>
              </w:rPr>
              <w:t>Bottom line — what DIALOG outsources structural engineering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ECB2A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2" w:history="1">
            <w:r w:rsidRPr="007F07D1">
              <w:rPr>
                <w:rStyle w:val="Hyperlink"/>
                <w:noProof/>
              </w:rPr>
              <w:t>External structural-engineer partner map (verified)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4DCC2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3" w:history="1">
            <w:r w:rsidRPr="007F07D1">
              <w:rPr>
                <w:rStyle w:val="Hyperlink"/>
                <w:noProof/>
              </w:rPr>
              <w:t>The actionable opening — UHNBC Acute Care Tower, Prince George BC [Verified]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5B16E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4" w:history="1">
            <w:r w:rsidRPr="007F07D1">
              <w:rPr>
                <w:rStyle w:val="Hyperlink"/>
                <w:noProof/>
              </w:rPr>
              <w:t>DIALOG structural bench (verified — why they self-perform so much)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9039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5" w:history="1">
            <w:r w:rsidRPr="007F07D1">
              <w:rPr>
                <w:rStyle w:val="Hyperlink"/>
                <w:noProof/>
              </w:rPr>
              <w:t>Do NOT say (fact-check landmines)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D8437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6" w:history="1">
            <w:r w:rsidRPr="007F07D1">
              <w:rPr>
                <w:rStyle w:val="Hyperlink"/>
                <w:noProof/>
              </w:rPr>
              <w:t>Questions for Georg Josi (July 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23F2" w14:textId="77777777" w:rsidR="003663E5" w:rsidRDefault="003663E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754127" w:history="1">
            <w:r w:rsidRPr="007F07D1">
              <w:rPr>
                <w:rStyle w:val="Hyperlink"/>
                <w:noProof/>
              </w:rPr>
              <w:t>Prerequisites — close before July 10 (only KOR 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_Toc233754127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DDF52" w14:textId="77777777" w:rsidR="00C27857" w:rsidRDefault="00B54920">
          <w:r>
            <w:fldChar w:fldCharType="end"/>
          </w:r>
        </w:p>
      </w:sdtContent>
    </w:sdt>
    <w:p w14:paraId="2BBD0F8D" w14:textId="77777777" w:rsidR="00C27857" w:rsidRDefault="00B54920">
      <w:pPr>
        <w:pStyle w:val="Heading1"/>
      </w:pPr>
      <w:bookmarkStart w:id="0" w:name="dialog-structural-outsourcing-brief"/>
      <w:bookmarkStart w:id="1" w:name="_Toc233754120"/>
      <w:r>
        <w:t>DIALOG — Structural Outsourcing Brief</w:t>
      </w:r>
      <w:bookmarkEnd w:id="1"/>
    </w:p>
    <w:p w14:paraId="0F0A67FF" w14:textId="77777777" w:rsidR="00C27857" w:rsidRDefault="00B54920">
      <w:pPr>
        <w:pStyle w:val="FirstParagraph"/>
      </w:pPr>
      <w:r>
        <w:rPr>
          <w:b/>
          <w:bCs/>
        </w:rPr>
        <w:t>KOR Structural · July 10, 2026 meeting · Verified 2026-06-30 (4 research + 6 adversarial verification passes; ~60 projects catalogued firm-wide)</w:t>
      </w:r>
    </w:p>
    <w:p w14:paraId="1D4457F6" w14:textId="77777777" w:rsidR="00C27857" w:rsidRDefault="00B54920" w:rsidP="003663E5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t xml:space="preserve">Every claim is </w:t>
      </w:r>
      <w:r>
        <w:rPr>
          <w:b/>
          <w:bCs/>
        </w:rPr>
        <w:t>[Verified]</w:t>
      </w:r>
      <w:r>
        <w:t xml:space="preserve"> (primary source) or </w:t>
      </w:r>
      <w:r>
        <w:rPr>
          <w:b/>
          <w:bCs/>
        </w:rPr>
        <w:t>[Hypothesis]</w:t>
      </w:r>
      <w:r>
        <w:t xml:space="preserve">. A </w:t>
      </w:r>
      <w:r>
        <w:rPr>
          <w:b/>
          <w:bCs/>
        </w:rPr>
        <w:t>“Do NOT say”</w:t>
      </w:r>
      <w:r>
        <w:t xml:space="preserve"> list flags meeting landmines. Decision-maker: </w:t>
      </w:r>
      <w:r>
        <w:rPr>
          <w:b/>
          <w:bCs/>
        </w:rPr>
        <w:t>Georg Josi</w:t>
      </w:r>
      <w:r>
        <w:t>, Partner/Structural Engineer/Edmonton Studio Chair (PhD, PEng).</w:t>
      </w:r>
    </w:p>
    <w:p w14:paraId="61EF464A" w14:textId="77777777" w:rsidR="00C27857" w:rsidRDefault="00B54920">
      <w:r>
        <w:pict w14:anchorId="76715D11">
          <v:rect id="_x0000_i1025" style="width:0;height:1.5pt" o:hralign="center" o:hrstd="t" o:hr="t"/>
        </w:pict>
      </w:r>
    </w:p>
    <w:p w14:paraId="3368817D" w14:textId="77777777" w:rsidR="00C27857" w:rsidRDefault="00B54920" w:rsidP="003663E5">
      <w:pPr>
        <w:pStyle w:val="Heading2"/>
        <w:pageBreakBefore/>
      </w:pPr>
      <w:bookmarkStart w:id="2" w:name="X3351a517e04db12830a789ebdc6413a2b8dd05f"/>
      <w:bookmarkStart w:id="3" w:name="_Toc233754121"/>
      <w:r>
        <w:t>Bottom line — what DIALOG outsources structural engineering for</w:t>
      </w:r>
      <w:bookmarkEnd w:id="3"/>
    </w:p>
    <w:p w14:paraId="4B3C74DF" w14:textId="77777777" w:rsidR="00C27857" w:rsidRDefault="00B54920">
      <w:pPr>
        <w:pStyle w:val="FirstParagraph"/>
      </w:pPr>
      <w:r>
        <w:t xml:space="preserve">DIALOG self-performs the bulk of its structural with a deep in-house bench. It brings in an external (or co-) structural engineer in </w:t>
      </w:r>
      <w:r>
        <w:rPr>
          <w:b/>
          <w:bCs/>
        </w:rPr>
        <w:t>five recurring situations</w:t>
      </w:r>
      <w:r>
        <w:t xml:space="preserve"> [all Verified against ≥60 projects]:</w:t>
      </w:r>
    </w:p>
    <w:p w14:paraId="695C6E65" w14:textId="77777777" w:rsidR="00C27857" w:rsidRDefault="00B54920">
      <w:pPr>
        <w:pStyle w:val="Compact"/>
        <w:numPr>
          <w:ilvl w:val="0"/>
          <w:numId w:val="2"/>
        </w:numPr>
      </w:pPr>
      <w:r>
        <w:rPr>
          <w:b/>
          <w:bCs/>
        </w:rPr>
        <w:t>Tall towers (~30+ storeys)</w:t>
      </w:r>
      <w:r>
        <w:t xml:space="preserve"> — structural goes external </w:t>
      </w:r>
      <w:r>
        <w:rPr>
          <w:b/>
          <w:bCs/>
        </w:rPr>
        <w:t>regardless of DIALOG’s architect role</w:t>
      </w:r>
      <w:r>
        <w:t xml:space="preserve">. Verified: Brookfield Place Calgary (60 st) → Entuitive; Telus Sky (58 st) → Glotman Simpson; Vancouver House (53 st) → BuroHappold + Glotman Simpson; JW Marriott/ICE District (55 st) → Thornton Tomasetti; The Parks (45+35 st) → RJC. </w:t>
      </w:r>
      <w:r>
        <w:rPr>
          <w:i/>
          <w:iCs/>
        </w:rPr>
        <w:t>(Self-performs low/mid-rise when prime — Enbridge Centre, 26 st, in-house.)</w:t>
      </w:r>
    </w:p>
    <w:p w14:paraId="1A03FB4D" w14:textId="77777777" w:rsidR="00C27857" w:rsidRDefault="00B54920">
      <w:pPr>
        <w:pStyle w:val="Compact"/>
        <w:numPr>
          <w:ilvl w:val="0"/>
          <w:numId w:val="2"/>
        </w:numPr>
      </w:pPr>
      <w:r>
        <w:rPr>
          <w:b/>
          <w:bCs/>
        </w:rPr>
        <w:t>Design-architect-of-record role</w:t>
      </w:r>
      <w:r>
        <w:t xml:space="preserve"> </w:t>
      </w:r>
      <w:r>
        <w:t>— when a design/starchitect leads and DIALOG is delivery/AOR: Calgary Central Library (Snøhetta design → Entuitive); Brookfield (Arney Fender Katsalidis design → Entuitive).</w:t>
      </w:r>
    </w:p>
    <w:p w14:paraId="25CC6DF3" w14:textId="77777777" w:rsidR="00C27857" w:rsidRDefault="00B54920">
      <w:pPr>
        <w:pStyle w:val="Compact"/>
        <w:numPr>
          <w:ilvl w:val="0"/>
          <w:numId w:val="2"/>
        </w:numPr>
      </w:pPr>
      <w:r>
        <w:rPr>
          <w:b/>
          <w:bCs/>
        </w:rPr>
        <w:t>Mega-scale healthcare under design-build/alliance (~$800M+ design-award budget)</w:t>
      </w:r>
      <w:r>
        <w:t xml:space="preserve"> — co-SE: Kaye Edmonton Clinic (~$900M) → </w:t>
      </w:r>
      <w:r>
        <w:rPr>
          <w:b/>
          <w:bCs/>
        </w:rPr>
        <w:t>Jacobs (ex-Yolles), co-equal</w:t>
      </w:r>
      <w:r>
        <w:t xml:space="preserve">; Calgary Cancer Centre ($1.4B, PCL DB) → </w:t>
      </w:r>
      <w:r>
        <w:rPr>
          <w:b/>
          <w:bCs/>
        </w:rPr>
        <w:t>DIALOG + Stantec co-SE.</w:t>
      </w:r>
    </w:p>
    <w:p w14:paraId="2EA2C6DD" w14:textId="77777777" w:rsidR="00C27857" w:rsidRDefault="00B54920">
      <w:pPr>
        <w:pStyle w:val="Compact"/>
        <w:numPr>
          <w:ilvl w:val="0"/>
          <w:numId w:val="2"/>
        </w:numPr>
      </w:pPr>
      <w:r>
        <w:rPr>
          <w:b/>
          <w:bCs/>
        </w:rPr>
        <w:t>Specialist structural innovation they lack</w:t>
      </w:r>
      <w:r>
        <w:t xml:space="preserve"> — pioneer seismic mass timber → </w:t>
      </w:r>
      <w:r>
        <w:rPr>
          <w:b/>
          <w:bCs/>
        </w:rPr>
        <w:t>Fast+Epp</w:t>
      </w:r>
      <w:r>
        <w:t xml:space="preserve"> (The Hive); rammed earth → </w:t>
      </w:r>
      <w:r>
        <w:rPr>
          <w:b/>
          <w:bCs/>
        </w:rPr>
        <w:t>Equilibrium</w:t>
      </w:r>
      <w:r>
        <w:t xml:space="preserve"> </w:t>
      </w:r>
      <w:r>
        <w:t xml:space="preserve">(Nk’Mip); life sciences → </w:t>
      </w:r>
      <w:r>
        <w:rPr>
          <w:b/>
          <w:bCs/>
        </w:rPr>
        <w:t>Blackwell</w:t>
      </w:r>
      <w:r>
        <w:t>; forensic concrete → RJC (Glenbow).</w:t>
      </w:r>
    </w:p>
    <w:p w14:paraId="35B3DFFB" w14:textId="77777777" w:rsidR="00C27857" w:rsidRDefault="00B54920">
      <w:pPr>
        <w:pStyle w:val="Compact"/>
        <w:numPr>
          <w:ilvl w:val="0"/>
          <w:numId w:val="2"/>
        </w:numPr>
      </w:pPr>
      <w:r>
        <w:rPr>
          <w:b/>
          <w:bCs/>
        </w:rPr>
        <w:t>A studio lacking the relevant specialization</w:t>
      </w:r>
      <w:r>
        <w:t xml:space="preserve"> — e.g., DIALOG </w:t>
      </w:r>
      <w:r>
        <w:rPr>
          <w:b/>
          <w:bCs/>
        </w:rPr>
        <w:t>Vancouver has structural engineers but no healthcare specialization</w:t>
      </w:r>
      <w:r>
        <w:t xml:space="preserve"> (healthcare structural is run from Calgary) → drives external/teamed structural on BC healthcare (see UHNBC below).</w:t>
      </w:r>
    </w:p>
    <w:p w14:paraId="50A475E7" w14:textId="77777777" w:rsidR="00C27857" w:rsidRDefault="00B54920">
      <w:pPr>
        <w:pStyle w:val="FirstParagraph"/>
      </w:pPr>
      <w:r>
        <w:rPr>
          <w:b/>
          <w:bCs/>
        </w:rPr>
        <w:t>Self-performs (do NOT pitch these):</w:t>
      </w:r>
      <w:r>
        <w:t xml:space="preserve"> </w:t>
      </w:r>
      <w:r>
        <w:t xml:space="preserve">transit / bridges (their strongest domain — Walterdale, Valley Line, Broadway Subway — always in-house), low/mid-rise buildings, standard institutional &amp; civic (Royal Alberta Museum, Winspear, Enbridge Centre), standard CLT timber, and </w:t>
      </w:r>
      <w:r>
        <w:rPr>
          <w:b/>
          <w:bCs/>
        </w:rPr>
        <w:t>healthcare under ~$800M in Alberta/Ontario when they’re prime</w:t>
      </w:r>
      <w:r>
        <w:t xml:space="preserve"> (Grande Prairie ~$647M design budget → Hildenbrandt/Lenzin; Edson → Renihan).</w:t>
      </w:r>
    </w:p>
    <w:p w14:paraId="504BF0F7" w14:textId="77777777" w:rsidR="00C27857" w:rsidRDefault="00B54920">
      <w:pPr>
        <w:pStyle w:val="BodyText"/>
      </w:pPr>
      <w:r>
        <w:rPr>
          <w:b/>
          <w:bCs/>
        </w:rPr>
        <w:t>One-line meeting answer:</w:t>
      </w:r>
      <w:r>
        <w:t xml:space="preserve"> </w:t>
      </w:r>
      <w:r>
        <w:rPr>
          <w:i/>
          <w:iCs/>
        </w:rPr>
        <w:t>“DIALOG outsources structural on tall towers, on projects where a design architect leads, on mega-scale design-build hospitals (as co-SE), on specialist-innovation work, and where a studio lacks the specialty — and self-performs transit/bridges, mid-rise, standard civic, and sub-$800M home-market healthcare.”</w:t>
      </w:r>
    </w:p>
    <w:p w14:paraId="0C68099A" w14:textId="77777777" w:rsidR="00C27857" w:rsidRDefault="00B54920">
      <w:r>
        <w:pict w14:anchorId="760C4B1C">
          <v:rect id="_x0000_i1026" style="width:0;height:1.5pt" o:hralign="center" o:hrstd="t" o:hr="t"/>
        </w:pict>
      </w:r>
    </w:p>
    <w:p w14:paraId="0E451292" w14:textId="77777777" w:rsidR="00C27857" w:rsidRDefault="00B54920" w:rsidP="003663E5">
      <w:pPr>
        <w:pStyle w:val="Heading2"/>
        <w:pageBreakBefore/>
      </w:pPr>
      <w:bookmarkStart w:id="4" w:name="X5f0bef76d4c739a626bae3dce59c26f13fb2e26"/>
      <w:bookmarkStart w:id="5" w:name="_Toc233754122"/>
      <w:bookmarkEnd w:id="2"/>
      <w:r>
        <w:t>External structural-engineer partner map (verified)</w:t>
      </w:r>
      <w:bookmarkEnd w:id="5"/>
    </w:p>
    <w:p w14:paraId="0AE6124E" w14:textId="77777777" w:rsidR="00C27857" w:rsidRDefault="00B54920">
      <w:pPr>
        <w:pStyle w:val="FirstParagraph"/>
      </w:pPr>
      <w:r>
        <w:t xml:space="preserve">Jacobs (ex-Yolles) · Stantec · RJC Engineers · Fast+Epp · Glotman Simpson · Entuitive · BuroHappold · Thornton Tomasetti · Equilibrium Consulting · Blackwell · ISL Engineering · Structural Design Group. </w:t>
      </w:r>
      <w:r>
        <w:rPr>
          <w:i/>
          <w:iCs/>
        </w:rPr>
        <w:t>(RJC and Entuitive are the ones KOR most directly competes with for AB/BC institutional-and-healthcare overflow.)</w:t>
      </w:r>
    </w:p>
    <w:p w14:paraId="3758F4B5" w14:textId="77777777" w:rsidR="00C27857" w:rsidRDefault="00B54920">
      <w:r>
        <w:pict w14:anchorId="50AA6DC7">
          <v:rect id="_x0000_i1027" style="width:0;height:1.5pt" o:hralign="center" o:hrstd="t" o:hr="t"/>
        </w:pict>
      </w:r>
    </w:p>
    <w:p w14:paraId="6AB08A56" w14:textId="77777777" w:rsidR="00C27857" w:rsidRDefault="00B54920" w:rsidP="003663E5">
      <w:pPr>
        <w:pStyle w:val="Heading2"/>
        <w:pageBreakBefore/>
      </w:pPr>
      <w:bookmarkStart w:id="6" w:name="X7a1e3f44ea02b4aaa194059b0df61ae6feb5a51"/>
      <w:bookmarkStart w:id="7" w:name="_Toc233754123"/>
      <w:bookmarkEnd w:id="4"/>
      <w:r>
        <w:t>The actionable opening — UHNBC Acute Care Tower, Prince George BC [Verified]</w:t>
      </w:r>
      <w:bookmarkEnd w:id="7"/>
    </w:p>
    <w:p w14:paraId="11B7E321" w14:textId="77777777" w:rsidR="00C27857" w:rsidRDefault="00B54920">
      <w:pPr>
        <w:pStyle w:val="Compact"/>
        <w:numPr>
          <w:ilvl w:val="0"/>
          <w:numId w:val="3"/>
        </w:numPr>
      </w:pPr>
      <w:r>
        <w:rPr>
          <w:b/>
          <w:bCs/>
        </w:rPr>
        <w:t>$1.579B</w:t>
      </w:r>
      <w:r>
        <w:t xml:space="preserve">; </w:t>
      </w:r>
      <w:r>
        <w:rPr>
          <w:b/>
          <w:bCs/>
        </w:rPr>
        <w:t>DIALOG + EllisDon</w:t>
      </w:r>
      <w:r>
        <w:t xml:space="preserve"> named preferred proponent (Oct 2025); alliance agreement signed </w:t>
      </w:r>
      <w:r>
        <w:rPr>
          <w:b/>
          <w:bCs/>
        </w:rPr>
        <w:t>Dec 2025</w:t>
      </w:r>
      <w:r>
        <w:t xml:space="preserve">; </w:t>
      </w:r>
      <w:r>
        <w:rPr>
          <w:b/>
          <w:bCs/>
        </w:rPr>
        <w:t>design/development phase runs through late 2026, construction 2027.</w:t>
      </w:r>
    </w:p>
    <w:p w14:paraId="56913351" w14:textId="77777777" w:rsidR="00C27857" w:rsidRDefault="00B54920">
      <w:pPr>
        <w:pStyle w:val="Compact"/>
        <w:numPr>
          <w:ilvl w:val="0"/>
          <w:numId w:val="3"/>
        </w:numPr>
      </w:pPr>
      <w:r>
        <w:rPr>
          <w:b/>
          <w:bCs/>
        </w:rPr>
        <w:t>Structural engineer is publicly unnamed</w:t>
      </w:r>
      <w:r>
        <w:t xml:space="preserve"> — the alliance names only EllisDon, DIALOG BC, PML Mechanical, Houle Electric. SE-sub selection is realistic during the 2026 design phase → </w:t>
      </w:r>
      <w:r>
        <w:rPr>
          <w:b/>
          <w:bCs/>
        </w:rPr>
        <w:t>pursuable but time-sensitive.</w:t>
      </w:r>
    </w:p>
    <w:p w14:paraId="1B6A8B76" w14:textId="77777777" w:rsidR="00C27857" w:rsidRDefault="00B54920">
      <w:pPr>
        <w:pStyle w:val="Compact"/>
        <w:numPr>
          <w:ilvl w:val="0"/>
          <w:numId w:val="3"/>
        </w:numPr>
      </w:pPr>
      <w:r>
        <w:rPr>
          <w:b/>
          <w:bCs/>
        </w:rPr>
        <w:t>Why KOR fits:</w:t>
      </w:r>
      <w:r>
        <w:t xml:space="preserve"> it’s </w:t>
      </w:r>
      <w:r>
        <w:rPr>
          <w:b/>
          <w:bCs/>
        </w:rPr>
        <w:t>in BC (KOR home turf — no APEGA barrier)</w:t>
      </w:r>
      <w:r>
        <w:t xml:space="preserve">, and it sits in DIALOG’s </w:t>
      </w:r>
      <w:r>
        <w:rPr>
          <w:b/>
          <w:bCs/>
        </w:rPr>
        <w:t>Vancouver healthcare-structural specialization gap.</w:t>
      </w:r>
      <w:r>
        <w:t xml:space="preserve"> </w:t>
      </w:r>
      <w:r>
        <w:t>This is the single best, real opening — far more actionable than the Edmonton venue/hospital seats.</w:t>
      </w:r>
    </w:p>
    <w:p w14:paraId="6174E9F5" w14:textId="77777777" w:rsidR="00C27857" w:rsidRDefault="00B54920">
      <w:pPr>
        <w:pStyle w:val="FirstParagraph"/>
      </w:pPr>
      <w:r>
        <w:rPr>
          <w:i/>
          <w:iCs/>
        </w:rPr>
        <w:t>Edmonton items for context: Event Park (DIALOG+HNTB — likely DIALOG self-perform or Thornton Tomasetti) and NAIT (likely DIALOG self-perform) are probe-not-pitch. Misericordia inpatient tower (architect seat open, planning-only funding) is a long-lead AB teaming watch.</w:t>
      </w:r>
    </w:p>
    <w:p w14:paraId="5D404FC4" w14:textId="77777777" w:rsidR="00C27857" w:rsidRDefault="00B54920">
      <w:r>
        <w:pict w14:anchorId="354247D5">
          <v:rect id="_x0000_i1028" style="width:0;height:1.5pt" o:hralign="center" o:hrstd="t" o:hr="t"/>
        </w:pict>
      </w:r>
    </w:p>
    <w:p w14:paraId="07410466" w14:textId="77777777" w:rsidR="00C27857" w:rsidRDefault="00B54920" w:rsidP="003663E5">
      <w:pPr>
        <w:pStyle w:val="Heading2"/>
        <w:pageBreakBefore/>
      </w:pPr>
      <w:bookmarkStart w:id="8" w:name="X47bec40a7c961b90ae8b69b8ef2d8cc8fd8bee7"/>
      <w:bookmarkStart w:id="9" w:name="_Toc233754124"/>
      <w:bookmarkEnd w:id="6"/>
      <w:r>
        <w:t>DIALOG structural bench (verified — why they self-perform so much)</w:t>
      </w:r>
      <w:bookmarkEnd w:id="9"/>
    </w:p>
    <w:p w14:paraId="645269A3" w14:textId="77777777" w:rsidR="00C27857" w:rsidRDefault="00B54920">
      <w:pPr>
        <w:pStyle w:val="FirstParagraph"/>
      </w:pPr>
      <w:r>
        <w:rPr>
          <w:b/>
          <w:bCs/>
        </w:rPr>
        <w:t>Edmonton:</w:t>
      </w:r>
      <w:r>
        <w:t xml:space="preserve"> </w:t>
      </w:r>
      <w:r>
        <w:t xml:space="preserve">Georg Josi (Partner, Studio Chair), Steven Oosterhof (Partner — venue/ICE District), Neil Robson (Partner — transport/institutional), Sandra Renihan (Partner — transit focus), Steven Prozniak (Assoc — bridges), Ryan Renihan / Larissa Ulcar / Victoria Buffam (Assoc), Jeff DiBattista (Partner Emeritus, engaged). </w:t>
      </w:r>
      <w:r>
        <w:rPr>
          <w:b/>
          <w:bCs/>
        </w:rPr>
        <w:t>Calgary (healthcare structural):</w:t>
      </w:r>
      <w:r>
        <w:t xml:space="preserve"> Ralph Hildenbrandt, Chris Lenzin. </w:t>
      </w:r>
      <w:r>
        <w:rPr>
          <w:b/>
          <w:bCs/>
        </w:rPr>
        <w:t>Vancouver (tall-building/commercial — no healthcare specialty):</w:t>
      </w:r>
      <w:r>
        <w:t xml:space="preserve"> </w:t>
      </w:r>
      <w:r>
        <w:t>Fadi Ghorayeb (Managing Partner), Thomas Wu (Partner), Mehrak Razavi (Principal Assoc).</w:t>
      </w:r>
    </w:p>
    <w:p w14:paraId="48AB6EFA" w14:textId="77777777" w:rsidR="00C27857" w:rsidRDefault="00B54920">
      <w:r>
        <w:pict w14:anchorId="4ACA765E">
          <v:rect id="_x0000_i1029" style="width:0;height:1.5pt" o:hralign="center" o:hrstd="t" o:hr="t"/>
        </w:pict>
      </w:r>
    </w:p>
    <w:p w14:paraId="73CD41B6" w14:textId="77777777" w:rsidR="00C27857" w:rsidRDefault="00B54920" w:rsidP="003663E5">
      <w:pPr>
        <w:pStyle w:val="Heading2"/>
        <w:pageBreakBefore/>
      </w:pPr>
      <w:bookmarkStart w:id="10" w:name="do-not-say-fact-check-landmines"/>
      <w:bookmarkStart w:id="11" w:name="_Toc233754125"/>
      <w:bookmarkEnd w:id="8"/>
      <w:r>
        <w:t>Do NOT say (fact-check landmines)</w:t>
      </w:r>
      <w:bookmarkEnd w:id="11"/>
    </w:p>
    <w:p w14:paraId="245EDB9B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say DIALOG self-performs structural on 60-storey towers — refuted; tall towers go to Entuitive/Glotman/BuroHappold/TT.</w:t>
      </w:r>
    </w:p>
    <w:p w14:paraId="661B7FC8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say DIALOG “outsources hospital structural” broadly — they self-perform sub-$800M home-market hospitals in-house (Hildenbrandt/Renihan/Lenzin).</w:t>
      </w:r>
    </w:p>
    <w:p w14:paraId="4801F785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say DIALOG Vancouver has “only one structural engineer” — there are ≥3; the real point is </w:t>
      </w:r>
      <w:r>
        <w:rPr>
          <w:b/>
          <w:bCs/>
        </w:rPr>
        <w:t>no healthcare specialization</w:t>
      </w:r>
      <w:r>
        <w:t>.</w:t>
      </w:r>
    </w:p>
    <w:p w14:paraId="0E817752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attribute Foothills McCaig Tower structural to Stantec — unverified; say “a separate structural firm” (DIALOG was architecture-only).</w:t>
      </w:r>
    </w:p>
    <w:p w14:paraId="17CB3BA4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say UHNBC construction starts “fall 2026” — it’s </w:t>
      </w:r>
      <w:r>
        <w:rPr>
          <w:b/>
          <w:bCs/>
        </w:rPr>
        <w:t>2027</w:t>
      </w:r>
      <w:r>
        <w:t>; design phase through late 2026.</w:t>
      </w:r>
    </w:p>
    <w:p w14:paraId="6ABBB48E" w14:textId="77777777" w:rsidR="00C27857" w:rsidRDefault="00B54920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say Oosterhof was Rogers Place SE-of-record (TT was prime); or that the AB seismic rule is Alberta-unique (national NBC 2020, effective in AB </w:t>
      </w:r>
      <w:r>
        <w:rPr>
          <w:b/>
          <w:bCs/>
        </w:rPr>
        <w:t>May 1 2024</w:t>
      </w:r>
      <w:r>
        <w:t>, hospitals post-disaster IE 1.5).</w:t>
      </w:r>
    </w:p>
    <w:p w14:paraId="3E0A8B58" w14:textId="77777777" w:rsidR="00C27857" w:rsidRDefault="00B54920" w:rsidP="003663E5">
      <w:pPr>
        <w:pStyle w:val="Heading2"/>
        <w:pageBreakBefore/>
      </w:pPr>
      <w:bookmarkStart w:id="12" w:name="questions-for-georg-josi-july-10"/>
      <w:bookmarkStart w:id="13" w:name="_Toc233754126"/>
      <w:bookmarkEnd w:id="10"/>
      <w:r>
        <w:t>Questions for Georg Josi (July 10)</w:t>
      </w:r>
      <w:bookmarkEnd w:id="13"/>
    </w:p>
    <w:p w14:paraId="35908E0E" w14:textId="77777777" w:rsidR="00C27857" w:rsidRDefault="00B54920">
      <w:pPr>
        <w:pStyle w:val="Compact"/>
        <w:numPr>
          <w:ilvl w:val="0"/>
          <w:numId w:val="5"/>
        </w:numPr>
      </w:pPr>
      <w:r>
        <w:t xml:space="preserve">“On </w:t>
      </w:r>
      <w:r>
        <w:rPr>
          <w:b/>
          <w:bCs/>
        </w:rPr>
        <w:t>UHNBC</w:t>
      </w:r>
      <w:r>
        <w:t xml:space="preserve"> </w:t>
      </w:r>
      <w:r>
        <w:t>in Prince George — how are you sourcing structural within the alliance? Is there a role for a BC structural partner?”</w:t>
      </w:r>
    </w:p>
    <w:p w14:paraId="05A675D2" w14:textId="77777777" w:rsidR="00C27857" w:rsidRDefault="00B54920">
      <w:pPr>
        <w:pStyle w:val="Compact"/>
        <w:numPr>
          <w:ilvl w:val="0"/>
          <w:numId w:val="5"/>
        </w:numPr>
      </w:pPr>
      <w:r>
        <w:t>“When a hospital hits Kaye/Calgary-Cancer scale under design-build, how do you structure the co-SE — and who do you reach for?”</w:t>
      </w:r>
    </w:p>
    <w:p w14:paraId="5E02BEBF" w14:textId="77777777" w:rsidR="00C27857" w:rsidRDefault="00B54920">
      <w:pPr>
        <w:pStyle w:val="Compact"/>
        <w:numPr>
          <w:ilvl w:val="0"/>
          <w:numId w:val="5"/>
        </w:numPr>
      </w:pPr>
      <w:r>
        <w:t>“Your Vancouver studio’s structural strength is tall-building — how do you cover healthcare structural there?”</w:t>
      </w:r>
    </w:p>
    <w:p w14:paraId="2A5C8DD7" w14:textId="77777777" w:rsidR="00C27857" w:rsidRDefault="00B54920">
      <w:pPr>
        <w:pStyle w:val="Compact"/>
        <w:numPr>
          <w:ilvl w:val="0"/>
          <w:numId w:val="5"/>
        </w:numPr>
      </w:pPr>
      <w:r>
        <w:t>“Where’s your structural bandwidth tightest over the next 24 months?”</w:t>
      </w:r>
    </w:p>
    <w:p w14:paraId="3BBA2C86" w14:textId="77777777" w:rsidR="00C27857" w:rsidRDefault="00B54920" w:rsidP="003663E5">
      <w:pPr>
        <w:pStyle w:val="Heading2"/>
        <w:pageBreakBefore/>
      </w:pPr>
      <w:bookmarkStart w:id="14" w:name="X3307e16a0659ff59c2f591c95fcda550004a6d3"/>
      <w:bookmarkStart w:id="15" w:name="_Toc233754127"/>
      <w:bookmarkEnd w:id="12"/>
      <w:r>
        <w:t>Prerequisites — close before July 10 (only KOR can)</w:t>
      </w:r>
      <w:bookmarkEnd w:id="15"/>
    </w:p>
    <w:p w14:paraId="704AEC17" w14:textId="77777777" w:rsidR="00C27857" w:rsidRDefault="00B54920">
      <w:pPr>
        <w:pStyle w:val="Compact"/>
        <w:numPr>
          <w:ilvl w:val="0"/>
          <w:numId w:val="6"/>
        </w:numPr>
      </w:pPr>
      <w:r>
        <w:rPr>
          <w:b/>
          <w:bCs/>
        </w:rPr>
        <w:t>APEGA Permit to Practice</w:t>
      </w:r>
      <w:r>
        <w:t xml:space="preserve"> </w:t>
      </w:r>
      <w:r>
        <w:t xml:space="preserve">for any Alberta work (hard requirement) — </w:t>
      </w:r>
      <w:r>
        <w:rPr>
          <w:i/>
          <w:iCs/>
        </w:rPr>
        <w:t>though UHNBC being in BC removes this barrier for the best opening.</w:t>
      </w:r>
    </w:p>
    <w:p w14:paraId="05501F47" w14:textId="77777777" w:rsidR="00C27857" w:rsidRDefault="00B54920">
      <w:pPr>
        <w:pStyle w:val="Compact"/>
        <w:numPr>
          <w:ilvl w:val="0"/>
          <w:numId w:val="6"/>
        </w:numPr>
      </w:pPr>
      <w:r>
        <w:rPr>
          <w:b/>
          <w:bCs/>
        </w:rPr>
        <w:t>Nameable BC hospital / high-importance SE references</w:t>
      </w:r>
      <w:r>
        <w:t xml:space="preserve"> — the healthcare-seismic wedge (NBC post-disaster, IE 1.5, effective AB May 1 2024) is only credible with real references.</w:t>
      </w:r>
    </w:p>
    <w:p w14:paraId="6DCC9013" w14:textId="77777777" w:rsidR="00C27857" w:rsidRDefault="00B54920">
      <w:r>
        <w:pict w14:anchorId="542BD2A2">
          <v:rect id="_x0000_i1030" style="width:0;height:1.5pt" o:hralign="center" o:hrstd="t" o:hr="t"/>
        </w:pict>
      </w:r>
    </w:p>
    <w:p w14:paraId="5BC02C53" w14:textId="77777777" w:rsidR="00C27857" w:rsidRDefault="00B54920">
      <w:pPr>
        <w:pStyle w:val="FirstParagraph"/>
      </w:pPr>
      <w:r>
        <w:rPr>
          <w:i/>
          <w:iCs/>
        </w:rPr>
        <w:t>Verification: 4 research passes (2 SE-mechanics/pipeline, 2 portfolio catalogue) + 6 adversarial primary-source fact-checks (~60 projects), 2026-06-30. Sources: dialogdesign.ca, majorprojects.alberta.ca, infrastructurebc.com, northernhealth.ca, alberta.ca, apega.ca, entuitive.com, glotmansimpson.com, thorntontomasetti.com, archdaily.com, Canadian Consulting Engineer/Architect, rjc.ca, fastepp.com. Confidence per claim; “[Hypothesis]” = test in the room, do not assert.</w:t>
      </w:r>
      <w:bookmarkEnd w:id="0"/>
      <w:bookmarkEnd w:id="14"/>
    </w:p>
    <w:sectPr w:rsidR="00C2785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66073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88ED7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4D490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26841863">
    <w:abstractNumId w:val="0"/>
  </w:num>
  <w:num w:numId="2" w16cid:durableId="5351180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9293693">
    <w:abstractNumId w:val="1"/>
  </w:num>
  <w:num w:numId="4" w16cid:durableId="112662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5783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69154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7857"/>
    <w:rsid w:val="003663E5"/>
    <w:rsid w:val="005F7B47"/>
    <w:rsid w:val="00B54920"/>
    <w:rsid w:val="00C2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C6E21"/>
  <w15:docId w15:val="{6EDEF697-4C6F-460E-BA35-2B908FA3E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663E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663E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1159</Words>
  <Characters>6609</Characters>
  <Application>Microsoft Office Word</Application>
  <DocSecurity>0</DocSecurity>
  <Lines>55</Lines>
  <Paragraphs>15</Paragraphs>
  <ScaleCrop>false</ScaleCrop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2026-07-01T06:21:00Z</dcterms:created>
  <dcterms:modified xsi:type="dcterms:W3CDTF">2026-07-01T06:21:00Z</dcterms:modified>
</cp:coreProperties>
</file>