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Calibri" w:hAnsi="Calibri" w:eastAsia="Calibri"/>
          <w:b/>
          <w:color w:val="2E74B5"/>
          <w:sz w:val="21"/>
        </w:rPr>
        <w:t>PRODUCT REQUIREMENTS DOCUMENT</w:t>
      </w:r>
    </w:p>
    <w:p>
      <w:pPr>
        <w:spacing w:after="80"/>
      </w:pPr>
      <w:r>
        <w:rPr>
          <w:rFonts w:ascii="Calibri" w:hAnsi="Calibri" w:eastAsia="Calibri"/>
          <w:b/>
          <w:color w:val="0B2545"/>
          <w:sz w:val="56"/>
        </w:rPr>
        <w:t>Pilot Prediction System</w:t>
      </w:r>
    </w:p>
    <w:p>
      <w:pPr>
        <w:spacing w:after="320"/>
      </w:pPr>
      <w:r>
        <w:rPr>
          <w:rFonts w:ascii="Calibri" w:hAnsi="Calibri" w:eastAsia="Calibri"/>
          <w:color w:val="5E6B78"/>
          <w:sz w:val="27"/>
        </w:rPr>
        <w:t>Multimodal helicopter-flight-academy aptitude assessment and course-completion prediction</w:t>
      </w:r>
    </w:p>
    <w:p>
      <w:pPr>
        <w:spacing w:after="40"/>
      </w:pPr>
      <w:r>
        <w:t>Version: 0.3</w:t>
      </w:r>
    </w:p>
    <w:p>
      <w:pPr>
        <w:spacing w:after="40"/>
      </w:pPr>
      <w:r>
        <w:rPr>
          <w:rFonts w:ascii="Calibri" w:hAnsi="Calibri" w:eastAsia="Calibri"/>
          <w:b/>
          <w:color w:val="0B2545"/>
          <w:sz w:val="21"/>
        </w:rPr>
        <w:t>Status: Draft for engineering review</w:t>
      </w:r>
    </w:p>
    <w:p>
      <w:pPr>
        <w:spacing w:after="40"/>
      </w:pPr>
      <w:r>
        <w:t>Date: 29 August 2026</w:t>
      </w:r>
    </w:p>
    <w:p>
      <w:pPr>
        <w:spacing w:after="40"/>
      </w:pPr>
      <w:r>
        <w:rPr>
          <w:rFonts w:ascii="Calibri" w:hAnsi="Calibri" w:eastAsia="Calibri"/>
          <w:b/>
          <w:color w:val="0B2545"/>
          <w:sz w:val="21"/>
        </w:rPr>
        <w:t xml:space="preserve">System context: </w:t>
      </w:r>
      <w:r>
        <w:rPr>
          <w:rFonts w:ascii="Calibri" w:hAnsi="Calibri" w:eastAsia="Calibri"/>
          <w:color w:val="0B2545"/>
          <w:sz w:val="21"/>
        </w:rPr>
        <w:t>Flight Academy | AW119 (Koala) simulator</w:t>
      </w:r>
    </w:p>
    <w:p>
      <w:pPr>
        <w:spacing w:after="40"/>
      </w:pPr>
      <w:r>
        <w:rPr>
          <w:rFonts w:ascii="Calibri" w:hAnsi="Calibri" w:eastAsia="Calibri"/>
          <w:b/>
          <w:color w:val="0B2545"/>
          <w:sz w:val="21"/>
        </w:rPr>
        <w:t xml:space="preserve">Delivery scope: </w:t>
      </w:r>
      <w:r>
        <w:rPr>
          <w:rFonts w:ascii="Calibri" w:hAnsi="Calibri" w:eastAsia="Calibri"/>
          <w:color w:val="0B2545"/>
          <w:sz w:val="21"/>
        </w:rPr>
        <w:t>Research POC and MVP baseline</w:t>
      </w:r>
    </w:p>
    <w:p>
      <w:pPr>
        <w:spacing w:after="40"/>
      </w:pPr>
      <w:r>
        <w:rPr>
          <w:rFonts w:ascii="Calibri" w:hAnsi="Calibri" w:eastAsia="Calibri"/>
          <w:b/>
          <w:color w:val="0B2545"/>
          <w:sz w:val="21"/>
        </w:rPr>
        <w:t xml:space="preserve">Data handling: </w:t>
      </w:r>
      <w:r>
        <w:rPr>
          <w:rFonts w:ascii="Calibri" w:hAnsi="Calibri" w:eastAsia="Calibri"/>
          <w:color w:val="0B2545"/>
          <w:sz w:val="21"/>
        </w:rPr>
        <w:t>Privacy-sensitive; information classification and retention policy TBD</w:t>
      </w:r>
    </w:p>
    <w:p>
      <w:pPr>
        <w:spacing w:after="80"/>
      </w:pPr>
    </w:p>
    <w:p>
      <w:pPr>
        <w:spacing w:before="100" w:after="180" w:line="259" w:lineRule="auto"/>
        <w:ind w:left="173" w:right="173"/>
        <w:shd w:fill="E8EEF5"/>
        <w:pBdr>
          <w:top w:val="single" w:sz="6" w:space="8" w:color="D7DEE7"/>
          <w:left w:val="single" w:sz="6" w:space="8" w:color="D7DEE7"/>
          <w:bottom w:val="single" w:sz="6" w:space="8" w:color="D7DEE7"/>
          <w:right w:val="single" w:sz="6" w:space="8" w:color="D7DEE7"/>
        </w:pBdr>
      </w:pPr>
      <w:r>
        <w:rPr>
          <w:rFonts w:ascii="Calibri" w:hAnsi="Calibri" w:eastAsia="Calibri"/>
          <w:b/>
          <w:color w:val="2E74B5"/>
          <w:sz w:val="21"/>
        </w:rPr>
        <w:t xml:space="preserve">Core product decision: </w:t>
      </w:r>
      <w:r>
        <w:rPr>
          <w:rFonts w:ascii="Calibri" w:hAnsi="Calibri" w:eastAsia="Calibri"/>
          <w:color w:val="0B2545"/>
          <w:sz w:val="21"/>
        </w:rPr>
        <w:t>The system is an evidence-backed decision-support tool. It must not make an autonomous pass/fail decision. Human evaluators and the selection board retain authority.</w:t>
      </w:r>
    </w:p>
    <w:p>
      <w:pPr>
        <w:pStyle w:val="Heading2"/>
        <w:keepNext/>
        <w:pageBreakBefore w:val="0"/>
      </w:pPr>
      <w:r>
        <w:t>Document status and conventions</w:t>
      </w:r>
    </w:p>
    <w:p>
      <w:pPr/>
      <w:r>
        <w:rPr>
          <w:rFonts w:ascii="Calibri" w:hAnsi="Calibri" w:eastAsia="Calibri"/>
          <w:i w:val="0"/>
          <w:color w:val="0B2545"/>
          <w:sz w:val="22"/>
        </w:rPr>
        <w:t>This PRD consolidates the agreed product direction and turns unresolved details into explicit assumptions or TBD decisions. Version 0.2 also fixes the staged delivery decision: the immediate demonstrators are independent audio and telemetry silos; synchronization and multimodal fusion remain target-state capabilities. Numeric model-quality thresholds labeled "proposed" are initial engineering gates and require ratification after the data audit and label-reliability study.</w:t>
      </w:r>
    </w:p>
    <w:p>
      <w:pPr>
        <w:pStyle w:val="Heading2"/>
        <w:keepNext/>
        <w:pageBreakBefore w:val="0"/>
      </w:pPr>
      <w:r>
        <w:t>Contents</w:t>
      </w:r>
    </w:p>
    <w:p>
      <w:pPr>
        <w:keepLines/>
        <w:spacing w:after="160" w:line="280" w:lineRule="auto"/>
        <w:numPr>
          <w:ilvl w:val="0"/>
          <w:numId w:val="11"/>
        </w:numPr>
      </w:pPr>
      <w:r>
        <w:rPr>
          <w:rFonts w:ascii="Calibri" w:hAnsi="Calibri" w:eastAsia="Calibri"/>
          <w:color w:val="0B2545"/>
          <w:sz w:val="22"/>
        </w:rPr>
        <w:t>Executive summary and product definition</w:t>
      </w:r>
    </w:p>
    <w:p>
      <w:pPr>
        <w:keepLines/>
        <w:spacing w:after="160" w:line="280" w:lineRule="auto"/>
        <w:numPr>
          <w:ilvl w:val="0"/>
          <w:numId w:val="11"/>
        </w:numPr>
      </w:pPr>
      <w:r>
        <w:rPr>
          <w:rFonts w:ascii="Calibri" w:hAnsi="Calibri" w:eastAsia="Calibri"/>
          <w:color w:val="0B2545"/>
          <w:sz w:val="22"/>
        </w:rPr>
        <w:t>Goals, non-goals, scope and stakeholders</w:t>
      </w:r>
    </w:p>
    <w:p>
      <w:pPr>
        <w:keepLines/>
        <w:spacing w:after="160" w:line="280" w:lineRule="auto"/>
        <w:numPr>
          <w:ilvl w:val="0"/>
          <w:numId w:val="11"/>
        </w:numPr>
      </w:pPr>
      <w:r>
        <w:rPr>
          <w:rFonts w:ascii="Calibri" w:hAnsi="Calibri" w:eastAsia="Calibri"/>
          <w:color w:val="0B2545"/>
          <w:sz w:val="22"/>
        </w:rPr>
        <w:t>Operational concept, near-term demos, outputs and scoring model</w:t>
      </w:r>
    </w:p>
    <w:p>
      <w:pPr>
        <w:keepLines/>
        <w:spacing w:after="160" w:line="280" w:lineRule="auto"/>
        <w:numPr>
          <w:ilvl w:val="0"/>
          <w:numId w:val="11"/>
        </w:numPr>
      </w:pPr>
      <w:r>
        <w:rPr>
          <w:rFonts w:ascii="Calibri" w:hAnsi="Calibri" w:eastAsia="Calibri"/>
          <w:color w:val="0B2545"/>
          <w:sz w:val="22"/>
        </w:rPr>
        <w:t>Data sources, metadata and domain model</w:t>
      </w:r>
    </w:p>
    <w:p>
      <w:pPr>
        <w:keepLines/>
        <w:spacing w:after="160" w:line="280" w:lineRule="auto"/>
        <w:numPr>
          <w:ilvl w:val="0"/>
          <w:numId w:val="11"/>
        </w:numPr>
      </w:pPr>
      <w:r>
        <w:rPr>
          <w:rFonts w:ascii="Calibri" w:hAnsi="Calibri" w:eastAsia="Calibri"/>
          <w:color w:val="0B2545"/>
          <w:sz w:val="22"/>
        </w:rPr>
        <w:t>Functional requirements and processing pipelines</w:t>
      </w:r>
    </w:p>
    <w:p>
      <w:pPr>
        <w:keepLines/>
        <w:spacing w:after="160" w:line="280" w:lineRule="auto"/>
        <w:numPr>
          <w:ilvl w:val="0"/>
          <w:numId w:val="11"/>
        </w:numPr>
      </w:pPr>
      <w:r>
        <w:rPr>
          <w:rFonts w:ascii="Calibri" w:hAnsi="Calibri" w:eastAsia="Calibri"/>
          <w:color w:val="0B2545"/>
          <w:sz w:val="22"/>
        </w:rPr>
        <w:t>System architecture, machine learning and reporting</w:t>
      </w:r>
    </w:p>
    <w:p>
      <w:pPr>
        <w:keepLines/>
        <w:spacing w:after="160" w:line="280" w:lineRule="auto"/>
        <w:numPr>
          <w:ilvl w:val="0"/>
          <w:numId w:val="11"/>
        </w:numPr>
      </w:pPr>
      <w:r>
        <w:rPr>
          <w:rFonts w:ascii="Calibri" w:hAnsi="Calibri" w:eastAsia="Calibri"/>
          <w:color w:val="0B2545"/>
          <w:sz w:val="22"/>
        </w:rPr>
        <w:t>Non-functional requirements, deployment and security</w:t>
      </w:r>
    </w:p>
    <w:p>
      <w:pPr>
        <w:keepLines/>
        <w:spacing w:after="160" w:line="280" w:lineRule="auto"/>
        <w:numPr>
          <w:ilvl w:val="0"/>
          <w:numId w:val="11"/>
        </w:numPr>
      </w:pPr>
      <w:r>
        <w:rPr>
          <w:rFonts w:ascii="Calibri" w:hAnsi="Calibri" w:eastAsia="Calibri"/>
          <w:color w:val="0B2545"/>
          <w:sz w:val="22"/>
        </w:rPr>
        <w:t>Validation, success metrics, risks and delivery plan</w:t>
      </w:r>
    </w:p>
    <w:p>
      <w:pPr>
        <w:keepLines/>
        <w:spacing w:after="160" w:line="280" w:lineRule="auto"/>
        <w:numPr>
          <w:ilvl w:val="0"/>
          <w:numId w:val="11"/>
        </w:numPr>
      </w:pPr>
      <w:r>
        <w:rPr>
          <w:rFonts w:ascii="Calibri" w:hAnsi="Calibri" w:eastAsia="Calibri"/>
          <w:color w:val="0B2545"/>
          <w:sz w:val="22"/>
        </w:rPr>
        <w:t>Open decisions and appendices</w:t>
      </w:r>
    </w:p>
    <w:p>
      <w:pPr>
        <w:pStyle w:val="Heading1"/>
        <w:keepNext/>
        <w:pageBreakBefore/>
      </w:pPr>
      <w:r>
        <w:t>Executive summary</w:t>
      </w:r>
    </w:p>
    <w:p>
      <w:pPr/>
      <w:r>
        <w:rPr>
          <w:rFonts w:ascii="Calibri" w:hAnsi="Calibri" w:eastAsia="Calibri"/>
          <w:i w:val="0"/>
          <w:color w:val="0B2545"/>
          <w:sz w:val="22"/>
        </w:rPr>
        <w:t>The Pilot Prediction System will use high-frequency simulator telemetry, pilot-facing video, outside/horizon or nose video, and flight audio to assist the helicopter flight academy in evaluating novice trainee aptitude. The initial simulator platform is the Augusta Westland 119 (Koala). The target product will synchronize modalities, divide each sortie into exercise occurrences, extract versioned features, and produce an evidence-backed, evolving trainee assessment. To deliver useful demonstrations quickly, the first increment deliberately runs two independent single-modality silos: audio-based speech and hesitation analysis, and telemetry-only exercise analysis. Neither demo depends on multimodal synchronization or fusion.</w:t>
      </w:r>
    </w:p>
    <w:p>
      <w:pPr/>
      <w:r>
        <w:rPr>
          <w:rFonts w:ascii="Calibri" w:hAnsi="Calibri" w:eastAsia="Calibri"/>
          <w:i w:val="0"/>
          <w:color w:val="0B2545"/>
          <w:sz w:val="22"/>
        </w:rPr>
        <w:t>In the target product, two outputs are mandatory after every eligible sortie: (1) a grade for each drill or maneuver and (2) an updated, calibrated estimate of the trainee's probability of completing the flight course. Supporting outputs include profile dimensions, strengths and development areas, trend over sorties, comparison with the relevant cohort, data-quality status, evidence, and confidence. The immediate D0 demos do not attempt course-completion prediction and must not present a combined aptitude score.</w:t>
      </w:r>
      <w:r>
        <w:t xml:space="preserve"> The current recommended release baseline is exercise-level grading in V1 and completion-probability modeling in V2; this remains subject to stakeholder approval under RG-05.</w:t>
      </w:r>
    </w:p>
    <w:p>
      <w:pPr/>
      <w:r>
        <w:rPr>
          <w:rFonts w:ascii="Calibri" w:hAnsi="Calibri" w:eastAsia="Calibri"/>
          <w:i w:val="0"/>
          <w:color w:val="0B2545"/>
          <w:sz w:val="22"/>
        </w:rPr>
        <w:t>The system is designed to assess aptitude rather than memorized checklist or SOP compliance. It should help evaluators detect patterns that are difficult to observe consistently across six sorties and multiple evaluators, while preserving human judgment and making uncertainty visible.</w:t>
      </w:r>
    </w:p>
    <w:p>
      <w:pPr>
        <w:pStyle w:val="Heading1"/>
        <w:keepNext/>
        <w:pageBreakBefore w:val="0"/>
      </w:pPr>
      <w:r>
        <w:t>Background and problem statement</w:t>
      </w:r>
    </w:p>
    <w:p>
      <w:pPr/>
      <w:r>
        <w:rPr>
          <w:rFonts w:ascii="Calibri" w:hAnsi="Calibri" w:eastAsia="Calibri"/>
          <w:i w:val="0"/>
          <w:color w:val="0B2545"/>
          <w:sz w:val="22"/>
        </w:rPr>
        <w:t>Helicopter pilot selection combines technical flight performance with cognitive and behavioral assessment. Historically, the flying check was performed in a real helicopter with limited instrumentation and a small number of evaluators. The new simulator records hundreds of parameters and multiple media streams, creating a measurable but technically difficult multimodal problem.</w:t>
      </w:r>
    </w:p>
    <w:p>
      <w:pPr/>
      <w:r>
        <w:rPr>
          <w:rFonts w:ascii="Calibri" w:hAnsi="Calibri" w:eastAsia="Calibri"/>
          <w:i w:val="0"/>
          <w:color w:val="0B2545"/>
          <w:sz w:val="22"/>
        </w:rPr>
        <w:t>The central problem is not merely to determine whether a maneuver stayed within limits. The product must identify repeatable signals of natural flying aptitude, thought process, attention management, response to workload, learning, recovery, and interaction with the instructor. These signals occur on different clocks, at different rates, and at different levels of reliability.</w:t>
      </w:r>
    </w:p>
    <w:p>
      <w:pPr>
        <w:spacing w:before="100" w:after="180" w:line="259" w:lineRule="auto"/>
        <w:ind w:left="173" w:right="173"/>
        <w:shd w:fill="F4F6F9"/>
        <w:pBdr>
          <w:top w:val="single" w:sz="6" w:space="8" w:color="D7DEE7"/>
          <w:left w:val="single" w:sz="6" w:space="8" w:color="D7DEE7"/>
          <w:bottom w:val="single" w:sz="6" w:space="8" w:color="D7DEE7"/>
          <w:right w:val="single" w:sz="6" w:space="8" w:color="D7DEE7"/>
        </w:pBdr>
      </w:pPr>
      <w:r>
        <w:rPr>
          <w:rFonts w:ascii="Calibri" w:hAnsi="Calibri" w:eastAsia="Calibri"/>
          <w:b/>
          <w:color w:val="2E74B5"/>
          <w:sz w:val="21"/>
        </w:rPr>
        <w:t xml:space="preserve">Problem to solve: </w:t>
      </w:r>
      <w:r>
        <w:rPr>
          <w:rFonts w:ascii="Calibri" w:hAnsi="Calibri" w:eastAsia="Calibri"/>
          <w:color w:val="0B2545"/>
          <w:sz w:val="21"/>
        </w:rPr>
        <w:t>Convert a set of large, unsynchronized simulator files and human assessments into a traceable longitudinal profile that improves selection consistency without hiding uncertainty or replacing the evaluator.</w:t>
      </w:r>
    </w:p>
    <w:p>
      <w:pPr>
        <w:pStyle w:val="Heading1"/>
        <w:keepNext/>
        <w:pageBreakBefore w:val="0"/>
      </w:pPr>
      <w:r>
        <w:t>Product goals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760"/>
        <w:gridCol w:w="2920"/>
        <w:gridCol w:w="5680"/>
      </w:tblGrid>
      <w:tr>
        <w:trPr>
          <w:tblHeader w:val="true"/>
          <w:cantSplit/>
        </w:trPr>
        <w:tc>
          <w:tcPr>
            <w:tcW w:type="dxa" w:w="7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ID</w:t>
            </w:r>
          </w:p>
        </w:tc>
        <w:tc>
          <w:tcPr>
            <w:tcW w:type="dxa" w:w="292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Goal</w:t>
            </w:r>
          </w:p>
        </w:tc>
        <w:tc>
          <w:tcPr>
            <w:tcW w:type="dxa" w:w="568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Required outcome</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G1</w:t>
            </w:r>
          </w:p>
        </w:tc>
        <w:tc>
          <w:tcPr>
            <w:tcW w:type="dxa" w:w="2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Provide an ongoing readiness assessment</w:t>
            </w:r>
          </w:p>
        </w:tc>
        <w:tc>
          <w:tcPr>
            <w:tcW w:type="dxa" w:w="56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Update exercise grades and course-completion probability after every processed sortie.</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G2</w:t>
            </w:r>
          </w:p>
        </w:tc>
        <w:tc>
          <w:tcPr>
            <w:tcW w:type="dxa" w:w="2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Measure multidimensional aptitude</w:t>
            </w:r>
          </w:p>
        </w:tc>
        <w:tc>
          <w:tcPr>
            <w:tcW w:type="dxa" w:w="56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Represent natural flying ability, cognitive/thought capabilities and character/behavior dimensions with evidence and confidence.</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G3</w:t>
            </w:r>
          </w:p>
        </w:tc>
        <w:tc>
          <w:tcPr>
            <w:tcW w:type="dxa" w:w="2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Build toward standardized multimodal analysis</w:t>
            </w:r>
          </w:p>
        </w:tc>
        <w:tc>
          <w:tcPr>
            <w:tcW w:type="dxa" w:w="56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Deliver useful single-modality outputs first, then synchronize telemetry, video and voice to one canonical flight timeline and exercise hierarchy.</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G4</w:t>
            </w:r>
          </w:p>
        </w:tc>
        <w:tc>
          <w:tcPr>
            <w:tcW w:type="dxa" w:w="2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Support human selection decisions</w:t>
            </w:r>
          </w:p>
        </w:tc>
        <w:tc>
          <w:tcPr>
            <w:tcW w:type="dxa" w:w="56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Give evaluators concise findings, source evidence, trends and peer context while preserving human authority.</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G5</w:t>
            </w:r>
          </w:p>
        </w:tc>
        <w:tc>
          <w:tcPr>
            <w:tcW w:type="dxa" w:w="2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Create a reusable research asset</w:t>
            </w:r>
          </w:p>
        </w:tc>
        <w:tc>
          <w:tcPr>
            <w:tcW w:type="dxa" w:w="56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Maintain versioned raw data, labels, features, experiments and model lineage so results are reproducible.</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G6</w:t>
            </w:r>
          </w:p>
        </w:tc>
        <w:tc>
          <w:tcPr>
            <w:tcW w:type="dxa" w:w="2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Operate on practical local hardware</w:t>
            </w:r>
          </w:p>
        </w:tc>
        <w:tc>
          <w:tcPr>
            <w:tcW w:type="dxa" w:w="56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Run the first independent demos and the later integrated POC on one DGX Spark, with measurable latency and data-quality limits.</w:t>
            </w:r>
          </w:p>
        </w:tc>
      </w:tr>
    </w:tbl>
    <w:p>
      <w:pPr>
        <w:spacing w:after="40"/>
      </w:pPr>
    </w:p>
    <w:p>
      <w:pPr>
        <w:pStyle w:val="Heading1"/>
        <w:keepNext/>
        <w:pageBreakBefore w:val="0"/>
      </w:pPr>
      <w:r>
        <w:t>Non-goals</w:t>
      </w:r>
    </w:p>
    <w:p>
      <w:pPr>
        <w:keepLines/>
        <w:spacing w:after="160" w:line="280" w:lineRule="auto"/>
        <w:numPr>
          <w:ilvl w:val="0"/>
          <w:numId w:val="10"/>
        </w:numPr>
      </w:pPr>
      <w:r>
        <w:rPr>
          <w:rFonts w:ascii="Calibri" w:hAnsi="Calibri" w:eastAsia="Calibri"/>
          <w:color w:val="0B2545"/>
          <w:sz w:val="22"/>
        </w:rPr>
        <w:t>Autonomous selection, rejection, certification or termination of a trainee.</w:t>
      </w:r>
    </w:p>
    <w:p>
      <w:pPr>
        <w:keepLines/>
        <w:spacing w:after="160" w:line="280" w:lineRule="auto"/>
        <w:numPr>
          <w:ilvl w:val="0"/>
          <w:numId w:val="10"/>
        </w:numPr>
      </w:pPr>
      <w:r>
        <w:rPr>
          <w:rFonts w:ascii="Calibri" w:hAnsi="Calibri" w:eastAsia="Calibri"/>
          <w:color w:val="0B2545"/>
          <w:sz w:val="22"/>
        </w:rPr>
        <w:t>A real-time cockpit intervention or instructor-warning system in the initial POC/MVP.</w:t>
      </w:r>
    </w:p>
    <w:p>
      <w:pPr>
        <w:keepLines/>
        <w:spacing w:after="160" w:line="280" w:lineRule="auto"/>
        <w:numPr>
          <w:ilvl w:val="0"/>
          <w:numId w:val="10"/>
        </w:numPr>
      </w:pPr>
      <w:r>
        <w:rPr>
          <w:rFonts w:ascii="Calibri" w:hAnsi="Calibri" w:eastAsia="Calibri"/>
          <w:color w:val="0B2545"/>
          <w:sz w:val="22"/>
        </w:rPr>
        <w:t>Cross-modal synchronization, multimodal fusion or a combined trainee score in the immediate D0 demonstrations.</w:t>
      </w:r>
    </w:p>
    <w:p>
      <w:pPr>
        <w:keepLines/>
        <w:spacing w:after="160" w:line="280" w:lineRule="auto"/>
        <w:numPr>
          <w:ilvl w:val="0"/>
          <w:numId w:val="10"/>
        </w:numPr>
      </w:pPr>
      <w:r>
        <w:rPr>
          <w:rFonts w:ascii="Calibri" w:hAnsi="Calibri" w:eastAsia="Calibri"/>
          <w:color w:val="0B2545"/>
          <w:sz w:val="22"/>
        </w:rPr>
        <w:t>Clinical, psychological or medical diagnosis from video, speech or future physiological sensors.</w:t>
      </w:r>
    </w:p>
    <w:p>
      <w:pPr>
        <w:keepLines/>
        <w:spacing w:after="160" w:line="280" w:lineRule="auto"/>
        <w:numPr>
          <w:ilvl w:val="0"/>
          <w:numId w:val="10"/>
        </w:numPr>
      </w:pPr>
      <w:r>
        <w:rPr>
          <w:rFonts w:ascii="Calibri" w:hAnsi="Calibri" w:eastAsia="Calibri"/>
          <w:color w:val="0B2545"/>
          <w:sz w:val="22"/>
        </w:rPr>
        <w:t>Replacing the instructor debrief or treating the model score as ground truth.</w:t>
      </w:r>
    </w:p>
    <w:p>
      <w:pPr>
        <w:keepLines/>
        <w:spacing w:after="160" w:line="280" w:lineRule="auto"/>
        <w:numPr>
          <w:ilvl w:val="0"/>
          <w:numId w:val="10"/>
        </w:numPr>
      </w:pPr>
      <w:r>
        <w:rPr>
          <w:rFonts w:ascii="Calibri" w:hAnsi="Calibri" w:eastAsia="Calibri"/>
          <w:color w:val="0B2545"/>
          <w:sz w:val="22"/>
        </w:rPr>
        <w:t>Proving production-level predictive validity from one small cohort alone.</w:t>
      </w:r>
    </w:p>
    <w:p>
      <w:pPr>
        <w:keepLines/>
        <w:spacing w:after="160" w:line="280" w:lineRule="auto"/>
        <w:numPr>
          <w:ilvl w:val="0"/>
          <w:numId w:val="10"/>
        </w:numPr>
      </w:pPr>
      <w:r>
        <w:rPr>
          <w:rFonts w:ascii="Calibri" w:hAnsi="Calibri" w:eastAsia="Calibri"/>
          <w:color w:val="0B2545"/>
          <w:sz w:val="22"/>
        </w:rPr>
        <w:t>Scoring novice trainees primarily on memorized SOP or checklist compliance.</w:t>
      </w:r>
    </w:p>
    <w:p>
      <w:pPr>
        <w:keepLines/>
        <w:spacing w:after="160" w:line="280" w:lineRule="auto"/>
        <w:numPr>
          <w:ilvl w:val="0"/>
          <w:numId w:val="10"/>
        </w:numPr>
      </w:pPr>
      <w:r>
        <w:rPr>
          <w:rFonts w:ascii="Calibri" w:hAnsi="Calibri" w:eastAsia="Calibri"/>
          <w:color w:val="0B2545"/>
          <w:sz w:val="22"/>
        </w:rPr>
        <w:t>Using physiology such as EEG, heart rate or sweat response in the initial MVP; these remain future extensions.</w:t>
      </w:r>
    </w:p>
    <w:p>
      <w:pPr>
        <w:pStyle w:val="Heading1"/>
        <w:keepNext/>
        <w:pageBreakBefore w:val="0"/>
      </w:pPr>
      <w:r>
        <w:t>Scope</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1900"/>
        <w:gridCol w:w="7460"/>
      </w:tblGrid>
      <w:tr>
        <w:trPr>
          <w:tblHeader w:val="true"/>
          <w:cantSplit/>
        </w:trPr>
        <w:tc>
          <w:tcPr>
            <w:tcW w:type="dxa" w:w="19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Boundary</w:t>
            </w:r>
          </w:p>
        </w:tc>
        <w:tc>
          <w:tcPr>
            <w:tcW w:type="dxa" w:w="74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Definition</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Immediate - D0 demos</w:t>
            </w:r>
          </w:p>
        </w:tc>
        <w:tc>
          <w:tcPr>
            <w:tcW w:type="dxa" w:w="7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Two independent silos: (1) audio speech-recognition and hesitation analysis; (2) telemetry-only exercise analysis. Manual segment selection is acceptable. No synchronization, fusion or course-completion model.</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In scope - POC</w:t>
            </w:r>
          </w:p>
        </w:tc>
        <w:tc>
          <w:tcPr>
            <w:tcW w:type="dxa" w:w="7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Session/asset registration; clock alignment; exercise segmentation; baseline telemetry features; pilot-video gaze/head-pose features; audio transcription and diarization; per-exercise report; human label capture; research export. Integration begins only after the D0 silos are independently useful.</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In scope - MVP</w:t>
            </w:r>
          </w:p>
        </w:tc>
        <w:tc>
          <w:tcPr>
            <w:tcW w:type="dxa" w:w="7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Versioned feature catalog; longitudinal trainee profile; completion-probability model; evidence timeline; cohort comparison; model/experiment registry; data-quality dashboard; access controls and audit.</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Later</w:t>
            </w:r>
          </w:p>
        </w:tc>
        <w:tc>
          <w:tcPr>
            <w:tcW w:type="dxa" w:w="7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Camera-first/camera-only portable acquisition; additional cameras; richer scene understanding; physiological sensors; advanced multimodal temporal models; prospective operational integration; scaled multi-GPU processing.</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Out of scope</w:t>
            </w:r>
          </w:p>
        </w:tc>
        <w:tc>
          <w:tcPr>
            <w:tcW w:type="dxa" w:w="7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Autonomous decisions, live cockpit control, medical inference, unapproved cloud processing, and direct alteration of authoritative school records.</w:t>
            </w:r>
          </w:p>
        </w:tc>
      </w:tr>
    </w:tbl>
    <w:p>
      <w:pPr>
        <w:spacing w:after="40"/>
      </w:pPr>
    </w:p>
    <w:p>
      <w:pPr>
        <w:pStyle w:val="Heading1"/>
        <w:keepNext/>
        <w:pageBreakBefore w:val="0"/>
      </w:pPr>
      <w:r>
        <w:t>Stakeholders and users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600"/>
        <w:gridCol w:w="6760"/>
      </w:tblGrid>
      <w:tr>
        <w:trPr>
          <w:tblHeader w:val="true"/>
          <w:cantSplit/>
        </w:trPr>
        <w:tc>
          <w:tcPr>
            <w:tcW w:type="dxa" w:w="26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Role</w:t>
            </w:r>
          </w:p>
        </w:tc>
        <w:tc>
          <w:tcPr>
            <w:tcW w:type="dxa" w:w="67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Primary need</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Flight evaluator / instructor</w:t>
            </w:r>
          </w:p>
        </w:tc>
        <w:tc>
          <w:tcPr>
            <w:tcW w:type="dxa" w:w="67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Review sortie and exercise findings; inspect evidence; record authoritative grades and comments.</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Selection board / psychologist</w:t>
            </w:r>
          </w:p>
        </w:tc>
        <w:tc>
          <w:tcPr>
            <w:tcW w:type="dxa" w:w="67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Review longitudinal profile, uncertainty, evaluator agreement and completion prediction; retain final authority.</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Training and research lead</w:t>
            </w:r>
          </w:p>
        </w:tc>
        <w:tc>
          <w:tcPr>
            <w:tcW w:type="dxa" w:w="67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Define rubrics and exercise catalog; monitor cohort patterns; approve model use and research questions.</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Data scientist / ML engineer</w:t>
            </w:r>
          </w:p>
        </w:tc>
        <w:tc>
          <w:tcPr>
            <w:tcW w:type="dxa" w:w="67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Develop features and models; run experiments; validate generalization; publish model cards.</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Data engineer / system administrator</w:t>
            </w:r>
          </w:p>
        </w:tc>
        <w:tc>
          <w:tcPr>
            <w:tcW w:type="dxa" w:w="67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Register sessions, monitor pipelines, resolve missing assets, manage storage and access.</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Privacy / governance owner</w:t>
            </w:r>
          </w:p>
        </w:tc>
        <w:tc>
          <w:tcPr>
            <w:tcW w:type="dxa" w:w="67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Approve purpose, retention, access, de-identification and permitted exports.</w:t>
            </w:r>
          </w:p>
        </w:tc>
      </w:tr>
    </w:tbl>
    <w:p>
      <w:pPr>
        <w:spacing w:after="40"/>
      </w:pPr>
    </w:p>
    <w:p>
      <w:pPr>
        <w:pStyle w:val="Heading1"/>
        <w:keepNext/>
        <w:pageBreakBefore w:val="0"/>
      </w:pPr>
      <w:r>
        <w:t>Planning basis and assumptions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760"/>
        <w:gridCol w:w="5030"/>
        <w:gridCol w:w="3570"/>
      </w:tblGrid>
      <w:tr>
        <w:trPr>
          <w:tblHeader w:val="true"/>
          <w:cantSplit/>
        </w:trPr>
        <w:tc>
          <w:tcPr>
            <w:tcW w:type="dxa" w:w="7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ID</w:t>
            </w:r>
          </w:p>
        </w:tc>
        <w:tc>
          <w:tcPr>
            <w:tcW w:type="dxa" w:w="503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Assumption</w:t>
            </w:r>
          </w:p>
        </w:tc>
        <w:tc>
          <w:tcPr>
            <w:tcW w:type="dxa" w:w="357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Status / action</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A1</w:t>
            </w:r>
          </w:p>
        </w:tc>
        <w:tc>
          <w:tcPr>
            <w:tcW w:type="dxa" w:w="50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The flying check contains six simulator sorties per trainee.</w:t>
            </w:r>
          </w:p>
        </w:tc>
        <w:tc>
          <w:tcPr>
            <w:tcW w:type="dxa" w:w="35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Confirmed by the research submission; operational details to verify.</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A2</w:t>
            </w:r>
          </w:p>
        </w:tc>
        <w:tc>
          <w:tcPr>
            <w:tcW w:type="dxa" w:w="50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Initial planning cohort is 24 trainees, producing about 144 sorties.</w:t>
            </w:r>
          </w:p>
        </w:tc>
        <w:tc>
          <w:tcPr>
            <w:tcW w:type="dxa" w:w="35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Planning assumption; confirm before capacity and statistical commitments.</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A3</w:t>
            </w:r>
          </w:p>
        </w:tc>
        <w:tc>
          <w:tcPr>
            <w:tcW w:type="dxa" w:w="50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A representative sortie is about one hour and its principal video package is approximately 4-5 GB.</w:t>
            </w:r>
          </w:p>
        </w:tc>
        <w:tc>
          <w:tcPr>
            <w:tcW w:type="dxa" w:w="35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Planning assumption based on product discussion; measure actual distribution.</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A4</w:t>
            </w:r>
          </w:p>
        </w:tc>
        <w:tc>
          <w:tcPr>
            <w:tcW w:type="dxa" w:w="50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Peak planning load may reach approximately 12 sorties/day, or about 60 GB/day of primary video.</w:t>
            </w:r>
          </w:p>
        </w:tc>
        <w:tc>
          <w:tcPr>
            <w:tcW w:type="dxa" w:w="35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TBD; daily volume was not finalized.</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A5</w:t>
            </w:r>
          </w:p>
        </w:tc>
        <w:tc>
          <w:tcPr>
            <w:tcW w:type="dxa" w:w="50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The simulator exports high-frequency telemetry/controls in CSV or an equivalent structured format.</w:t>
            </w:r>
          </w:p>
        </w:tc>
        <w:tc>
          <w:tcPr>
            <w:tcW w:type="dxa" w:w="35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Schema, units, sampling rates and event markers are TBD.</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A6</w:t>
            </w:r>
          </w:p>
        </w:tc>
        <w:tc>
          <w:tcPr>
            <w:tcW w:type="dxa" w:w="50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Data may be used for approved development, but trainee privacy remains a binding constraint.</w:t>
            </w:r>
          </w:p>
        </w:tc>
        <w:tc>
          <w:tcPr>
            <w:tcW w:type="dxa" w:w="35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Governance, consent/legal basis, retention and classification require formal approval.</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A7</w:t>
            </w:r>
          </w:p>
        </w:tc>
        <w:tc>
          <w:tcPr>
            <w:tcW w:type="dxa" w:w="50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One DGX Spark is sufficient for POC/R&amp;D when full processing need not be real time.</w:t>
            </w:r>
          </w:p>
        </w:tc>
        <w:tc>
          <w:tcPr>
            <w:tcW w:type="dxa" w:w="35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Benchmark with representative files before freezing the deployment.</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A8</w:t>
            </w:r>
          </w:p>
        </w:tc>
        <w:tc>
          <w:tcPr>
            <w:tcW w:type="dxa" w:w="50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The first demonstrations can use separate audio and telemetry recordings and manually selected segments.</w:t>
            </w:r>
          </w:p>
        </w:tc>
        <w:tc>
          <w:tcPr>
            <w:tcW w:type="dxa" w:w="35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Agreed delivery constraint; a common timeline is not required for D0.</w:t>
            </w:r>
          </w:p>
        </w:tc>
      </w:tr>
      <w:tr>
        <w:trPr>
          <w:cantSplit/>
        </w:trPr>
        <w:tc>
          <w:tcPr>
            <w:tcW w:type="dxa" w:w="76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A9</w:t>
            </w:r>
          </w:p>
        </w:tc>
        <w:tc>
          <w:tcPr>
            <w:tcW w:type="dxa" w:w="50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Observable hesitation can be annotated without inferring stress, personality or final aptitude.</w:t>
            </w:r>
          </w:p>
        </w:tc>
        <w:tc>
          <w:tcPr>
            <w:tcW w:type="dxa" w:w="35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Use an approved event rubric and retain audio evidence, confidence and reviewer corrections.</w:t>
            </w:r>
          </w:p>
        </w:tc>
      </w:tr>
    </w:tbl>
    <w:p>
      <w:pPr>
        <w:pStyle w:val="Heading1"/>
      </w:pPr>
      <w:r>
        <w:t>Near-term demonstration strategy (D0)</w:t>
      </w:r>
    </w:p>
    <w:p>
      <w:pPr>
        <w:spacing w:before="100" w:after="180" w:line="259" w:lineRule="auto"/>
        <w:ind w:left="173" w:right="173"/>
        <w:shd w:fill="E8EEF5"/>
        <w:pBdr>
          <w:top w:val="single" w:sz="6" w:space="8" w:color="D7DEE7"/>
          <w:left w:val="single" w:sz="6" w:space="8" w:color="D7DEE7"/>
          <w:bottom w:val="single" w:sz="6" w:space="8" w:color="D7DEE7"/>
          <w:right w:val="single" w:sz="6" w:space="8" w:color="D7DEE7"/>
        </w:pBdr>
      </w:pPr>
      <w:r>
        <w:rPr>
          <w:rFonts w:ascii="Calibri" w:hAnsi="Calibri" w:eastAsia="Calibri"/>
          <w:b/>
          <w:color w:val="2E74B5"/>
          <w:sz w:val="21"/>
        </w:rPr>
        <w:t xml:space="preserve">Immediate demo decision: </w:t>
      </w:r>
      <w:r>
        <w:rPr>
          <w:rFonts w:ascii="Calibri" w:hAnsi="Calibri" w:eastAsia="Calibri"/>
          <w:color w:val="0B2545"/>
          <w:sz w:val="21"/>
        </w:rPr>
        <w:t>Build two independent single-modality silos. Do not synchronize sources, train a multimodal model or produce a combined score in D0. The integrated architecture remains the target state after the individual pipelines are useful and measurable.</w:t>
      </w:r>
    </w:p>
    <w:p>
      <w:pPr/>
      <w:r>
        <w:t>The purpose of D0 is to demonstrate observable, reviewable signals quickly. Each demo must stand on its own input, use source-relative timestamps, expose confidence and link every marker or metric back to the original recording or CSV interval.</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1600"/>
        <w:gridCol w:w="4920"/>
        <w:gridCol w:w="2840"/>
      </w:tblGrid>
      <w:tr>
        <w:trPr>
          <w:tblHeader w:val="true"/>
          <w:cantSplit/>
        </w:trPr>
        <w:tc>
          <w:tcPr>
            <w:tcW w:type="dxa" w:w="16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Demo silo</w:t>
            </w:r>
          </w:p>
        </w:tc>
        <w:tc>
          <w:tcPr>
            <w:tcW w:type="dxa" w:w="492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What it shows</w:t>
            </w:r>
          </w:p>
        </w:tc>
        <w:tc>
          <w:tcPr>
            <w:tcW w:type="dxa" w:w="284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First-demo acceptance</w:t>
            </w:r>
          </w:p>
        </w:tc>
      </w:tr>
      <w:tr>
        <w:trPr>
          <w:cantSplit/>
        </w:trPr>
        <w:tc>
          <w:tcPr>
            <w:tcW w:type="dxa" w:w="16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D0-A - Speech and hesitation</w:t>
            </w:r>
          </w:p>
        </w:tc>
        <w:tc>
          <w:tcPr>
            <w:tcW w:type="dxa" w:w="4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Timestamped speech recognition; speaker separation when possible; searchable transcript; filled and silent pauses; false starts/restarts; repetitions; self-corrections; and response-latency markers. Reviewers can open the related audio evidence and correct a marker.</w:t>
            </w:r>
          </w:p>
        </w:tc>
        <w:tc>
          <w:tcPr>
            <w:tcW w:type="dxa" w:w="28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Runs end to end on a representative flight recording; produces a transcript and hesitation timeline; shows confidence/coverage; completes without telemetry, video or synchronization.</w:t>
            </w:r>
          </w:p>
        </w:tc>
      </w:tr>
      <w:tr>
        <w:trPr>
          <w:cantSplit/>
        </w:trPr>
        <w:tc>
          <w:tcPr>
            <w:tcW w:type="dxa" w:w="16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D0-B - Telemetry exercise analysis</w:t>
            </w:r>
          </w:p>
        </w:tc>
        <w:tc>
          <w:tcPr>
            <w:tcW w:type="dxa" w:w="4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Loads one simulator CSV, accepts a manually selected exercise interval, plots key parameters and calculates deviations, stability, control-input behavior and a transparent exercise summary. The first reference exercise is the low-altitude figure-eight.</w:t>
            </w:r>
          </w:p>
        </w:tc>
        <w:tc>
          <w:tcPr>
            <w:tcW w:type="dxa" w:w="28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Runs end to end on a representative CSV; shows the source interval, formulas and quality flags; produces the preliminary exercise view within 2 minutes; uses no audio or video.</w:t>
            </w:r>
          </w:p>
        </w:tc>
      </w:tr>
    </w:tbl>
    <w:p>
      <w:pPr>
        <w:pStyle w:val="Heading2"/>
      </w:pPr>
      <w:r>
        <w:t>D0 constraints and guardrails</w:t>
      </w:r>
    </w:p>
    <w:p>
      <w:pPr>
        <w:keepLines/>
        <w:spacing w:after="160" w:line="280" w:lineRule="auto"/>
        <w:numPr>
          <w:ilvl w:val="0"/>
          <w:numId w:val="10"/>
        </w:numPr>
      </w:pPr>
      <w:r>
        <w:rPr>
          <w:rFonts w:ascii="Calibri" w:hAnsi="Calibri" w:eastAsia="Calibri"/>
          <w:color w:val="0B2545"/>
          <w:sz w:val="22"/>
        </w:rPr>
        <w:t>The audio and telemetry outputs remain visibly separate. A shared flight/session identifier may be used for organization, but no common clock is required.</w:t>
      </w:r>
    </w:p>
    <w:p>
      <w:pPr>
        <w:keepLines/>
        <w:spacing w:after="160" w:line="280" w:lineRule="auto"/>
        <w:numPr>
          <w:ilvl w:val="0"/>
          <w:numId w:val="10"/>
        </w:numPr>
      </w:pPr>
      <w:r>
        <w:rPr>
          <w:rFonts w:ascii="Calibri" w:hAnsi="Calibri" w:eastAsia="Calibri"/>
          <w:color w:val="0B2545"/>
          <w:sz w:val="22"/>
        </w:rPr>
        <w:t>D0 does not calculate course-completion probability, a final trainee grade or a cross-modal aptitude judgment.</w:t>
      </w:r>
    </w:p>
    <w:p>
      <w:pPr>
        <w:keepLines/>
        <w:spacing w:after="160" w:line="280" w:lineRule="auto"/>
        <w:numPr>
          <w:ilvl w:val="0"/>
          <w:numId w:val="10"/>
        </w:numPr>
      </w:pPr>
      <w:r>
        <w:rPr>
          <w:rFonts w:ascii="Calibri" w:hAnsi="Calibri" w:eastAsia="Calibri"/>
          <w:color w:val="0B2545"/>
          <w:sz w:val="22"/>
        </w:rPr>
        <w:t>Manual file selection and manual exercise start/end selection are acceptable for the first demonstration; automation follows after the value is proven.</w:t>
      </w:r>
    </w:p>
    <w:p>
      <w:pPr>
        <w:keepLines/>
        <w:spacing w:after="160" w:line="280" w:lineRule="auto"/>
        <w:numPr>
          <w:ilvl w:val="0"/>
          <w:numId w:val="10"/>
        </w:numPr>
      </w:pPr>
      <w:r>
        <w:rPr>
          <w:rFonts w:ascii="Calibri" w:hAnsi="Calibri" w:eastAsia="Calibri"/>
          <w:color w:val="0B2545"/>
          <w:sz w:val="22"/>
        </w:rPr>
        <w:t>Gaze, broader vision processing and multimodal fusion are not first-demo dependencies.</w:t>
      </w:r>
    </w:p>
    <w:p>
      <w:pPr>
        <w:keepLines/>
        <w:spacing w:after="160" w:line="280" w:lineRule="auto"/>
        <w:numPr>
          <w:ilvl w:val="0"/>
          <w:numId w:val="10"/>
        </w:numPr>
      </w:pPr>
      <w:r>
        <w:rPr>
          <w:rFonts w:ascii="Calibri" w:hAnsi="Calibri" w:eastAsia="Calibri"/>
          <w:color w:val="0B2545"/>
          <w:sz w:val="22"/>
        </w:rPr>
        <w:t>A hesitation event is an observable speech event, not evidence by itself of stress, uncertainty, competence, personality or fitness to continue.</w:t>
      </w:r>
    </w:p>
    <w:p>
      <w:pPr>
        <w:pStyle w:val="Heading2"/>
      </w:pPr>
      <w:r>
        <w:t>Telemetry reference exercise - low-altitude figure-eight</w:t>
      </w:r>
    </w:p>
    <w:p>
      <w:pPr/>
      <w:r>
        <w:t>The initial telemetry demo should use the agreed low-altitude figure-eight as a concrete, explainable example rather than attempting a general maneuver classifier.</w:t>
      </w:r>
    </w:p>
    <w:p>
      <w:pPr>
        <w:keepLines/>
        <w:spacing w:after="160" w:line="280" w:lineRule="auto"/>
        <w:numPr>
          <w:ilvl w:val="0"/>
          <w:numId w:val="10"/>
        </w:numPr>
      </w:pPr>
      <w:r>
        <w:rPr>
          <w:rFonts w:ascii="Calibri" w:hAnsi="Calibri" w:eastAsia="Calibri"/>
          <w:color w:val="0B2545"/>
          <w:sz w:val="22"/>
        </w:rPr>
        <w:t>Reference profile: approximately 60 ft AGL, subject to the approved exercise definition and simulator units.</w:t>
      </w:r>
    </w:p>
    <w:p>
      <w:pPr>
        <w:keepLines/>
        <w:spacing w:after="160" w:line="280" w:lineRule="auto"/>
        <w:numPr>
          <w:ilvl w:val="0"/>
          <w:numId w:val="10"/>
        </w:numPr>
      </w:pPr>
      <w:r>
        <w:rPr>
          <w:rFonts w:ascii="Calibri" w:hAnsi="Calibri" w:eastAsia="Calibri"/>
          <w:color w:val="0B2545"/>
          <w:sz w:val="22"/>
        </w:rPr>
        <w:t>First two-thirds of each leg: assess altitude, bank and speed stability plus control coordination.</w:t>
      </w:r>
    </w:p>
    <w:p>
      <w:pPr>
        <w:keepLines/>
        <w:spacing w:after="160" w:line="280" w:lineRule="auto"/>
        <w:numPr>
          <w:ilvl w:val="0"/>
          <w:numId w:val="10"/>
        </w:numPr>
      </w:pPr>
      <w:r>
        <w:rPr>
          <w:rFonts w:ascii="Calibri" w:hAnsi="Calibri" w:eastAsia="Calibri"/>
          <w:color w:val="0B2545"/>
          <w:sz w:val="22"/>
        </w:rPr>
        <w:t>Final third: assess judgment of the target point, passage over the point on the required heading and the reversal into the next leg.</w:t>
      </w:r>
    </w:p>
    <w:p>
      <w:pPr>
        <w:keepLines/>
        <w:spacing w:after="160" w:line="280" w:lineRule="auto"/>
        <w:numPr>
          <w:ilvl w:val="0"/>
          <w:numId w:val="10"/>
        </w:numPr>
      </w:pPr>
      <w:r>
        <w:rPr>
          <w:rFonts w:ascii="Calibri" w:hAnsi="Calibri" w:eastAsia="Calibri"/>
          <w:color w:val="0B2545"/>
          <w:sz w:val="22"/>
        </w:rPr>
        <w:t>Initial features: altitude/bank/speed deviation, target-point error, heading error, control-input amplitude and average, reversals, oscillation and settling/stability.</w:t>
      </w:r>
    </w:p>
    <w:p>
      <w:pPr>
        <w:spacing w:after="40"/>
      </w:pPr>
    </w:p>
    <w:p>
      <w:pPr>
        <w:pStyle w:val="Heading1"/>
        <w:keepNext/>
        <w:pageBreakBefore/>
      </w:pPr>
      <w:r>
        <w:t>Operational concept</w:t>
      </w:r>
    </w:p>
    <w:p>
      <w:pPr>
        <w:pStyle w:val="Heading2"/>
        <w:keepNext/>
        <w:pageBreakBefore w:val="0"/>
      </w:pPr>
      <w:r>
        <w:t>Target-state end-to-end flow (after D0)</w:t>
      </w:r>
    </w:p>
    <w:p>
      <w:pPr>
        <w:keepLines/>
        <w:spacing w:after="160" w:line="280" w:lineRule="auto"/>
        <w:numPr>
          <w:ilvl w:val="0"/>
          <w:numId w:val="12"/>
        </w:numPr>
      </w:pPr>
      <w:r>
        <w:rPr>
          <w:rFonts w:ascii="Calibri" w:hAnsi="Calibri" w:eastAsia="Calibri"/>
          <w:color w:val="0B2545"/>
          <w:sz w:val="22"/>
        </w:rPr>
        <w:t>Before the sortie, create a Flight Session and associate the date/time, trainee, instructor/evaluators, simulator, sortie number, scenario and planned exercises.</w:t>
      </w:r>
    </w:p>
    <w:p>
      <w:pPr>
        <w:keepLines/>
        <w:spacing w:after="160" w:line="280" w:lineRule="auto"/>
        <w:numPr>
          <w:ilvl w:val="0"/>
          <w:numId w:val="12"/>
        </w:numPr>
      </w:pPr>
      <w:r>
        <w:rPr>
          <w:rFonts w:ascii="Calibri" w:hAnsi="Calibri" w:eastAsia="Calibri"/>
          <w:color w:val="0B2545"/>
          <w:sz w:val="22"/>
        </w:rPr>
        <w:t>Register every delivered asset, schema and clock source. Verify file identity, checksum, duration and basic readability without duplicating the authoritative source unnecessarily.</w:t>
      </w:r>
    </w:p>
    <w:p>
      <w:pPr>
        <w:keepLines/>
        <w:spacing w:after="160" w:line="280" w:lineRule="auto"/>
        <w:numPr>
          <w:ilvl w:val="0"/>
          <w:numId w:val="12"/>
        </w:numPr>
      </w:pPr>
      <w:r>
        <w:rPr>
          <w:rFonts w:ascii="Calibri" w:hAnsi="Calibri" w:eastAsia="Calibri"/>
          <w:color w:val="0B2545"/>
          <w:sz w:val="22"/>
        </w:rPr>
        <w:t>Run source adapters. Each adapter emits normalized observations plus a proposed timeline, clock basis, coverage and quality metrics.</w:t>
      </w:r>
    </w:p>
    <w:p>
      <w:pPr>
        <w:keepLines/>
        <w:spacing w:after="160" w:line="280" w:lineRule="auto"/>
        <w:numPr>
          <w:ilvl w:val="0"/>
          <w:numId w:val="12"/>
        </w:numPr>
      </w:pPr>
      <w:r>
        <w:rPr>
          <w:rFonts w:ascii="Calibri" w:hAnsi="Calibri" w:eastAsia="Calibri"/>
          <w:color w:val="0B2545"/>
          <w:sz w:val="22"/>
        </w:rPr>
        <w:t>Beginning with the synchronization milestone, merge proposed timelines into a canonical flight timeline.</w:t>
      </w:r>
    </w:p>
    <w:p>
      <w:pPr>
        <w:keepLines/>
        <w:spacing w:after="160" w:line="280" w:lineRule="auto"/>
        <w:numPr>
          <w:ilvl w:val="0"/>
          <w:numId w:val="12"/>
        </w:numPr>
      </w:pPr>
      <w:r>
        <w:rPr>
          <w:rFonts w:ascii="Calibri" w:hAnsi="Calibri" w:eastAsia="Calibri"/>
          <w:color w:val="0B2545"/>
          <w:sz w:val="22"/>
        </w:rPr>
        <w:t>Run the telemetry fast pipeline to produce data-quality results, exercise segmentation and a preliminary report within the target latency. In D0, this pipeline runs independently and may use manual exercise boundaries.</w:t>
      </w:r>
    </w:p>
    <w:p>
      <w:pPr>
        <w:keepLines/>
        <w:spacing w:after="160" w:line="280" w:lineRule="auto"/>
        <w:numPr>
          <w:ilvl w:val="0"/>
          <w:numId w:val="12"/>
        </w:numPr>
      </w:pPr>
      <w:r>
        <w:rPr>
          <w:rFonts w:ascii="Calibri" w:hAnsi="Calibri" w:eastAsia="Calibri"/>
          <w:color w:val="0B2545"/>
          <w:sz w:val="22"/>
        </w:rPr>
        <w:t>After the standalone audio pipeline is demonstrated, run the deep pipeline for diarization, gaze or attention analysis, visual features, OCR/metric decoding where needed, synchronization, cross-modal features and final scoring.</w:t>
      </w:r>
    </w:p>
    <w:p>
      <w:pPr>
        <w:keepLines/>
        <w:spacing w:after="160" w:line="280" w:lineRule="auto"/>
        <w:numPr>
          <w:ilvl w:val="0"/>
          <w:numId w:val="12"/>
        </w:numPr>
      </w:pPr>
      <w:r>
        <w:rPr>
          <w:rFonts w:ascii="Calibri" w:hAnsi="Calibri" w:eastAsia="Calibri"/>
          <w:color w:val="0B2545"/>
          <w:sz w:val="22"/>
        </w:rPr>
        <w:t>Publish a versioned sortie report, update the longitudinal trainee profile and show what changed from the prior sortie.</w:t>
      </w:r>
    </w:p>
    <w:p>
      <w:pPr>
        <w:keepLines/>
        <w:spacing w:after="160" w:line="280" w:lineRule="auto"/>
        <w:numPr>
          <w:ilvl w:val="0"/>
          <w:numId w:val="12"/>
        </w:numPr>
      </w:pPr>
      <w:r>
        <w:rPr>
          <w:rFonts w:ascii="Calibri" w:hAnsi="Calibri" w:eastAsia="Calibri"/>
          <w:color w:val="0B2545"/>
          <w:sz w:val="22"/>
        </w:rPr>
        <w:t>Capture evaluator grades, comments and eventual course outcomes as versioned labels. Keep human assessments separate from model outputs in both the schema and the UI.</w:t>
      </w:r>
    </w:p>
    <w:p>
      <w:pPr>
        <w:pStyle w:val="Heading2"/>
        <w:keepNext/>
        <w:pageBreakBefore w:val="0"/>
      </w:pPr>
      <w:r>
        <w:t>Two-speed processing (integrated target state)</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1600"/>
        <w:gridCol w:w="4920"/>
        <w:gridCol w:w="2840"/>
      </w:tblGrid>
      <w:tr>
        <w:trPr>
          <w:tblHeader w:val="true"/>
          <w:cantSplit/>
        </w:trPr>
        <w:tc>
          <w:tcPr>
            <w:tcW w:type="dxa" w:w="16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Pipeline</w:t>
            </w:r>
          </w:p>
        </w:tc>
        <w:tc>
          <w:tcPr>
            <w:tcW w:type="dxa" w:w="492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Content</w:t>
            </w:r>
          </w:p>
        </w:tc>
        <w:tc>
          <w:tcPr>
            <w:tcW w:type="dxa" w:w="284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Target</w:t>
            </w:r>
          </w:p>
        </w:tc>
      </w:tr>
      <w:tr>
        <w:trPr>
          <w:cantSplit/>
        </w:trPr>
        <w:tc>
          <w:tcPr>
            <w:tcW w:type="dxa" w:w="16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Fast pipeline</w:t>
            </w:r>
          </w:p>
        </w:tc>
        <w:tc>
          <w:tcPr>
            <w:tcW w:type="dxa" w:w="4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Metadata, asset checks, CSV parsing, initial synchronization, telemetry features, available exercise markers and baseline scoring.</w:t>
            </w:r>
          </w:p>
        </w:tc>
        <w:tc>
          <w:tcPr>
            <w:tcW w:type="dxa" w:w="28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Preliminary report available no later than 2 minutes after required files become available.</w:t>
            </w:r>
          </w:p>
        </w:tc>
      </w:tr>
      <w:tr>
        <w:trPr>
          <w:cantSplit/>
        </w:trPr>
        <w:tc>
          <w:tcPr>
            <w:tcW w:type="dxa" w:w="16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Deep pipeline</w:t>
            </w:r>
          </w:p>
        </w:tc>
        <w:tc>
          <w:tcPr>
            <w:tcW w:type="dxa" w:w="4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Audio transcription, speaker diarization, eye/gaze estimation, video features, selective OCR/metric decoding, richer synchronization, cross-modal features, final models and explanations.</w:t>
            </w:r>
          </w:p>
        </w:tc>
        <w:tc>
          <w:tcPr>
            <w:tcW w:type="dxa" w:w="28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Full multimodal report available within 60 minutes per representative sortie on the POC baseline.</w:t>
            </w:r>
          </w:p>
        </w:tc>
      </w:tr>
    </w:tbl>
    <w:p>
      <w:pPr>
        <w:spacing w:after="40"/>
      </w:pPr>
    </w:p>
    <w:p>
      <w:pPr>
        <w:spacing w:before="100" w:after="180" w:line="259" w:lineRule="auto"/>
        <w:ind w:left="173" w:right="173"/>
        <w:shd w:fill="F4F6F9"/>
        <w:pBdr>
          <w:top w:val="single" w:sz="6" w:space="8" w:color="D7DEE7"/>
          <w:left w:val="single" w:sz="6" w:space="8" w:color="D7DEE7"/>
          <w:bottom w:val="single" w:sz="6" w:space="8" w:color="D7DEE7"/>
          <w:right w:val="single" w:sz="6" w:space="8" w:color="D7DEE7"/>
        </w:pBdr>
      </w:pPr>
      <w:r>
        <w:rPr>
          <w:rFonts w:ascii="Calibri" w:hAnsi="Calibri" w:eastAsia="Calibri"/>
          <w:b/>
          <w:color w:val="2E74B5"/>
          <w:sz w:val="21"/>
        </w:rPr>
        <w:t xml:space="preserve">Workload observation: </w:t>
      </w:r>
      <w:r>
        <w:rPr>
          <w:rFonts w:ascii="Calibri" w:hAnsi="Calibri" w:eastAsia="Calibri"/>
          <w:color w:val="0B2545"/>
          <w:sz w:val="21"/>
        </w:rPr>
        <w:t>For a one-hour recording, transcription should take only a few minutes on a modern GPU; eye/gaze processing is expected to dominate. OCR and CSV comparison are intermediate and should use selective frames or change events where full-frame processing adds no value.</w:t>
      </w:r>
    </w:p>
    <w:p>
      <w:pPr>
        <w:pStyle w:val="Heading1"/>
        <w:keepNext/>
        <w:pageBreakBefore w:val="0"/>
      </w:pPr>
      <w:r>
        <w:t>Product outputs and scoring model</w:t>
      </w:r>
    </w:p>
    <w:p>
      <w:pPr>
        <w:pStyle w:val="Heading2"/>
        <w:keepNext/>
        <w:pageBreakBefore w:val="0"/>
      </w:pPr>
      <w:r>
        <w:t>Mandatory top-level outputs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800"/>
        <w:gridCol w:w="6560"/>
      </w:tblGrid>
      <w:tr>
        <w:trPr>
          <w:tblHeader w:val="true"/>
          <w:cantSplit/>
        </w:trPr>
        <w:tc>
          <w:tcPr>
            <w:tcW w:type="dxa" w:w="28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Output</w:t>
            </w:r>
          </w:p>
        </w:tc>
        <w:tc>
          <w:tcPr>
            <w:tcW w:type="dxa" w:w="65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Required representation</w:t>
            </w:r>
          </w:p>
        </w:tc>
      </w:tr>
      <w:tr>
        <w:trPr>
          <w:cantSplit/>
        </w:trPr>
        <w:tc>
          <w:tcPr>
            <w:tcW w:type="dxa" w:w="28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Exercise / maneuver grade</w:t>
            </w:r>
          </w:p>
        </w:tc>
        <w:tc>
          <w:tcPr>
            <w:tcW w:type="dxa" w:w="65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One grade per exercise occurrence, linked to the relevant rubric version, evidence interval, component metrics, confidence and data-quality limitations.</w:t>
            </w:r>
          </w:p>
        </w:tc>
      </w:tr>
      <w:tr>
        <w:trPr>
          <w:cantSplit/>
        </w:trPr>
        <w:tc>
          <w:tcPr>
            <w:tcW w:type="dxa" w:w="28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Course-completion probability</w:t>
            </w:r>
          </w:p>
        </w:tc>
        <w:tc>
          <w:tcPr>
            <w:tcW w:type="dxa" w:w="65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A calibrated probability updated after each sortie, accompanied by confidence/interval, model version, trend and the strongest evidence for and against the estimate.</w:t>
            </w:r>
          </w:p>
        </w:tc>
      </w:tr>
    </w:tbl>
    <w:p>
      <w:pPr>
        <w:spacing w:after="40"/>
      </w:pPr>
    </w:p>
    <w:p>
      <w:pPr>
        <w:spacing w:before="100" w:after="180" w:line="259" w:lineRule="auto"/>
        <w:ind w:left="173" w:right="173"/>
        <w:shd w:fill="F4F6F9"/>
        <w:pBdr>
          <w:top w:val="single" w:sz="6" w:space="8" w:color="D7DEE7"/>
          <w:left w:val="single" w:sz="6" w:space="8" w:color="D7DEE7"/>
          <w:bottom w:val="single" w:sz="6" w:space="8" w:color="D7DEE7"/>
          <w:right w:val="single" w:sz="6" w:space="8" w:color="D7DEE7"/>
        </w:pBdr>
      </w:pPr>
      <w:r>
        <w:rPr>
          <w:rFonts w:ascii="Calibri" w:hAnsi="Calibri" w:eastAsia="Calibri"/>
          <w:b/>
          <w:color w:val="2E74B5"/>
          <w:sz w:val="21"/>
        </w:rPr>
        <w:t xml:space="preserve">Scoring rule: </w:t>
      </w:r>
      <w:r>
        <w:rPr>
          <w:rFonts w:ascii="Calibri" w:hAnsi="Calibri" w:eastAsia="Calibri"/>
          <w:color w:val="0B2545"/>
          <w:sz w:val="21"/>
        </w:rPr>
        <w:t>The UI must not collapse the two mandatory outputs into one opaque number. Exercise achievement and long-term completion probability answer different questions and must remain separately interpretable.</w:t>
      </w:r>
    </w:p>
    <w:p>
      <w:pPr>
        <w:spacing w:before="100" w:after="180" w:line="259" w:lineRule="auto"/>
        <w:ind w:left="173" w:right="173"/>
        <w:shd w:fill="E8EEF5"/>
        <w:pBdr>
          <w:top w:val="single" w:sz="6" w:space="8" w:color="D7DEE7"/>
          <w:left w:val="single" w:sz="6" w:space="8" w:color="D7DEE7"/>
          <w:bottom w:val="single" w:sz="6" w:space="8" w:color="D7DEE7"/>
          <w:right w:val="single" w:sz="6" w:space="8" w:color="D7DEE7"/>
        </w:pBdr>
      </w:pPr>
      <w:r>
        <w:rPr>
          <w:rFonts w:ascii="Calibri" w:hAnsi="Calibri" w:eastAsia="Calibri"/>
          <w:b/>
          <w:color w:val="2E74B5"/>
          <w:sz w:val="21"/>
        </w:rPr>
        <w:t xml:space="preserve">D0 exception: </w:t>
      </w:r>
      <w:r>
        <w:rPr>
          <w:rFonts w:ascii="Calibri" w:hAnsi="Calibri" w:eastAsia="Calibri"/>
          <w:color w:val="0B2545"/>
          <w:sz w:val="21"/>
        </w:rPr>
        <w:t>The first two demos produce modality-specific evidence only. They must not display the mandatory target-state outputs as if they were validated, and they must not combine audio and telemetry into one score.</w:t>
      </w:r>
    </w:p>
    <w:p>
      <w:pPr>
        <w:pStyle w:val="Heading2"/>
        <w:keepNext/>
        <w:pageBreakBefore w:val="0"/>
      </w:pPr>
      <w:r>
        <w:t>Trainee profile taxonomy</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600"/>
        <w:gridCol w:w="6760"/>
      </w:tblGrid>
      <w:tr>
        <w:trPr>
          <w:tblHeader w:val="true"/>
          <w:cantSplit/>
        </w:trPr>
        <w:tc>
          <w:tcPr>
            <w:tcW w:type="dxa" w:w="26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Profile family</w:t>
            </w:r>
          </w:p>
        </w:tc>
        <w:tc>
          <w:tcPr>
            <w:tcW w:type="dxa" w:w="67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Illustrative dimensions</w:t>
            </w:r>
          </w:p>
        </w:tc>
      </w:tr>
      <w:tr>
        <w:trPr>
          <w:cantSplit/>
        </w:trPr>
        <w:tc>
          <w:tcPr>
            <w:tcW w:type="dxa" w:w="26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Natural flying aptitude</w:t>
            </w:r>
          </w:p>
        </w:tc>
        <w:tc>
          <w:tcPr>
            <w:tcW w:type="dxa" w:w="67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Exercise execution, control coordination, spatial orientation, identification/perception, detection, attention division and handling of the aircraft/environment.</w:t>
            </w:r>
          </w:p>
        </w:tc>
      </w:tr>
      <w:tr>
        <w:trPr>
          <w:cantSplit/>
        </w:trPr>
        <w:tc>
          <w:tcPr>
            <w:tcW w:type="dxa" w:w="26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Cognitive / thought capabilities</w:t>
            </w:r>
          </w:p>
        </w:tc>
        <w:tc>
          <w:tcPr>
            <w:tcW w:type="dxa" w:w="67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Understanding, mental model, anticipation, situation handling, workload management, decision process, debriefing/self-analysis and learning across repetitions.</w:t>
            </w:r>
          </w:p>
        </w:tc>
      </w:tr>
      <w:tr>
        <w:trPr>
          <w:cantSplit/>
        </w:trPr>
        <w:tc>
          <w:tcPr>
            <w:tcW w:type="dxa" w:w="26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8"/>
              </w:rPr>
              <w:t>Character / behavior</w:t>
            </w:r>
          </w:p>
        </w:tc>
        <w:tc>
          <w:tcPr>
            <w:tcW w:type="dxa" w:w="67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8"/>
              </w:rPr>
              <w:t>Implementation, determination/drive, persistence, recovery after failure, teamwork/CRM, communication and leadership where observable and covered by an approved rubric.</w:t>
            </w:r>
          </w:p>
        </w:tc>
      </w:tr>
    </w:tbl>
    <w:p>
      <w:pPr>
        <w:spacing w:after="40"/>
      </w:pPr>
    </w:p>
    <w:p>
      <w:pPr/>
      <w:r>
        <w:rPr>
          <w:rFonts w:ascii="Calibri" w:hAnsi="Calibri" w:eastAsia="Calibri"/>
          <w:i w:val="0"/>
          <w:color w:val="0B2545"/>
          <w:sz w:val="22"/>
        </w:rPr>
        <w:t>Every profile dimension shall include score, direction of trend, evidence, confidence, data coverage and rubric/model version. The product shall distinguish observed behavior from inferred traits and shall avoid unsupported clinical or personality claims.</w:t>
      </w:r>
    </w:p>
    <w:p>
      <w:pPr>
        <w:pStyle w:val="Heading2"/>
        <w:keepNext/>
        <w:pageBreakBefore w:val="0"/>
      </w:pPr>
      <w:r>
        <w:t>Required report set</w:t>
      </w:r>
    </w:p>
    <w:p>
      <w:pPr>
        <w:keepLines/>
        <w:spacing w:after="160" w:line="280" w:lineRule="auto"/>
        <w:numPr>
          <w:ilvl w:val="0"/>
          <w:numId w:val="10"/>
        </w:numPr>
      </w:pPr>
      <w:r>
        <w:rPr>
          <w:rFonts w:ascii="Calibri" w:hAnsi="Calibri" w:eastAsia="Calibri"/>
          <w:color w:val="0B2545"/>
          <w:sz w:val="22"/>
        </w:rPr>
        <w:t>Sortie summary: processing status, data quality, exercises, grades, key events and changes from the prior sortie.</w:t>
      </w:r>
    </w:p>
    <w:p>
      <w:pPr>
        <w:keepLines/>
        <w:spacing w:after="160" w:line="280" w:lineRule="auto"/>
        <w:numPr>
          <w:ilvl w:val="0"/>
          <w:numId w:val="10"/>
        </w:numPr>
      </w:pPr>
      <w:r>
        <w:rPr>
          <w:rFonts w:ascii="Calibri" w:hAnsi="Calibri" w:eastAsia="Calibri"/>
          <w:color w:val="0B2545"/>
          <w:sz w:val="22"/>
        </w:rPr>
        <w:t>Exercise detail: target profile, achieved metrics, time-series evidence, transcript/video anchors, human grade and model grade side by side.</w:t>
      </w:r>
    </w:p>
    <w:p>
      <w:pPr>
        <w:keepLines/>
        <w:spacing w:after="160" w:line="280" w:lineRule="auto"/>
        <w:numPr>
          <w:ilvl w:val="0"/>
          <w:numId w:val="10"/>
        </w:numPr>
      </w:pPr>
      <w:r>
        <w:rPr>
          <w:rFonts w:ascii="Calibri" w:hAnsi="Calibri" w:eastAsia="Calibri"/>
          <w:color w:val="0B2545"/>
          <w:sz w:val="22"/>
        </w:rPr>
        <w:t>Longitudinal trainee profile: all sorties, learning curves, strengths, development areas, confidence and completion-probability trend.</w:t>
      </w:r>
    </w:p>
    <w:p>
      <w:pPr>
        <w:keepLines/>
        <w:spacing w:after="160" w:line="280" w:lineRule="auto"/>
        <w:numPr>
          <w:ilvl w:val="0"/>
          <w:numId w:val="10"/>
        </w:numPr>
      </w:pPr>
      <w:r>
        <w:rPr>
          <w:rFonts w:ascii="Calibri" w:hAnsi="Calibri" w:eastAsia="Calibri"/>
          <w:color w:val="0B2545"/>
          <w:sz w:val="22"/>
        </w:rPr>
        <w:t>Cohort comparison: percentile or normalized comparison only against an appropriate cohort, with cohort size and composition displayed.</w:t>
      </w:r>
    </w:p>
    <w:p>
      <w:pPr>
        <w:keepLines/>
        <w:spacing w:after="160" w:line="280" w:lineRule="auto"/>
        <w:numPr>
          <w:ilvl w:val="0"/>
          <w:numId w:val="10"/>
        </w:numPr>
      </w:pPr>
      <w:r>
        <w:rPr>
          <w:rFonts w:ascii="Calibri" w:hAnsi="Calibri" w:eastAsia="Calibri"/>
          <w:color w:val="0B2545"/>
          <w:sz w:val="22"/>
        </w:rPr>
        <w:t>Evidence timeline: synchronized telemetry, audio transcript, gaze/video markers, exercise boundaries and evaluator annotations.</w:t>
      </w:r>
    </w:p>
    <w:p>
      <w:pPr>
        <w:keepLines/>
        <w:spacing w:after="160" w:line="280" w:lineRule="auto"/>
        <w:numPr>
          <w:ilvl w:val="0"/>
          <w:numId w:val="10"/>
        </w:numPr>
      </w:pPr>
      <w:r>
        <w:rPr>
          <w:rFonts w:ascii="Calibri" w:hAnsi="Calibri" w:eastAsia="Calibri"/>
          <w:color w:val="0B2545"/>
          <w:sz w:val="22"/>
        </w:rPr>
        <w:t>Data-quality report: missing channels, clock drift, low-confidence segments and expected effect on outputs.</w:t>
      </w:r>
    </w:p>
    <w:p>
      <w:pPr>
        <w:keepLines/>
        <w:spacing w:after="160" w:line="280" w:lineRule="auto"/>
        <w:numPr>
          <w:ilvl w:val="0"/>
          <w:numId w:val="10"/>
        </w:numPr>
      </w:pPr>
      <w:r>
        <w:rPr>
          <w:rFonts w:ascii="Calibri" w:hAnsi="Calibri" w:eastAsia="Calibri"/>
          <w:color w:val="0B2545"/>
          <w:sz w:val="22"/>
        </w:rPr>
        <w:t>Research/experiment report: data slice, feature set, label set, train/test grouping, metrics, confidence intervals and model lineage.</w:t>
      </w:r>
    </w:p>
    <w:p>
      <w:pPr>
        <w:pStyle w:val="Heading1"/>
        <w:keepNext/>
        <w:pageBreakBefore w:val="0"/>
      </w:pPr>
      <w:r>
        <w:t>Data sources and modality contracts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1550"/>
        <w:gridCol w:w="1700"/>
        <w:gridCol w:w="3530"/>
        <w:gridCol w:w="2580"/>
      </w:tblGrid>
      <w:tr>
        <w:trPr>
          <w:tblHeader w:val="true"/>
          <w:cantSplit/>
        </w:trPr>
        <w:tc>
          <w:tcPr>
            <w:tcW w:type="dxa" w:w="155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Source</w:t>
            </w:r>
          </w:p>
        </w:tc>
        <w:tc>
          <w:tcPr>
            <w:tcW w:type="dxa" w:w="17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Form</w:t>
            </w:r>
          </w:p>
        </w:tc>
        <w:tc>
          <w:tcPr>
            <w:tcW w:type="dxa" w:w="353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Expected content</w:t>
            </w:r>
          </w:p>
        </w:tc>
        <w:tc>
          <w:tcPr>
            <w:tcW w:type="dxa" w:w="258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Contract checks</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Simulator telemetry</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CSV or equivalent structured time series</w:t>
            </w:r>
          </w:p>
        </w:tc>
        <w:tc>
          <w:tcPr>
            <w:tcW w:type="dxa" w:w="35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Flight controls; aircraft state; position; attitude; speed; altitude; switch states; exercise/event markers where available.</w:t>
            </w:r>
          </w:p>
        </w:tc>
        <w:tc>
          <w:tcPr>
            <w:tcW w:type="dxa" w:w="25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Sampling rate, units, missing values, monotonic timestamps, schema version.</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Pilot-facing video</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Video stream/file</w:t>
            </w:r>
          </w:p>
        </w:tc>
        <w:tc>
          <w:tcPr>
            <w:tcW w:type="dxa" w:w="35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Face/head pose; gaze estimation or eye-tracker extraction; visual attention and behavior events.</w:t>
            </w:r>
          </w:p>
        </w:tc>
        <w:tc>
          <w:tcPr>
            <w:tcW w:type="dxa" w:w="25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Resolution/FPS, occlusion, lighting, camera calibration, coverage.</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Outside/horizon or nose video</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Video stream/file</w:t>
            </w:r>
          </w:p>
        </w:tc>
        <w:tc>
          <w:tcPr>
            <w:tcW w:type="dxa" w:w="35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Forward-looking visual context, horizon/scene cues and event context.</w:t>
            </w:r>
          </w:p>
        </w:tc>
        <w:tc>
          <w:tcPr>
            <w:tcW w:type="dxa" w:w="25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Resolution/FPS, field of view, timestamp source, dropped frames.</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Cockpit overview / instrument-panel video (backlog)</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One or more fixed cockpit camera streams plus audio</w:t>
            </w:r>
          </w:p>
        </w:tc>
        <w:tc>
          <w:tcPr>
            <w:tcW w:type="dxa" w:w="35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Visible instruments/displays, selected controls, cockpit context and a portable source for OCR/computer-vision reconstruction when native export is unavailable.</w:t>
            </w:r>
          </w:p>
        </w:tc>
        <w:tc>
          <w:tcPr>
            <w:tcW w:type="dxa" w:w="25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Camera geometry, readability, glare/occlusion, vibration, FPS, display refresh, clock stability, OCR error, missing states and validation against native telemetry.</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Audio</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Mixed or separate channels</w:t>
            </w:r>
          </w:p>
        </w:tc>
        <w:tc>
          <w:tcPr>
            <w:tcW w:type="dxa" w:w="35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Trainee/instructor speech, instructions, responses, timing and CRM/communication evidence.</w:t>
            </w:r>
          </w:p>
        </w:tc>
        <w:tc>
          <w:tcPr>
            <w:tcW w:type="dxa" w:w="25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Language, channel layout, diarization quality, noise, clipping.</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Human assessments</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Structured grades plus comments</w:t>
            </w:r>
          </w:p>
        </w:tc>
        <w:tc>
          <w:tcPr>
            <w:tcW w:type="dxa" w:w="35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Exercise grades, capability ratings, recommendations, evaluator identity/role and final board outcome.</w:t>
            </w:r>
          </w:p>
        </w:tc>
        <w:tc>
          <w:tcPr>
            <w:tcW w:type="dxa" w:w="25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Rubric version, timing, rater agreement, missingness, visibility of model output.</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Course outcome</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Authoritative status/label</w:t>
            </w:r>
          </w:p>
        </w:tc>
        <w:tc>
          <w:tcPr>
            <w:tcW w:type="dxa" w:w="35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Continuation, completion or other agreed outcome used as the longitudinal prediction label.</w:t>
            </w:r>
          </w:p>
        </w:tc>
        <w:tc>
          <w:tcPr>
            <w:tcW w:type="dxa" w:w="25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Definition, timing, censoring, reason codes and label version.</w:t>
            </w:r>
          </w:p>
        </w:tc>
      </w:tr>
      <w:tr>
        <w:trPr>
          <w:cantSplit/>
        </w:trPr>
        <w:tc>
          <w:tcPr>
            <w:tcW w:type="dxa" w:w="155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Future physiology</w:t>
            </w:r>
          </w:p>
        </w:tc>
        <w:tc>
          <w:tcPr>
            <w:tcW w:type="dxa" w:w="17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EEG, heart rate, EDA/sweat and related signals</w:t>
            </w:r>
          </w:p>
        </w:tc>
        <w:tc>
          <w:tcPr>
            <w:tcW w:type="dxa" w:w="353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Stress/recovery and workload research only after explicit approval.</w:t>
            </w:r>
          </w:p>
        </w:tc>
        <w:tc>
          <w:tcPr>
            <w:tcW w:type="dxa" w:w="25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Sensor validity, consent, medical/privacy restrictions and synchronization.</w:t>
            </w:r>
          </w:p>
        </w:tc>
      </w:tr>
    </w:tbl>
    <w:p>
      <w:pPr>
        <w:spacing w:after="40"/>
      </w:pPr>
    </w:p>
    <w:p>
      <w:pPr>
        <w:pStyle w:val="Heading1"/>
        <w:keepNext/>
        <w:pageBreakBefore w:val="0"/>
      </w:pPr>
      <w:r>
        <w:t>Flight metadata and association model</w:t>
      </w:r>
    </w:p>
    <w:p>
      <w:pPr/>
      <w:r>
        <w:rPr>
          <w:rFonts w:ascii="Calibri" w:hAnsi="Calibri" w:eastAsia="Calibri"/>
          <w:i w:val="0"/>
          <w:color w:val="0B2545"/>
          <w:sz w:val="22"/>
        </w:rPr>
        <w:t>The Flight Metadata Manager is the authoritative mechanism for answering which sortie occurred, when it occurred, which people participated, which exercises were flown and which files belong to it. It must support more than one evaluator and must represent a person's role explicitly.</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1900"/>
        <w:gridCol w:w="4000"/>
        <w:gridCol w:w="3460"/>
      </w:tblGrid>
      <w:tr>
        <w:trPr>
          <w:tblHeader w:val="true"/>
          <w:cantSplit/>
        </w:trPr>
        <w:tc>
          <w:tcPr>
            <w:tcW w:type="dxa" w:w="19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Entity</w:t>
            </w:r>
          </w:p>
        </w:tc>
        <w:tc>
          <w:tcPr>
            <w:tcW w:type="dxa" w:w="40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Key fields</w:t>
            </w:r>
          </w:p>
        </w:tc>
        <w:tc>
          <w:tcPr>
            <w:tcW w:type="dxa" w:w="34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Design intent</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Person</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person_id, approved display identity, organization/unit, active status</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Trainee, instructor, evaluator and psychologist are roles, not separate identity types.</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FlightSession</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flight_id, simulator_session_id, date/time, sortie number, simulator, scenario, status</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The stable join point for every asset, exercise, feature, label and report.</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FlightParticipant</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flight_id, person_id, role, participation interval</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Supports trainee, instructor, evaluator, observer and psychologist; many-to-many.</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Asset</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asset_id, flight_id, modality, URI, checksum, size, duration, schema/codec, clock_id</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Tracks source identity and processing state without relying on filenames.</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TimeBase</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clock_id, source, epoch, offset, drift, method, confidence</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Preserves how each source was mapped to the canonical timeline.</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ExerciseDefinition</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exercise_id, name, version, rubric, expected profile</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Versioned catalog of drills and maneuvers.</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ExerciseOccurrence</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occurrence_id, flight_id, exercise_id, start/end, source, confidence</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Represents planned or detected execution; preserves manual corrections.</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FeatureObservation</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feature_id/version, occurrence_id, value/vector, units, quality, lineage</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Supports hundreds of features per exercise without schema drift.</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HumanAssessment</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assessment_id, rater, rubric version, scores, comments, timestamp</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Never overwritten by a model result.</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ModelAssessment</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model version, target, prediction, uncertainty, evidence refs, timestamp</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Immutable output for audit and reproducibility.</w:t>
            </w:r>
          </w:p>
        </w:tc>
      </w:tr>
      <w:tr>
        <w:trPr>
          <w:cantSplit/>
        </w:trPr>
        <w:tc>
          <w:tcPr>
            <w:tcW w:type="dxa" w:w="1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Outcome</w:t>
            </w:r>
          </w:p>
        </w:tc>
        <w:tc>
          <w:tcPr>
            <w:tcW w:type="dxa" w:w="4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trainee_id, outcome definition/version, status, effective date, reason code</w:t>
            </w:r>
          </w:p>
        </w:tc>
        <w:tc>
          <w:tcPr>
            <w:tcW w:type="dxa" w:w="34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Authoritative longitudinal label; may be censored or pending.</w:t>
            </w:r>
          </w:p>
        </w:tc>
      </w:tr>
    </w:tbl>
    <w:p>
      <w:pPr>
        <w:spacing w:after="40"/>
      </w:pPr>
    </w:p>
    <w:p>
      <w:pPr>
        <w:pStyle w:val="Heading1"/>
        <w:keepNext/>
        <w:pageBreakBefore w:val="0"/>
      </w:pPr>
      <w:r>
        <w:t>Canonical timeline and synchronization</w:t>
      </w:r>
    </w:p>
    <w:p>
      <w:pPr>
        <w:keepLines/>
        <w:spacing w:after="160" w:line="280" w:lineRule="auto"/>
        <w:numPr>
          <w:ilvl w:val="0"/>
          <w:numId w:val="10"/>
        </w:numPr>
      </w:pPr>
      <w:r>
        <w:rPr>
          <w:rFonts w:ascii="Calibri" w:hAnsi="Calibri" w:eastAsia="Calibri"/>
          <w:color w:val="0B2545"/>
          <w:sz w:val="22"/>
        </w:rPr>
        <w:t>Each source adapter shall document its input, output, algorithm, quality metric and failure modes.</w:t>
      </w:r>
    </w:p>
    <w:p>
      <w:pPr>
        <w:keepLines/>
        <w:spacing w:after="160" w:line="280" w:lineRule="auto"/>
        <w:numPr>
          <w:ilvl w:val="0"/>
          <w:numId w:val="10"/>
        </w:numPr>
      </w:pPr>
      <w:r>
        <w:rPr>
          <w:rFonts w:ascii="Calibri" w:hAnsi="Calibri" w:eastAsia="Calibri"/>
          <w:color w:val="0B2545"/>
          <w:sz w:val="22"/>
        </w:rPr>
        <w:t>Each adapter shall output source timestamps and a proposed mapping to canonical flight time, rather than directly modifying downstream records.</w:t>
      </w:r>
    </w:p>
    <w:p>
      <w:pPr>
        <w:keepLines/>
        <w:spacing w:after="160" w:line="280" w:lineRule="auto"/>
        <w:numPr>
          <w:ilvl w:val="0"/>
          <w:numId w:val="10"/>
        </w:numPr>
      </w:pPr>
      <w:r>
        <w:rPr>
          <w:rFonts w:ascii="Calibri" w:hAnsi="Calibri" w:eastAsia="Calibri"/>
          <w:color w:val="0B2545"/>
          <w:sz w:val="22"/>
        </w:rPr>
        <w:t>The synchronization engine shall merge adapters and preserve offset, drift, anchors, confidence and quality flags.</w:t>
      </w:r>
    </w:p>
    <w:p>
      <w:pPr>
        <w:keepLines/>
        <w:spacing w:after="160" w:line="280" w:lineRule="auto"/>
        <w:numPr>
          <w:ilvl w:val="0"/>
          <w:numId w:val="10"/>
        </w:numPr>
      </w:pPr>
      <w:r>
        <w:rPr>
          <w:rFonts w:ascii="Calibri" w:hAnsi="Calibri" w:eastAsia="Calibri"/>
          <w:color w:val="0B2545"/>
          <w:sz w:val="22"/>
        </w:rPr>
        <w:t>Where a shared hardware clock is absent, the engine may use event anchors, audio/visual cross-correlation or simulator markers; the chosen method must be auditable.</w:t>
      </w:r>
    </w:p>
    <w:p>
      <w:pPr>
        <w:keepLines/>
        <w:spacing w:after="160" w:line="280" w:lineRule="auto"/>
        <w:numPr>
          <w:ilvl w:val="0"/>
          <w:numId w:val="10"/>
        </w:numPr>
      </w:pPr>
      <w:r>
        <w:rPr>
          <w:rFonts w:ascii="Calibri" w:hAnsi="Calibri" w:eastAsia="Calibri"/>
          <w:color w:val="0B2545"/>
          <w:sz w:val="22"/>
        </w:rPr>
        <w:t>Downstream segmentation and feature modules shall consume canonical time and shall not contain source-specific clock logic.</w:t>
      </w:r>
    </w:p>
    <w:p>
      <w:pPr>
        <w:keepLines/>
        <w:spacing w:after="160" w:line="280" w:lineRule="auto"/>
        <w:numPr>
          <w:ilvl w:val="0"/>
          <w:numId w:val="10"/>
        </w:numPr>
      </w:pPr>
      <w:r>
        <w:rPr>
          <w:rFonts w:ascii="Calibri" w:hAnsi="Calibri" w:eastAsia="Calibri"/>
          <w:color w:val="0B2545"/>
          <w:sz w:val="22"/>
        </w:rPr>
        <w:t>Manual corrections shall be versioned and shall never destroy the original automatic mapping.</w:t>
      </w:r>
    </w:p>
    <w:p>
      <w:pPr>
        <w:pStyle w:val="Heading1"/>
        <w:keepNext/>
        <w:pageBreakBefore w:val="0"/>
      </w:pPr>
      <w:r>
        <w:t>Functional requirements</w:t>
      </w:r>
    </w:p>
    <w:p>
      <w:pPr>
        <w:pStyle w:val="Heading2"/>
        <w:keepNext/>
        <w:pageBreakBefore w:val="0"/>
      </w:pPr>
      <w:r>
        <w:t>Session, ingestion and synchronization</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900"/>
        <w:gridCol w:w="5060"/>
        <w:gridCol w:w="3400"/>
      </w:tblGrid>
      <w:tr>
        <w:trPr>
          <w:tblHeader w:val="true"/>
          <w:cantSplit/>
        </w:trPr>
        <w:tc>
          <w:tcPr>
            <w:tcW w:type="dxa" w:w="9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ID</w:t>
            </w:r>
          </w:p>
        </w:tc>
        <w:tc>
          <w:tcPr>
            <w:tcW w:type="dxa" w:w="50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Requirement</w:t>
            </w:r>
          </w:p>
        </w:tc>
        <w:tc>
          <w:tcPr>
            <w:tcW w:type="dxa" w:w="34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Acceptance condition</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FR-001</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Create/import a Flight Session with date/time, trainee, sortie number, simulator, scenario and planned exercises.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One unique flight_id is created; duplicates are detected and reviewable.</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FR-002</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Associate any number of participants with explicit roles and optional participation intervals.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flight can represent one trainee and multiple instructors/evaluators without overwriting identity.</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FR-003</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Register all source assets with modality, checksum, schema/codec, clock and processing state.</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Re-ingestion is idempotent; changed files create a new asset version or explicit conflict.</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FR-004</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Validate asset readability, duration, expected channels and schema before processing.</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Failures are visible with an actionable reason and do not silently produce scores.</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FR-005</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Run modular adapters and emit normalized observations plus proposed timelines and quality metrics.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Adapter output conforms to the canonical contract and carries lineage.</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FR-006</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From the synchronization milestone onward, create a canonical flight timeline with offset, drift and confidence per source.</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Every integrated derived event maps back to source time and file location; D0 single-modality demos are explicitly exempt.</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FR-007</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Allow authorized manual correction of session metadata, exercise boundaries and synchronization anchors.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Original and corrected versions, author, timestamp and rationale remain auditable.</w:t>
            </w:r>
          </w:p>
        </w:tc>
      </w:tr>
    </w:tbl>
    <w:p>
      <w:pPr>
        <w:spacing w:after="40"/>
      </w:pPr>
    </w:p>
    <w:p>
      <w:pPr>
        <w:pStyle w:val="Heading2"/>
        <w:keepNext/>
        <w:pageBreakBefore w:val="0"/>
      </w:pPr>
      <w:r>
        <w:t>Segmentation and feature extraction</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900"/>
        <w:gridCol w:w="5060"/>
        <w:gridCol w:w="3400"/>
      </w:tblGrid>
      <w:tr>
        <w:trPr>
          <w:tblHeader w:val="true"/>
          <w:cantSplit/>
        </w:trPr>
        <w:tc>
          <w:tcPr>
            <w:tcW w:type="dxa" w:w="9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ID</w:t>
            </w:r>
          </w:p>
        </w:tc>
        <w:tc>
          <w:tcPr>
            <w:tcW w:type="dxa" w:w="50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Requirement</w:t>
            </w:r>
          </w:p>
        </w:tc>
        <w:tc>
          <w:tcPr>
            <w:tcW w:type="dxa" w:w="34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Acceptance condition</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FR-101</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Detect or import exercise/maneuver boundaries and map them to versioned exercise definitions.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Each occurrence has start/end, source and confidence; authorized users can correct it.</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FR-102</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Extract telemetry/control features per exercise and for defined event windows.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Features carry name/version, units, aggregation window, quality and source lineage.</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FR-103</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Transcribe flight audio with timestamps and separate speakers when channels or diarization permit.</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Transcript segments include speaker/confidence; uncertainty and overlap are preserved.</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FR-104</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Extract pilot-video attention features, including eye/gaze estimates or hardware eye-tracker data where available.</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Coverage, calibration, occlusion and confidence are reported; low-quality video does not create a silent score.</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FR-105</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Extract outside/horizon/nose-video features needed for exercise context and cross-modal events.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Every feature is linked to a defined time interval and model/version.</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FR-106</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Compare visual/OCR-derived values with the authoritative simulator CSV where required.</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Differences are quantified; CSV remains authoritative unless a data owner approves another rule.</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FR-107</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Create cross-modal features such as instruction-to-action latency, glance-to-control response and recovery after deviation.</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Post-D0 feature definition identifies all contributing modalities and missing-data behavior; this requirement is not a D0 acceptance gate.</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FR-108</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Maintain a searchable feature catalog supporting hundreds of features per exercise.</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Owner, definition, units, version, applicability, quality metric and deprecation state are recorded.</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FR-109</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Detect and display observable hesitation events in the audio-only demo, including filled/silent pauses, false starts, repetitions, restarts, self-corrections and response latency.</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Each event has source-relative start/end, type, confidence and an audio anchor; reviewers can correct or dismiss it; no psychological conclusion is generated.</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FR-110</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Run D0 audio and telemetry pipelines independently without requiring another modality or a canonical cross-source timeline.</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Each demo completes with only its declared input, reports its own coverage/quality and makes no cross-modal call or combined score.</w:t>
            </w:r>
          </w:p>
        </w:tc>
      </w:tr>
    </w:tbl>
    <w:p>
      <w:pPr>
        <w:spacing w:after="40"/>
      </w:pPr>
    </w:p>
    <w:p>
      <w:pPr>
        <w:pStyle w:val="Heading2"/>
        <w:keepNext/>
        <w:pageBreakBefore w:val="0"/>
      </w:pPr>
      <w:r>
        <w:t>Scoring, prediction and explanation</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900"/>
        <w:gridCol w:w="5060"/>
        <w:gridCol w:w="3400"/>
      </w:tblGrid>
      <w:tr>
        <w:trPr>
          <w:tblHeader w:val="true"/>
          <w:cantSplit/>
        </w:trPr>
        <w:tc>
          <w:tcPr>
            <w:tcW w:type="dxa" w:w="9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ID</w:t>
            </w:r>
          </w:p>
        </w:tc>
        <w:tc>
          <w:tcPr>
            <w:tcW w:type="dxa" w:w="50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Requirement</w:t>
            </w:r>
          </w:p>
        </w:tc>
        <w:tc>
          <w:tcPr>
            <w:tcW w:type="dxa" w:w="34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Acceptance condition</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FR-201</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Produce a model grade for each processed exercise occurrence.</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Grade includes rubric/scale, components, confidence, evidence, model version and data-quality caveats.</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FR-202</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Maintain an evolving trainee profile across the three approved capability families.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Each dimension shows current estimate, trend, evidence, confidence and number of supporting occurrences.</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FR-203</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Estimate the probability of completing the flight course after each eligible sortie.</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Probability is calibrated, versioned and accompanied by uncertainty and a minimum-data eligibility rule.</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FR-204</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Compare a trainee with an appropriate cohort.</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The UI displays cohort definition and size and suppresses misleading comparisons for insufficient samples.</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FR-205</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Explain each material score and prediction using human-readable contributing factors and timeline evidence.</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reviewer can navigate from output to exercise, interval, source and feature/model version.</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FR-206</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Display human and model assessments as separate sources.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No model result overwrites or is visually presented as an evaluator's grade.</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FR-207</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Permit authorized evaluator annotations and dispute/feedback markers.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Feedback is versioned and available for error analysis, not silently used for retraining.</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FR-208</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Suppress or qualify outputs when required modalities or quality thresholds are not met.</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The report states what is missing and which outputs are affected.</w:t>
            </w:r>
          </w:p>
        </w:tc>
      </w:tr>
    </w:tbl>
    <w:p>
      <w:pPr>
        <w:spacing w:after="40"/>
      </w:pPr>
    </w:p>
    <w:p>
      <w:pPr>
        <w:pStyle w:val="Heading2"/>
        <w:keepNext/>
        <w:pageBreakBefore w:val="0"/>
      </w:pPr>
      <w:r>
        <w:t>Reporting, administration and MLOps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900"/>
        <w:gridCol w:w="5060"/>
        <w:gridCol w:w="3400"/>
      </w:tblGrid>
      <w:tr>
        <w:trPr>
          <w:tblHeader w:val="true"/>
          <w:cantSplit/>
        </w:trPr>
        <w:tc>
          <w:tcPr>
            <w:tcW w:type="dxa" w:w="9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ID</w:t>
            </w:r>
          </w:p>
        </w:tc>
        <w:tc>
          <w:tcPr>
            <w:tcW w:type="dxa" w:w="50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Requirement</w:t>
            </w:r>
          </w:p>
        </w:tc>
        <w:tc>
          <w:tcPr>
            <w:tcW w:type="dxa" w:w="34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Acceptance condition</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FR-301</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Publish preliminary and full sortie reports with visible processing status.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Users can distinguish provisional from final outputs and see the version/change history.</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FR-302</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Provide trainee, cohort, evidence-timeline, data-quality and research views.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Role-authorized users can reach each view from a session or trainee record.</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FR-303</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Export approved tabular results and evidence references for research/analysis.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Export is permission-controlled, logged and de-identified when the selected purpose requires it.</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FR-401</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Version data schemas, feature definitions, labels, rubrics, code, models and reports.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historical report can be reproduced from retained inputs and version identifiers.</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FR-402</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Track experiments, data slices, train/test groups, parameters and metrics.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Every promoted model links to an immutable experiment record and evaluation report.</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FR-403</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Support rollback to a prior approved model without rewriting historic outputs.</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New processing uses the selected approved version; historical outputs remain immutable.</w:t>
            </w:r>
          </w:p>
        </w:tc>
      </w:tr>
      <w:tr>
        <w:trPr>
          <w:cantSplit/>
        </w:trPr>
        <w:tc>
          <w:tcPr>
            <w:tcW w:type="dxa" w:w="9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FR-404</w:t>
            </w:r>
          </w:p>
        </w:tc>
        <w:tc>
          <w:tcPr>
            <w:tcW w:type="dxa" w:w="5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Monitor pipeline, data and model health.</w:t>
            </w:r>
          </w:p>
        </w:tc>
        <w:tc>
          <w:tcPr>
            <w:tcW w:type="dxa" w:w="3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Failures, latency, missingness, drift and prediction distributions are visible and alertable.</w:t>
            </w:r>
          </w:p>
        </w:tc>
      </w:tr>
    </w:tbl>
    <w:p>
      <w:pPr>
        <w:spacing w:after="40"/>
      </w:pPr>
    </w:p>
    <w:p>
      <w:pPr>
        <w:pStyle w:val="Heading1"/>
        <w:keepNext/>
        <w:pageBreakBefore w:val="0"/>
      </w:pPr>
      <w:r>
        <w:t>System architecture</w:t>
      </w:r>
    </w:p>
    <w:p>
      <w:pPr>
        <w:spacing w:after="0"/>
        <w:jc w:val="center"/>
      </w:pPr>
      <w:r>
        <w:drawing>
          <wp:inline xmlns:a="http://schemas.openxmlformats.org/drawingml/2006/main" xmlns:pic="http://schemas.openxmlformats.org/drawingml/2006/picture">
            <wp:extent cx="5806440" cy="3588360"/>
            <wp:docPr id="1" name="Picture 1" descr="Architecture flow from modality adapters through flight metadata, synchronization, segmentation, feature extraction, scoring, evidence and reports." title="Pilot Prediction System Architecture"/>
            <wp:cNvGraphicFramePr>
              <a:graphicFrameLocks noChangeAspect="1"/>
            </wp:cNvGraphicFramePr>
            <a:graphic>
              <a:graphicData uri="http://schemas.openxmlformats.org/drawingml/2006/picture">
                <pic:pic>
                  <pic:nvPicPr>
                    <pic:cNvPr id="0" name="pilot_prediction_architecture.png"/>
                    <pic:cNvPicPr/>
                  </pic:nvPicPr>
                  <pic:blipFill>
                    <a:blip r:embed="rId11"/>
                    <a:stretch>
                      <a:fillRect/>
                    </a:stretch>
                  </pic:blipFill>
                  <pic:spPr>
                    <a:xfrm>
                      <a:off x="0" y="0"/>
                      <a:ext cx="5806440" cy="3588360"/>
                    </a:xfrm>
                    <a:prstGeom prst="rect"/>
                  </pic:spPr>
                </pic:pic>
              </a:graphicData>
            </a:graphic>
          </wp:inline>
        </w:drawing>
      </w:r>
    </w:p>
    <w:p>
      <w:pPr>
        <w:pStyle w:val="Caption"/>
      </w:pPr>
      <w:r>
        <w:t>Figure 1. Target-state logical architecture and data flow. D0 demo silos do not use the synchronization/fusion path.</w:t>
      </w:r>
    </w:p>
    <w:p>
      <w:pPr/>
      <w:r>
        <w:rPr>
          <w:rFonts w:ascii="Calibri" w:hAnsi="Calibri" w:eastAsia="Calibri"/>
          <w:i w:val="0"/>
          <w:color w:val="0B2545"/>
          <w:sz w:val="22"/>
        </w:rPr>
        <w:t>The architecture is modular by source and by feature family. D0 runs the audio and telemetry modules as independent vertical slices. The canonical timeline becomes the boundary between source-specific processing and domain analytics only when integrated processing begins. All derived outputs preserve lineage to raw assets, code/model versions and source intervals.</w:t>
      </w:r>
    </w:p>
    <w:p>
      <w:pPr>
        <w:pStyle w:val="Heading2"/>
        <w:keepNext/>
        <w:pageBreakBefore w:val="0"/>
      </w:pPr>
      <w:r>
        <w:t>Component responsibilities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750"/>
        <w:gridCol w:w="6610"/>
      </w:tblGrid>
      <w:tr>
        <w:trPr>
          <w:tblHeader w:val="true"/>
          <w:cantSplit/>
        </w:trPr>
        <w:tc>
          <w:tcPr>
            <w:tcW w:type="dxa" w:w="275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Component</w:t>
            </w:r>
          </w:p>
        </w:tc>
        <w:tc>
          <w:tcPr>
            <w:tcW w:type="dxa" w:w="661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Responsibility</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Flight Metadata Manager</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Creates the authoritative session/people/exercise association and lifecycle status.</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Asset Registry</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Tracks files, schemas, checksums, versions, clocks and processing state.</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Source Adapters</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Decode modality-specific sources and propose normalized observations/timelines.</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Standalone Demo Runners</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Execute the D0 audio or telemetry vertical slice without waiting for cross-source synchronization or fusion; publish modality-specific evidence and quality.</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Synchronization Engine</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Builds canonical time, aligns sources and exposes offset/drift/confidence.</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Exercise Engine</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Imports or detects exercise occurrences and manages manual corrections.</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Feature Services</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Extract versioned telemetry, audio, gaze/video and cross-modal features.</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Feature and Label Store</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Stores reproducible features, human assessments and course outcomes.</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Scoring and Prediction Services</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Produce exercise grades, profile dimensions and completion probability.</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Explainability Service</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Builds factor summaries and source-linked evidence packages.</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Reporting/API Layer</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Serves role-based reports, exports, integrations and audit views.</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Experiment/Model Registry</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Records datasets, code, features, models, validation and approval state.</w:t>
            </w:r>
          </w:p>
        </w:tc>
      </w:tr>
      <w:tr>
        <w:trPr>
          <w:cantSplit/>
        </w:trPr>
        <w:tc>
          <w:tcPr>
            <w:tcW w:type="dxa" w:w="275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Orchestrator/Monitoring</w:t>
            </w:r>
          </w:p>
        </w:tc>
        <w:tc>
          <w:tcPr>
            <w:tcW w:type="dxa" w:w="661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Schedules fast/deep jobs, manages GPU queues, retries and health metrics.</w:t>
            </w:r>
          </w:p>
        </w:tc>
      </w:tr>
    </w:tbl>
    <w:p>
      <w:pPr>
        <w:spacing w:after="40"/>
      </w:pPr>
    </w:p>
    <w:p>
      <w:pPr>
        <w:pStyle w:val="Heading1"/>
        <w:keepNext/>
        <w:pageBreakBefore w:val="0"/>
      </w:pPr>
      <w:r>
        <w:t>Machine-learning and analytics requirements</w:t>
      </w:r>
    </w:p>
    <w:p>
      <w:pPr>
        <w:pStyle w:val="Heading2"/>
        <w:keepNext/>
        <w:pageBreakBefore w:val="0"/>
      </w:pPr>
      <w:r>
        <w:t>Model layers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000"/>
        <w:gridCol w:w="4920"/>
        <w:gridCol w:w="2440"/>
      </w:tblGrid>
      <w:tr>
        <w:trPr>
          <w:tblHeader w:val="true"/>
          <w:cantSplit/>
        </w:trPr>
        <w:tc>
          <w:tcPr>
            <w:tcW w:type="dxa" w:w="20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Layer</w:t>
            </w:r>
          </w:p>
        </w:tc>
        <w:tc>
          <w:tcPr>
            <w:tcW w:type="dxa" w:w="492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Approach</w:t>
            </w:r>
          </w:p>
        </w:tc>
        <w:tc>
          <w:tcPr>
            <w:tcW w:type="dxa" w:w="244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Output</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Exercise performance</w:t>
            </w:r>
          </w:p>
        </w:tc>
        <w:tc>
          <w:tcPr>
            <w:tcW w:type="dxa" w:w="4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Regression/classification against rubric grades and objective maneuver metrics.</w:t>
            </w:r>
          </w:p>
        </w:tc>
        <w:tc>
          <w:tcPr>
            <w:tcW w:type="dxa" w:w="24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Per-exercise grade and components.</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Capability profile</w:t>
            </w:r>
          </w:p>
        </w:tc>
        <w:tc>
          <w:tcPr>
            <w:tcW w:type="dxa" w:w="4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Hierarchical aggregation across exercises and sorties, with instructor/evaluator effects considered.</w:t>
            </w:r>
          </w:p>
        </w:tc>
        <w:tc>
          <w:tcPr>
            <w:tcW w:type="dxa" w:w="24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Dimension estimate, trend and confidence.</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Course completion</w:t>
            </w:r>
          </w:p>
        </w:tc>
        <w:tc>
          <w:tcPr>
            <w:tcW w:type="dxa" w:w="4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Trainee-level calibrated model using only information available at the prediction time.</w:t>
            </w:r>
          </w:p>
        </w:tc>
        <w:tc>
          <w:tcPr>
            <w:tcW w:type="dxa" w:w="24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Probability, interval/confidence and eligibility status.</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Attention and behavior</w:t>
            </w:r>
          </w:p>
        </w:tc>
        <w:tc>
          <w:tcPr>
            <w:tcW w:type="dxa" w:w="4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Validated pretrained or task-specific encoders for gaze/head pose, speech and temporal patterns.</w:t>
            </w:r>
          </w:p>
        </w:tc>
        <w:tc>
          <w:tcPr>
            <w:tcW w:type="dxa" w:w="24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Versioned features and evidence; no unsupported diagnosis.</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Multimodal fusion</w:t>
            </w:r>
          </w:p>
        </w:tc>
        <w:tc>
          <w:tcPr>
            <w:tcW w:type="dxa" w:w="49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Begin with late fusion and interpretable aggregated features; evaluate temporal/deep fusion only when sample size supports it.</w:t>
            </w:r>
          </w:p>
        </w:tc>
        <w:tc>
          <w:tcPr>
            <w:tcW w:type="dxa" w:w="24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Ablation-tested lift over simpler baselines.</w:t>
            </w:r>
          </w:p>
        </w:tc>
      </w:tr>
    </w:tbl>
    <w:p>
      <w:pPr>
        <w:spacing w:after="40"/>
      </w:pPr>
    </w:p>
    <w:p>
      <w:pPr>
        <w:pStyle w:val="Heading2"/>
        <w:keepNext/>
        <w:pageBreakBefore w:val="0"/>
      </w:pPr>
      <w:r>
        <w:t>Mandatory modeling rules</w:t>
      </w:r>
    </w:p>
    <w:p>
      <w:pPr>
        <w:keepLines/>
        <w:spacing w:after="160" w:line="280" w:lineRule="auto"/>
        <w:numPr>
          <w:ilvl w:val="0"/>
          <w:numId w:val="10"/>
        </w:numPr>
      </w:pPr>
      <w:r>
        <w:rPr>
          <w:rFonts w:ascii="Calibri" w:hAnsi="Calibri" w:eastAsia="Calibri"/>
          <w:color w:val="0B2545"/>
          <w:sz w:val="22"/>
        </w:rPr>
        <w:t>Start with transparent baselines such as regularized linear/logistic models, tree ensembles and mixed-effects or hierarchical aggregation before deep fusion.</w:t>
      </w:r>
    </w:p>
    <w:p>
      <w:pPr>
        <w:keepLines/>
        <w:spacing w:after="160" w:line="280" w:lineRule="auto"/>
        <w:numPr>
          <w:ilvl w:val="0"/>
          <w:numId w:val="10"/>
        </w:numPr>
      </w:pPr>
      <w:r>
        <w:rPr>
          <w:rFonts w:ascii="Calibri" w:hAnsi="Calibri" w:eastAsia="Calibri"/>
          <w:color w:val="0B2545"/>
          <w:sz w:val="22"/>
        </w:rPr>
        <w:t>For D0, prefer deterministic calculations, transparent rules and pretrained speech recognition over training a multimodal model. Any learned detector must expose confidence and labeled evaluation data.</w:t>
      </w:r>
    </w:p>
    <w:p>
      <w:pPr>
        <w:keepLines/>
        <w:spacing w:after="160" w:line="280" w:lineRule="auto"/>
        <w:numPr>
          <w:ilvl w:val="0"/>
          <w:numId w:val="10"/>
        </w:numPr>
      </w:pPr>
      <w:r>
        <w:rPr>
          <w:rFonts w:ascii="Calibri" w:hAnsi="Calibri" w:eastAsia="Calibri"/>
          <w:color w:val="0B2545"/>
          <w:sz w:val="22"/>
        </w:rPr>
        <w:t>Use pretrained encoders and transfer learning where practical; the initial cohort is too small to train large video/audio models from scratch.</w:t>
      </w:r>
    </w:p>
    <w:p>
      <w:pPr>
        <w:keepLines/>
        <w:spacing w:after="160" w:line="280" w:lineRule="auto"/>
        <w:numPr>
          <w:ilvl w:val="0"/>
          <w:numId w:val="10"/>
        </w:numPr>
      </w:pPr>
      <w:r>
        <w:rPr>
          <w:rFonts w:ascii="Calibri" w:hAnsi="Calibri" w:eastAsia="Calibri"/>
          <w:color w:val="0B2545"/>
          <w:sz w:val="22"/>
        </w:rPr>
        <w:t>Split validation by trainee, never randomly by frames, segments or sorties from the same trainee.</w:t>
      </w:r>
    </w:p>
    <w:p>
      <w:pPr>
        <w:keepLines/>
        <w:spacing w:after="160" w:line="280" w:lineRule="auto"/>
        <w:numPr>
          <w:ilvl w:val="0"/>
          <w:numId w:val="10"/>
        </w:numPr>
      </w:pPr>
      <w:r>
        <w:rPr>
          <w:rFonts w:ascii="Calibri" w:hAnsi="Calibri" w:eastAsia="Calibri"/>
          <w:color w:val="0B2545"/>
          <w:sz w:val="22"/>
        </w:rPr>
        <w:t>Prevent temporal leakage: no future sortie, final outcome, post-decision annotation or downstream human grade may enter an earlier prediction as a feature.</w:t>
      </w:r>
    </w:p>
    <w:p>
      <w:pPr>
        <w:keepLines/>
        <w:spacing w:after="160" w:line="280" w:lineRule="auto"/>
        <w:numPr>
          <w:ilvl w:val="0"/>
          <w:numId w:val="10"/>
        </w:numPr>
      </w:pPr>
      <w:r>
        <w:rPr>
          <w:rFonts w:ascii="Calibri" w:hAnsi="Calibri" w:eastAsia="Calibri"/>
          <w:color w:val="0B2545"/>
          <w:sz w:val="22"/>
        </w:rPr>
        <w:t>Measure inter-rater agreement and compare the model with both individual evaluators and a defined consensus label.</w:t>
      </w:r>
    </w:p>
    <w:p>
      <w:pPr>
        <w:keepLines/>
        <w:spacing w:after="160" w:line="280" w:lineRule="auto"/>
        <w:numPr>
          <w:ilvl w:val="0"/>
          <w:numId w:val="10"/>
        </w:numPr>
      </w:pPr>
      <w:r>
        <w:rPr>
          <w:rFonts w:ascii="Calibri" w:hAnsi="Calibri" w:eastAsia="Calibri"/>
          <w:color w:val="0B2545"/>
          <w:sz w:val="22"/>
        </w:rPr>
        <w:t>Report calibration and uncertainty, not accuracy alone; define an abstain/insufficient-data state.</w:t>
      </w:r>
    </w:p>
    <w:p>
      <w:pPr>
        <w:keepLines/>
        <w:spacing w:after="160" w:line="280" w:lineRule="auto"/>
        <w:numPr>
          <w:ilvl w:val="0"/>
          <w:numId w:val="10"/>
        </w:numPr>
      </w:pPr>
      <w:r>
        <w:rPr>
          <w:rFonts w:ascii="Calibri" w:hAnsi="Calibri" w:eastAsia="Calibri"/>
          <w:color w:val="0B2545"/>
          <w:sz w:val="22"/>
        </w:rPr>
        <w:t>Perform modality ablation so the incremental value of telemetry, audio, pilot video and outside video is known.</w:t>
      </w:r>
    </w:p>
    <w:p>
      <w:pPr>
        <w:keepLines/>
        <w:spacing w:after="160" w:line="280" w:lineRule="auto"/>
        <w:numPr>
          <w:ilvl w:val="0"/>
          <w:numId w:val="10"/>
        </w:numPr>
      </w:pPr>
      <w:r>
        <w:rPr>
          <w:rFonts w:ascii="Calibri" w:hAnsi="Calibri" w:eastAsia="Calibri"/>
          <w:color w:val="0B2545"/>
          <w:sz w:val="22"/>
        </w:rPr>
        <w:t>Record the data slice, label version, feature set, hyperparameters, code version and seed for every experiment.</w:t>
      </w:r>
    </w:p>
    <w:p>
      <w:pPr>
        <w:keepLines/>
        <w:spacing w:after="160" w:line="280" w:lineRule="auto"/>
        <w:numPr>
          <w:ilvl w:val="0"/>
          <w:numId w:val="10"/>
        </w:numPr>
      </w:pPr>
      <w:r>
        <w:rPr>
          <w:rFonts w:ascii="Calibri" w:hAnsi="Calibri" w:eastAsia="Calibri"/>
          <w:color w:val="0B2545"/>
          <w:sz w:val="22"/>
        </w:rPr>
        <w:t>A model may be promoted only after technical validation, domain review, privacy approval and a documented model card.</w:t>
      </w:r>
    </w:p>
    <w:p>
      <w:pPr>
        <w:pStyle w:val="Heading2"/>
        <w:keepNext/>
        <w:pageBreakBefore w:val="0"/>
      </w:pPr>
      <w:r>
        <w:t>Initial feature catalog</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300"/>
        <w:gridCol w:w="7060"/>
      </w:tblGrid>
      <w:tr>
        <w:trPr>
          <w:tblHeader w:val="true"/>
          <w:cantSplit/>
        </w:trPr>
        <w:tc>
          <w:tcPr>
            <w:tcW w:type="dxa" w:w="23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Family</w:t>
            </w:r>
          </w:p>
        </w:tc>
        <w:tc>
          <w:tcPr>
            <w:tcW w:type="dxa" w:w="70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Illustrative features</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Telemetry performance</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Altitude, airspeed, heading and vertical-speed deviation; stability; overshoot; settling time; completion; boundary violations.</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Control technique</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Cyclic/collective/pedal coordination, reversals, rate, smoothness, saturation, coupling and response latency.</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Attention / gaze</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Gaze zones, dwell, scan coverage/entropy, outside-versus-instrument balance, event-directed glance, head pose and usable-video coverage.</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Voice / CRM</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Transcript, speaker turns, filled/silent pauses, false starts, repetitions, restarts, self-corrections, response latency, acknowledgement, clarity, workload-related speech timing, information exchange and instructor intervention.</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Visual context</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Horizon/scene events, attitude context, visibility/occlusion indicators and exercise-relevant visual anchors.</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Cross-modal</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Instruction-to-action, event-to-glance, glance-to-control, deviation-to-detection, detection-to-correction and failure-to-recovery patterns.</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Learning</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Change across repetitions/sorties, error recurrence, correction retention, time to stabilize and recovery trend.</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Data quality</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Missingness, gap rate, drift, diarization confidence, gaze coverage, frame loss and feature eligibility.</w:t>
            </w:r>
          </w:p>
        </w:tc>
      </w:tr>
    </w:tbl>
    <w:p>
      <w:pPr>
        <w:spacing w:after="40"/>
      </w:pPr>
    </w:p>
    <w:p>
      <w:pPr>
        <w:pStyle w:val="Heading1"/>
        <w:keepNext/>
        <w:pageBreakBefore w:val="0"/>
      </w:pPr>
      <w:r>
        <w:t>User experience requirements</w:t>
      </w:r>
    </w:p>
    <w:p>
      <w:pPr>
        <w:keepLines/>
        <w:spacing w:after="160" w:line="280" w:lineRule="auto"/>
        <w:numPr>
          <w:ilvl w:val="0"/>
          <w:numId w:val="10"/>
        </w:numPr>
      </w:pPr>
      <w:r>
        <w:rPr>
          <w:rFonts w:ascii="Calibri" w:hAnsi="Calibri" w:eastAsia="Calibri"/>
          <w:color w:val="0B2545"/>
          <w:sz w:val="22"/>
        </w:rPr>
        <w:t>Lead with a concise decision-support summary; allow drill-down to evidence rather than presenting an analyst-only dashboard first.</w:t>
      </w:r>
    </w:p>
    <w:p>
      <w:pPr>
        <w:keepLines/>
        <w:spacing w:after="160" w:line="280" w:lineRule="auto"/>
        <w:numPr>
          <w:ilvl w:val="0"/>
          <w:numId w:val="10"/>
        </w:numPr>
      </w:pPr>
      <w:r>
        <w:rPr>
          <w:rFonts w:ascii="Calibri" w:hAnsi="Calibri" w:eastAsia="Calibri"/>
          <w:color w:val="0B2545"/>
          <w:sz w:val="22"/>
        </w:rPr>
        <w:t>Clearly label preliminary versus full results and display the last processing/model version and timestamp.</w:t>
      </w:r>
    </w:p>
    <w:p>
      <w:pPr>
        <w:keepLines/>
        <w:spacing w:after="160" w:line="280" w:lineRule="auto"/>
        <w:numPr>
          <w:ilvl w:val="0"/>
          <w:numId w:val="10"/>
        </w:numPr>
      </w:pPr>
      <w:r>
        <w:rPr>
          <w:rFonts w:ascii="Calibri" w:hAnsi="Calibri" w:eastAsia="Calibri"/>
          <w:color w:val="0B2545"/>
          <w:sz w:val="22"/>
        </w:rPr>
        <w:t>In D0, show separate Speech/Hesitation and Telemetry/Exercise panels. Side-by-side display is permitted, but visual design and wording must not imply synchronization, causality or a combined score.</w:t>
      </w:r>
    </w:p>
    <w:p>
      <w:pPr>
        <w:keepLines/>
        <w:spacing w:after="160" w:line="280" w:lineRule="auto"/>
        <w:numPr>
          <w:ilvl w:val="0"/>
          <w:numId w:val="10"/>
        </w:numPr>
      </w:pPr>
      <w:r>
        <w:rPr>
          <w:rFonts w:ascii="Calibri" w:hAnsi="Calibri" w:eastAsia="Calibri"/>
          <w:color w:val="0B2545"/>
          <w:sz w:val="22"/>
        </w:rPr>
        <w:t>Show human and model scores side by side, with no color or wording that implies the model is authoritative.</w:t>
      </w:r>
    </w:p>
    <w:p>
      <w:pPr>
        <w:keepLines/>
        <w:spacing w:after="160" w:line="280" w:lineRule="auto"/>
        <w:numPr>
          <w:ilvl w:val="0"/>
          <w:numId w:val="10"/>
        </w:numPr>
      </w:pPr>
      <w:r>
        <w:rPr>
          <w:rFonts w:ascii="Calibri" w:hAnsi="Calibri" w:eastAsia="Calibri"/>
          <w:color w:val="0B2545"/>
          <w:sz w:val="22"/>
        </w:rPr>
        <w:t>Expose confidence, missing data and abstention next to the affected score—not only in a technical appendix.</w:t>
      </w:r>
    </w:p>
    <w:p>
      <w:pPr>
        <w:keepLines/>
        <w:spacing w:after="160" w:line="280" w:lineRule="auto"/>
        <w:numPr>
          <w:ilvl w:val="0"/>
          <w:numId w:val="10"/>
        </w:numPr>
      </w:pPr>
      <w:r>
        <w:rPr>
          <w:rFonts w:ascii="Calibri" w:hAnsi="Calibri" w:eastAsia="Calibri"/>
          <w:color w:val="0B2545"/>
          <w:sz w:val="22"/>
        </w:rPr>
        <w:t>Let a reviewer move from trainee to sortie to exercise to synchronized evidence in no more than three navigation steps.</w:t>
      </w:r>
    </w:p>
    <w:p>
      <w:pPr>
        <w:keepLines/>
        <w:spacing w:after="160" w:line="280" w:lineRule="auto"/>
        <w:numPr>
          <w:ilvl w:val="0"/>
          <w:numId w:val="10"/>
        </w:numPr>
      </w:pPr>
      <w:r>
        <w:rPr>
          <w:rFonts w:ascii="Calibri" w:hAnsi="Calibri" w:eastAsia="Calibri"/>
          <w:color w:val="0B2545"/>
          <w:sz w:val="22"/>
        </w:rPr>
        <w:t>Show a trend only when comparable rubric/model versions exist; otherwise mark the discontinuity.</w:t>
      </w:r>
    </w:p>
    <w:p>
      <w:pPr>
        <w:keepLines/>
        <w:spacing w:after="160" w:line="280" w:lineRule="auto"/>
        <w:numPr>
          <w:ilvl w:val="0"/>
          <w:numId w:val="10"/>
        </w:numPr>
      </w:pPr>
      <w:r>
        <w:rPr>
          <w:rFonts w:ascii="Calibri" w:hAnsi="Calibri" w:eastAsia="Calibri"/>
          <w:color w:val="0B2545"/>
          <w:sz w:val="22"/>
        </w:rPr>
        <w:t>Display cohort definition, sample size and percentile method whenever peer comparison is shown.</w:t>
      </w:r>
    </w:p>
    <w:p>
      <w:pPr>
        <w:keepLines/>
        <w:spacing w:after="160" w:line="280" w:lineRule="auto"/>
        <w:numPr>
          <w:ilvl w:val="0"/>
          <w:numId w:val="10"/>
        </w:numPr>
      </w:pPr>
      <w:r>
        <w:rPr>
          <w:rFonts w:ascii="Calibri" w:hAnsi="Calibri" w:eastAsia="Calibri"/>
          <w:color w:val="0B2545"/>
          <w:sz w:val="22"/>
        </w:rPr>
        <w:t>Preserve an audit-friendly export while minimizing identifiable data for research users.</w:t>
      </w:r>
    </w:p>
    <w:p>
      <w:pPr>
        <w:pStyle w:val="Heading1"/>
        <w:keepNext/>
        <w:pageBreakBefore w:val="0"/>
      </w:pPr>
      <w:r>
        <w:t>Non-functional requirements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200"/>
        <w:gridCol w:w="7160"/>
      </w:tblGrid>
      <w:tr>
        <w:trPr>
          <w:tblHeader w:val="true"/>
          <w:cantSplit/>
        </w:trPr>
        <w:tc>
          <w:tcPr>
            <w:tcW w:type="dxa" w:w="22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Requirement</w:t>
            </w:r>
          </w:p>
        </w:tc>
        <w:tc>
          <w:tcPr>
            <w:tcW w:type="dxa" w:w="71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Target</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NFR-01 Performance</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Preliminary report &lt;=2 minutes after required assets are available; full multimodal report &lt;=60 minutes for a representative one-hour sortie on the agreed POC benchmark.</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NFR-02 Throughput</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Queue and complete the confirmed daily peak without losing sessions; initial planning basis is up to 12 sorties/day and must be validated.</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NFR-03 Reliability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Ingestion is idempotent; jobs are retryable; no derived output is published as complete if a required stage failed.</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NFR-04 Traceability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100% of published scores link to session, occurrence, source assets, feature versions and model version.</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NFR-05 Reproducibility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An approved historic report can be regenerated from retained inputs and immutable versions, subject to retention rules.</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NFR-06 Security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Least-privilege role access, encryption in transit/at rest, audit logs and approved network boundaries.</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NFR-07 Privacy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Purpose limitation, data minimization, controlled identity mapping, retention/deletion workflow and de-identified research exports.</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NFR-08 Observability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Metrics and alerts for queue depth, processing latency, failures, missing modalities, sync quality, data drift and prediction distributions.</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NFR-09 Maintainability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Adapters and feature modules are independently testable, containerized and governed by versioned contracts.</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NFR-10 Portability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The POC runs on DGX Spark; processing services shall avoid unnecessary hardware lock-in and support an RTX 5090-class workstation benchmark.</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NFR-11 Usability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trained evaluator can locate the relevant sortie, read the summary and reach evidence without analyst assistance.</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NFR-12 Accessibility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Reports use clear hierarchy, readable contrast, text labels in addition to color, and keyboard-accessible navigation in the target UI.</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NFR-13 Demo isolation</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Each D0 pipeline installs, runs, fails and reports independently. A missing second modality or unavailable synchronization service must not block the demonstration.</w:t>
            </w:r>
          </w:p>
        </w:tc>
      </w:tr>
    </w:tbl>
    <w:p>
      <w:pPr>
        <w:spacing w:after="40"/>
      </w:pPr>
    </w:p>
    <w:p>
      <w:pPr>
        <w:pStyle w:val="Heading1"/>
        <w:keepNext/>
        <w:pageBreakBefore w:val="0"/>
      </w:pPr>
      <w:r>
        <w:t>Deployment and capacity</w:t>
      </w:r>
    </w:p>
    <w:p>
      <w:pPr>
        <w:pStyle w:val="Heading2"/>
        <w:keepNext/>
        <w:pageBreakBefore w:val="0"/>
      </w:pPr>
      <w:r>
        <w:t>POC deployment</w:t>
      </w:r>
    </w:p>
    <w:p>
      <w:pPr>
        <w:keepLines/>
        <w:spacing w:after="160" w:line="280" w:lineRule="auto"/>
        <w:numPr>
          <w:ilvl w:val="0"/>
          <w:numId w:val="10"/>
        </w:numPr>
      </w:pPr>
      <w:r>
        <w:rPr>
          <w:rFonts w:ascii="Calibri" w:hAnsi="Calibri" w:eastAsia="Calibri"/>
          <w:color w:val="0B2545"/>
          <w:sz w:val="22"/>
        </w:rPr>
        <w:t>On-premises or otherwise approved local environment with one DGX Spark as the initial shared GPU worker.</w:t>
      </w:r>
    </w:p>
    <w:p>
      <w:pPr>
        <w:keepLines/>
        <w:spacing w:after="160" w:line="280" w:lineRule="auto"/>
        <w:numPr>
          <w:ilvl w:val="0"/>
          <w:numId w:val="10"/>
        </w:numPr>
      </w:pPr>
      <w:r>
        <w:rPr>
          <w:rFonts w:ascii="Calibri" w:hAnsi="Calibri" w:eastAsia="Calibri"/>
          <w:color w:val="0B2545"/>
          <w:sz w:val="22"/>
        </w:rPr>
        <w:t>Containerized source adapters and feature services, a job orchestrator/queue, object/file storage for raw and derived assets, a relational metadata database, a versioned feature/label store and a report/API service.</w:t>
      </w:r>
    </w:p>
    <w:p>
      <w:pPr>
        <w:keepLines/>
        <w:spacing w:after="160" w:line="280" w:lineRule="auto"/>
        <w:numPr>
          <w:ilvl w:val="0"/>
          <w:numId w:val="10"/>
        </w:numPr>
      </w:pPr>
      <w:r>
        <w:rPr>
          <w:rFonts w:ascii="Calibri" w:hAnsi="Calibri" w:eastAsia="Calibri"/>
          <w:color w:val="0B2545"/>
          <w:sz w:val="22"/>
        </w:rPr>
        <w:t>GPU tasks scheduled so audio, gaze/video and OCR can run concurrently where memory permits; CPU parsing and CSV comparison should not block the GPU queue.</w:t>
      </w:r>
    </w:p>
    <w:p>
      <w:pPr>
        <w:keepLines/>
        <w:spacing w:after="160" w:line="280" w:lineRule="auto"/>
        <w:numPr>
          <w:ilvl w:val="0"/>
          <w:numId w:val="10"/>
        </w:numPr>
      </w:pPr>
      <w:r>
        <w:rPr>
          <w:rFonts w:ascii="Calibri" w:hAnsi="Calibri" w:eastAsia="Calibri"/>
          <w:color w:val="0B2545"/>
          <w:sz w:val="22"/>
        </w:rPr>
        <w:t>Raw assets are immutable; derived artifacts and reports are versioned; model promotion and rollback are controlled operations.</w:t>
      </w:r>
    </w:p>
    <w:p>
      <w:pPr>
        <w:keepLines/>
        <w:spacing w:after="160" w:line="280" w:lineRule="auto"/>
        <w:numPr>
          <w:ilvl w:val="0"/>
          <w:numId w:val="10"/>
        </w:numPr>
      </w:pPr>
      <w:r>
        <w:rPr>
          <w:rFonts w:ascii="Calibri" w:hAnsi="Calibri" w:eastAsia="Calibri"/>
          <w:color w:val="0B2545"/>
          <w:sz w:val="22"/>
        </w:rPr>
        <w:t>Backups, restore tests, retention tiers and disaster-recovery objectives must be defined before operational use.</w:t>
      </w:r>
    </w:p>
    <w:p>
      <w:pPr>
        <w:pStyle w:val="Heading2"/>
        <w:keepNext/>
        <w:pageBreakBefore w:val="0"/>
      </w:pPr>
      <w:r>
        <w:t>Capacity planning basis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300"/>
        <w:gridCol w:w="7060"/>
      </w:tblGrid>
      <w:tr>
        <w:trPr>
          <w:tblHeader w:val="true"/>
          <w:cantSplit/>
        </w:trPr>
        <w:tc>
          <w:tcPr>
            <w:tcW w:type="dxa" w:w="23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Item</w:t>
            </w:r>
          </w:p>
        </w:tc>
        <w:tc>
          <w:tcPr>
            <w:tcW w:type="dxa" w:w="70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Planning statement</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Representative source package</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Approximately 4-5 GB principal video for a roughly one-hour sortie, plus telemetry/audio/metadata; confirm actual channel breakdown.</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Initial cohort</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24 trainees x 6 sorties = approximately 144 sorties; about 0.6-0.7 TB of primary video at 4-5 GB each.</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Storage envelope</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Plan roughly 1.5-2.5 TB for the initial cohort when retaining raw files, derived media/features, indexes and operational headroom; finalize after sampling.</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DGX Spark</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Sufficient for initial non-real-time POC/R&amp;D. Target full processing within one hour per representative sortie; benchmark before commitment.</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RTX 5090</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Likely faster for a single sortie's video/vision workload; expect tens of minutes rather than hours with efficient selective processing. Memory is lower than DGX Spark, which may constrain larger models/concurrency.</w:t>
            </w:r>
          </w:p>
        </w:tc>
      </w:tr>
      <w:tr>
        <w:trPr>
          <w:cantSplit/>
        </w:trPr>
        <w:tc>
          <w:tcPr>
            <w:tcW w:type="dxa" w:w="23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Scale trigger</w:t>
            </w:r>
          </w:p>
        </w:tc>
        <w:tc>
          <w:tcPr>
            <w:tcW w:type="dxa" w:w="70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Add workers or separate queues when measured daily arrivals, P95 processing time or backlog cannot meet the agreed report SLA.</w:t>
            </w:r>
          </w:p>
        </w:tc>
      </w:tr>
    </w:tbl>
    <w:p>
      <w:pPr>
        <w:spacing w:after="40"/>
      </w:pPr>
    </w:p>
    <w:p>
      <w:pPr>
        <w:spacing w:before="100" w:after="180" w:line="259" w:lineRule="auto"/>
        <w:ind w:left="173" w:right="173"/>
        <w:shd w:fill="FFF8E8"/>
        <w:pBdr>
          <w:top w:val="single" w:sz="6" w:space="8" w:color="D7DEE7"/>
          <w:left w:val="single" w:sz="6" w:space="8" w:color="D7DEE7"/>
          <w:bottom w:val="single" w:sz="6" w:space="8" w:color="D7DEE7"/>
          <w:right w:val="single" w:sz="6" w:space="8" w:color="D7DEE7"/>
        </w:pBdr>
      </w:pPr>
      <w:r>
        <w:rPr>
          <w:rFonts w:ascii="Calibri" w:hAnsi="Calibri" w:eastAsia="Calibri"/>
          <w:b/>
          <w:color w:val="7A5A00"/>
          <w:sz w:val="21"/>
        </w:rPr>
        <w:t xml:space="preserve">Benchmark requirement: </w:t>
      </w:r>
      <w:r>
        <w:rPr>
          <w:rFonts w:ascii="Calibri" w:hAnsi="Calibri" w:eastAsia="Calibri"/>
          <w:color w:val="0B2545"/>
          <w:sz w:val="21"/>
        </w:rPr>
        <w:t>Hardware estimates are planning targets, not guaranteed timings. Run the same representative sortie, models, resolutions, sampling rules and software stack on DGX Spark and RTX 5090 before selecting the production baseline.</w:t>
      </w:r>
    </w:p>
    <w:p>
      <w:pPr>
        <w:pStyle w:val="Heading1"/>
        <w:keepNext/>
        <w:pageBreakBefore w:val="0"/>
      </w:pPr>
      <w:r>
        <w:t>Data governance, privacy and security</w:t>
      </w:r>
    </w:p>
    <w:p>
      <w:pPr>
        <w:keepLines/>
        <w:spacing w:after="160" w:line="280" w:lineRule="auto"/>
        <w:numPr>
          <w:ilvl w:val="0"/>
          <w:numId w:val="10"/>
        </w:numPr>
      </w:pPr>
      <w:r>
        <w:rPr>
          <w:rFonts w:ascii="Calibri" w:hAnsi="Calibri" w:eastAsia="Calibri"/>
          <w:color w:val="0B2545"/>
          <w:sz w:val="22"/>
        </w:rPr>
        <w:t>Define the approved purposes separately for selection support, training support and academic research; do not assume one approval covers all three.</w:t>
      </w:r>
    </w:p>
    <w:p>
      <w:pPr>
        <w:keepLines/>
        <w:spacing w:after="160" w:line="280" w:lineRule="auto"/>
        <w:numPr>
          <w:ilvl w:val="0"/>
          <w:numId w:val="10"/>
        </w:numPr>
      </w:pPr>
      <w:r>
        <w:rPr>
          <w:rFonts w:ascii="Calibri" w:hAnsi="Calibri" w:eastAsia="Calibri"/>
          <w:color w:val="0B2545"/>
          <w:sz w:val="22"/>
        </w:rPr>
        <w:t>Use stable pseudonymous trainee identifiers for engineering/research. Restrict the identity mapping to authorized operational roles.</w:t>
      </w:r>
    </w:p>
    <w:p>
      <w:pPr>
        <w:keepLines/>
        <w:spacing w:after="160" w:line="280" w:lineRule="auto"/>
        <w:numPr>
          <w:ilvl w:val="0"/>
          <w:numId w:val="10"/>
        </w:numPr>
      </w:pPr>
      <w:r>
        <w:rPr>
          <w:rFonts w:ascii="Calibri" w:hAnsi="Calibri" w:eastAsia="Calibri"/>
          <w:color w:val="0B2545"/>
          <w:sz w:val="22"/>
        </w:rPr>
        <w:t>Apply least privilege by role and data type, including separate permissions for raw video/audio, human comments, profiles and exports.</w:t>
      </w:r>
    </w:p>
    <w:p>
      <w:pPr>
        <w:keepLines/>
        <w:spacing w:after="160" w:line="280" w:lineRule="auto"/>
        <w:numPr>
          <w:ilvl w:val="0"/>
          <w:numId w:val="10"/>
        </w:numPr>
      </w:pPr>
      <w:r>
        <w:rPr>
          <w:rFonts w:ascii="Calibri" w:hAnsi="Calibri" w:eastAsia="Calibri"/>
          <w:color w:val="0B2545"/>
          <w:sz w:val="22"/>
        </w:rPr>
        <w:t>Encrypt data in transit and at rest; keep processing within the approved network and storage boundary.</w:t>
      </w:r>
    </w:p>
    <w:p>
      <w:pPr>
        <w:keepLines/>
        <w:spacing w:after="160" w:line="280" w:lineRule="auto"/>
        <w:numPr>
          <w:ilvl w:val="0"/>
          <w:numId w:val="10"/>
        </w:numPr>
      </w:pPr>
      <w:r>
        <w:rPr>
          <w:rFonts w:ascii="Calibri" w:hAnsi="Calibri" w:eastAsia="Calibri"/>
          <w:color w:val="0B2545"/>
          <w:sz w:val="22"/>
        </w:rPr>
        <w:t>Log access, export, manual correction, model promotion and report publication with actor, time and purpose.</w:t>
      </w:r>
    </w:p>
    <w:p>
      <w:pPr>
        <w:keepLines/>
        <w:spacing w:after="160" w:line="280" w:lineRule="auto"/>
        <w:numPr>
          <w:ilvl w:val="0"/>
          <w:numId w:val="10"/>
        </w:numPr>
      </w:pPr>
      <w:r>
        <w:rPr>
          <w:rFonts w:ascii="Calibri" w:hAnsi="Calibri" w:eastAsia="Calibri"/>
          <w:color w:val="0B2545"/>
          <w:sz w:val="22"/>
        </w:rPr>
        <w:t>Define retention and deletion for raw media, derived biometric-like features, transcripts, research datasets and reports; deletion must propagate to derived data where policy requires it.</w:t>
      </w:r>
    </w:p>
    <w:p>
      <w:pPr>
        <w:keepLines/>
        <w:spacing w:after="160" w:line="280" w:lineRule="auto"/>
        <w:numPr>
          <w:ilvl w:val="0"/>
          <w:numId w:val="10"/>
        </w:numPr>
      </w:pPr>
      <w:r>
        <w:rPr>
          <w:rFonts w:ascii="Calibri" w:hAnsi="Calibri" w:eastAsia="Calibri"/>
          <w:color w:val="0B2545"/>
          <w:sz w:val="22"/>
        </w:rPr>
        <w:t>Treat gaze, voice and future physiology as especially sensitive; use only features necessary for the approved purpose and validate the legal/ethical basis.</w:t>
      </w:r>
    </w:p>
    <w:p>
      <w:pPr>
        <w:keepLines/>
        <w:spacing w:after="160" w:line="280" w:lineRule="auto"/>
        <w:numPr>
          <w:ilvl w:val="0"/>
          <w:numId w:val="10"/>
        </w:numPr>
      </w:pPr>
      <w:r>
        <w:rPr>
          <w:rFonts w:ascii="Calibri" w:hAnsi="Calibri" w:eastAsia="Calibri"/>
          <w:color w:val="0B2545"/>
          <w:sz w:val="22"/>
        </w:rPr>
        <w:t>Do not reveal identifiable peer data in cohort comparisons. Apply minimum cohort sizes and aggregation rules.</w:t>
      </w:r>
    </w:p>
    <w:p>
      <w:pPr>
        <w:keepLines/>
        <w:spacing w:after="160" w:line="280" w:lineRule="auto"/>
        <w:numPr>
          <w:ilvl w:val="0"/>
          <w:numId w:val="10"/>
        </w:numPr>
      </w:pPr>
      <w:r>
        <w:rPr>
          <w:rFonts w:ascii="Calibri" w:hAnsi="Calibri" w:eastAsia="Calibri"/>
          <w:color w:val="0B2545"/>
          <w:sz w:val="22"/>
        </w:rPr>
        <w:t>Complete an information-classification decision and threat model before operational deployment.</w:t>
      </w:r>
    </w:p>
    <w:p>
      <w:pPr>
        <w:pStyle w:val="Heading1"/>
        <w:keepNext/>
        <w:pageBreakBefore w:val="0"/>
      </w:pPr>
      <w:r>
        <w:t>Validation and test strategy</w:t>
      </w:r>
    </w:p>
    <w:p>
      <w:pPr>
        <w:pStyle w:val="Heading2"/>
        <w:keepNext/>
        <w:pageBreakBefore w:val="0"/>
      </w:pPr>
      <w:r>
        <w:t>Validation stages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1800"/>
        <w:gridCol w:w="4740"/>
        <w:gridCol w:w="2820"/>
      </w:tblGrid>
      <w:tr>
        <w:trPr>
          <w:tblHeader w:val="true"/>
          <w:cantSplit/>
        </w:trPr>
        <w:tc>
          <w:tcPr>
            <w:tcW w:type="dxa" w:w="18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Stage</w:t>
            </w:r>
          </w:p>
        </w:tc>
        <w:tc>
          <w:tcPr>
            <w:tcW w:type="dxa" w:w="474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Method</w:t>
            </w:r>
          </w:p>
        </w:tc>
        <w:tc>
          <w:tcPr>
            <w:tcW w:type="dxa" w:w="282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Exit evidence</w:t>
            </w:r>
          </w:p>
        </w:tc>
      </w:tr>
      <w:tr>
        <w:trPr>
          <w:cantSplit/>
        </w:trPr>
        <w:tc>
          <w:tcPr>
            <w:tcW w:type="dxa" w:w="1800"/>
            <w:tcMar>
              <w:top w:w="80" w:type="dxa"/>
              <w:start w:w="120" w:type="dxa"/>
              <w:bottom w:w="80" w:type="dxa"/>
              <w:end w:w="120" w:type="dxa"/>
            </w:tcMar>
            <w:vAlign w:val="center"/>
          </w:tcPr>
          <w:p>
            <w:r>
              <w:t>VS0 Data feasibility</w:t>
            </w:r>
          </w:p>
        </w:tc>
        <w:tc>
          <w:tcPr>
            <w:tcW w:type="dxa" w:w="47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Audit schemas, clocks, files, coverage, label definitions and missingness on representative sorties.</w:t>
            </w:r>
          </w:p>
        </w:tc>
        <w:tc>
          <w:tcPr>
            <w:tcW w:type="dxa" w:w="28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documented data dictionary, clock map and feasibility report.</w:t>
            </w:r>
          </w:p>
        </w:tc>
      </w:tr>
      <w:tr>
        <w:trPr>
          <w:cantSplit/>
        </w:trPr>
        <w:tc>
          <w:tcPr>
            <w:tcW w:type="dxa" w:w="1800"/>
            <w:tcMar>
              <w:top w:w="80" w:type="dxa"/>
              <w:start w:w="120" w:type="dxa"/>
              <w:bottom w:w="80" w:type="dxa"/>
              <w:end w:w="120" w:type="dxa"/>
            </w:tcMar>
            <w:vAlign w:val="center"/>
          </w:tcPr>
          <w:p>
            <w:r>
              <w:t>VS1 Module verification</w:t>
            </w:r>
          </w:p>
        </w:tc>
        <w:tc>
          <w:tcPr>
            <w:tcW w:type="dxa" w:w="47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Unit and golden-file tests for adapters, synchronization, segmentation, transcription, gaze/video and feature calculations.</w:t>
            </w:r>
          </w:p>
        </w:tc>
        <w:tc>
          <w:tcPr>
            <w:tcW w:type="dxa" w:w="28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Repeatable expected outputs and quality metrics per module.</w:t>
            </w:r>
          </w:p>
        </w:tc>
      </w:tr>
      <w:tr>
        <w:trPr>
          <w:cantSplit/>
        </w:trPr>
        <w:tc>
          <w:tcPr>
            <w:tcW w:type="dxa" w:w="1800"/>
            <w:tcMar>
              <w:top w:w="80" w:type="dxa"/>
              <w:start w:w="120" w:type="dxa"/>
              <w:bottom w:w="80" w:type="dxa"/>
              <w:end w:w="120" w:type="dxa"/>
            </w:tcMar>
            <w:vAlign w:val="center"/>
          </w:tcPr>
          <w:p>
            <w:r>
              <w:t>VS2 Retrospective modeling</w:t>
            </w:r>
          </w:p>
        </w:tc>
        <w:tc>
          <w:tcPr>
            <w:tcW w:type="dxa" w:w="47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Trainee-grouped cross-validation, nested model selection, calibration, bootstrap confidence intervals and modality ablations.</w:t>
            </w:r>
          </w:p>
        </w:tc>
        <w:tc>
          <w:tcPr>
            <w:tcW w:type="dxa" w:w="28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Research evaluation versus baselines and human labels.</w:t>
            </w:r>
          </w:p>
        </w:tc>
      </w:tr>
      <w:tr>
        <w:trPr>
          <w:cantSplit/>
        </w:trPr>
        <w:tc>
          <w:tcPr>
            <w:tcW w:type="dxa" w:w="1800"/>
            <w:tcMar>
              <w:top w:w="80" w:type="dxa"/>
              <w:start w:w="120" w:type="dxa"/>
              <w:bottom w:w="80" w:type="dxa"/>
              <w:end w:w="120" w:type="dxa"/>
            </w:tcMar>
            <w:vAlign w:val="center"/>
          </w:tcPr>
          <w:p>
            <w:r>
              <w:t>VS3 Domain review</w:t>
            </w:r>
          </w:p>
        </w:tc>
        <w:tc>
          <w:tcPr>
            <w:tcW w:type="dxa" w:w="47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Blind evaluator review of reports, evidence relevance, failure cases and wording.</w:t>
            </w:r>
          </w:p>
        </w:tc>
        <w:tc>
          <w:tcPr>
            <w:tcW w:type="dxa" w:w="28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Approved rubric mapping and usability/error log.</w:t>
            </w:r>
          </w:p>
        </w:tc>
      </w:tr>
      <w:tr>
        <w:trPr>
          <w:cantSplit/>
        </w:trPr>
        <w:tc>
          <w:tcPr>
            <w:tcW w:type="dxa" w:w="1800"/>
            <w:tcMar>
              <w:top w:w="80" w:type="dxa"/>
              <w:start w:w="120" w:type="dxa"/>
              <w:bottom w:w="80" w:type="dxa"/>
              <w:end w:w="120" w:type="dxa"/>
            </w:tcMar>
            <w:vAlign w:val="center"/>
          </w:tcPr>
          <w:p>
            <w:r>
              <w:t>VS4 Silent prospective pilot</w:t>
            </w:r>
          </w:p>
        </w:tc>
        <w:tc>
          <w:tcPr>
            <w:tcW w:type="dxa" w:w="47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Process new sorties without influencing evaluator grades; compare later with independent assessments and outcomes.</w:t>
            </w:r>
          </w:p>
        </w:tc>
        <w:tc>
          <w:tcPr>
            <w:tcW w:type="dxa" w:w="28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Prospective validity, latency, reliability and workflow evidence.</w:t>
            </w:r>
          </w:p>
        </w:tc>
      </w:tr>
      <w:tr>
        <w:trPr>
          <w:cantSplit/>
        </w:trPr>
        <w:tc>
          <w:tcPr>
            <w:tcW w:type="dxa" w:w="1800"/>
            <w:tcMar>
              <w:top w:w="80" w:type="dxa"/>
              <w:start w:w="120" w:type="dxa"/>
              <w:bottom w:w="80" w:type="dxa"/>
              <w:end w:w="120" w:type="dxa"/>
            </w:tcMar>
            <w:vAlign w:val="center"/>
          </w:tcPr>
          <w:p>
            <w:r>
              <w:t>VS5 Operational readiness</w:t>
            </w:r>
          </w:p>
        </w:tc>
        <w:tc>
          <w:tcPr>
            <w:tcW w:type="dxa" w:w="47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Security/privacy review, load test, backup/restore, rollback, model approval and user training.</w:t>
            </w:r>
          </w:p>
        </w:tc>
        <w:tc>
          <w:tcPr>
            <w:tcW w:type="dxa" w:w="28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Signed readiness decision and defined operating limits.</w:t>
            </w:r>
          </w:p>
        </w:tc>
      </w:tr>
    </w:tbl>
    <w:p>
      <w:pPr>
        <w:spacing w:after="40"/>
      </w:pPr>
    </w:p>
    <w:p>
      <w:pPr>
        <w:pStyle w:val="Heading2"/>
        <w:keepNext/>
        <w:pageBreakBefore w:val="0"/>
      </w:pPr>
      <w:r>
        <w:t>Critical test rules</w:t>
      </w:r>
    </w:p>
    <w:p>
      <w:pPr>
        <w:keepLines/>
        <w:spacing w:after="160" w:line="280" w:lineRule="auto"/>
        <w:numPr>
          <w:ilvl w:val="0"/>
          <w:numId w:val="10"/>
        </w:numPr>
      </w:pPr>
      <w:r>
        <w:rPr>
          <w:rFonts w:ascii="Calibri" w:hAnsi="Calibri" w:eastAsia="Calibri"/>
          <w:color w:val="0B2545"/>
          <w:sz w:val="22"/>
        </w:rPr>
        <w:t>Never split the same trainee across training and test data; repeated frames or exercises would otherwise create severe leakage.</w:t>
      </w:r>
    </w:p>
    <w:p>
      <w:pPr>
        <w:keepLines/>
        <w:spacing w:after="160" w:line="280" w:lineRule="auto"/>
        <w:numPr>
          <w:ilvl w:val="0"/>
          <w:numId w:val="10"/>
        </w:numPr>
      </w:pPr>
      <w:r>
        <w:rPr>
          <w:rFonts w:ascii="Calibri" w:hAnsi="Calibri" w:eastAsia="Calibri"/>
          <w:color w:val="0B2545"/>
          <w:sz w:val="22"/>
        </w:rPr>
        <w:t>Hold out future time and, when possible, a future cohort to test generalization beyond the development sample.</w:t>
      </w:r>
    </w:p>
    <w:p>
      <w:pPr>
        <w:keepLines/>
        <w:spacing w:after="160" w:line="280" w:lineRule="auto"/>
        <w:numPr>
          <w:ilvl w:val="0"/>
          <w:numId w:val="10"/>
        </w:numPr>
      </w:pPr>
      <w:r>
        <w:rPr>
          <w:rFonts w:ascii="Calibri" w:hAnsi="Calibri" w:eastAsia="Calibri"/>
          <w:color w:val="0B2545"/>
          <w:sz w:val="22"/>
        </w:rPr>
        <w:t>Establish human-label reliability with inter-rater measures such as weighted kappa/ICC appropriate to the rubric before treating labels as ground truth.</w:t>
      </w:r>
    </w:p>
    <w:p>
      <w:pPr>
        <w:keepLines/>
        <w:spacing w:after="160" w:line="280" w:lineRule="auto"/>
        <w:numPr>
          <w:ilvl w:val="0"/>
          <w:numId w:val="10"/>
        </w:numPr>
      </w:pPr>
      <w:r>
        <w:rPr>
          <w:rFonts w:ascii="Calibri" w:hAnsi="Calibri" w:eastAsia="Calibri"/>
          <w:color w:val="0B2545"/>
          <w:sz w:val="22"/>
        </w:rPr>
        <w:t>Evaluate both discrimination and calibration for completion probability; include confidence intervals because the cohort is small.</w:t>
      </w:r>
    </w:p>
    <w:p>
      <w:pPr>
        <w:keepLines/>
        <w:spacing w:after="160" w:line="280" w:lineRule="auto"/>
        <w:numPr>
          <w:ilvl w:val="0"/>
          <w:numId w:val="10"/>
        </w:numPr>
      </w:pPr>
      <w:r>
        <w:rPr>
          <w:rFonts w:ascii="Calibri" w:hAnsi="Calibri" w:eastAsia="Calibri"/>
          <w:color w:val="0B2545"/>
          <w:sz w:val="22"/>
        </w:rPr>
        <w:t>Compare against simple baselines: prior probability, sortie number, human-only grade aggregates and telemetry-only models.</w:t>
      </w:r>
    </w:p>
    <w:p>
      <w:pPr>
        <w:keepLines/>
        <w:spacing w:after="160" w:line="280" w:lineRule="auto"/>
        <w:numPr>
          <w:ilvl w:val="0"/>
          <w:numId w:val="10"/>
        </w:numPr>
      </w:pPr>
      <w:r>
        <w:rPr>
          <w:rFonts w:ascii="Calibri" w:hAnsi="Calibri" w:eastAsia="Calibri"/>
          <w:color w:val="0B2545"/>
          <w:sz w:val="22"/>
        </w:rPr>
        <w:t>Test degraded inputs: missing video, audio overlap, clock drift, corrupted CSV, changed schema, poor gaze coverage and incomplete human labels.</w:t>
      </w:r>
    </w:p>
    <w:p>
      <w:pPr>
        <w:keepLines/>
        <w:spacing w:after="160" w:line="280" w:lineRule="auto"/>
        <w:numPr>
          <w:ilvl w:val="0"/>
          <w:numId w:val="10"/>
        </w:numPr>
      </w:pPr>
      <w:r>
        <w:rPr>
          <w:rFonts w:ascii="Calibri" w:hAnsi="Calibri" w:eastAsia="Calibri"/>
          <w:color w:val="0B2545"/>
          <w:sz w:val="22"/>
        </w:rPr>
        <w:t>Run fairness and subgroup error analysis only for approved, sufficiently populated groups; do not overinterpret tiny samples.</w:t>
      </w:r>
    </w:p>
    <w:p>
      <w:pPr>
        <w:keepLines/>
        <w:spacing w:after="160" w:line="280" w:lineRule="auto"/>
        <w:numPr>
          <w:ilvl w:val="0"/>
          <w:numId w:val="10"/>
        </w:numPr>
      </w:pPr>
      <w:r>
        <w:rPr>
          <w:rFonts w:ascii="Calibri" w:hAnsi="Calibri" w:eastAsia="Calibri"/>
          <w:color w:val="0B2545"/>
          <w:sz w:val="22"/>
        </w:rPr>
        <w:t>Record whether evaluators saw model output before scoring; prospective validity requires independent human labels.</w:t>
      </w:r>
    </w:p>
    <w:p>
      <w:pPr>
        <w:pStyle w:val="Heading1"/>
        <w:keepNext/>
        <w:pageBreakBefore w:val="0"/>
      </w:pPr>
      <w:r>
        <w:t>Success metrics</w:t>
      </w:r>
    </w:p>
    <w:p>
      <w:pPr/>
      <w:r>
        <w:rPr>
          <w:rFonts w:ascii="Calibri" w:hAnsi="Calibri" w:eastAsia="Calibri"/>
          <w:i w:val="0"/>
          <w:color w:val="0B2545"/>
          <w:sz w:val="22"/>
        </w:rPr>
        <w:t>The following are proposed engineering and research gates. Final thresholds must be ratified after V0 data feasibility and human-label reliability are known.</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300"/>
        <w:gridCol w:w="5420"/>
        <w:gridCol w:w="1640"/>
      </w:tblGrid>
      <w:tr>
        <w:trPr>
          <w:tblHeader w:val="true"/>
          <w:cantSplit/>
        </w:trPr>
        <w:tc>
          <w:tcPr>
            <w:tcW w:type="dxa" w:w="23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Metric</w:t>
            </w:r>
          </w:p>
        </w:tc>
        <w:tc>
          <w:tcPr>
            <w:tcW w:type="dxa" w:w="542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Initial target</w:t>
            </w:r>
          </w:p>
        </w:tc>
        <w:tc>
          <w:tcPr>
            <w:tcW w:type="dxa" w:w="164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Status</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Data completeness</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&gt;=95% of required source packages pass ingestion and basic integrity checks, or are explicitly marked incomplete.</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POC/MVP proposed</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Traceability</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100% of published scores trace to session, exercise, feature/model version and evidence interval.</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Fast report latency</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P95 &lt;=2 minutes after all required fast-pipeline assets are available.</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Agreed target</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Full report latency</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P95 &lt;=60 minutes per representative sortie on the approved POC benchmark under defined queue conditions.</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Agreed target</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Synchronization quality</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Median absolute alignment error &lt;=100 ms and P95 &lt;=250 ms when sources support a shared/observable clock; otherwise modality-specific threshold and explicit confidence.</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Proposed</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Exercise segmentation</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Macro F1 &gt;=0.85 against independently reviewed boundaries, with start/end error reported.</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Proposed</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Exercise grading</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Meaningful improvement over the approved simple baseline; target weighted agreement/correlation set after rater-reliability ceiling is measured.</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Research gate</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Completion prediction</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Out-of-trainee validation improves over prior/base models and is acceptably calibrated; no operational threshold until prospective validation.</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Research gate</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Explanation coverage</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100% of material model outputs include confidence, top factors and at least one reviewable evidence path or a declared limitation.</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Evaluator usefulness</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&gt;=80% of pilot reviewers rate the report as useful and evidence as relevant, with failure cases documented.</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Proposed</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Operational reliability</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&gt;=95% of eligible sorties complete without manual engineering intervention during the silent pilot.</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Proposed</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D0 audio evidence</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100% of displayed transcript segments and hesitation markers link to source audio with type, time and confidence; reviewer corrections are retained.</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 for D0-A</w:t>
            </w:r>
          </w:p>
        </w:tc>
      </w:tr>
      <w:tr>
        <w:trPr>
          <w:cantSplit/>
        </w:trPr>
        <w:tc>
          <w:tcPr>
            <w:tcW w:type="dxa" w:w="23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D0 telemetry demonstration</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Representative CSV and a selected low-altitude figure-eight interval produce plots, defined features and a transparent summary within 2 minutes, without audio/video dependencies.</w:t>
            </w:r>
          </w:p>
        </w:tc>
        <w:tc>
          <w:tcPr>
            <w:tcW w:type="dxa" w:w="16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 for D0-B</w:t>
            </w:r>
          </w:p>
        </w:tc>
      </w:tr>
    </w:tbl>
    <w:p>
      <w:pPr>
        <w:spacing w:after="40"/>
      </w:pPr>
    </w:p>
    <w:p>
      <w:pPr>
        <w:pStyle w:val="Heading1"/>
        <w:keepNext/>
        <w:pageBreakBefore w:val="0"/>
      </w:pPr>
      <w:r>
        <w:t>Risks and mitigations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200"/>
        <w:gridCol w:w="2780"/>
        <w:gridCol w:w="4380"/>
      </w:tblGrid>
      <w:tr>
        <w:trPr>
          <w:tblHeader w:val="true"/>
          <w:cantSplit/>
        </w:trPr>
        <w:tc>
          <w:tcPr>
            <w:tcW w:type="dxa" w:w="22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6"/>
              </w:rPr>
              <w:t>Risk</w:t>
            </w:r>
          </w:p>
        </w:tc>
        <w:tc>
          <w:tcPr>
            <w:tcW w:type="dxa" w:w="278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6"/>
              </w:rPr>
              <w:t>Impact</w:t>
            </w:r>
          </w:p>
        </w:tc>
        <w:tc>
          <w:tcPr>
            <w:tcW w:type="dxa" w:w="438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6"/>
              </w:rPr>
              <w:t>Mitigation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Small sample / high dimensionality</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Overfitting and unstable completion prediction.</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Use grouped validation, simple baselines, transfer learning, feature selection, uncertainty and a larger prospective cohort before operations.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Label subjectivity and evaluator effects</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Model learns rater style instead of trainee aptitude.</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Version rubrics, measure agreement, use multiple raters/consensus, model rater effects and preserve disagreement.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Clock mismatch</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Incorrect cross-modal relationships and misleading evidence.</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Adapter-level clock contracts, anchors, drift estimation, quality thresholds and visible confidence.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Gaze/eye-tracking quality</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Occlusion, calibration and lighting create unreliable attention features.</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Measure usable coverage, validate against annotated samples or hardware eye tracker, and abstain when quality is low.</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Speech/diarization errors</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Incorrect attribution of instructions/responses.</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Use separate channels where available, retain confidence and audio anchors, and evaluate Hebrew/domain vocabulary explicitly.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Data leakage</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Artificially high model results that fail on new trainees.</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Trainee-grouped and temporal splits, immutable dataset manifests and automated leakage checks.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Automation bias</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Evaluators over-trust a numeric probability.</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Separate human/model views, show uncertainty/evidence, preserve human authority and run the first prospective phase silently.</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Privacy and purpose creep</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Sensitive video, voice, gaze or physiology used beyond approved purpose.</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Purpose-specific governance, least privilege, minimization, retention/deletion and logged exports.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Hardware timing variance</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Full reports miss the expected one-hour window.</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Benchmark real files/models, sample selectively, parallelize stages and scale the worker queue based on measured P95.</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Schema or simulator change</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Adapters silently misread fields or units.</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Schema versioning, contract tests, unit checks, quarantine and explicit migration.</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Hesitation over-interpretation</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Observable pauses or fillers are mistaken for stress, low aptitude or a selection conclusion.</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Use a narrow event taxonomy, show audio evidence/confidence, allow correction, prohibit psychological labels and validate against annotated samples.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Camera-derived telemetry limitations</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OCR/vision misses fast changes, hidden states or controls and creates misleading flight-performance features.</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Keep the concept in backlog, benchmark against native CSV, report per-channel accuracy/coverage and retain native telemetry as authoritative when available.</w:t>
            </w:r>
          </w:p>
        </w:tc>
      </w:tr>
    </w:tbl>
    <w:p>
      <w:pPr>
        <w:spacing w:after="40"/>
      </w:pPr>
    </w:p>
    <w:p>
      <w:pPr>
        <w:pStyle w:val="Heading1"/>
        <w:keepNext/>
        <w:pageBreakBefore w:val="0"/>
      </w:pPr>
      <w:r>
        <w:t>Delivery plan and milestones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1800"/>
        <w:gridCol w:w="4870"/>
        <w:gridCol w:w="2690"/>
      </w:tblGrid>
      <w:tr>
        <w:trPr>
          <w:tblHeader w:val="true"/>
          <w:cantSplit/>
        </w:trPr>
        <w:tc>
          <w:tcPr>
            <w:tcW w:type="dxa" w:w="18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Milestone</w:t>
            </w:r>
          </w:p>
        </w:tc>
        <w:tc>
          <w:tcPr>
            <w:tcW w:type="dxa" w:w="487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Scope</w:t>
            </w:r>
          </w:p>
        </w:tc>
        <w:tc>
          <w:tcPr>
            <w:tcW w:type="dxa" w:w="269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Exit criterion</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D0 - Separate demos</w:t>
            </w:r>
          </w:p>
        </w:tc>
        <w:tc>
          <w:tcPr>
            <w:tcW w:type="dxa" w:w="48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Audio speech/hesitation vertical slice and telemetry-only low-altitude figure-eight vertical slice; no synchronization or fusion.</w:t>
            </w:r>
          </w:p>
        </w:tc>
        <w:tc>
          <w:tcPr>
            <w:tcW w:type="dxa" w:w="269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Both run independently on representative inputs, link outputs to evidence, expose confidence/quality and are demo-ready.</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M0 - Definition</w:t>
            </w:r>
          </w:p>
        </w:tc>
        <w:tc>
          <w:tcPr>
            <w:tcW w:type="dxa" w:w="48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Approve goals, outcome labels, rubrics, metadata schema, security boundary and representative data sample.</w:t>
            </w:r>
          </w:p>
        </w:tc>
        <w:tc>
          <w:tcPr>
            <w:tcW w:type="dxa" w:w="269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PRD baseline and data-access approval.</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M1 - Data foundation</w:t>
            </w:r>
          </w:p>
        </w:tc>
        <w:tc>
          <w:tcPr>
            <w:tcW w:type="dxa" w:w="48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Implement Flight Metadata Manager, asset registry, adapters, data-quality gate and canonical timeline.</w:t>
            </w:r>
          </w:p>
        </w:tc>
        <w:tc>
          <w:tcPr>
            <w:tcW w:type="dxa" w:w="269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Three representative sorties process reproducibly.</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M2 - Fast POC</w:t>
            </w:r>
          </w:p>
        </w:tc>
        <w:tc>
          <w:tcPr>
            <w:tcW w:type="dxa" w:w="48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Telemetry features, exercise segmentation, preliminary report and human-assessment capture.</w:t>
            </w:r>
          </w:p>
        </w:tc>
        <w:tc>
          <w:tcPr>
            <w:tcW w:type="dxa" w:w="269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Preliminary result meets agreed latency and reviewer can trace evidence.</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M3 - Deep multimodal POC</w:t>
            </w:r>
          </w:p>
        </w:tc>
        <w:tc>
          <w:tcPr>
            <w:tcW w:type="dxa" w:w="48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Audio transcription/diarization, pilot gaze/head pose, outside-video features and cross-modal events.</w:t>
            </w:r>
          </w:p>
        </w:tc>
        <w:tc>
          <w:tcPr>
            <w:tcW w:type="dxa" w:w="269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Full report produced on one DGX Spark benchmark.</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M4 - Baseline models</w:t>
            </w:r>
          </w:p>
        </w:tc>
        <w:tc>
          <w:tcPr>
            <w:tcW w:type="dxa" w:w="48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Exercise grading, profile aggregation and completion baseline with grouped validation and ablations.</w:t>
            </w:r>
          </w:p>
        </w:tc>
        <w:tc>
          <w:tcPr>
            <w:tcW w:type="dxa" w:w="269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Research report, model card and known-limitations list.</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M5 - Silent pilot</w:t>
            </w:r>
          </w:p>
        </w:tc>
        <w:tc>
          <w:tcPr>
            <w:tcW w:type="dxa" w:w="48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Process a new cohort independently of human grading; collect usability and reliability evidence.</w:t>
            </w:r>
          </w:p>
        </w:tc>
        <w:tc>
          <w:tcPr>
            <w:tcW w:type="dxa" w:w="269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Prospective evaluation and operational decision.</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M6 - MVP decision</w:t>
            </w:r>
          </w:p>
        </w:tc>
        <w:tc>
          <w:tcPr>
            <w:tcW w:type="dxa" w:w="487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Decide whether to scale, revise, narrow use or stop based on predictive validity, usefulness, privacy and cost.</w:t>
            </w:r>
          </w:p>
        </w:tc>
        <w:tc>
          <w:tcPr>
            <w:tcW w:type="dxa" w:w="269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Go/no-go and production requirements.</w:t>
            </w:r>
          </w:p>
        </w:tc>
      </w:tr>
    </w:tbl>
    <w:p>
      <w:pPr>
        <w:spacing w:after="40"/>
      </w:pPr>
    </w:p>
    <w:p>
      <w:pPr>
        <w:pStyle w:val="Heading1"/>
        <w:keepNext/>
        <w:pageBreakBefore w:val="0"/>
      </w:pPr>
      <w:r>
        <w:t>Open decisions and research questions</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1000"/>
        <w:gridCol w:w="8360"/>
      </w:tblGrid>
      <w:tr>
        <w:trPr>
          <w:tblHeader w:val="true"/>
          <w:cantSplit/>
        </w:trPr>
        <w:tc>
          <w:tcPr>
            <w:tcW w:type="dxa" w:w="1000"/>
            <w:shd w:fill="F2F4F7"/>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ID</w:t>
            </w:r>
          </w:p>
        </w:tc>
        <w:tc>
          <w:tcPr>
            <w:tcW w:type="dxa" w:w="8360"/>
            <w:shd w:fill="F2F4F7"/>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Decision / question</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OQ-01</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Confirm the initial number of trainees, six-sortie structure, sortie duration, daily peak and concurrency.</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OQ-02</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Define the exact course-completion outcome, intermediate attrition labels, censoring and date of availability.</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OQ-03</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Approve the exercise catalog, rubric versions, grade scales and mapping from exercise evidence to profile dimensions.</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OQ-04</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Inventory every CSV field, unit, sampling rate, clock, event marker and schema version.</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OQ-05</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Confirm the exact number of video/audio channels, resolutions, FPS, codecs, clock sources and typical 5 GB package breakdown.</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OQ-06</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Decide whether eye tracking is hardware-based, video-inferred or both, and define its validation ground truth.</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OQ-07</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Define the audio languages, domain vocabulary, channel separation and acceptable transcription/diarization quality.</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OQ-08</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Define the content of the &lt;=2-minute preliminary report and which results must wait for the deep pipeline.</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OQ-09</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Decide when evaluators may see model results; the silent pilot requires independent human labels.</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OQ-10</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Approve cohort-comparison rules, minimum cohort size and whether instructor/evaluator effects are shown.</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OQ-11</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Approve data classification, network boundary, legal/ethical basis, identity access, retention and deletion rules.</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OQ-12</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Choose the target UI/integration point and define API consumers, export formats and authoritative-record boundaries.</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OQ-13</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Ratify model-quality, synchronization, segmentation and usability thresholds after the feasibility study.</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OQ-14</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Determine whether sufficient historical outcomes exist to train completion prediction before a prospective cohort completes.</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OQ-15</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Benchmark DGX Spark and RTX 5090 with identical representative workloads and select the scaling trigger.</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OQ-16</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Approve the D0 hesitation taxonomy, languages/domain vocabulary, pause thresholds, annotation protocol and reviewer acceptance sample.</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OQ-17</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Define the D0-B low-altitude figure-eight source fields, manual interval-selection method, target profile, formula set and demonstration CSV.</w:t>
            </w:r>
          </w:p>
        </w:tc>
      </w:tr>
      <w:tr>
        <w:trPr>
          <w:cantSplit/>
        </w:trPr>
        <w:tc>
          <w:tcPr>
            <w:tcW w:type="dxa" w:w="1000"/>
            <w:shd w:fill="F4F6F9"/>
            <w:tcMar>
              <w:top w:w="80" w:type="dxa"/>
              <w:start w:w="120" w:type="dxa"/>
              <w:bottom w:w="80" w:type="dxa"/>
              <w:end w:w="120" w:type="dxa"/>
            </w:tcMar>
            <w:vAlign w:val="center"/>
          </w:tcPr>
          <w:p>
            <w:pPr>
              <w:spacing w:before="0" w:after="0" w:line="240" w:lineRule="auto"/>
            </w:pPr>
            <w:r>
              <w:rPr>
                <w:rFonts w:ascii="Calibri" w:hAnsi="Calibri" w:eastAsia="Calibri"/>
                <w:b/>
                <w:color w:val="0B2545"/>
                <w:sz w:val="17"/>
              </w:rPr>
              <w:t>OQ-18</w:t>
            </w:r>
          </w:p>
        </w:tc>
        <w:tc>
          <w:tcPr>
            <w:tcW w:type="dxa" w:w="8360"/>
            <w:tcMar>
              <w:top w:w="80" w:type="dxa"/>
              <w:start w:w="120" w:type="dxa"/>
              <w:bottom w:w="80" w:type="dxa"/>
              <w:end w:w="120" w:type="dxa"/>
            </w:tcMar>
            <w:vAlign w:val="center"/>
          </w:tcPr>
          <w:p>
            <w:pPr>
              <w:spacing w:before="0" w:after="0" w:line="240" w:lineRule="auto"/>
            </w:pPr>
            <w:r>
              <w:rPr>
                <w:rFonts w:ascii="Calibri" w:hAnsi="Calibri" w:eastAsia="Calibri"/>
                <w:b w:val="0"/>
                <w:color w:val="0B2545"/>
                <w:sz w:val="17"/>
              </w:rPr>
              <w:t>Decide whether to fund a camera-first acquisition feasibility experiment and define the native-telemetry ground truth, instruments, accuracy, sample-rate and missing-data thresholds.</w:t>
            </w:r>
          </w:p>
        </w:tc>
      </w:tr>
      <w:tr>
        <w:tc>
          <w:tcPr>
            <w:tcW w:type="dxa" w:w="1000"/>
          </w:tcPr>
          <w:p>
            <w:r/>
            <w:r>
              <w:rPr>
                <w:b/>
              </w:rPr>
              <w:t>OQ-19</w:t>
            </w:r>
          </w:p>
        </w:tc>
        <w:tc>
          <w:tcPr>
            <w:tcW w:type="dxa" w:w="8360"/>
          </w:tcPr>
          <w:p>
            <w:r/>
            <w:r>
              <w:rPr>
                <w:b w:val="0"/>
              </w:rPr>
              <w:t>Set the minimum eligible trainee/outcome count below which the course-completion model abstains rather than publishes a probability.</w:t>
            </w:r>
          </w:p>
        </w:tc>
      </w:tr>
      <w:tr>
        <w:tc>
          <w:tcPr>
            <w:tcW w:type="dxa" w:w="1000"/>
          </w:tcPr>
          <w:p>
            <w:r/>
            <w:r>
              <w:rPr>
                <w:b/>
              </w:rPr>
              <w:t>OQ-20</w:t>
            </w:r>
          </w:p>
        </w:tc>
        <w:tc>
          <w:tcPr>
            <w:tcW w:type="dxa" w:w="8360"/>
          </w:tcPr>
          <w:p>
            <w:r/>
            <w:r>
              <w:rPr>
                <w:b w:val="0"/>
              </w:rPr>
              <w:t>Set the formal inter-rater reliability gate (measure and threshold, provisionally weighted kappa/ICC &gt;=0.60), study owner, sample and completion date before modeling any capability dimension.</w:t>
            </w:r>
          </w:p>
        </w:tc>
      </w:tr>
      <w:tr>
        <w:tc>
          <w:tcPr>
            <w:tcW w:type="dxa" w:w="1000"/>
          </w:tcPr>
          <w:p>
            <w:r/>
            <w:r>
              <w:rPr>
                <w:b/>
              </w:rPr>
              <w:t>OQ-21</w:t>
            </w:r>
          </w:p>
        </w:tc>
        <w:tc>
          <w:tcPr>
            <w:tcW w:type="dxa" w:w="8360"/>
          </w:tcPr>
          <w:p>
            <w:r/>
            <w:r>
              <w:rPr>
                <w:b w:val="0"/>
              </w:rPr>
              <w:t>Approve the consensus-label method for combining multiple evaluator grades while preserving disagreement and evaluator identity/effects.</w:t>
            </w:r>
          </w:p>
        </w:tc>
      </w:tr>
      <w:tr>
        <w:tc>
          <w:tcPr>
            <w:tcW w:type="dxa" w:w="1000"/>
          </w:tcPr>
          <w:p>
            <w:r/>
            <w:r>
              <w:rPr>
                <w:b/>
              </w:rPr>
              <w:t>OQ-22</w:t>
            </w:r>
          </w:p>
        </w:tc>
        <w:tc>
          <w:tcPr>
            <w:tcW w:type="dxa" w:w="8360"/>
          </w:tcPr>
          <w:p>
            <w:r/>
            <w:r>
              <w:rPr>
                <w:b w:val="0"/>
              </w:rPr>
              <w:t>Freeze release phasing: exercise-level grading in V1 and course-completion probability in V2, unless historical data proves the latter viable earlier.</w:t>
            </w:r>
          </w:p>
        </w:tc>
      </w:tr>
      <w:tr>
        <w:tc>
          <w:tcPr>
            <w:tcW w:type="dxa" w:w="1000"/>
          </w:tcPr>
          <w:p>
            <w:r/>
            <w:r>
              <w:rPr>
                <w:b/>
              </w:rPr>
              <w:t>OQ-23</w:t>
            </w:r>
          </w:p>
        </w:tc>
        <w:tc>
          <w:tcPr>
            <w:tcW w:type="dxa" w:w="8360"/>
          </w:tcPr>
          <w:p>
            <w:r/>
            <w:r>
              <w:rPr>
                <w:b w:val="0"/>
              </w:rPr>
              <w:t>Decide whether V1 includes pilot-facing gaze/head-pose video or remains leaner with the independent audio and telemetry pipelines; gaze is not a D0 dependency.</w:t>
            </w:r>
          </w:p>
        </w:tc>
      </w:tr>
      <w:tr>
        <w:tc>
          <w:tcPr>
            <w:tcW w:type="dxa" w:w="1000"/>
          </w:tcPr>
          <w:p>
            <w:r/>
            <w:r>
              <w:rPr>
                <w:b/>
              </w:rPr>
              <w:t>OQ-24</w:t>
            </w:r>
          </w:p>
        </w:tc>
        <w:tc>
          <w:tcPr>
            <w:tcW w:type="dxa" w:w="8360"/>
          </w:tcPr>
          <w:p>
            <w:r/>
            <w:r>
              <w:rPr>
                <w:b w:val="0"/>
              </w:rPr>
              <w:t>Confirm real-time cockpit processing remains a non-goal and approve batch/overnight parallel processing as the operational mode.</w:t>
            </w:r>
          </w:p>
        </w:tc>
      </w:tr>
    </w:tbl>
    <w:p>
      <w:pPr>
        <w:pStyle w:val="Heading2"/>
      </w:pPr>
      <w:r>
        <w:t>Review-gate decisions - 29 August 2026</w:t>
      </w:r>
    </w:p>
    <w:p>
      <w:r>
        <w:t>These gates convert the PRD review checklist into traceable closure conditions. A proposed baseline is guidance only; every row remains open until the named evidence and accountable approval are recorded. Review RG-01, RG-02, RG-04 and RG-05 first; defer RG-09 until representative workloads exist.</w:t>
      </w:r>
    </w:p>
    <w:tbl>
      <w:tblPr>
        <w:tblW w:type="dxa" w:w="9360"/>
        <w:tblLayout w:type="fixed"/>
        <w:tblLook w:firstColumn="1" w:firstRow="1" w:lastColumn="0" w:lastRow="0" w:noHBand="0" w:noVBand="1" w:val="04A0"/>
        <w:tblInd w:w="120" w:type="dxa"/>
      </w:tblPr>
      <w:tblGrid>
        <w:gridCol w:w="1000"/>
        <w:gridCol w:w="1600"/>
        <w:gridCol w:w="3280"/>
        <w:gridCol w:w="3480"/>
      </w:tblGrid>
      <w:tr>
        <w:trPr>
          <w:tblHeader w:val="true"/>
        </w:trPr>
        <w:tc>
          <w:tcPr>
            <w:tcW w:type="dxa" w:w="1000"/>
            <w:shd w:fill="D9EAF7"/>
          </w:tcPr>
          <w:p>
            <w:r/>
            <w:r>
              <w:rPr>
                <w:b/>
              </w:rPr>
              <w:t>ID</w:t>
            </w:r>
          </w:p>
        </w:tc>
        <w:tc>
          <w:tcPr>
            <w:tcW w:type="dxa" w:w="1600"/>
            <w:shd w:fill="D9EAF7"/>
          </w:tcPr>
          <w:p>
            <w:r/>
            <w:r>
              <w:rPr>
                <w:b/>
              </w:rPr>
              <w:t>Decision</w:t>
            </w:r>
          </w:p>
        </w:tc>
        <w:tc>
          <w:tcPr>
            <w:tcW w:type="dxa" w:w="3280"/>
            <w:shd w:fill="D9EAF7"/>
          </w:tcPr>
          <w:p>
            <w:r/>
            <w:r>
              <w:rPr>
                <w:b/>
              </w:rPr>
              <w:t>Proposed baseline</w:t>
            </w:r>
          </w:p>
        </w:tc>
        <w:tc>
          <w:tcPr>
            <w:tcW w:type="dxa" w:w="3480"/>
            <w:shd w:fill="D9EAF7"/>
          </w:tcPr>
          <w:p>
            <w:r/>
            <w:r>
              <w:rPr>
                <w:b/>
              </w:rPr>
              <w:t>Closure evidence</w:t>
            </w:r>
          </w:p>
        </w:tc>
      </w:tr>
      <w:tr>
        <w:trPr>
          <w:cantSplit/>
        </w:trPr>
        <w:tc>
          <w:tcPr>
            <w:tcW w:type="dxa" w:w="1000"/>
          </w:tcPr>
          <w:p>
            <w:r/>
            <w:r>
              <w:rPr>
                <w:b/>
              </w:rPr>
              <w:t>RG-01</w:t>
            </w:r>
          </w:p>
        </w:tc>
        <w:tc>
          <w:tcPr>
            <w:tcW w:type="dxa" w:w="1600"/>
          </w:tcPr>
          <w:p>
            <w:r/>
            <w:r>
              <w:rPr>
                <w:b w:val="0"/>
              </w:rPr>
              <w:t>Available cohort and historical depth</w:t>
            </w:r>
          </w:p>
        </w:tc>
        <w:tc>
          <w:tcPr>
            <w:tcW w:type="dxa" w:w="3280"/>
          </w:tcPr>
          <w:p>
            <w:r/>
            <w:r>
              <w:rPr>
                <w:b w:val="0"/>
              </w:rPr>
              <w:t>Do not assume the 24 current trainees are sufficient. Inventory historical trainees and link each to dated outcomes.</w:t>
            </w:r>
          </w:p>
        </w:tc>
        <w:tc>
          <w:tcPr>
            <w:tcW w:type="dxa" w:w="3480"/>
          </w:tcPr>
          <w:p>
            <w:r/>
            <w:r>
              <w:rPr>
                <w:b w:val="0"/>
              </w:rPr>
              <w:t>Training/research lead supplies counts by year, data completeness and linkage feasibility.</w:t>
            </w:r>
          </w:p>
        </w:tc>
      </w:tr>
      <w:tr>
        <w:trPr>
          <w:cantSplit/>
        </w:trPr>
        <w:tc>
          <w:tcPr>
            <w:tcW w:type="dxa" w:w="1000"/>
          </w:tcPr>
          <w:p>
            <w:r/>
            <w:r>
              <w:rPr>
                <w:b/>
              </w:rPr>
              <w:t>RG-02</w:t>
            </w:r>
          </w:p>
        </w:tc>
        <w:tc>
          <w:tcPr>
            <w:tcW w:type="dxa" w:w="1600"/>
          </w:tcPr>
          <w:p>
            <w:r/>
            <w:r>
              <w:rPr>
                <w:b w:val="0"/>
              </w:rPr>
              <w:t>Attrition and completion base rate</w:t>
            </w:r>
          </w:p>
        </w:tc>
        <w:tc>
          <w:tcPr>
            <w:tcW w:type="dxa" w:w="3280"/>
          </w:tcPr>
          <w:p>
            <w:r/>
            <w:r>
              <w:rPr>
                <w:b w:val="0"/>
              </w:rPr>
              <w:t>No completion model commitment until pass, wash-out and censored counts plus reason codes are known.</w:t>
            </w:r>
          </w:p>
        </w:tc>
        <w:tc>
          <w:tcPr>
            <w:tcW w:type="dxa" w:w="3480"/>
          </w:tcPr>
          <w:p>
            <w:r/>
            <w:r>
              <w:rPr>
                <w:b w:val="0"/>
              </w:rPr>
              <w:t>Approved outcome definition and cohort-level counts by year/stage.</w:t>
            </w:r>
          </w:p>
        </w:tc>
      </w:tr>
      <w:tr>
        <w:trPr>
          <w:cantSplit/>
        </w:trPr>
        <w:tc>
          <w:tcPr>
            <w:tcW w:type="dxa" w:w="1000"/>
          </w:tcPr>
          <w:p>
            <w:r/>
            <w:r>
              <w:rPr>
                <w:b/>
              </w:rPr>
              <w:t>RG-03</w:t>
            </w:r>
          </w:p>
        </w:tc>
        <w:tc>
          <w:tcPr>
            <w:tcW w:type="dxa" w:w="1600"/>
          </w:tcPr>
          <w:p>
            <w:r/>
            <w:r>
              <w:rPr>
                <w:b w:val="0"/>
              </w:rPr>
              <w:t>Probability-model abstention threshold</w:t>
            </w:r>
          </w:p>
        </w:tc>
        <w:tc>
          <w:tcPr>
            <w:tcW w:type="dxa" w:w="3280"/>
          </w:tcPr>
          <w:p>
            <w:r/>
            <w:r>
              <w:rPr>
                <w:b w:val="0"/>
              </w:rPr>
              <w:t>Model must expose an ineligible/insufficient-data state; the numeric threshold is TBD.</w:t>
            </w:r>
          </w:p>
        </w:tc>
        <w:tc>
          <w:tcPr>
            <w:tcW w:type="dxa" w:w="3480"/>
          </w:tcPr>
          <w:p>
            <w:r/>
            <w:r>
              <w:rPr>
                <w:b w:val="0"/>
              </w:rPr>
              <w:t>ML lead proposes threshold from event count, confidence intervals, calibration and grouped validation; domain owner approves.</w:t>
            </w:r>
          </w:p>
        </w:tc>
      </w:tr>
      <w:tr>
        <w:trPr>
          <w:cantSplit/>
        </w:trPr>
        <w:tc>
          <w:tcPr>
            <w:tcW w:type="dxa" w:w="1000"/>
          </w:tcPr>
          <w:p>
            <w:r/>
            <w:r>
              <w:rPr>
                <w:b/>
              </w:rPr>
              <w:t>RG-04</w:t>
            </w:r>
          </w:p>
        </w:tc>
        <w:tc>
          <w:tcPr>
            <w:tcW w:type="dxa" w:w="1600"/>
          </w:tcPr>
          <w:p>
            <w:r/>
            <w:r>
              <w:rPr>
                <w:b w:val="0"/>
              </w:rPr>
              <w:t>Human-label reliability gate</w:t>
            </w:r>
          </w:p>
        </w:tc>
        <w:tc>
          <w:tcPr>
            <w:tcW w:type="dxa" w:w="3280"/>
          </w:tcPr>
          <w:p>
            <w:r/>
            <w:r>
              <w:rPr>
                <w:b w:val="0"/>
              </w:rPr>
              <w:t>Provisionally require weighted kappa or ICC &gt;= 0.60 before a capability dimension becomes a supervised target.</w:t>
            </w:r>
          </w:p>
        </w:tc>
        <w:tc>
          <w:tcPr>
            <w:tcW w:type="dxa" w:w="3480"/>
          </w:tcPr>
          <w:p>
            <w:r/>
            <w:r>
              <w:rPr>
                <w:b w:val="0"/>
              </w:rPr>
              <w:t>Rubric owner names study owner, evaluator sample and date; report measure, interval and dimension-level pass/fail.</w:t>
            </w:r>
          </w:p>
        </w:tc>
      </w:tr>
      <w:tr>
        <w:trPr>
          <w:cantSplit/>
        </w:trPr>
        <w:tc>
          <w:tcPr>
            <w:tcW w:type="dxa" w:w="1000"/>
          </w:tcPr>
          <w:p>
            <w:r/>
            <w:r>
              <w:rPr>
                <w:b/>
              </w:rPr>
              <w:t>RG-05</w:t>
            </w:r>
          </w:p>
        </w:tc>
        <w:tc>
          <w:tcPr>
            <w:tcW w:type="dxa" w:w="1600"/>
          </w:tcPr>
          <w:p>
            <w:r/>
            <w:r>
              <w:rPr>
                <w:b w:val="0"/>
              </w:rPr>
              <w:t>Consensus-label construction</w:t>
            </w:r>
          </w:p>
        </w:tc>
        <w:tc>
          <w:tcPr>
            <w:tcW w:type="dxa" w:w="3280"/>
          </w:tcPr>
          <w:p>
            <w:r/>
            <w:r>
              <w:rPr>
                <w:b w:val="0"/>
              </w:rPr>
              <w:t>Preserve individual grades and disagreement; do not silently average evaluator scores.</w:t>
            </w:r>
          </w:p>
        </w:tc>
        <w:tc>
          <w:tcPr>
            <w:tcW w:type="dxa" w:w="3480"/>
          </w:tcPr>
          <w:p>
            <w:r/>
            <w:r>
              <w:rPr>
                <w:b w:val="0"/>
              </w:rPr>
              <w:t>Approve adjudication/aggregation rule, missing-rater policy, rater-effect handling and label version.</w:t>
            </w:r>
          </w:p>
        </w:tc>
      </w:tr>
      <w:tr>
        <w:trPr>
          <w:cantSplit/>
        </w:trPr>
        <w:tc>
          <w:tcPr>
            <w:tcW w:type="dxa" w:w="1000"/>
          </w:tcPr>
          <w:p>
            <w:r/>
            <w:r>
              <w:rPr>
                <w:b/>
              </w:rPr>
              <w:t>RG-06</w:t>
            </w:r>
          </w:p>
        </w:tc>
        <w:tc>
          <w:tcPr>
            <w:tcW w:type="dxa" w:w="1600"/>
          </w:tcPr>
          <w:p>
            <w:r/>
            <w:r>
              <w:rPr>
                <w:b w:val="0"/>
              </w:rPr>
              <w:t>Release phasing</w:t>
            </w:r>
          </w:p>
        </w:tc>
        <w:tc>
          <w:tcPr>
            <w:tcW w:type="dxa" w:w="3280"/>
          </w:tcPr>
          <w:p>
            <w:r/>
            <w:r>
              <w:rPr>
                <w:b w:val="0"/>
              </w:rPr>
              <w:t>Recommended: V1 ships exercise-level grading; completion probability is V2 and only after RG-01 through RG-05 pass.</w:t>
            </w:r>
          </w:p>
        </w:tc>
        <w:tc>
          <w:tcPr>
            <w:tcW w:type="dxa" w:w="3480"/>
          </w:tcPr>
          <w:p>
            <w:r/>
            <w:r>
              <w:rPr>
                <w:b w:val="0"/>
              </w:rPr>
              <w:t>Product, academy and ML owners sign the V1/V2 scope baseline.</w:t>
            </w:r>
          </w:p>
        </w:tc>
      </w:tr>
      <w:tr>
        <w:trPr>
          <w:cantSplit/>
        </w:trPr>
        <w:tc>
          <w:tcPr>
            <w:tcW w:type="dxa" w:w="1000"/>
          </w:tcPr>
          <w:p>
            <w:r/>
            <w:r>
              <w:rPr>
                <w:b/>
              </w:rPr>
              <w:t>RG-07</w:t>
            </w:r>
          </w:p>
        </w:tc>
        <w:tc>
          <w:tcPr>
            <w:tcW w:type="dxa" w:w="1600"/>
          </w:tcPr>
          <w:p>
            <w:r/>
            <w:r>
              <w:rPr>
                <w:b w:val="0"/>
              </w:rPr>
              <w:t>Pilot-facing video in V1</w:t>
            </w:r>
          </w:p>
        </w:tc>
        <w:tc>
          <w:tcPr>
            <w:tcW w:type="dxa" w:w="3280"/>
          </w:tcPr>
          <w:p>
            <w:r/>
            <w:r>
              <w:rPr>
                <w:b w:val="0"/>
              </w:rPr>
              <w:t>D0 remains audio and telemetry only. Decide separately whether V1 adds video-inferred gaze/head pose or defers it.</w:t>
            </w:r>
          </w:p>
        </w:tc>
        <w:tc>
          <w:tcPr>
            <w:tcW w:type="dxa" w:w="3480"/>
          </w:tcPr>
          <w:p>
            <w:r/>
            <w:r>
              <w:rPr>
                <w:b w:val="0"/>
              </w:rPr>
              <w:t>Value, data quality, privacy, annotation effort and schedule comparison documented; scope owner decides.</w:t>
            </w:r>
          </w:p>
        </w:tc>
      </w:tr>
      <w:tr>
        <w:trPr>
          <w:cantSplit/>
        </w:trPr>
        <w:tc>
          <w:tcPr>
            <w:tcW w:type="dxa" w:w="1000"/>
          </w:tcPr>
          <w:p>
            <w:r/>
            <w:r>
              <w:rPr>
                <w:b/>
              </w:rPr>
              <w:t>RG-08</w:t>
            </w:r>
          </w:p>
        </w:tc>
        <w:tc>
          <w:tcPr>
            <w:tcW w:type="dxa" w:w="1600"/>
          </w:tcPr>
          <w:p>
            <w:r/>
            <w:r>
              <w:rPr>
                <w:b w:val="0"/>
              </w:rPr>
              <w:t>Processing mode</w:t>
            </w:r>
          </w:p>
        </w:tc>
        <w:tc>
          <w:tcPr>
            <w:tcW w:type="dxa" w:w="3280"/>
          </w:tcPr>
          <w:p>
            <w:r/>
            <w:r>
              <w:rPr>
                <w:b w:val="0"/>
              </w:rPr>
              <w:t>Maintain real-time cockpit intervention as a non-goal; process sorties in batch with parallel jobs and visible queue/status.</w:t>
            </w:r>
          </w:p>
        </w:tc>
        <w:tc>
          <w:tcPr>
            <w:tcW w:type="dxa" w:w="3480"/>
          </w:tcPr>
          <w:p>
            <w:r/>
            <w:r>
              <w:rPr>
                <w:b w:val="0"/>
              </w:rPr>
              <w:t>Operational owner approves preliminary/deep or overnight delivery expectations and peak workload.</w:t>
            </w:r>
          </w:p>
        </w:tc>
      </w:tr>
      <w:tr>
        <w:trPr>
          <w:cantSplit/>
        </w:trPr>
        <w:tc>
          <w:tcPr>
            <w:tcW w:type="dxa" w:w="1000"/>
          </w:tcPr>
          <w:p>
            <w:r/>
            <w:r>
              <w:rPr>
                <w:b/>
              </w:rPr>
              <w:t>RG-09</w:t>
            </w:r>
          </w:p>
        </w:tc>
        <w:tc>
          <w:tcPr>
            <w:tcW w:type="dxa" w:w="1600"/>
          </w:tcPr>
          <w:p>
            <w:r/>
            <w:r>
              <w:rPr>
                <w:b w:val="0"/>
              </w:rPr>
              <w:t>Hardware production baseline</w:t>
            </w:r>
          </w:p>
        </w:tc>
        <w:tc>
          <w:tcPr>
            <w:tcW w:type="dxa" w:w="3280"/>
          </w:tcPr>
          <w:p>
            <w:r/>
            <w:r>
              <w:rPr>
                <w:b w:val="0"/>
              </w:rPr>
              <w:t>DGX Spark is the POC baseline; no production throughput commitment until an identical-workload benchmark against RTX 5090 or the selected alternative.</w:t>
            </w:r>
          </w:p>
        </w:tc>
        <w:tc>
          <w:tcPr>
            <w:tcW w:type="dxa" w:w="3480"/>
          </w:tcPr>
          <w:p>
            <w:r/>
            <w:r>
              <w:rPr>
                <w:b w:val="0"/>
              </w:rPr>
              <w:t>Representative workload, software stack, concurrency, P50/P95 latency, GPU memory and energy/cost results.</w:t>
            </w:r>
          </w:p>
        </w:tc>
      </w:tr>
    </w:tbl>
    <w:p>
      <w:pPr>
        <w:pStyle w:val="Heading2"/>
      </w:pPr>
      <w:r>
        <w:t>Data request package</w:t>
      </w:r>
    </w:p>
    <w:p>
      <w:r>
        <w:t>The following package should be requested before the V0 data-feasibility review. Files should be accompanied by a data owner, classification, transfer method, schema/version identifier and any known quality limitations.</w:t>
      </w:r>
    </w:p>
    <w:tbl>
      <w:tblPr>
        <w:tblW w:type="dxa" w:w="9360"/>
        <w:tblLayout w:type="fixed"/>
        <w:tblLook w:firstColumn="1" w:firstRow="1" w:lastColumn="0" w:lastRow="0" w:noHBand="0" w:noVBand="1" w:val="04A0"/>
        <w:tblInd w:w="120" w:type="dxa"/>
      </w:tblPr>
      <w:tblGrid>
        <w:gridCol w:w="1000"/>
        <w:gridCol w:w="2000"/>
        <w:gridCol w:w="6360"/>
      </w:tblGrid>
      <w:tr>
        <w:trPr>
          <w:tblHeader w:val="true"/>
        </w:trPr>
        <w:tc>
          <w:tcPr>
            <w:tcW w:type="dxa" w:w="1000"/>
            <w:shd w:fill="D9EAF7"/>
          </w:tcPr>
          <w:p>
            <w:r/>
            <w:r>
              <w:rPr>
                <w:b/>
              </w:rPr>
              <w:t>ID</w:t>
            </w:r>
          </w:p>
        </w:tc>
        <w:tc>
          <w:tcPr>
            <w:tcW w:type="dxa" w:w="2000"/>
            <w:shd w:fill="D9EAF7"/>
          </w:tcPr>
          <w:p>
            <w:r/>
            <w:r>
              <w:rPr>
                <w:b/>
              </w:rPr>
              <w:t>Requested item</w:t>
            </w:r>
          </w:p>
        </w:tc>
        <w:tc>
          <w:tcPr>
            <w:tcW w:type="dxa" w:w="6360"/>
            <w:shd w:fill="D9EAF7"/>
          </w:tcPr>
          <w:p>
            <w:r/>
            <w:r>
              <w:rPr>
                <w:b/>
              </w:rPr>
              <w:t>Required contents</w:t>
            </w:r>
          </w:p>
        </w:tc>
      </w:tr>
      <w:tr>
        <w:trPr>
          <w:cantSplit/>
        </w:trPr>
        <w:tc>
          <w:tcPr>
            <w:tcW w:type="dxa" w:w="1000"/>
          </w:tcPr>
          <w:p>
            <w:r/>
            <w:r>
              <w:rPr>
                <w:b/>
              </w:rPr>
              <w:t>DR-01</w:t>
            </w:r>
          </w:p>
        </w:tc>
        <w:tc>
          <w:tcPr>
            <w:tcW w:type="dxa" w:w="2000"/>
          </w:tcPr>
          <w:p>
            <w:r/>
            <w:r>
              <w:rPr>
                <w:b w:val="0"/>
              </w:rPr>
              <w:t>Historical trainee outcomes</w:t>
            </w:r>
          </w:p>
        </w:tc>
        <w:tc>
          <w:tcPr>
            <w:tcW w:type="dxa" w:w="6360"/>
          </w:tcPr>
          <w:p>
            <w:r/>
            <w:r>
              <w:rPr>
                <w:b w:val="0"/>
              </w:rPr>
              <w:t>Pass, wash-out, pending/censored status, relevant dates, stage/sortie at exit and standardized reason codes, including pre-simulator records when legally and operationally linkable.</w:t>
            </w:r>
          </w:p>
        </w:tc>
      </w:tr>
      <w:tr>
        <w:trPr>
          <w:cantSplit/>
        </w:trPr>
        <w:tc>
          <w:tcPr>
            <w:tcW w:type="dxa" w:w="1000"/>
          </w:tcPr>
          <w:p>
            <w:r/>
            <w:r>
              <w:rPr>
                <w:b/>
              </w:rPr>
              <w:t>DR-02</w:t>
            </w:r>
          </w:p>
        </w:tc>
        <w:tc>
          <w:tcPr>
            <w:tcW w:type="dxa" w:w="2000"/>
          </w:tcPr>
          <w:p>
            <w:r/>
            <w:r>
              <w:rPr>
                <w:b w:val="0"/>
              </w:rPr>
              <w:t>Representative telemetry</w:t>
            </w:r>
          </w:p>
        </w:tc>
        <w:tc>
          <w:tcPr>
            <w:tcW w:type="dxa" w:w="6360"/>
          </w:tcPr>
          <w:p>
            <w:r/>
            <w:r>
              <w:rPr>
                <w:b w:val="0"/>
              </w:rPr>
              <w:t>At least three sample sortie CSV packages plus schema, field dictionary, units, sampling rates, clock definition, event markers, missing-value semantics and schema history.</w:t>
            </w:r>
          </w:p>
        </w:tc>
      </w:tr>
      <w:tr>
        <w:trPr>
          <w:cantSplit/>
        </w:trPr>
        <w:tc>
          <w:tcPr>
            <w:tcW w:type="dxa" w:w="1000"/>
          </w:tcPr>
          <w:p>
            <w:r/>
            <w:r>
              <w:rPr>
                <w:b/>
              </w:rPr>
              <w:t>DR-03</w:t>
            </w:r>
          </w:p>
        </w:tc>
        <w:tc>
          <w:tcPr>
            <w:tcW w:type="dxa" w:w="2000"/>
          </w:tcPr>
          <w:p>
            <w:r/>
            <w:r>
              <w:rPr>
                <w:b w:val="0"/>
              </w:rPr>
              <w:t>Representative audio</w:t>
            </w:r>
          </w:p>
        </w:tc>
        <w:tc>
          <w:tcPr>
            <w:tcW w:type="dxa" w:w="6360"/>
          </w:tcPr>
          <w:p>
            <w:r/>
            <w:r>
              <w:rPr>
                <w:b w:val="0"/>
              </w:rPr>
              <w:t>Channel layout and routing, mixed versus separate speakers, language(s), aviation vocabulary, sample files and examples of noise, overlap, clipping, radio artifacts and silence.</w:t>
            </w:r>
          </w:p>
        </w:tc>
      </w:tr>
      <w:tr>
        <w:trPr>
          <w:cantSplit/>
        </w:trPr>
        <w:tc>
          <w:tcPr>
            <w:tcW w:type="dxa" w:w="1000"/>
          </w:tcPr>
          <w:p>
            <w:r/>
            <w:r>
              <w:rPr>
                <w:b/>
              </w:rPr>
              <w:t>DR-04</w:t>
            </w:r>
          </w:p>
        </w:tc>
        <w:tc>
          <w:tcPr>
            <w:tcW w:type="dxa" w:w="2000"/>
          </w:tcPr>
          <w:p>
            <w:r/>
            <w:r>
              <w:rPr>
                <w:b w:val="0"/>
              </w:rPr>
              <w:t>Representative video if retained</w:t>
            </w:r>
          </w:p>
        </w:tc>
        <w:tc>
          <w:tcPr>
            <w:tcW w:type="dxa" w:w="6360"/>
          </w:tcPr>
          <w:p>
            <w:r/>
            <w:r>
              <w:rPr>
                <w:b w:val="0"/>
              </w:rPr>
              <w:t>Per-camera role, resolution, FPS, codec, clock source, mounting/calibration, field of view and samples covering lighting, glare, vibration, occlusion and camera movement.</w:t>
            </w:r>
          </w:p>
        </w:tc>
      </w:tr>
      <w:tr>
        <w:trPr>
          <w:cantSplit/>
        </w:trPr>
        <w:tc>
          <w:tcPr>
            <w:tcW w:type="dxa" w:w="1000"/>
          </w:tcPr>
          <w:p>
            <w:r/>
            <w:r>
              <w:rPr>
                <w:b/>
              </w:rPr>
              <w:t>DR-05</w:t>
            </w:r>
          </w:p>
        </w:tc>
        <w:tc>
          <w:tcPr>
            <w:tcW w:type="dxa" w:w="2000"/>
          </w:tcPr>
          <w:p>
            <w:r/>
            <w:r>
              <w:rPr>
                <w:b w:val="0"/>
              </w:rPr>
              <w:t>Current grading rubric</w:t>
            </w:r>
          </w:p>
        </w:tc>
        <w:tc>
          <w:tcPr>
            <w:tcW w:type="dxa" w:w="6360"/>
          </w:tcPr>
          <w:p>
            <w:r/>
            <w:r>
              <w:rPr>
                <w:b w:val="0"/>
              </w:rPr>
              <w:t>Evaluator forms, instructions, exercise definitions, grade scale, dimension mappings, free-text fields, historical rubric versions and examples of completed forms.</w:t>
            </w:r>
          </w:p>
        </w:tc>
      </w:tr>
      <w:tr>
        <w:trPr>
          <w:cantSplit/>
        </w:trPr>
        <w:tc>
          <w:tcPr>
            <w:tcW w:type="dxa" w:w="1000"/>
          </w:tcPr>
          <w:p>
            <w:r/>
            <w:r>
              <w:rPr>
                <w:b/>
              </w:rPr>
              <w:t>DR-06</w:t>
            </w:r>
          </w:p>
        </w:tc>
        <w:tc>
          <w:tcPr>
            <w:tcW w:type="dxa" w:w="2000"/>
          </w:tcPr>
          <w:p>
            <w:r/>
            <w:r>
              <w:rPr>
                <w:b w:val="0"/>
              </w:rPr>
              <w:t>Evaluator structure</w:t>
            </w:r>
          </w:p>
        </w:tc>
        <w:tc>
          <w:tcPr>
            <w:tcW w:type="dxa" w:w="6360"/>
          </w:tcPr>
          <w:p>
            <w:r/>
            <w:r>
              <w:rPr>
                <w:b w:val="0"/>
              </w:rPr>
              <w:t>Number of evaluators per sortie/exercise, role definitions, whether grading is independent, when adjudication occurs and whether evaluator identity can be retained pseudonymously.</w:t>
            </w:r>
          </w:p>
        </w:tc>
      </w:tr>
      <w:tr>
        <w:trPr>
          <w:cantSplit/>
        </w:trPr>
        <w:tc>
          <w:tcPr>
            <w:tcW w:type="dxa" w:w="1000"/>
          </w:tcPr>
          <w:p>
            <w:r/>
            <w:r>
              <w:rPr>
                <w:b/>
              </w:rPr>
              <w:t>DR-07</w:t>
            </w:r>
          </w:p>
        </w:tc>
        <w:tc>
          <w:tcPr>
            <w:tcW w:type="dxa" w:w="2000"/>
          </w:tcPr>
          <w:p>
            <w:r/>
            <w:r>
              <w:rPr>
                <w:b w:val="0"/>
              </w:rPr>
              <w:t>Eye-tracking source</w:t>
            </w:r>
          </w:p>
        </w:tc>
        <w:tc>
          <w:tcPr>
            <w:tcW w:type="dxa" w:w="6360"/>
          </w:tcPr>
          <w:p>
            <w:r/>
            <w:r>
              <w:rPr>
                <w:b w:val="0"/>
              </w:rPr>
              <w:t>Inventory any existing eye-tracker hardware, output format and calibration process; otherwise formally confirm that gaze/head pose must be inferred from pilot-facing video.</w:t>
            </w:r>
          </w:p>
        </w:tc>
      </w:tr>
      <w:tr>
        <w:trPr>
          <w:cantSplit/>
        </w:trPr>
        <w:tc>
          <w:tcPr>
            <w:tcW w:type="dxa" w:w="1000"/>
          </w:tcPr>
          <w:p>
            <w:r/>
            <w:r>
              <w:rPr>
                <w:b/>
              </w:rPr>
              <w:t>DR-08</w:t>
            </w:r>
          </w:p>
        </w:tc>
        <w:tc>
          <w:tcPr>
            <w:tcW w:type="dxa" w:w="2000"/>
          </w:tcPr>
          <w:p>
            <w:r/>
            <w:r>
              <w:rPr>
                <w:b w:val="0"/>
              </w:rPr>
              <w:t>Classification, privacy and retention</w:t>
            </w:r>
          </w:p>
        </w:tc>
        <w:tc>
          <w:tcPr>
            <w:tcW w:type="dxa" w:w="6360"/>
          </w:tcPr>
          <w:p>
            <w:r/>
            <w:r>
              <w:rPr>
                <w:b w:val="0"/>
              </w:rPr>
              <w:t>Approved purpose(s), classification level, network/storage boundary, access roles, consent/legal basis, de-identification rules and retention/deletion periods for raw and derived data.</w:t>
            </w:r>
          </w:p>
        </w:tc>
      </w:tr>
      <w:tr>
        <w:trPr>
          <w:cantSplit/>
        </w:trPr>
        <w:tc>
          <w:tcPr>
            <w:tcW w:type="dxa" w:w="1000"/>
          </w:tcPr>
          <w:p>
            <w:r/>
            <w:r>
              <w:rPr>
                <w:b/>
              </w:rPr>
              <w:t>DR-09</w:t>
            </w:r>
          </w:p>
        </w:tc>
        <w:tc>
          <w:tcPr>
            <w:tcW w:type="dxa" w:w="2000"/>
          </w:tcPr>
          <w:p>
            <w:r/>
            <w:r>
              <w:rPr>
                <w:b w:val="0"/>
              </w:rPr>
              <w:t>Training schedule</w:t>
            </w:r>
          </w:p>
        </w:tc>
        <w:tc>
          <w:tcPr>
            <w:tcW w:type="dxa" w:w="6360"/>
          </w:tcPr>
          <w:p>
            <w:r/>
            <w:r>
              <w:rPr>
                <w:b w:val="0"/>
              </w:rPr>
              <w:t>Confirm six-sortie structure, sortie duration distribution, daily/weekly schedule, peak concurrency, make-up sorties, gaps between sorties and expected outcome availability date.</w:t>
            </w:r>
          </w:p>
        </w:tc>
      </w:tr>
      <w:tr>
        <w:trPr>
          <w:cantSplit/>
        </w:trPr>
        <w:tc>
          <w:tcPr>
            <w:tcW w:type="dxa" w:w="1000"/>
          </w:tcPr>
          <w:p>
            <w:r/>
            <w:r>
              <w:rPr>
                <w:b/>
              </w:rPr>
              <w:t>DR-10</w:t>
            </w:r>
          </w:p>
        </w:tc>
        <w:tc>
          <w:tcPr>
            <w:tcW w:type="dxa" w:w="2000"/>
          </w:tcPr>
          <w:p>
            <w:r/>
            <w:r>
              <w:rPr>
                <w:b w:val="0"/>
              </w:rPr>
              <w:t>Outcome and label linkage map</w:t>
            </w:r>
          </w:p>
        </w:tc>
        <w:tc>
          <w:tcPr>
            <w:tcW w:type="dxa" w:w="6360"/>
          </w:tcPr>
          <w:p>
            <w:r/>
            <w:r>
              <w:rPr>
                <w:b w:val="0"/>
              </w:rPr>
              <w:t>Stable pseudonymous keys linking trainee, sortie, evaluator grades and outcomes; document missing links, identity custodian and the process for corrections/versioning.</w:t>
            </w:r>
          </w:p>
        </w:tc>
      </w:tr>
    </w:tbl>
    <w:p>
      <w:pPr>
        <w:pStyle w:val="Heading1"/>
      </w:pPr>
      <w:r>
        <w:t>Backlog - camera-first portable data acquisition</w:t>
      </w:r>
    </w:p>
    <w:p>
      <w:pPr/>
      <w:r>
        <w:t>A future acquisition option is to install cameras inside the cockpit to observe the instrument panel, cockpit/controls, trainee and outside view while recording flight audio. Computer vision and OCR could reconstruct selected flight parameters without depending on a proprietary CSV export. This could simplify movement between simulator or aircraft platforms, but it is a data-source strategy, not the first analytics demo and not yet the authoritative baseline.</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200"/>
        <w:gridCol w:w="2780"/>
        <w:gridCol w:w="4380"/>
      </w:tblGrid>
      <w:tr>
        <w:trPr>
          <w:tblHeader w:val="true"/>
          <w:cantSplit/>
        </w:trPr>
        <w:tc>
          <w:tcPr>
            <w:tcW w:type="dxa" w:w="22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6"/>
              </w:rPr>
              <w:t>Area</w:t>
            </w:r>
          </w:p>
        </w:tc>
        <w:tc>
          <w:tcPr>
            <w:tcW w:type="dxa" w:w="278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6"/>
              </w:rPr>
              <w:t>Backlog requirement</w:t>
            </w:r>
          </w:p>
        </w:tc>
        <w:tc>
          <w:tcPr>
            <w:tcW w:type="dxa" w:w="438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6"/>
              </w:rPr>
              <w:t>Exit evidence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Acquisition concept</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Support fixed cockpit/instrument, trainee-facing and outside-view cameras plus audio through modular source adapters.</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A documented camera layout, calibration method, clock strategy and representative recording package.</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Portable reconstruction</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Decode approved visible parameters through OCR/computer vision with source timestamps, confidence and missing-value semantics.</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Per-parameter accuracy, sample rate, latency, coverage and error distribution measured against ground truth.</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Platform portability</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Keep downstream exercise features independent of whether a value came from native telemetry or a validated visual adapter.</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The same canonical field contract and quality flags work on at least two representative platforms or recording layouts.</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Known limitations</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Explicitly handle occlusion, glare, vibration, camera movement, focus, display refresh, analog needles, unreadable instruments, hidden controls and states.</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Failure-mode test set, abstention behavior and visible coverage/quality report.</w:t>
            </w:r>
          </w:p>
        </w:tc>
      </w:tr>
      <w:tr>
        <w:trPr>
          <w:cantSplit/>
        </w:trPr>
        <w:tc>
          <w:tcPr>
            <w:tcW w:type="dxa" w:w="22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Authority rule</w:t>
            </w:r>
          </w:p>
        </w:tc>
        <w:tc>
          <w:tcPr>
            <w:tcW w:type="dxa" w:w="27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Native simulator/aircraft telemetry remains preferred and authoritative when available; camera-derived values never silently replace it.</w:t>
            </w:r>
          </w:p>
        </w:tc>
        <w:tc>
          <w:tcPr>
            <w:tcW w:type="dxa" w:w="438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6"/>
              </w:rPr>
              <w:t>Comparison report and approved precedence policy before any operational use.</w:t>
            </w:r>
          </w:p>
        </w:tc>
      </w:tr>
    </w:tbl>
    <w:p>
      <w:pPr>
        <w:spacing w:after="40"/>
      </w:pPr>
    </w:p>
    <w:p>
      <w:pPr>
        <w:pStyle w:val="Heading1"/>
        <w:keepNext/>
        <w:pageBreakBefore/>
      </w:pPr>
      <w:r>
        <w:t>Appendix A - Initial interface contracts</w:t>
      </w:r>
    </w:p>
    <w:p>
      <w:pPr>
        <w:pStyle w:val="Heading2"/>
        <w:keepNext/>
        <w:pageBreakBefore w:val="0"/>
      </w:pPr>
      <w:r>
        <w:t>Adapter output contract</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400"/>
        <w:gridCol w:w="5420"/>
        <w:gridCol w:w="1540"/>
      </w:tblGrid>
      <w:tr>
        <w:trPr>
          <w:tblHeader w:val="true"/>
          <w:cantSplit/>
        </w:trPr>
        <w:tc>
          <w:tcPr>
            <w:tcW w:type="dxa" w:w="24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Field</w:t>
            </w:r>
          </w:p>
        </w:tc>
        <w:tc>
          <w:tcPr>
            <w:tcW w:type="dxa" w:w="542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Meaning</w:t>
            </w:r>
          </w:p>
        </w:tc>
        <w:tc>
          <w:tcPr>
            <w:tcW w:type="dxa" w:w="154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Status</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flight_id</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Stable Flight Session identifier.</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source_id / asset_id</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Registered source and immutable asset version.</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modality</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telemetry, pilot_video, outside_video, audio, assessment or future physiology.</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source_timestamp</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Original time value and unit/epoch.</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proposed_canonical_time</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Adapter's proposed flight-relative time; omitted in D0 unless already available.</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Post-D0 required</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clock_id</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Reference to the source time base; source-local clock metadata is sufficient in D0.</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Post-D0 required</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payload / payload_ref</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Normalized value/event or reference to a derived artifact.</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quality_flags</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Missing, clipped, occluded, low confidence, out of range, schema mismatch, etc.</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algorithm_version</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Code/model/configuration version producing the record.</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quality_metrics</w:t>
            </w:r>
          </w:p>
        </w:tc>
        <w:tc>
          <w:tcPr>
            <w:tcW w:type="dxa" w:w="542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Coverage, confidence, residual error and modality-specific metrics.</w:t>
            </w:r>
          </w:p>
        </w:tc>
        <w:tc>
          <w:tcPr>
            <w:tcW w:type="dxa" w:w="154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w:t>
            </w:r>
          </w:p>
        </w:tc>
      </w:tr>
    </w:tbl>
    <w:p>
      <w:pPr>
        <w:spacing w:after="40"/>
      </w:pPr>
    </w:p>
    <w:p>
      <w:pPr>
        <w:pStyle w:val="Heading2"/>
        <w:keepNext/>
        <w:pageBreakBefore w:val="0"/>
      </w:pPr>
      <w:r>
        <w:t>Feature definition contract</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200"/>
        <w:gridCol w:w="7160"/>
      </w:tblGrid>
      <w:tr>
        <w:trPr>
          <w:tblHeader w:val="true"/>
          <w:cantSplit/>
        </w:trPr>
        <w:tc>
          <w:tcPr>
            <w:tcW w:type="dxa" w:w="22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Area</w:t>
            </w:r>
          </w:p>
        </w:tc>
        <w:tc>
          <w:tcPr>
            <w:tcW w:type="dxa" w:w="71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Required content</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Identity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feature_name, feature_version, owner, lifecycle/deprecation state</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Definition</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plain-language meaning, exact formula/model, expected direction and applicable exercises</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Inputs</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required modalities/fields, source versions, time window and preprocessing</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Output</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type, units, scale/range, aggregation level and missing-value semantics</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Quality</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coverage/confidence metric, eligibility threshold and known failure modes</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Validation</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golden tests, reference data, statistical distribution and domain review</w:t>
            </w:r>
          </w:p>
        </w:tc>
      </w:tr>
      <w:tr>
        <w:trPr>
          <w:cantSplit/>
        </w:trPr>
        <w:tc>
          <w:tcPr>
            <w:tcW w:type="dxa" w:w="22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Lineage</w:t>
            </w:r>
          </w:p>
        </w:tc>
        <w:tc>
          <w:tcPr>
            <w:tcW w:type="dxa" w:w="71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code/model/configuration version, created time and upstream asset/feature references</w:t>
            </w:r>
          </w:p>
        </w:tc>
      </w:tr>
    </w:tbl>
    <w:p>
      <w:pPr>
        <w:spacing w:after="40"/>
      </w:pPr>
    </w:p>
    <w:p>
      <w:pPr>
        <w:pStyle w:val="Heading1"/>
        <w:keepNext/>
        <w:pageBreakBefore w:val="0"/>
      </w:pPr>
      <w:r>
        <w:t>Appendix B - Glossary</w:t>
      </w:r>
    </w:p>
    <w:tbl>
      <w:tblPr>
        <w:tblW w:type="dxa" w:w="9360"/>
        <w:jc w:val="left"/>
        <w:tblLayout w:type="fixed"/>
        <w:tblLook w:firstColumn="1" w:firstRow="1" w:lastColumn="0" w:lastRow="0" w:noHBand="0" w:noVBand="1" w:val="04A0"/>
        <w:tblInd w:w="120" w:type="dxa"/>
        <w:tblBorders>
          <w:top w:val="single" w:sz="5" w:space="0" w:color="C8D0D9"/>
          <w:left w:val="single" w:sz="5" w:space="0" w:color="C8D0D9"/>
          <w:bottom w:val="single" w:sz="5" w:space="0" w:color="C8D0D9"/>
          <w:right w:val="single" w:sz="5" w:space="0" w:color="C8D0D9"/>
          <w:insideH w:val="single" w:sz="5" w:space="0" w:color="C8D0D9"/>
          <w:insideV w:val="single" w:sz="5" w:space="0" w:color="C8D0D9"/>
        </w:tblBorders>
      </w:tblPr>
      <w:tblGrid>
        <w:gridCol w:w="2400"/>
        <w:gridCol w:w="6960"/>
      </w:tblGrid>
      <w:tr>
        <w:trPr>
          <w:tblHeader w:val="true"/>
          <w:cantSplit/>
        </w:trPr>
        <w:tc>
          <w:tcPr>
            <w:tcW w:type="dxa" w:w="240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Term</w:t>
            </w:r>
          </w:p>
        </w:tc>
        <w:tc>
          <w:tcPr>
            <w:tcW w:type="dxa" w:w="6960"/>
            <w:shd w:fill="F2F4F7"/>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Definition</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Canonical timeline</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One flight-relative time axis to which every source observation and evidence interval is mapped.</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Exercise definition</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Versioned catalog entry describing a drill/maneuver, expected execution and assessment rubric.</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Exercise occurrence</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specific execution of an exercise within a sortie, with start/end, source and confidence.</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Modality</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source family such as simulator telemetry, video, audio, human assessment or physiology.</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Proposed timeline</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source adapter's auditable estimate of how its timestamps map to canonical flight time.</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Readiness assessment</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The evolving set of exercise grades, profile dimensions and course-completion probability; not a single opaque score.</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Abstention</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deliberate no-score/insufficient-data output when coverage, confidence or eligibility is inadequate.</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Grouped validation</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Validation that keeps all records from the same trainee in only one of train/validation/test for a split.</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Calibration</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Agreement between predicted probabilities and observed outcome rates.</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Lineage</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The chain from report and prediction back to model, features, code, session and source assets.</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Demo silo</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self-contained single-modality vertical slice that accepts its own input and produces reviewable output without another modality, source synchronization or fusion.</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Hesitation event</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timestamped observable speech pattern such as a filled/silent pause, false start, repetition, restart, self-correction or delayed response; not a psychological or aptitude conclusion by itself.</w:t>
            </w:r>
          </w:p>
        </w:tc>
      </w:tr>
      <w:tr>
        <w:trPr>
          <w:cantSplit/>
        </w:trPr>
        <w:tc>
          <w:tcPr>
            <w:tcW w:type="dxa" w:w="2400"/>
            <w:shd w:fill="F4F6F9"/>
            <w:tcMar>
              <w:top w:w="80" w:type="dxa"/>
              <w:start w:w="120" w:type="dxa"/>
              <w:bottom w:w="80" w:type="dxa"/>
              <w:end w:w="120" w:type="dxa"/>
            </w:tcMar>
            <w:vAlign w:val="center"/>
          </w:tcPr>
          <w:p>
            <w:pPr>
              <w:spacing w:before="0" w:after="40" w:line="252" w:lineRule="auto"/>
            </w:pPr>
            <w:r>
              <w:rPr>
                <w:rFonts w:ascii="Calibri" w:hAnsi="Calibri" w:eastAsia="Calibri"/>
                <w:b/>
                <w:color w:val="0B2545"/>
                <w:sz w:val="17"/>
              </w:rPr>
              <w:t>Camera-derived telemetry</w:t>
            </w:r>
          </w:p>
        </w:tc>
        <w:tc>
          <w:tcPr>
            <w:tcW w:type="dxa" w:w="6960"/>
            <w:tcMar>
              <w:top w:w="80" w:type="dxa"/>
              <w:start w:w="120" w:type="dxa"/>
              <w:bottom w:w="80" w:type="dxa"/>
              <w:end w:w="120" w:type="dxa"/>
            </w:tcMar>
            <w:vAlign w:val="center"/>
          </w:tcPr>
          <w:p>
            <w:pPr>
              <w:spacing w:before="0" w:after="40" w:line="252" w:lineRule="auto"/>
            </w:pPr>
            <w:r>
              <w:rPr>
                <w:rFonts w:ascii="Calibri" w:hAnsi="Calibri" w:eastAsia="Calibri"/>
                <w:b w:val="0"/>
                <w:color w:val="0B2545"/>
                <w:sz w:val="17"/>
              </w:rPr>
              <w:t>A flight parameter reconstructed from cockpit/instrument video through OCR or computer vision, with explicit confidence, coverage and validation against an authoritative source.</w:t>
            </w:r>
          </w:p>
        </w:tc>
      </w:tr>
    </w:tbl>
    <w:p>
      <w:pPr>
        <w:spacing w:after="40"/>
      </w:pPr>
    </w:p>
    <w:p>
      <w:pPr>
        <w:pStyle w:val="Heading1"/>
        <w:keepNext/>
        <w:pageBreakBefore w:val="0"/>
      </w:pPr>
      <w:r>
        <w:t>Appendix C - Source basis</w:t>
      </w:r>
    </w:p>
    <w:p>
      <w:pPr/>
      <w:r>
        <w:rPr>
          <w:rFonts w:ascii="Calibri" w:hAnsi="Calibri" w:eastAsia="Calibri"/>
          <w:i w:val="0"/>
          <w:color w:val="0B2545"/>
          <w:sz w:val="22"/>
        </w:rPr>
        <w:t>This PRD consolidates the March 2026 MLDS project proposal, the flight-school research/project submission dated 27 March 2026, and the product discovery discussions of 23-24 August 2026. The research materials identify the AW119 (Koala) simulator, six-sortie selection process, multimodal telemetry/audio/video opportunity, privacy constraint, target capability families and the need to compare predictions with human evaluators. The 24 August update adds the two independent D0 demonstration silos and records camera-first portable acquisition as backlog rather than a first increment.</w:t>
      </w:r>
      <w:r>
        <w:t xml:space="preserve"> Version 0.3 adds formal review gates for cohort viability, label reliability, release phasing and processing mode, plus the required data-request package.</w:t>
      </w:r>
    </w:p>
    <w:p>
      <w:pPr/>
      <w:r>
        <w:rPr>
          <w:rFonts w:ascii="Calibri" w:hAnsi="Calibri" w:eastAsia="Calibri"/>
          <w:i w:val="0"/>
          <w:color w:val="0B2545"/>
          <w:sz w:val="22"/>
        </w:rPr>
        <w:t>The PRD deliberately excludes personal contact and identification details contained in administrative source forms because they are not product requirements.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
      <w:rPr>
        <w:rFonts w:ascii="Calibri" w:hAnsi="Calibri" w:eastAsia="Calibri"/>
        <w:color w:val="5E6B78"/>
        <w:sz w:val="17"/>
      </w:rPr>
      <w:t>29 AUGUST 2026</w:t>
    </w:r>
    <w:r>
      <w:rPr>
        <w:rFonts w:ascii="Calibri" w:hAnsi="Calibri" w:eastAsia="Calibri"/>
        <w:color w:val="5E6B78"/>
        <w:sz w:val="17"/>
      </w:rPr>
      <w:tab/>
      <w:t xml:space="preserve">PAGE </w:t>
    </w:r>
    <w:r>
      <w:rPr>
        <w:rFonts w:ascii="Calibri" w:hAnsi="Calibri" w:eastAsia="Calibri"/>
        <w:color w:val="5E6B78"/>
        <w:sz w:val="18"/>
      </w:rPr>
      <w:fldChar w:fldCharType="begin"/>
      <w:instrText xml:space="preserve">PAGE</w:instrText>
      <w:fldChar w:fldCharType="separate"/>
      <w:t>1</w:t>
      <w:fldChar w:fldCharType="end"/>
    </w:r>
    <w:r>
      <w:rPr>
        <w:rFonts w:ascii="Calibri" w:hAnsi="Calibri" w:eastAsia="Calibri"/>
        <w:color w:val="5E6B78"/>
        <w:sz w:val="17"/>
      </w:rPr>
      <w:t xml:space="preserve"> OF </w:t>
    </w:r>
    <w:r>
      <w:rPr>
        <w:rFonts w:ascii="Calibri" w:hAnsi="Calibri" w:eastAsia="Calibri"/>
        <w:color w:val="5E6B78"/>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eastAsia="Calibri"/>
        <w:b/>
        <w:color w:val="5E6B78"/>
        <w:sz w:val="17"/>
      </w:rPr>
      <w:t>PILOT PREDICTION SYSTEM | PRD v0.3</w:t>
    </w:r>
    <w:r>
      <w:rPr>
        <w:rFonts w:ascii="Calibri" w:hAnsi="Calibri" w:eastAsia="Calibri"/>
        <w:b/>
        <w:color w:val="5E6B78"/>
        <w:sz w:val="17"/>
      </w:rPr>
      <w:tab/>
      <w:t>INTERNAL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i/>
      <w:color w:val="5E6B7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Prediction System - Product Requirements Document</dc:title>
  <dc:subject>Version 0.3 - review gates and data request package</dc:subject>
  <dc:creator>Product Team</dc:creator>
  <cp:keywords>pilot prediction, flight academy, simulator, multimodal, machine learning, PRD</cp:keywords>
  <dc:description>Updated 29 August 2026 from consolidated PRD review clarifications.</dc:description>
  <cp:lastModifiedBy>Product Team</cp:lastModifiedBy>
  <cp:revision>2</cp:revision>
  <dcterms:created xsi:type="dcterms:W3CDTF">2013-12-23T23:15:00Z</dcterms:created>
  <dcterms:modified xsi:type="dcterms:W3CDTF">2026-08-23T21:49:10Z</dcterms:modified>
  <cp:category/>
</cp:coreProperties>
</file>