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Dr. Andrew Hokhold Inc. v. Wells (c.o.b. Spall Machine &amp; Welding), [2005] B.C.J. No. 255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1 - 4 and August 27,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 30893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137 A.C.W.S. (3d) 300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B.C.T.C. 194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Dr. Andrew Hokhold Inc., plaintiff, and Nigel Patrick Wells and Roberta Denise Wells carrying on business under the firm name and style of Spall Machine &amp; Welding and the said Nigel Patrick Wells and Roberta Denise Wells,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Commercial law — Sale of goods — Fitness and quality — Sale of goods legislation — Warranties — Contracts — Formation — Express terms — Specifications — Breach of contract — Fundamental breach — Remedies — Damages — Repudiation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by Andrew Hokhold Inc. against Wells. Hokhold was an inventor who required specific machinery, including a burning table. Wells told Hokhold that he could build such a table. Wells specialized in welding and fabricating but had not previously built such a machine. Wells and Hokhold inspected several commercial machines and settled on a particular design. Wells and Hokhold agreed to a price and subsequently, to a delivery date. Wells subsequently informed Hokhold that he was unable to meet the delivery deadline. Hokhold extended the deadline by three months. Hokhold attended at Wells's shop to inspect the table. He noticed that the table had defects, which Wells promised to correct. Hokhold noticed that Wells had not finished the design before starting to build the table. Wells and Hokhold entered into an agreement directing Wells to finish the design before continuing to build the table. Hokhold extended the delivery date twice more. Wells informed Hokhold that he was unable to deliver the table on the ultimate date but Hokhold advised Wells that he would not accept the table if it was delivered later. Wells delivered the table but the key features of the table did not function. Hokhold refused to accept the table. Wells counter claimed for costs that went above the price of the contract, arguing that the contract was not a fixed price contract.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Evidence indicated that the contract between Hokhold and Wells was a fixed price contract. Hokhold paid Wells for a machine that never worked. Evidence from both parties indicated that the table has substantial flaws. Wells knew the purpose for which Hokhold needed the machine and he knew that Hokhold was relying on Wells' skill and judgment. Wells held himself out to Hokhold as being capable of building the machine. Hokhold was entitled to reject the table and Wells was liable for damages. Wells was negligent in building the table. Wells should have completed the design before commencing the building. Wells did not appreciate the importance of the flaws in his construction. Wells did not exhibit the degree of care, skill and knowledge as would be expected from someone in the position of building a burning table. Hokhold was entitled to a refund of the purchase price.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Sale of Goods Act, </w:t>
      </w:r>
      <w:hyperlink r:id="rId11" w:history="1">
        <w:r>
          <w:rPr>
            <w:rFonts w:ascii="arial" w:eastAsia="arial" w:hAnsi="arial" w:cs="arial"/>
            <w:i/>
            <w:color w:val="0077CC"/>
            <w:sz w:val="20"/>
            <w:u w:val="single"/>
            <w:shd w:val="clear" w:color="auto" w:fill="FFFFFF"/>
            <w:lang w:val="en-US" w:eastAsia="en-US" w:bidi="ar-SA"/>
          </w:rPr>
          <w:t>R.S.B.C. 1996, c. 410, ss. 8</w:t>
        </w:r>
      </w:hyperlink>
      <w:r>
        <w:rPr>
          <w:rFonts w:ascii="arial" w:eastAsia="arial" w:hAnsi="arial" w:cs="arial"/>
          <w:color w:val="000000"/>
          <w:sz w:val="20"/>
          <w:lang w:val="en-US" w:eastAsia="en-US" w:bidi="ar-SA"/>
        </w:rPr>
        <w:t>, 17, 18, 18(a), 18(b), 38(1), 39, 40.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Michael Yawney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Dennis Zachernuk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BENNETT J."/>
            <w:bookmarkEnd w:id="6"/>
            <w:r>
              <w:rPr>
                <w:rFonts w:ascii="arial" w:eastAsia="arial" w:hAnsi="arial" w:cs="arial"/>
                <w:b/>
                <w:color w:val="000000"/>
                <w:sz w:val="30"/>
                <w:lang w:val="en-US" w:eastAsia="en-US" w:bidi="ar-SA"/>
              </w:rPr>
              <w:t>BENNETT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litigation is about a plasma burning table. Dr. Hokhold claims that he contracted through his company, the plaintiff Dr. Andrew Hokhold Inc., with the defendants, Mr. and Mrs. Wells and Spall Machine and Welding, to build such a table. Spall Machine and Welding is a proprietorship operated by Mr. and Mrs. Wells. The table was built and has never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was not a great deal of difference between the litigants with respect to how things unfolded in this case. I set out my findings of facts below and address the main areas of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Dr. Hokhold is a dentist and an inventor. He met the defendant, Nigel Wells, in 1998 or 1999 when Mr. Wells did some work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Hokhold told Mr. Wells that he was interested in buying a burning table. A burning table, in brief, is a machine that permits fine and accurate cutting of metal. Dr. Hokhold was interested in acquiring such a machine in order to develop his inventions.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Wells also was interested in obtaining a burning table. After two years of university, studying math and physics, Mr. Wells eventually went into the welding and fabricating trades. He fabricates large projects and machinery. He wanted a burning table as it would increase his production in his welding and fabrication shop significantly and make him more competitive.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Wells believed he could build a burning table and suggested to Dr. Hokhold that he build a table for each of them, with the idea that it would be cheaper for purchasing components. Mr. Wells told Dr. Hokhold that the technology was not that complicated. However, in his evidence, Mr. Wells acknowledged that the technology was complicated.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Hokhold knew nothing about how these instruments operated. Mr. Wells took him to a local company called Rapid Span and showed him how the burning table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two discussed the project further over the next few months. At one point, they contacted a company that sells burning tables, called "ESAB". ESAB flew the two to Edmonton and showed them three different tables. Mr. Wells acknowledged that Dr. Hokhold did not know much about the burning table. He testified that he knew a lot more about the burning table and was along to give Dr. Hokhold advice. They were in Edmonton primarily to fact-find and gather ideas for a table that Mr. Wells could 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they returned from Edmonton, Mr. Wells convinced Dr. Hokhold that he had the skill and expertise to build the burning table. Dr. Hokhold knew that Mr. Wells had not built a burning table before, but was convinced by Mr. Wells that it was within Wells' ability to produce.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Shortly afterwards, the two went to Toronto for a welding Expo. There were a lot of burning tables on display and the two men obtained many good ideas. The also took photos of a number of the tables at the exposition.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Hokhold decided that he wanted to obtain a plasma burning table that could cut very accurately. Mr. Wells and he were most impressed with a machine manufactured by AKS. The quote for an 8 x 12 AKS table was $162,000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They also saw a table that had a wood router attachment. This appealed to Dr. Hokhold. Mr. Wells said it was simple construction and he could build a table with a wood router.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they returned from Toronto, Dr. Hokhold gave Mr. Wells a $30,000 retainer, which would not be cashed until a fixed price was established. There is a dispute regarding whether the agreement was a fixed price contract or a cost-plus contract. I will address this issue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Hokhold told Mr. Wells that he wanted a 3D surface router, high definition plasma 8 x 12 burning table. Mr. Wells set out to obtain estimates of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Wells was well aware of the general purpose for which Dr. Hokhold intended to use the burning table, since he intended to use his for a similar purpose, that is, accurate cutting. Mr. Wells had not built a burning table before, but he had built other machines.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two had a meeting at the end of October at Mr. Wells' house after Mr. Wells obtained prices for parts for the table. Mrs. Wells was also present at the meeting. The evidence of what occurred at this meeting varies. However, for reasons stated below, where the evidence differs, I accept the evidence of Dr. Hokhold regarding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this meeting, the specifications were finalized. Mr. Wells was to build a table of the same style and quality as the AKS machine. It was to be "high definition plasma" table, have an effective cutting surface of 8 x 12, a 3D surface wood router system, an oxyacetalyne fuel but no torching system, a suction table to hold pieces, and a tool rack. Mr. Wells' fee for building the table was $50,000. Mr. Wells based this on 1,000 hours of work at $50 per hour. In his discovery, Mr. Wells said he was reasonably confident of his estimation of the hours. At trial he testified that he had no idea how long it would take him to build the table, and that he determined the $50,000 price as that was what he needed to buy the components to build his burning table. In his discovery evidence, he said 1,000 hours involved two men working steadily for 12 weeks. Mr. Wells had at least one other employee. This time frame is consistent with what Mr. Wells and Dr. Hokhold knew regarding the delivery time for an AKS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estimates for the components were rounded up to build in a buffer for Mr. Wells. For example, the router was estimated to cost $10,000 when the actual price was $5,400.00.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Wells testified that the agreement was cost-plus and he would not have built the machine except on that basis. However, the other evidence belies this assertion. Dr. Hokhold said that the price for the fee and components was a fixed price. Mr. Wells charged PST on the entire bill, which he would not have done if it was cost-plus. Further, Mr. Wells testified that he gave Dr. Hokhold a price to build the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Scrap metal was delivered to Dr. Hokhold, but that was because he could use it for his work, not because he had paid for it. Mr. Wells had given Dr. Hokhold scrap metal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Hokhold said that Mr. Wells was concerned about cost overruns based on a fluctuating U.S. dollar that he could not predict. Dr. Hokhold said he was prepared to revisit cost overruns as a result of those fluctuations at the end of the project. This does mean the contract was "cost-plus". I find that the intention of the parties at the time was to enter into a fixed-price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Mrs. Wells was present when the invoice was prepared. Her memory was poor and her evidence was inconsistent and unreliable. For example, she repeatedly said she "knew" that Dr. Hokhold needed his invoice right away. When questioned how she knew this, she offered several different explanations, such as she overheard it from Dr. Hokhold or from someone else. She had no idea where this information came from. I do not rely on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An invoice was prepared by Mr. Wells and provided to Dr. Hokhold at this meeting. The components were estimated at $126,800, Mr. Wells' fee of $50,000, plus PST and GST on the total for a sum of $201,552.00.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Hokhold provided a series of post-dated cheques for this amount, with the entire amount paid by January 31,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next area of dispute is whether there was a delivery date agreed to at this time. Mr. Wells testified that there was no delivery date, while Dr. Hokhold said that Mr. Wells said he would have the table finished by January 31, 2001. There is no delivery date on the invoice.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accept that there was discussion about delivering the table by January 31, 2001. This is consistent with the 12 week estimate noted above and coincides with the final payment. In early December, Dr. Hokhold went to look at the design and Mr. Wells said he could not meet a January 31, 2001 delivery date. Dr. Hokhold said that a delivery date of April 30, 2001 was acceptable because he did not actually need the table until May, given the stage of his project. I find that an agreement was made, at this time, to have the table delivered at the end of April,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Wells acknowledged that Dr. Hokhold relied on him to do the drawings and construct the table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Dr. Hokhold looked at the machine in December or January, he noticed the flatbar was bent. Mr. Wells said that would be repaired during the milling process and Dr. Hokhold accepted that explanation. Mr. Wells acknowledged that the bent flatbar became a problem because he did not take into account that the bolts underneath would touch the flatbar.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March 11, 2001, Mr. Wells called Dr. Hokhold and told him that there was a problem with the "end trucks". Dr. Hokhold viewed the machine on March 13, 2001. The end-trucks had been built four inches too high, and Dr. Hokhold realized that Mr. Wells was building the machine without having completed the design. Mr. Wells said he could fix the end-trucks, but he would not be able to meet the April 30, 2001 delivery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Wells agreed that he had made a mistake by starting to build before he completed the design. However, he tried to lay the fault at the feet of Dr. Hokhold for pressuring him to get the work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Hokhold was very upset about this turn of events. He realized he had made a mistake to allow Mr. Wells to build a machine that is supposed to cut accurately within a few thousands of an inch.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Hokhold prepared an agreement, which was signed by both parties on March 16, 2001. The agreement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is to clarify the following points with regards to fabrication and delivery of a burning table (hereinafter "Table");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design of the "Table", as per invoice, be completed in full, prior to any further fabrication of the "Table", that the design of the "Table" be the responsibility of Mr. Wells, and that the design will be done in conjunction with Dr. Andrew N. Hokhold Inc. to an acceptable standard,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"Table" function at a level of accuracy which is acceptable for a table of such design and size,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Wells provide assistance and support after installation to run, operate, and service the "Table",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methods of construction and materials be discussed and agreed to between both Parties,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both Parties agree to cooperate to develop the best possible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some point in May, Mr. Wells called Dr. Hokhold to look at the design and Dr. Hokhold realized that it would not work the way Mr. Wells had designed it. Mr. Wells had only designed two projections, when the design required three projections to ensure that there would be no collisions. Mr. Wells agreed and did a third projection. This took another three weeks to complete. Once the design was complete in June, Mr. Wells told Dr. Hokhold that he could not meet a mid-summer delivery date. Dr. Hokhold told Mr. Wells that he would not accept delivery after October 31, 2001. All of his work on his project had been put on hold waiting for the burning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table operates on software, and apparently the wrong software arrived. Mr. Wells said that the company sent him the wrong software. Mr. Wells did not have a functioning wood router, so Dr. Hokhold ordered and paid for a router and accessories, even though it was quoted as part of the original contract. Dr. Hokhold also claims for the cost of the router.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Hokhold called Mr. Wells to ensure that Mr. Wells had what was necessary for delivery such as a crane rental and electrical hook-ups. Mr. Wells told him that he would not make the October 31, 2001 delivery date and Dr. Hokhold told him "no ifs, ands or buts".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Wells could not get the table "fired up" in his shop. He was aware vibration could be a problem, but did not adjust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Wells acknowledged that one factor in the delay was that he was busy and did not take time away from other projects to finish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Wells delivered the machine on October 30, 2001 which is evidence of an agreement to the delivery date. The machine had not been CSA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When the machine arrived on October 30, 2001, it would not fit through the door and a crowbar was needed to wedge it through. Mr. Wells came back the next day and told Dr. Hokhold that the machine had to be balanced. Mr. Wells came to the shop a number of times to work on the table. There were problems, including the plasma cutter not working, and the gantry was not moving properly. At one point, Mr. Wells said that the machine was a prototype and Dr. Hokhold could not expect it to be perfect. Dr. Hokhold said he did not pay for a prototype, he paid for an accurate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December 5, 2001, Mr. Wells said that the machine was ready to cut. Everyone gathered around. The torch, which is a $50,000 component, came down and there was an exploding sound. It touched the metal (which it is not supposed to do), as the collision sensor, which is supposed to automatically stop the torch to prevent the torch from being damaged, did not work. Mr. Wells hit an emergency button to stop the machine and used the computer to stop the torch. The gantry was also moving in the wrong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his discovery, Mr. Wells acknowledged that on October 31, 2001, the acetylene torch assembly, the pole crane, the suction table and the manufacture of the attachments for the wood router were not complete. There was also no software to run the wood router.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Hokhold said that Mr. Wells looked shocked and disappointed at what happened. He took Mr. Wells into the lunch room and asked him three times when was the table going to be finished, and finally Mr. Wells replied, "I have no idea". Mr. Wells agreed that he said this to Dr. Hokhold.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Hokhold told him he wanted his money back and Mr. Wells said he did not have the money. Mr. Wells said he should never have taken on the job. Mr. Wells gathered his tools and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Letters were exchanged wherein Dr. Hokhold rejected the table and suggested that Mr. Wells take the table and sell the parts, and refund Dr. Hokhold.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Wells responded by letter on his company letterhead, on December 20, 2001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Andrew Hockhold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a contract where you have paid me money to purchase parts for and a fee to construct a multi-purpose machine. This machine has been conceived, designed and constructed to your specification.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unilaterally terminated this contract and therefore I will keep all the money for the parts and my fee.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however still willing to finish this project and have every confidence that it can be completed successfully.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await your reply.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Nigel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a result of receiving this letter, Dr. Hokhold commenced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Further, Mr. Wells testified that he is out of pocket $11,000 above what he was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his discovery, Mr. Wells agreed with the contents of paragraphs 3, 4 and 9 of the amended statement of claim as set out below:</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verbal agreement, partly evidenced in writing dated October 30, 2000, the Defendants agreed to fabricate and supply to the Plaintiff a plasma burning table (hereinafter "the Table") of a design and level of quality equal to a commercially produced burning table manufactured by a company named AKS Cutting Systems Inc.</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Table was to also have wood routering capability.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Table suffers from several serious deficiencies, full particulars of which will be provided to the Defendants' prior to trial, but which include the following: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CSA approved;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does not have wood routering capability;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metal cutting torch does not work;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computerized co-ordination of movement of the cutting torch does not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Plaintiff's Expert - Sandy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expert report of Mr. Sandy Lane was admitted into evidence, as were the qualifications of Mr. Lane. Mr. Lane also attended trial for cross-examination by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cross-examination, Mr. Lane agreed that parts of the machine could be repaired. However, it was clear from his report and evidence that he saw serious design flaws and manufacturing defects with how the defendants constructed the machine. He said that it was very unusual for a manufacturer to deliver a machine in the state this machine was delivered. The usual practice, based on his experience, was that the machine is tested and components installed before it is delivered to the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Lane, in his summary, identified the following flaws: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As delivered on October 30, 2001, the Plasma burning/router table does not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largest shortcoming of the Plasma burning/router table is the complete lack of routing functionality. The major mechanical components required to enable this functionality (spindle bracket, tool changer assembly, dust collection system, vacuum table assembly) simply do not exist. In addition, the Plasma burning/router table lacks both the critical software to control the routing features (spindle speed, tool change sequence) and the software used to create 3D routing programs.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Plasma burning/router table is also incapable of functioning as a Plasma cutter. Besides suffering from a faulty torch-height sensor, the Plasma burning/router table lacks a system to provide the continuous precise torch height control needed to accurately control the plasma cutting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shortcomings affecting the functionality include non-functional emergency stop switches, a poorly configured controller, and the lack of an oxy-fuel torch bracket.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Plasma burning/router table does not function in any of the capacities expected by the Plaintiff: not as a CNC router table, not as a plasma cutter, and not as a oxy-fuel torch.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Several aspects of the Plasma burning/router table do not conform to good design and manufacturing practices.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most serious deviation is the lack of PLC control in areas of critical functionality. Instead, the Defendants have chosen to place control over critical systems (such as torch height piercing and axis synchronization) inside of each part program. Given this, it would be relatively easy for the end-user to accidentally cause the Plasma burning/router table to function or mal-function in a way it was never intended.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deviations include inadequate electrical isolation between the various electrical systems, inconvenient operator controls and a axis drive systems which will be subject to premature wear due to sub-optimal orientation of the rack and 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the choice to build the gantry from a material with a different coefficient of thermal expansion (aluminium) that the table bed (steel) will cause the overall accuracy of the Plasma burning/router table to be more sensitive to temperature changes.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There are design and manufacturing defects.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chose to avoid using useful features of the controller like GANTRY mode, and the built-in soft PLC. In my opinion, this is a significant over-site on the part of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given the quantity and quality of design documentation available, it is my opinion that the project suffered from inadequate planning and a lack of an overall system design. In short, the Plasma burning/router table appears to be designed "as-built".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two manufacturing shortcomings were noted in the implementation of the gantry drive system. In the first case, the pinion on one gantry-drive servomotor was so badly mounted that the spring pin securing it to the shaft was gouging the rack as it passed. This type of problem can be avoided by ensuring the components are assembled according to a detailed assembly drawing of the sub-system.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second case, the servomotors on each gantry are mounted flush to a surface that has not been machined flat. In my opinion, this is an oversight on the part of the designer.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cross-examination of Mr. Lane appeared to be focused on whether the machine could be fixed or not, and how simple that would be. When Mr. Lane was asked how much time and cost there would be to make the machine work, he said it was difficult for him to say. Most of the opinions expressed by Mr. Lane in his report as to the design and manufacture of the machine were not seriously challenged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the Defendants' Expert - Barry Blackburn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Blackburn's report was tendered into evidence, with some limitations placed on it and portions of the text struck out. Mr. Blackburn's report notes design errors and problems that affected whether the table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Blackburn also confirmed some of the evidence of the plaintiff's expert and made it very clear that CSA approval was a requirement of any manufacturer because the machine was simply not useable for any purpose without that approval. His evidence was that a person could not legally connect the machine to a power system without that CSA approval and also indicated that there were insurance implications if the machine was not CSA approved. Mr. Blackburn also gave evidence in his direct examination that in his opinion the machine manufactured by Mr. Wells would have failed a CSA approval special inspection, confirming that the machine was not delivered useable in any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cross-examination Mr. Blackburn confirmed that he had no previous experience with a multi-purpose machine of this type and that he could not, in his words, "absolutely" confirm that it would ever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Blackburn's report does provide an estimate as to the amount of time (in "man hours") it would take to get the machine to the point of "being able to operate properly" without specifying what that is or providing any specific cost estimate. Mr. Blackburn testified that a few "specialized individuals" were necessary to complete the table, as well as the original builder, Mr.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Blackburn's summary and opinion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cutting table as built for Dr. Hokhold in my opinion is of a good practical design except as I have previously mentioned. The physical design is of the same quality as that of many commercial cutting machine manufacturers. This machine was never fully finished or adjusted and therefore certain features can not be adequately evaluated. I have many years of technical and practical experience and have tried to evaluate this machine as to whether it could be made to function realistically. It is my opinion that the following changes would have to be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 Modification of the motor/gearbox assemblies to allow for a more standard floating type drive which would minimize backlash and allow for dirt buildup between the pinions and gear rack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 Reworking of the wiring to allow for standard dual drive control of the X and U axes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 Bringing the wiring up to CSA standards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 finish the design of the automated torch height control or purchase a commercial unit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 finish installation of the router head to the Z axis and install a variable speed drive control and other associated wiring (if the original concept was for multi speed)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6 - install proper grounding and ground rods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 check operation of table zone controls under software or modify to a stand alone system which is more common in industry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estimation it would take approximately 80 to 120 man hours to finish off the machine and get it to a point of being able to operate properly. This would require the skills of a few specialized individuals as well as the original builder. This table design is very unique as I have never seen anyone build a gantry type plasma table with contour wood routing capabilities and I do not know of any machine commercially available that can be purchased that meets these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an enforceable contract between the parties?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 contract?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are the damages?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owe a duty of care to the plaintiff regarding the design and construction of the plasma burning table?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duty of care existed, did the defendants breach that duty of care?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are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has filed a counterclaim for $13,168.00.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 submits that there was a breach of the implied conditions of the Sale of Goods Act,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(the "Act"). Further, the plaintiff submits that the defendant fundamentally breached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 also pleads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manufacturing. The plaintiff makes no claim for loss of use or loss of profits. He seeks primarily to rescind the contract, return the table and be refunded his money, with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defendant says that there was not an enforceable contract, as there was no set delivery date, relying on the reasoning in Anchorage Management Services Ltd. v. 465404 B.C. Inc., </w:t>
      </w:r>
      <w:hyperlink r:id="rId12" w:history="1">
        <w:r>
          <w:rPr>
            <w:rFonts w:ascii="arial" w:eastAsia="arial" w:hAnsi="arial" w:cs="arial"/>
            <w:i/>
            <w:color w:val="0077CC"/>
            <w:sz w:val="20"/>
            <w:u w:val="single"/>
            <w:shd w:val="clear" w:color="auto" w:fill="FFFFFF"/>
            <w:lang w:val="en-US" w:eastAsia="en-US" w:bidi="ar-SA"/>
          </w:rPr>
          <w:t>[1999] B.C.J. No. 2976</w:t>
        </w:r>
      </w:hyperlink>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1999 BCCA 771</w:t>
        </w:r>
      </w:hyperlink>
      <w:r>
        <w:rPr>
          <w:rFonts w:ascii="arial" w:eastAsia="arial" w:hAnsi="arial" w:cs="arial"/>
          <w:color w:val="000000"/>
          <w:sz w:val="20"/>
          <w:lang w:val="en-US" w:eastAsia="en-US" w:bidi="ar-SA"/>
        </w:rPr>
        <w:t>, and other cases. The defendant also submits that the workmanship is satisfactory. Further, says the defendant, if there was an agreement, all the terms were not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Further, if there was a contract, the defendant did not know the use to be made of the table because the plaintiff was secretive about his inventions.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 also claims that the table can be brought to an operating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 submits that because the contract was cost-plus, his counterclaim should be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evidence of both parties establishes an agreement by Mr. Wells to build a plasma burning table with a wood router of a design and level of quality equal to a commercially produced burning table manufactured by AKS Cutting Systems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have already found that this was a fixed price contract. The delivery date was ultimately agreed to be October 31, 2001 as Mr. Wells was unable to comply with the earlier delivery dates. In any event, Mr. Wells was to deliver the table, under law, within a reasonable time. Mr. Wells acknowledged that much of the delay lay at his feet as he did not give this project priority. Dr. Hokhold was entitled to insist on the October 31, 2001 delivery date. The delivery date was a year from the date the contract was formed; the expectation that it would be delivered within a year was well within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After delivery, Mr. Wells was unable to get the machine to operate. Mr. Wells, contrary to his statement of defence, is not willing to do any more work on the table. In any event, the plaintiff does not want Mr. Wells to work on the table as he has lost faith in his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Sale of Goods Act provisions which apply are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Contract of sale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Subject to this or any other Act, a contract of sale may be made in writing, either with or without seal, or by word of mouth, or partly in writing and partly by word of mouth, or may be implied from the conduct of the parties.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affects the law relating to corporations.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Sale by description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17(1) In a contract for the sale or lease of goods by description, there is an implied condition that the goods must correspond with the description.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sale or lease is by sample, as well as by description, it is not sufficient that the bulk of the goods correspond with the sample if the goods do not also correspond with the description.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Implied conditions as to quality or fitness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Subject to this and any other Act, there is no implied warranty or condition as to the quality or fitness for any particular purpose of goods supplied under a contract of sale or lease, except as follows: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buyer or lessee, expressly or by implication, makes known to the seller or lessor the particular purpose for which the goods are required, so as to show that the buyer or lessee relies on the seller's or lessor's skill or judgment, and the goods are of a description that it is in the course of the seller's or lessor's business to supply, whether the seller or lessor is the manufacturer or not, there is an implied condition that the goods are reasonably fit for that purpose; except that in the case of a contract for the sale or lease of a specified article under its patent or other trade name, there is no implied condition as to its fitness for any particular purpose;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goods are bought by description from a seller or lessor who deals in goods of that description, whether the seller or lessor is the manufacturer or not, there is an implied condition that the goods are of merchantable quality; but if the buyer or lessee has examined the goods there is no implied condition as regards defects that the examination ought to have revealed;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implied condition that the goods will be durable for a reasonable period of time having regard to the use to which they would normally be put and to all the surrounding circumstances of the sale or lease;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implied warranty or condition as to quality or fitness for a particular purpose may be annexed by the usage of trade;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express warranty or condition does not negative a warranty or condition implied by this Act unless inconsistent with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Buyer's right of examining goods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38(1) If goods are delivered to the buyer that the buyer has not previously examined, the buyer is not deemed to have accepted them unless and until the buyer has had a reasonable opportunity of examining them for the purpose of ascertaining whether they are in conformity with the contract.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otherwise agreed, when the seller tenders delivery of goods to the buyer, the seller is bound, on request, to afford the buyer a reasonable opportunity of examining the goods for the purpose of ascertaining whether they are in conformity with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Buyer not bound to return rejected goods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Unless otherwise agreed, if goods are delivered to the buyer and the buyer refuses to accept them, having the right so to do, the buyer is not bound to return them to the seller, but it is sufficient if the buyer intimates to the seller that the buyer refuses to accept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plaintiff has argued both rescission and accepted repudiation. It is apparent from the case law that these terms are often confused. In Guarantee Co. of North America v. Gordon Capital Corp., </w:t>
      </w:r>
      <w:hyperlink r:id="rId13" w:history="1">
        <w:r>
          <w:rPr>
            <w:rFonts w:ascii="arial" w:eastAsia="arial" w:hAnsi="arial" w:cs="arial"/>
            <w:i/>
            <w:color w:val="0077CC"/>
            <w:sz w:val="20"/>
            <w:u w:val="single"/>
            <w:shd w:val="clear" w:color="auto" w:fill="FFFFFF"/>
            <w:lang w:val="en-US" w:eastAsia="en-US" w:bidi="ar-SA"/>
          </w:rPr>
          <w:t>[1999] 3 S.C.R. 423</w:t>
        </w:r>
      </w:hyperlink>
      <w:r>
        <w:rPr>
          <w:rFonts w:ascii="arial" w:eastAsia="arial" w:hAnsi="arial" w:cs="arial"/>
          <w:color w:val="000000"/>
          <w:sz w:val="20"/>
          <w:lang w:val="en-US" w:eastAsia="en-US" w:bidi="ar-SA"/>
        </w:rPr>
        <w:t>, the court said at paras. 39-41: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fundamental confusion seems to exist over the meaning of the terms "rescission" and "repudiation". This confusion is not a new one, as it has plagued common law jurisdictions for years. Rescission is a remedy available to the representee, inter alia, when the other party has made a false or misleading representation. A useful definition of rescission comes from Lord Atkinson in Abram Steamship Co. v. Westville Shipping Co., [1923] A.C. 773 (H.L.), at p. 781: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one party to a contract expresses by word or act in an unequivocal manner that by reason of fraud or essential error of a material kind inducing him to enter into the contract he has resolved to rescind it, and refuses to be bound by it, the expression of his election, if justified by the facts, terminates the contract, puts the parties in status quo ante and restores things, as between them, to the position in which they stood before the contract was entered into.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 similarly G.H.L. Fridman, The Law of Contract in Canada (3rd ed. 1994), at p. 807.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Repudiation, by contrast, occurs "by words or conduct evincing an intention not to be bound by the contract. It was held by the Privy Council in Clausen v. Canada Timber &amp; Lands, Ltd. [</w:t>
      </w:r>
      <w:hyperlink r:id="rId14" w:history="1">
        <w:r>
          <w:rPr>
            <w:rFonts w:ascii="arial" w:eastAsia="arial" w:hAnsi="arial" w:cs="arial"/>
            <w:i/>
            <w:color w:val="0077CC"/>
            <w:sz w:val="20"/>
            <w:u w:val="single"/>
            <w:shd w:val="clear" w:color="auto" w:fill="FFFFFF"/>
            <w:lang w:val="en-US" w:eastAsia="en-US" w:bidi="ar-SA"/>
          </w:rPr>
          <w:t>[1923] 4 D.L.R. 751</w:t>
        </w:r>
      </w:hyperlink>
      <w:r>
        <w:rPr>
          <w:rFonts w:ascii="arial" w:eastAsia="arial" w:hAnsi="arial" w:cs="arial"/>
          <w:color w:val="000000"/>
          <w:sz w:val="20"/>
          <w:lang w:val="en-US" w:eastAsia="en-US" w:bidi="ar-SA"/>
        </w:rPr>
        <w:t>], that such an intention may be evinced by a refusal to perform, even though the party refusing mistakenly thinks that he is exercising a contractual right" (S. M. Waddams, The Law of Contracts (4th ed. 1999), at para. 620). Contrary to rescission, which allows the rescinding party to treat the contract as if it were void ab initio, the effect of a repudiation depends on the election made by the non-repudiating party. If that party treats the contract as still being in full force and effect, the contract "remains in being for the future on both sides. Each (party) has a right to sue for damages for past or future breaches" (emphasis in original): Cheshire, Fifoot and Furmston's Law of Contract (12th ed. 1991), by M.P. Furmston, at p. 541. If, however, the non-repudiating party accepts the repudiation, the contract is terminated, and the parties are discharged from future obligations. Rights and obligations that have already matured are not extinguished. Furmston, supra, at pp. 543-44.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 much is relatively clear. Problems have arisen, however, from misuse of the word "rescission" to describe an accepted repudiation. In Keneric Tractor Sales Ltd. v. Langille, </w:t>
      </w:r>
      <w:hyperlink r:id="rId15" w:history="1">
        <w:r>
          <w:rPr>
            <w:rFonts w:ascii="arial" w:eastAsia="arial" w:hAnsi="arial" w:cs="arial"/>
            <w:i/>
            <w:color w:val="0077CC"/>
            <w:sz w:val="20"/>
            <w:u w:val="single"/>
            <w:shd w:val="clear" w:color="auto" w:fill="FFFFFF"/>
            <w:lang w:val="en-US" w:eastAsia="en-US" w:bidi="ar-SA"/>
          </w:rPr>
          <w:t>[1987] 2 S.C.R. 440</w:t>
        </w:r>
      </w:hyperlink>
      <w:r>
        <w:rPr>
          <w:rFonts w:ascii="arial" w:eastAsia="arial" w:hAnsi="arial" w:cs="arial"/>
          <w:color w:val="000000"/>
          <w:sz w:val="20"/>
          <w:lang w:val="en-US" w:eastAsia="en-US" w:bidi="ar-SA"/>
        </w:rPr>
        <w:t>, at p. 455, Wilson J., writing for the Court, addressed the distinction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modern view is that when one party repudiates the contract and the other party accepts the repudiation the contract is at this point terminated or brought to an end. The contract is not, however, rescinded in the true legal sense, i.e., in the sense of being voided ab initio by some vitiating element. The parties are discharged of their prospective obligations under the contract as from the date of termination but the prospective obligations embodied in the contract are relevant to the assessment of damages: see Johnson v. Agnew, [1980] A.C. 367, [1979] 1 All E.R. 883 (H.L.), and Moschi v. Lep Air Services Ltd., [1973] A.C. 331, [1972] 2 All E.R. 393 (H.L.).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similarly Waddams, supra, at para. 629; Furmston, supra, at p. 287, note 12; G.H. Treitel, The Law of Contract (9th ed. 1995), at p. 341; S. Williston, A Treatise on the Law of Contracts (3rd ed. 1970), by W.H.E. Jaeger, vol. 12, para. 1454A, at p. 13; cf. Sail Labrador Ltd. v. Challenge One (The), </w:t>
      </w:r>
      <w:hyperlink r:id="rId16" w:history="1">
        <w:r>
          <w:rPr>
            <w:rFonts w:ascii="arial" w:eastAsia="arial" w:hAnsi="arial" w:cs="arial"/>
            <w:i/>
            <w:color w:val="0077CC"/>
            <w:sz w:val="20"/>
            <w:u w:val="single"/>
            <w:shd w:val="clear" w:color="auto" w:fill="FFFFFF"/>
            <w:lang w:val="en-US" w:eastAsia="en-US" w:bidi="ar-SA"/>
          </w:rPr>
          <w:t>[1999] 1 S.C.R. 265</w:t>
        </w:r>
      </w:hyperlink>
      <w:r>
        <w:rPr>
          <w:rFonts w:ascii="arial" w:eastAsia="arial" w:hAnsi="arial" w:cs="arial"/>
          <w:color w:val="000000"/>
          <w:sz w:val="20"/>
          <w:lang w:val="en-US" w:eastAsia="en-US" w:bidi="ar-SA"/>
        </w:rPr>
        <w:t>, at paras. 31 and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difference between the two are frequently relevant to the damage calculation. Here, the plaintiff seeks nothing other than the return of his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plaintiff also argues that there was a "fundamental breach" of the contract. Again, there has been confusion over the use of this term. In Hunter Engineering Co. v. Syncrude Canada Ltd., </w:t>
      </w:r>
      <w:hyperlink r:id="rId17" w:history="1">
        <w:r>
          <w:rPr>
            <w:rFonts w:ascii="arial" w:eastAsia="arial" w:hAnsi="arial" w:cs="arial"/>
            <w:i/>
            <w:color w:val="0077CC"/>
            <w:sz w:val="20"/>
            <w:u w:val="single"/>
            <w:shd w:val="clear" w:color="auto" w:fill="FFFFFF"/>
            <w:lang w:val="en-US" w:eastAsia="en-US" w:bidi="ar-SA"/>
          </w:rPr>
          <w:t>[1989] 1 S.C.R. 426</w:t>
        </w:r>
      </w:hyperlink>
      <w:r>
        <w:rPr>
          <w:rFonts w:ascii="arial" w:eastAsia="arial" w:hAnsi="arial" w:cs="arial"/>
          <w:color w:val="000000"/>
          <w:sz w:val="20"/>
          <w:lang w:val="en-US" w:eastAsia="en-US" w:bidi="ar-SA"/>
        </w:rPr>
        <w:t xml:space="preserve"> at p. 463,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rejecting the doctrine of fundamental breach and adopting an approach that binds the parties to the bargains they make, subject to unconscionability, I do not wish to be taken as expressing an opinion on the substantial failure of contract performance, sometimes described as fundamental breach, that will relieve a party from future obligations under the contract. The concept of fundamental breach in the context of refusal to enforce exclusion clauses and of substantial failure of performance have often been confused, even though the two are quite distinct. In Suisse Atlantique, [1967] 1 A.C. 361, Lord Wilberforce noted the importance of distinguishing the two uses of the term fundamental breach, at p. 431: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Next for consideration is the argument based on "fundamental breach" or, which is presumably the same thing, a breach going "to the root of the contract." These expressions are used in the cases to denote two quite different things, namely, (i) a performance totally different from that which the contract contemplates, (ii) a breach of contract more serious than one which would entitle the other party merely to damages and which (at least) would entitle him to refuse performance or further performance under the contract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Both of these situations have long been familiar in the English law of contract .... What is certain is that to use the expression without distinguishing to which of these, or to what other, situations it refers is to invite confusion.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difference between these meanings lies in this, that they relate to two separate questions which may arise in relation to any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to be clear that my comments are restricted to the use of fundamental breach in the context of enforcing contractual exclusion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this case, I am dealing with an allegation of substantial failure of contract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most straightforward way to decide this case is pursuant to the statutory requirements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paid the defendants over $200,000 for a machine that has never worked. Both parties' experts have identified substantial flaws in the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Wells knew the purpose for which Dr. Hokhold required the table. He knew that Dr. Hokhold would rely on his skill or judgement to build the table, and Mr. Wells held himself out as a person who could supply the table as part of his welding and fabricating business. Therefore, there is, by statute, an implied condition that the goods are reasonably fit for that purpose; see s. 18(a) of the Act. Further, there is an implied condition that the goods are of merchantable quality; see s. 18(b)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Contrary to the submission of the defendant, the workmanship was not 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do not accept that Dr. Hokhold is obliged to hire others to finish the table, assuming this is even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have concluded that Dr. Hokhold was entitled to reject the plasma table built by Mr. Wells. As a result, Mr. Wells is liable for non-delivery. See Sale of Goods in Canada, 5th ed. - G.H.L. Fridman, (Thomson Canada Ltd. 2004: Toronto) at pp. 338-340. The author says at p. 340: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goods are rightfully rejected, for breach of condition, the seller is liable for non-delivery, as if he had failed to deliver any goods at all. In such an action the buyer may be able to recover for consequential loss. If the buyer has prepaid the purchase price, or any part of it, he may also sue for its recovery on the basis of failure of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Hokhold was entitled to a period of time to inspect the machine pursuant to s. 38(1) of the Act. He has taken no steps to accept the goods as per s. 39 of the Act. He notified the defendant within a reasonable time that he was not accepting the table. The table has been lying dormant in the plaintiff's shop since October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have considered the defendants' arguments, most of which are factually driven, and I see no defence to the main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the only claim is for repayment of the payment price, that is the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With respect to the router purchased by Dr. Hokhold, I cannot see how the defendant is liable for this piece of equipment. Dr. Hokhold bought the router on his own volition. I cannot see any basis for requiring the defendant to pay for the wood router.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There is also ample evidence to find the defendant negligent in building the table. He held himself out to be someone knowledgeable and skilled in the area. He owed a duty to the plaintiff. He acknowledges that he should have completed the design before he commenced building. He did not appreciate the significance of the bent flatbar. He built the end motors too high. The expert reports and the plaintiff and defendant's evidence support a finding that the defendant did not exercise a reasonable amount of care and a reasonable competent degree of skill and knowledge as would be expected of someone in the position of building a burning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However, this case is better dealt with on a contractual basis and I prefer to resolve it on these grounds: See Wharton v. Tom Harris Chevrolet Oldsmobile Cadillac Ltd., </w:t>
      </w:r>
      <w:hyperlink r:id="rId18" w:history="1">
        <w:r>
          <w:rPr>
            <w:rFonts w:ascii="arial" w:eastAsia="arial" w:hAnsi="arial" w:cs="arial"/>
            <w:i/>
            <w:color w:val="0077CC"/>
            <w:sz w:val="20"/>
            <w:u w:val="single"/>
            <w:shd w:val="clear" w:color="auto" w:fill="FFFFFF"/>
            <w:lang w:val="en-US" w:eastAsia="en-US" w:bidi="ar-SA"/>
          </w:rPr>
          <w:t>[2002] B.C.J. No. 233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Given my finding that the contract was a fixed price contract, the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summary:</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an enforceable contract between the parties for the building of a plasma burning table.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breached the contract as the table never operated. The workmanship by the defendant was not satisfactory.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entitled to reject the table, and the defendant is therefore liable for non-delivery of the table.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a refund of the purchase price of $201,552.00.</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not entitled to be refunded for the wood router he purchased as that was not part of the contract.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in the alternative, would be successful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Damages are not assessed under this heading.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counterclaim is dismissed.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pre-judgment interest from December 13, 2001, which is the date Dr. Hokhold rejected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indicated they wish to make further submission on costs. Therefore, I order that the plaintiff will receive its costs on Scale 3, subject to the plaintiff notifying the defendants and the Court if it wishes to make further submission on costs, within 30 days of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 w:history="1">
        <w:r>
          <w:rPr>
            <w:rFonts w:ascii="arial" w:eastAsia="arial" w:hAnsi="arial" w:cs="arial"/>
            <w:b/>
            <w:bCs/>
            <w:i/>
            <w:color w:val="0077CC"/>
            <w:kern w:val="32"/>
            <w:sz w:val="28"/>
            <w:szCs w:val="32"/>
            <w:u w:val="single"/>
            <w:shd w:val="clear" w:color="auto" w:fill="FFFFFF"/>
            <w:lang w:val="en-US" w:eastAsia="en-US" w:bidi="ar-SA"/>
          </w:rPr>
          <w:t>Ewert v. Canada (Attorney General), [2017] B.C.J. No. 330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M.B. Blok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S120095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330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BROUGHT UNDER the Class Proceedings Act, R.S.B.C. 1996, c. 50 Between Jeffrey Ewert, Plaintiff, and The Attorney General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Civil litigation — Civil procedure — Parties — Class or representative actions — Certification — Common interests and issues — Definition of class — Sub-class — Procedure — Application by plaintiff for certification of class action adjourned — Plaintiff was federal inmate who sought damages arising from institution lockdown that he alleged resulted in unlawful searches and deprivations of residual liberty — Prior certification proceeding found criteria were met, but for required amendments for certain claims and common issues — Proposed amendments addressed concerns from prior decision — However, failure to define sub-classes related to different experiences in different units of institution meant certification could not be granted at present.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Ewert, for certification of a class action against the defendant, the Attorney General of Canada. The plaintiff was a federal inmate at Kent Institution who sought damages related to a 12-day lockdown. The lockdown occurred after the Institution received a report that a zip gun had been imported into the inmate population. The lockdown restricted inmate activities and involved searches of inmates and their cells. The plaintiff alleged the lockdown and conduct by correctional staff and emergency response personnel were unlawful. The plaintiff sought damages in tort and pursuant to the Charter. A prior certification hearing determined that the claim disclosed proper causes of action in unlawful imprisonment,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breaches of ss. 7, 8 and 12 of the Charter. Claims for misfeasance in public office and assault required amendment. The class definition was appropriate, but required creation of sub-classes to reflect differing conditions within the Institution's four units. The common issues required amendment and reformulation. The remaining criteria for certification were met. The plaintiff presented proposed amended pleadings and common issues, and sought certification.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Application adjourned.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amendments to the pleadings reflected the prior certification decision's comments and addressed the deficiencies regarding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misfeasance in public office claim with respect to the emergency response personnel. Although the pleadings included a compilation of individual allegations arising from different experiences during the lockdown, the pleadings and common issues supported allegations of a generalized common experience of an unlawful deprivation of residual liberty. Nothing arising from the amendments changed the suitability of the action for certification. However, certification could not be granted until the plaintiff addressed the issue of sub-classes, with related revised common issues.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s. 7, s. 8, 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26" w:history="1">
        <w:r>
          <w:rPr>
            <w:rFonts w:ascii="arial" w:eastAsia="arial" w:hAnsi="arial" w:cs="arial"/>
            <w:i/>
            <w:color w:val="0077CC"/>
            <w:sz w:val="20"/>
            <w:u w:val="single"/>
            <w:shd w:val="clear" w:color="auto" w:fill="FFFFFF"/>
            <w:lang w:val="en-US" w:eastAsia="en-US" w:bidi="ar-SA"/>
          </w:rPr>
          <w:t>R.S.B.C. 1996, c. 50, s. 2</w:t>
        </w:r>
      </w:hyperlink>
      <w:r>
        <w:rPr>
          <w:rFonts w:ascii="arial" w:eastAsia="arial" w:hAnsi="arial" w:cs="arial"/>
          <w:color w:val="000000"/>
          <w:sz w:val="20"/>
          <w:lang w:val="en-US" w:eastAsia="en-US" w:bidi="ar-SA"/>
        </w:rPr>
        <w:t>(1), s. 4, s. 6(2), s. 29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T. Grace, M. Jackson, D. Honeyman, A. Carter,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B. Sokhansanj, F. Paradis.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M.B. BLOK J."/>
            <w:bookmarkEnd w:id="13"/>
            <w:r>
              <w:rPr>
                <w:rFonts w:ascii="arial" w:eastAsia="arial" w:hAnsi="arial" w:cs="arial"/>
                <w:b/>
                <w:color w:val="000000"/>
                <w:sz w:val="30"/>
                <w:lang w:val="en-US" w:eastAsia="en-US" w:bidi="ar-SA"/>
              </w:rPr>
              <w:t>M.B. BLOK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seeks to certify this action as a class proceeding pursuant to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May 31, 2016 I issued reasons for judgment in this matter; those reasons are indexed as </w:t>
      </w:r>
      <w:hyperlink r:id="rId27" w:history="1">
        <w:r>
          <w:rPr>
            <w:rFonts w:ascii="arial" w:eastAsia="arial" w:hAnsi="arial" w:cs="arial"/>
            <w:i/>
            <w:color w:val="0077CC"/>
            <w:sz w:val="20"/>
            <w:u w:val="single"/>
            <w:shd w:val="clear" w:color="auto" w:fill="FFFFFF"/>
            <w:lang w:val="en-US" w:eastAsia="en-US" w:bidi="ar-SA"/>
          </w:rPr>
          <w:t>2016 BCSC 962</w:t>
        </w:r>
      </w:hyperlink>
      <w:r>
        <w:rPr>
          <w:rFonts w:ascii="arial" w:eastAsia="arial" w:hAnsi="arial" w:cs="arial"/>
          <w:color w:val="000000"/>
          <w:sz w:val="20"/>
          <w:lang w:val="en-US" w:eastAsia="en-US" w:bidi="ar-SA"/>
        </w:rPr>
        <w:t xml:space="preserve"> (the "May reasons"). In the May reasons I reviewed the factual background of the case, the plaintiff's claims, the positions of the parties on certification, the nature of the certification process, certain evidentiary issues, and the various certification criteria set out in s. 4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The May reasons addressed those matters in some detail and so I will not repeat them here except to provide brief context. It is, however, important that these current reasons be read in conjunction with the May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May reasons I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[124] Certification has been described by our Court of Appeal as "a fluid, flexible procedural process": </w:t>
      </w:r>
      <w:r>
        <w:rPr>
          <w:rFonts w:ascii="arial" w:eastAsia="arial" w:hAnsi="arial" w:cs="arial"/>
          <w:i/>
          <w:color w:val="000000"/>
          <w:sz w:val="20"/>
          <w:lang w:val="en-US" w:eastAsia="en-US" w:bidi="ar-SA"/>
        </w:rPr>
        <w:t>Halvorson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23. In keeping with that characterization, </w:t>
      </w:r>
      <w:r>
        <w:rPr>
          <w:rFonts w:ascii="arial" w:eastAsia="arial" w:hAnsi="arial" w:cs="arial"/>
          <w:color w:val="000000"/>
          <w:sz w:val="20"/>
          <w:u w:val="single"/>
          <w:lang w:val="en-US" w:eastAsia="en-US" w:bidi="ar-SA"/>
        </w:rPr>
        <w:t>I conclude that the plaintiff, if he chooses, should apply to amend his pleadings and he should reformulate the common issues as he considers appropriate.</w:t>
      </w:r>
      <w:r>
        <w:rPr>
          <w:rFonts w:ascii="arial" w:eastAsia="arial" w:hAnsi="arial" w:cs="arial"/>
          <w:color w:val="000000"/>
          <w:sz w:val="20"/>
          <w:lang w:val="en-US" w:eastAsia="en-US" w:bidi="ar-SA"/>
        </w:rPr>
        <w:t xml:space="preserve"> Counsel should then arrange a hearing before me to address the application and to consider submissions on the reformulated common issues. In both cases I conclude this is best done before any final determination on certification.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now applies to amend both his pleadings and the proposed common issues, and to have this proceeding certified as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May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May reasons I described the background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claim stems from a lockdown that occurred at Kent Institution between January 7, 2010 and January 18, 2010 (the "Lockdown"). The Lockdown resulted in the restriction of inmates' activities and involved searches of inmates and their cells. The plaintiff alleges that the actions of correctional staff, prison administrators and the emergency response and tactical units of the Correctional Service of Canada ("CSC") during the Lockdown exceeded the bounds of their authority and were unlawful.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The plaintiff, on behalf of himself and other then-inmates of the institution, seeks damages in tort for losses incurred by the members of the class during the Lockdown, as well as damages under the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Kent Institution is a maximum security penitentiary located in Agassiz, British Columbia. At the time of the events in question it housed approximately 215 inmates in four units (general population, protective custody, segregation, and alternative housing for lower functioning or vulnerable inmates). The Lockdown came about as a result of an anonymous report to CSC that a "zip gun", or improvised handgun, had been introduced into the confines of the prison. During the Lockdown inmates were confined to their cells and all programs and prison visits were suspended.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Two separate "exceptional" searches were conducted. An "exceptional" search is a frisk search or strip search of inmates performed where the head of the institution is satisfied there is "a clear and substantial danger to human life or safety or to the security of the penitentiary": s. 53 of the </w:t>
      </w:r>
      <w:r>
        <w:rPr>
          <w:rFonts w:ascii="arial" w:eastAsia="arial" w:hAnsi="arial" w:cs="arial"/>
          <w:i/>
          <w:color w:val="000000"/>
          <w:sz w:val="20"/>
          <w:lang w:val="en-US" w:eastAsia="en-US" w:bidi="ar-SA"/>
        </w:rPr>
        <w:t>Corrections and Conditional Release Act</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S.C. 1992, c. 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CCRA</w:t>
      </w:r>
      <w:r>
        <w:rPr>
          <w:rFonts w:ascii="arial" w:eastAsia="arial" w:hAnsi="arial" w:cs="arial"/>
          <w:color w:val="000000"/>
          <w:sz w:val="20"/>
          <w:lang w:val="en-US" w:eastAsia="en-US" w:bidi="ar-SA"/>
        </w:rPr>
        <w:t>]. The searches were carried out by removing inmates from their cells and taking them to a common area, where they were strip-searched.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Members of the regional Emergency Response Team ("ERT"), comprised of both Riot and Tactical Team ("TAC") members, played a central role in the searches, particularly the second search. A first exceptional search was conducted from January 7 to 10, 2010. A second exceptional search was conducted from January 12 to 17, 2010 as a result of information indicating that the first search had been deficient. Although the deployment of ERT/ TAC members was only authorized for certain areas such as entrance areas, the plaintiff alleges that heavily-armed ERT/TAC members were, without authorization, deployed in the living areas and directly involved in the removal of inmates from their cells (a process called "cell extraction"). The plaintiff alleges that cell extractions were carried out by ERT/TAC members by pointing automatic weapons at inmates, even those inmates who were compliant. The pointing of a firearm at an inmate is considered to be a "use of force" intervention and it is subject to strict guidelines and post-event reporting requirements. According to the plaintiff, those guidelines and reporting requirements were not complied 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In addition to the various deprivations associated with being confined to cells for an extended period of time, the plaintiff alleges that the inmates were subjected to verbal and physical threats by ERT/TAC members (including the pointing of firearms), they were not provided with necessary medications, and the strip searches were conducted without adequate privacy barriers and in some cases with female officers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matter of the certification criteria I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Adequacy of the plaintiff's pleadings in disclosing causes of action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had pleaded proper causes of action in unlawful imprisonment,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breaches of ss. 7, 8 and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(paras. 48, 55 and 72 of the May reasons);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for misfeasance in public office required an amendment to correct a pleadings deficiency insofar as the plaintiff had failed to allege a subjective awareness by members of the ERT/TAC teams that their conduct was unlawful (paras. 58 and 59);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arguably a minor flaw in the plaintiff's claim in assault, which was curable by amendment (para. 62).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Identifiable class of two or more persons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definition was appropriate and the issues of non-resident class members and differing conditions on the institution's four units could be appropriately managed by creating sub-classes as proposed by the plaintiff (para. 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Common issues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claims of unlawful imprisonment,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misfeasance in public office, suitable common issues were identified by the plaintiff, but in the case of the latter two torts, only if amended (paras. 89 to 96);</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suitable common issues were not identified for the claims in assault (para. 90);</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the alleged breaches of ss. 7 and 12 had the requisite commonality, although the common issues could be improved by modest amendment, but the claim for alleged breaches of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did not (paras. 97 to 101);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Preferable procedure</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 (para. 112);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Appropriate representative</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Ewert was an appropriate class representative who had a generally workable litigation plan (paras. 116 and 118-120);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My overall conclusion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My present view is that this matter is likely suitable for certification as a class action, albeit in revised form, but there are two matters on which I will have to hear submissions before a final determination is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[122] The first relates to the common issues. Although it appears that there are appropriate common issues in this case, the wording of those issues has to be reformulated as discussed in paragraphs 91 to 98 of these reasons and I will have to hear further submissions on those.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[123] The second relates to amendments to the pleadings, which are discussed in paragraphs 48, 59 and 62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noted earlier, I concluded that the plaintiff should be given the opportunity to amend his pleadings and proposed common issues. The plaintiff has availed himself of that opportunity, and now applies to amend both his pleadings and the proposed common issues, and to have this proceeding certified as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submits that the proposed amendments: (1) are necessary to determine the real issues between the parties; (2) are more in the nature of technical rather than substantive amendments and thus do not prejudice the defendant in any way; and (3) arise out of and are responsive to the comments made by the Court in the May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 submits that the amendments should not be allowed and the plaintiff's application to certify this proceeding as a class action should be dismissed. The defendant says the proposed amendments do not address the fundamental deficiencies in the case as a class action. In making this submission the defendant relies on both the submissions made to the Court at the prior hearing as well as a recent case, </w:t>
      </w:r>
      <w:r>
        <w:rPr>
          <w:rFonts w:ascii="arial" w:eastAsia="arial" w:hAnsi="arial" w:cs="arial"/>
          <w:i/>
          <w:color w:val="000000"/>
          <w:sz w:val="20"/>
          <w:lang w:val="en-US" w:eastAsia="en-US" w:bidi="ar-SA"/>
        </w:rPr>
        <w:t>Sandhu v. HSBC Finance Mortgages Inc</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2016 BCCA 301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Proposed Amendments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Rule 6-1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governs the amendment of pleadings. It reads: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Rules 6-2 (7) and (10) and 7-7 (5), a party may amend the whole or any part of a pleading filed by the party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without leave of the court, at any time before service of the notice of trial, or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notice of trial is served, only with</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of the court,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consent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Victoria Grey Metro Trust Co. v. Fort Gary Trust Co.</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at 46-47 (S.C.), McLachlin J. (as she then was) set out some general principles governing the amendment of pleadings. I summarize these as follows: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amendments should be permitted as necessary to determine the real question in issue between the parties;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Rule 1-3 (as it now is) and s. 10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support a generous approach to the question of amendments;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will not allow useless amendments or sanction amendments which violate the rules governing pleadings, including the requirement of conciseness and the prohibition against pleadings which disclose no reasonable claim or are otherwise scandalous, frivolous or vexatious. However, only in the clearest of cases will a pleading be struck out or amendment disallowed as disclosing no reasonable claim and if there is any doubt it should be resolved in favour of permitting the pleadings to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principles articulated by McLachlin J. were endorsed by the Court of Appeal in </w:t>
      </w:r>
      <w:r>
        <w:rPr>
          <w:rFonts w:ascii="arial" w:eastAsia="arial" w:hAnsi="arial" w:cs="arial"/>
          <w:i/>
          <w:color w:val="000000"/>
          <w:sz w:val="20"/>
          <w:lang w:val="en-US" w:eastAsia="en-US" w:bidi="ar-SA"/>
        </w:rPr>
        <w:t>Hatch v. Kelly Peters &amp; Associates Ltd.</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(1988), 30 B.C.L.R. (2d) 52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Fraser, Horn &amp; Griffin, </w:t>
      </w:r>
      <w:r>
        <w:rPr>
          <w:rFonts w:ascii="arial" w:eastAsia="arial" w:hAnsi="arial" w:cs="arial"/>
          <w:i/>
          <w:color w:val="000000"/>
          <w:sz w:val="20"/>
          <w:lang w:val="en-US" w:eastAsia="en-US" w:bidi="ar-SA"/>
        </w:rPr>
        <w:t>The Conduct of Civil Litigation in British Columbia</w:t>
      </w:r>
      <w:r>
        <w:rPr>
          <w:rFonts w:ascii="arial" w:eastAsia="arial" w:hAnsi="arial" w:cs="arial"/>
          <w:color w:val="000000"/>
          <w:sz w:val="20"/>
          <w:lang w:val="en-US" w:eastAsia="en-US" w:bidi="ar-SA"/>
        </w:rPr>
        <w:t>, 2d ed. (Markham: LexisNexis, 2007) at s.13-2, the authors add the following general principles: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is not required to adduce evidence in support of a pleading before trial, although evidence may be required to overcome arguments of prejudice or where a limitation period has expired;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to amend, the facts alleged are taken as established;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discretion to permit amendments is unfettered but the discretion must be exercised judicially in accordance with the evidence adduced and the guidelines of the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overriding consideration in the exercise of the Court's discretion is whether it is just and convenient to allow the amendment: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34 C.C.L.I. (2d) 211</w:t>
        </w:r>
      </w:hyperlink>
      <w:r>
        <w:rPr>
          <w:rFonts w:ascii="arial" w:eastAsia="arial" w:hAnsi="arial" w:cs="arial"/>
          <w:color w:val="000000"/>
          <w:sz w:val="20"/>
          <w:lang w:val="en-US" w:eastAsia="en-US" w:bidi="ar-SA"/>
        </w:rPr>
        <w:t>,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the class action context, the authorities "tend to be generous in making available the possibility of amendments to fine tune the pleadings and to bring clarification to obscure issues":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at para. 44. Also, as I have noted previously, the certification process has been described by our Court of Appeal as a "fluid, flexible procedural process": </w:t>
      </w:r>
      <w:r>
        <w:rPr>
          <w:rFonts w:ascii="arial" w:eastAsia="arial" w:hAnsi="arial" w:cs="arial"/>
          <w:i/>
          <w:color w:val="000000"/>
          <w:sz w:val="20"/>
          <w:lang w:val="en-US" w:eastAsia="en-US" w:bidi="ar-SA"/>
        </w:rPr>
        <w:t>Halvorson v. British Columbia (Medical Services Commission)</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2010 BCCA 267</w:t>
        </w:r>
      </w:hyperlink>
      <w:r>
        <w:rPr>
          <w:rFonts w:ascii="arial" w:eastAsia="arial" w:hAnsi="arial" w:cs="arial"/>
          <w:color w:val="000000"/>
          <w:sz w:val="20"/>
          <w:lang w:val="en-US" w:eastAsia="en-US" w:bidi="ar-SA"/>
        </w:rPr>
        <w:t xml:space="preserve"> at para. 23 [</w:t>
      </w:r>
      <w:r>
        <w:rPr>
          <w:rFonts w:ascii="arial" w:eastAsia="arial" w:hAnsi="arial" w:cs="arial"/>
          <w:i/>
          <w:color w:val="000000"/>
          <w:sz w:val="20"/>
          <w:lang w:val="en-US" w:eastAsia="en-US" w:bidi="ar-SA"/>
        </w:rPr>
        <w:t>Halvorson</w:t>
      </w:r>
      <w:r>
        <w:rPr>
          <w:rFonts w:ascii="arial" w:eastAsia="arial" w:hAnsi="arial" w:cs="arial"/>
          <w:color w:val="000000"/>
          <w:sz w:val="20"/>
          <w:lang w:val="en-US" w:eastAsia="en-US" w:bidi="ar-SA"/>
        </w:rPr>
        <w:t xml:space="preserve">]. Indeed, in the same passage from </w:t>
      </w:r>
      <w:r>
        <w:rPr>
          <w:rFonts w:ascii="arial" w:eastAsia="arial" w:hAnsi="arial" w:cs="arial"/>
          <w:i/>
          <w:color w:val="000000"/>
          <w:sz w:val="20"/>
          <w:lang w:val="en-US" w:eastAsia="en-US" w:bidi="ar-SA"/>
        </w:rPr>
        <w:t>Halvorson</w:t>
      </w:r>
      <w:r>
        <w:rPr>
          <w:rFonts w:ascii="arial" w:eastAsia="arial" w:hAnsi="arial" w:cs="arial"/>
          <w:color w:val="000000"/>
          <w:sz w:val="20"/>
          <w:lang w:val="en-US" w:eastAsia="en-US" w:bidi="ar-SA"/>
        </w:rPr>
        <w:t xml:space="preserve"> the court concluded that even on appeal there was nothing wrong with a plaintiff recasting his or her case, noting that "there must be procedural flexibility in order to facilitate realization of the statutory purposes".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Defendant's Argument on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principal argument is that the amendments do not "rehabilitate" the plaintiff's case on certification and so the certification application ought to be dismissed. In presenting this argument the defendant largely re-argued the various points made on the earlier application and which were dealt with in the May reasons. I will return to this later, but I mention this now because it provides the context for the defendant's submissions on the amendment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As noted earlier, on the amendment application the defendant principally relied on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an appeal case where the application judge in the court below certified a class action concerning fees paid for title insurance. There, the plaintiffs claimed "a panoply of causes of action" and, on appeal, one of the primary issues was whether proper causes of action had been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The standard of pleadings under s. 4(1)(a) is the same as on a motion under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to strike pleadings for failure to disclose a cause of action. The question is, assuming the facts pleaded are true, is it plain and obvious that the claim cannot succeed: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74 D.L.R. (4th) 321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Sun-Rype Products Ltd. v. Archer Daniels Midland Company</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2013 SCC 58</w:t>
        </w:r>
      </w:hyperlink>
      <w:r>
        <w:rPr>
          <w:rFonts w:ascii="arial" w:eastAsia="arial" w:hAnsi="arial" w:cs="arial"/>
          <w:color w:val="000000"/>
          <w:sz w:val="20"/>
          <w:lang w:val="en-US" w:eastAsia="en-US" w:bidi="ar-SA"/>
        </w:rPr>
        <w:t xml:space="preserve">. While the possibility of amendment of the pleadings is a consideration weighing against striking of pleadings under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it is an error to leave to trial issues that should be resolved on the pleadings at the certification stages: </w:t>
      </w:r>
      <w:r>
        <w:rPr>
          <w:rFonts w:ascii="arial" w:eastAsia="arial" w:hAnsi="arial" w:cs="arial"/>
          <w:i/>
          <w:color w:val="000000"/>
          <w:sz w:val="20"/>
          <w:lang w:val="en-US" w:eastAsia="en-US" w:bidi="ar-SA"/>
        </w:rPr>
        <w:t>Jer v. Royal Bank of Canada</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2014 BCCA 116</w:t>
        </w:r>
      </w:hyperlink>
      <w:r>
        <w:rPr>
          <w:rFonts w:ascii="arial" w:eastAsia="arial" w:hAnsi="arial" w:cs="arial"/>
          <w:color w:val="000000"/>
          <w:sz w:val="20"/>
          <w:lang w:val="en-US" w:eastAsia="en-US" w:bidi="ar-SA"/>
        </w:rPr>
        <w:t xml:space="preserve"> at para. 108. Authorities tend to be generous in making available the possibility of amendments to fine tune the pleadings and to bring clarification to obscure issues, e.g., </w:t>
      </w:r>
      <w:r>
        <w:rPr>
          <w:rFonts w:ascii="arial" w:eastAsia="arial" w:hAnsi="arial" w:cs="arial"/>
          <w:i/>
          <w:color w:val="000000"/>
          <w:sz w:val="20"/>
          <w:lang w:val="en-US" w:eastAsia="en-US" w:bidi="ar-SA"/>
        </w:rPr>
        <w:t>Watson v. Bank of America Corporation,</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2015 BCCA 362</w:t>
        </w:r>
      </w:hyperlink>
      <w:r>
        <w:rPr>
          <w:rFonts w:ascii="arial" w:eastAsia="arial" w:hAnsi="arial" w:cs="arial"/>
          <w:color w:val="000000"/>
          <w:sz w:val="20"/>
          <w:lang w:val="en-US" w:eastAsia="en-US" w:bidi="ar-SA"/>
        </w:rPr>
        <w:t xml:space="preserve"> at paras. 87, 106, 140, 197. Nonetheless, in British Columbia -- a cost beneficial jurisdiction to plaintiffs -- fairness and access to justice considerations, including to defendants, reinforce the proposition that the essentials of a cause of action must be pleaded else the pleadings may be found to be fatally lacking. The court will consider in this mix the length of time the plaintiff has had to "get it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Adopting the </w:t>
      </w:r>
      <w:r>
        <w:rPr>
          <w:rFonts w:ascii="arial" w:eastAsia="arial" w:hAnsi="arial" w:cs="arial"/>
          <w:i/>
          <w:color w:val="000000"/>
          <w:sz w:val="20"/>
          <w:lang w:val="en-US" w:eastAsia="en-US" w:bidi="ar-SA"/>
        </w:rPr>
        <w:t>Jer</w:t>
      </w:r>
      <w:r>
        <w:rPr>
          <w:rFonts w:ascii="arial" w:eastAsia="arial" w:hAnsi="arial" w:cs="arial"/>
          <w:color w:val="000000"/>
          <w:sz w:val="20"/>
          <w:lang w:val="en-US" w:eastAsia="en-US" w:bidi="ar-SA"/>
        </w:rPr>
        <w:t xml:space="preserve"> approach, a claim should not be certified absent pleadings, including tendered or proposed amendments, that satisfy the requirements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this I would agree with the approach taken in </w:t>
      </w:r>
      <w:r>
        <w:rPr>
          <w:rFonts w:ascii="arial" w:eastAsia="arial" w:hAnsi="arial" w:cs="arial"/>
          <w:i/>
          <w:color w:val="000000"/>
          <w:sz w:val="20"/>
          <w:lang w:val="en-US" w:eastAsia="en-US" w:bidi="ar-SA"/>
        </w:rPr>
        <w:t>Brown v. Canada (Attorney General)</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2013 ONCA 18</w:t>
        </w:r>
      </w:hyperlink>
      <w:r>
        <w:rPr>
          <w:rFonts w:ascii="arial" w:eastAsia="arial" w:hAnsi="arial" w:cs="arial"/>
          <w:color w:val="000000"/>
          <w:sz w:val="20"/>
          <w:lang w:val="en-US" w:eastAsia="en-US" w:bidi="ar-SA"/>
        </w:rPr>
        <w:t>. There Justice Rosenberg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[44] I agree with the Divisional Court that the case management judge erred in conditionally certifying the class proceeding in the absence of a statement of claim that disclosed a cause of action. As this case demonstrates, identification of a cause of action is fundamental. It is impossible for the defendant to meaningfully respond to an application for certification without knowing the cause of action.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There is no question that class proceedings evolve as they work their way through the certification and case management process and that the case management judge plays an important role in guiding the evolution of the proceeding. But, certifying a class action in the absence of a statement of claim that discloses viable causes of action is not case management. Even the power to amend other aspects of the claim, such as the proposed common issues, should be exercised with caution and restraint: </w:t>
      </w:r>
      <w:r>
        <w:rPr>
          <w:rFonts w:ascii="arial" w:eastAsia="arial" w:hAnsi="arial" w:cs="arial"/>
          <w:i/>
          <w:color w:val="000000"/>
          <w:sz w:val="20"/>
          <w:lang w:val="en-US" w:eastAsia="en-US" w:bidi="ar-SA"/>
        </w:rPr>
        <w:t>McCracken v. Canadian National Railway Co</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2012 ONCA 445</w:t>
        </w:r>
      </w:hyperlink>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111 O.R. (3d) 745</w:t>
        </w:r>
      </w:hyperlink>
      <w:r>
        <w:rPr>
          <w:rFonts w:ascii="arial" w:eastAsia="arial" w:hAnsi="arial" w:cs="arial"/>
          <w:color w:val="000000"/>
          <w:sz w:val="20"/>
          <w:lang w:val="en-US" w:eastAsia="en-US" w:bidi="ar-SA"/>
        </w:rPr>
        <w:t>, at para. 144.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Once the case management judge concluded that the statement of claim did not disclose a cause of action, it was not open to him to conditionally certify the class proceeding. He could have dismissed the motion for certification, adjourned the motion for certification under s. 5(4)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give the appellants the opportunity to amend their statement of claim, or granted the Rule 21 motion and dismissed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to the pleadings in that case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Given the many attempts made to plead this case, and the time elapsed, I would adopt this observation in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[92] Since [the plaintiff] has failed to plead any material facts in support of the required causal connection, we may at this late stage infer that she is unable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Later in the judgment the court returned to the issue of pleadings and, specifically, the question of amendment or potential amendment: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[118] I return to the question of amending the pleading. In my view, the deficiencies in the pleadings I have identified go to the heart of the claims discussed. While a judge has considerable discretion in respect to amendments, I consider it was an error to certify issues in respect to many of the causes of action as they were presented, especially with there being no suggested amendments presented to the judge. For the reasons discussed earlier, I do not consider that the certification of the issues that rely on the deficient pleadings should survive, in anticipation of broad unspecific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defendant submits that, as in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the plaintiff's "inability to frame his certification application so as to meet the requirements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despite having had years to do so and having already made amendments to his NOCC and proposed common issues, is indicative that the claims ... in this case in fact do not and cannot properly meet the requirements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reply, the plaintiff notes that in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the plaintiff had filed six different pleadings over seven years, whereas in the case at bar the plaintiff has amended his pleadings just once prior to this application. The plaintiff adds that the proposed amendments do no more than address the concerns expressed by this Court in the May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agree with the submissions of the plaintiff on this point. The plaintiff has amended his pleadings in this action just once before, and the proposed amendments appear to be limited to responding to the concerns expressed May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Other than as a statement of general principles, I did not find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particularly helpful or applicable on the amendment issue as its focus was on whether viable causes of action had been pleaded and on the plaintiff's multiple failed attempts to do so. As already noted, the defendant's reliance on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is really just another way by which the defendant re-argues that the case is unsuitable for certification. I will deal with that issue below.</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summarize the proposed amendments to the amended notice of civil claim as follows: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actions of the ERT and TAC members are now alleged to have been carried out under orders from ERT and TAC leadership. This is responsive to the comments I made in para. 93 of the May reasons;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claim of misfeasance in public office, the ERT and TAC members are now said to have known they were acting unlawfully in excess of their powers. This is in apparent response to paras. 58 and 94 of the May reasons;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prisoners' alleged deprivations are now specifically alleged to be unlawful (para. 48 of the May reasons);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claims for assault, negligent and intentional infliction of mental suffering, and breaches of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have been removed (paras. 15, 90 and 101 of the May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submits that the plaintiff has not pleaded material facts to support the proposed revised common issues. In particular, the defendant says there is "no evidence of any common decision or command in the ERT or TAC teams", adding that there is no factual basis on which one might conclude this issue could be resolved on a class-wide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conclude that the defendant goes too far in its submission on this point and is essentially seeking pleadings of evidence, not material facts. The plaintiff has in fact pleaded that the cell extractions and strip searches were conducted in accordance with orders from ERT and TAC leadership (para. 12 of the proposed amended notice of civil claim). While the defendant asserts that this pleading is without evidentiary foundation, that submission fails to take into account that the requirement for "some basis in fact" applicable to certification requirements applies only to those requirements </w:t>
      </w:r>
      <w:r>
        <w:rPr>
          <w:rFonts w:ascii="arial" w:eastAsia="arial" w:hAnsi="arial" w:cs="arial"/>
          <w:i/>
          <w:color w:val="000000"/>
          <w:sz w:val="20"/>
          <w:lang w:val="en-US" w:eastAsia="en-US" w:bidi="ar-SA"/>
        </w:rPr>
        <w:t>other than</w:t>
      </w:r>
      <w:r>
        <w:rPr>
          <w:rFonts w:ascii="arial" w:eastAsia="arial" w:hAnsi="arial" w:cs="arial"/>
          <w:color w:val="000000"/>
          <w:sz w:val="20"/>
          <w:lang w:val="en-US" w:eastAsia="en-US" w:bidi="ar-SA"/>
        </w:rPr>
        <w:t xml:space="preserve"> the requirement to plead a proper cause of action: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 also submits that the plaintiff has not pleaded material facts to support certain of the proposed common issues. The defendant refers to the following two examples, one relating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and the other relating to the misfeasance in public office claim:</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proposed common issue 4, which generally asks whether the commanding officers or leadership of ERT and TAC failed to meet a standard of care owed to class members in directing ERT and TAC activities. The defendant says this proposed common issue is not grounded in any pleading, proposed pleading or evidence;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proposed common issue 5(a), which reads "Was there a decision or command within the leadership of the ERT or TAC teams to effect the s. 53 searches unlawfully?" The defendant says this proposed common issue is not grounded in any pleading or evidence that alleges such a decision or command.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On the matter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 am satisfied that the plaintiff has pleaded that the ERT and TAC members: (1) acted on orders (proposed amended notice of civil claim, para. 12); (2) owed a duty of care to act in a lawful manner with due regard for the health, safety and welfare of the inmates (para. 32); and (3) breached that duty of care in various ways (paras. 33-36 and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the claim of misfeasance in public office, paragraph 12 of the proposed amended notice of civil claim alleges the ERT and TAC members acted on the orders of ERT and TAC leadership. Paragraph 37 alleges the ERT and TAC members "deliberately and unlawfully used their position of power to cause damage" to the inmates, and they knew "or were reckless and/or wilfully blind" that they were acting unlawfully. I consider these allegations to be a sufficient basis for the proposed common issue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also seeks to amend the proposed common issues. In general, I am satisfied that the proposed changes reflect the comments made in paras. 91, 95 and 97-98 of the May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says that the plaintiff has failed to demonstrate a basis in fact showing that the proposed common issues can be determined on a class-wide basis. I will address this under the next heading as it has more to do with the certification application than it does to the amendment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satisfied that the proposed amendments to both the pleadings and common issues should be allowed as they are necessary to determine the real issues between the parties. I find there is no prejudice to the defendant -- indeed, the defendant did not suggest otherwise -- and the proposed amendments are responsive to the comments of this Court in the May reasons. I agree with the plaintiff's argument that the present application is part of a process generally encouraged by the authorities: an evolution of the case as it works its way through the certification process, including the amendment of pleadings and common issues to bring clarity to difficult 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Accordingly, the application to amend the pleadings and the common issues is allowed.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Certification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Issuing Further Reasons After Appeal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already noted, at the hearing of this application the defendant essentially repeated its earlier arguments, made at the initial certification application, about the unsuitability of this action as a class proceeding. This subject comprised the bulk of the defendant's current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Importantly, I was told that the defendant has appealed the earlier decision. Case authorities indicate that judges faced with this situation must be restrained in adding to earlier reasons lest they be viewed as trying to buttress their earlier judgment for appeal purposes. For example, in </w:t>
      </w:r>
      <w:r>
        <w:rPr>
          <w:rFonts w:ascii="arial" w:eastAsia="arial" w:hAnsi="arial" w:cs="arial"/>
          <w:i/>
          <w:color w:val="000000"/>
          <w:sz w:val="20"/>
          <w:lang w:val="en-US" w:eastAsia="en-US" w:bidi="ar-SA"/>
        </w:rPr>
        <w:t>Virani v. Virani</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2006 BCCA 63</w:t>
        </w:r>
      </w:hyperlink>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 But when reasons expanding on earlier reasons are issued after a notice of appeal is given, a judge of first instance runs the risk of attracting the animadversions of this Court on such a practice in </w:t>
      </w:r>
      <w:r>
        <w:rPr>
          <w:rFonts w:ascii="arial" w:eastAsia="arial" w:hAnsi="arial" w:cs="arial"/>
          <w:i/>
          <w:color w:val="000000"/>
          <w:sz w:val="20"/>
          <w:lang w:val="en-US" w:eastAsia="en-US" w:bidi="ar-SA"/>
        </w:rPr>
        <w:t>Scarr v. Gower</w:t>
      </w:r>
      <w:r>
        <w:rPr>
          <w:rFonts w:ascii="arial" w:eastAsia="arial" w:hAnsi="arial" w:cs="arial"/>
          <w:color w:val="000000"/>
          <w:sz w:val="20"/>
          <w:lang w:val="en-US" w:eastAsia="en-US" w:bidi="ar-SA"/>
        </w:rPr>
        <w:t xml:space="preserve"> (1956), 18 W.W.R. 184. Those animadversions have to do with the appearance of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digress for a moment to discuss </w:t>
      </w:r>
      <w:r>
        <w:rPr>
          <w:rFonts w:ascii="arial" w:eastAsia="arial" w:hAnsi="arial" w:cs="arial"/>
          <w:i/>
          <w:color w:val="000000"/>
          <w:sz w:val="20"/>
          <w:lang w:val="en-US" w:eastAsia="en-US" w:bidi="ar-SA"/>
        </w:rPr>
        <w:t>Scarr v. Gower</w:t>
      </w:r>
      <w:r>
        <w:rPr>
          <w:rFonts w:ascii="arial" w:eastAsia="arial" w:hAnsi="arial" w:cs="arial"/>
          <w:color w:val="000000"/>
          <w:sz w:val="20"/>
          <w:lang w:val="en-US" w:eastAsia="en-US" w:bidi="ar-SA"/>
        </w:rPr>
        <w:t xml:space="preserve">, which is referred to in the quote above. In </w:t>
      </w:r>
      <w:r>
        <w:rPr>
          <w:rFonts w:ascii="arial" w:eastAsia="arial" w:hAnsi="arial" w:cs="arial"/>
          <w:i/>
          <w:color w:val="000000"/>
          <w:sz w:val="20"/>
          <w:lang w:val="en-US" w:eastAsia="en-US" w:bidi="ar-SA"/>
        </w:rPr>
        <w:t>Scarr v. Gower</w:t>
      </w:r>
      <w:r>
        <w:rPr>
          <w:rFonts w:ascii="arial" w:eastAsia="arial" w:hAnsi="arial" w:cs="arial"/>
          <w:color w:val="000000"/>
          <w:sz w:val="20"/>
          <w:lang w:val="en-US" w:eastAsia="en-US" w:bidi="ar-SA"/>
        </w:rPr>
        <w:t xml:space="preserve">, O'Halloran J.A. criticised a trial judge for issuing reasons after an appeal had been filed (and shortly before the appeal was heard), even though these had been issued at the request of both counsel. The other two judges (Davey and Sheppard JJ.A.) declined to associate themselves with those comments, preferring to leave the subject to another day. In a later case, </w:t>
      </w:r>
      <w:r>
        <w:rPr>
          <w:rFonts w:ascii="arial" w:eastAsia="arial" w:hAnsi="arial" w:cs="arial"/>
          <w:i/>
          <w:color w:val="000000"/>
          <w:sz w:val="20"/>
          <w:lang w:val="en-US" w:eastAsia="en-US" w:bidi="ar-SA"/>
        </w:rPr>
        <w:t>Coulas v. Thomas</w:t>
      </w:r>
      <w:r>
        <w:rPr>
          <w:rFonts w:ascii="arial" w:eastAsia="arial" w:hAnsi="arial" w:cs="arial"/>
          <w:color w:val="000000"/>
          <w:sz w:val="20"/>
          <w:lang w:val="en-US" w:eastAsia="en-US" w:bidi="ar-SA"/>
        </w:rPr>
        <w:t xml:space="preserve"> (1967), 63 W.W.R. 186 (B.C.C.A.), Chief Justice Davey commented on </w:t>
      </w:r>
      <w:r>
        <w:rPr>
          <w:rFonts w:ascii="arial" w:eastAsia="arial" w:hAnsi="arial" w:cs="arial"/>
          <w:i/>
          <w:color w:val="000000"/>
          <w:sz w:val="20"/>
          <w:lang w:val="en-US" w:eastAsia="en-US" w:bidi="ar-SA"/>
        </w:rPr>
        <w:t>Scarr v. Gower</w:t>
      </w:r>
      <w:r>
        <w:rPr>
          <w:rFonts w:ascii="arial" w:eastAsia="arial" w:hAnsi="arial" w:cs="arial"/>
          <w:color w:val="000000"/>
          <w:sz w:val="20"/>
          <w:lang w:val="en-US" w:eastAsia="en-US" w:bidi="ar-SA"/>
        </w:rPr>
        <w:t xml:space="preserve">. It is important to recall that Chief Justice Davey had been on the panel that decided </w:t>
      </w:r>
      <w:r>
        <w:rPr>
          <w:rFonts w:ascii="arial" w:eastAsia="arial" w:hAnsi="arial" w:cs="arial"/>
          <w:i/>
          <w:color w:val="000000"/>
          <w:sz w:val="20"/>
          <w:lang w:val="en-US" w:eastAsia="en-US" w:bidi="ar-SA"/>
        </w:rPr>
        <w:t>Scarr v. Gower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Coulas</w:t>
      </w:r>
      <w:r>
        <w:rPr>
          <w:rFonts w:ascii="arial" w:eastAsia="arial" w:hAnsi="arial" w:cs="arial"/>
          <w:color w:val="000000"/>
          <w:sz w:val="20"/>
          <w:lang w:val="en-US" w:eastAsia="en-US" w:bidi="ar-SA"/>
        </w:rPr>
        <w:t xml:space="preserve"> the judge in the court below had given oral reasons but for some reason there was no stenographic record of those reasons. Speaking for the court, Davey C.J.B.C.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 Counsel for the defendant did not apply to the learned judge for written reasons, and indeed if he had done so the learned judge might have rejected the request under the authority of the judgment of O'Halloran, J.A. in </w:t>
      </w:r>
      <w:r>
        <w:rPr>
          <w:rFonts w:ascii="arial" w:eastAsia="arial" w:hAnsi="arial" w:cs="arial"/>
          <w:i/>
          <w:color w:val="000000"/>
          <w:sz w:val="20"/>
          <w:lang w:val="en-US" w:eastAsia="en-US" w:bidi="ar-SA"/>
        </w:rPr>
        <w:t>Scarr v. Gower</w:t>
      </w:r>
      <w:r>
        <w:rPr>
          <w:rFonts w:ascii="arial" w:eastAsia="arial" w:hAnsi="arial" w:cs="arial"/>
          <w:color w:val="000000"/>
          <w:sz w:val="20"/>
          <w:lang w:val="en-US" w:eastAsia="en-US" w:bidi="ar-SA"/>
        </w:rPr>
        <w:t xml:space="preserve"> (1956) 18 WWR 184. Some members of the profession seem to misunderstand the effect of that case, so this may be the time to explain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The oral reasons of our brother [O'Halloran], to the surprise of our brother Sheppard and myself, questioned the propriety of the learned judge below delivering written reasons at the request of both counsel to clarify his oral reasons for the purpose of an intended appeal. As counsel had not raised the point, and as I had not had an opportunity to consider the authorities cited by my learned brother, I reserved the question for future consideration, as did my brother Sheppard. </w:t>
      </w:r>
      <w:r>
        <w:rPr>
          <w:rFonts w:ascii="arial" w:eastAsia="arial" w:hAnsi="arial" w:cs="arial"/>
          <w:color w:val="000000"/>
          <w:sz w:val="20"/>
          <w:u w:val="single"/>
          <w:lang w:val="en-US" w:eastAsia="en-US" w:bidi="ar-SA"/>
        </w:rPr>
        <w:t>So our brother's judgment on that point was not the judgment of the court and does not constitute a binding authority.</w:t>
      </w:r>
      <w:r>
        <w:rPr>
          <w:rFonts w:ascii="arial" w:eastAsia="arial" w:hAnsi="arial" w:cs="arial"/>
          <w:color w:val="000000"/>
          <w:sz w:val="20"/>
          <w:lang w:val="en-US" w:eastAsia="en-US" w:bidi="ar-SA"/>
        </w:rPr>
        <w:t xml:space="preserve"> The principle must be found in the cases which he cited.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Consideration of our brother O'Halloran's reasons and the authorities upon which he relied now convinces me that it was quite proper for the learned judge in that case to supplement his oral reasons by written reasons at the request of both counsel, and that he acted with complete propriety in doing so. A request by all counsel for written reasons may be sufficient to show the interests of justice will be served by giving them, and will constitute a safeguard against the judicial abuse of that practice that was condemned in </w:t>
      </w:r>
      <w:r>
        <w:rPr>
          <w:rFonts w:ascii="arial" w:eastAsia="arial" w:hAnsi="arial" w:cs="arial"/>
          <w:i/>
          <w:color w:val="000000"/>
          <w:sz w:val="20"/>
          <w:lang w:val="en-US" w:eastAsia="en-US" w:bidi="ar-SA"/>
        </w:rPr>
        <w:t>Brown v. Gugy</w:t>
      </w:r>
      <w:r>
        <w:rPr>
          <w:rFonts w:ascii="arial" w:eastAsia="arial" w:hAnsi="arial" w:cs="arial"/>
          <w:color w:val="000000"/>
          <w:sz w:val="20"/>
          <w:lang w:val="en-US" w:eastAsia="en-US" w:bidi="ar-SA"/>
        </w:rPr>
        <w:t xml:space="preserve"> (1863) 2 Moo PC (NS) 341, 10 LT 45; </w:t>
      </w:r>
      <w:r>
        <w:rPr>
          <w:rFonts w:ascii="arial" w:eastAsia="arial" w:hAnsi="arial" w:cs="arial"/>
          <w:i/>
          <w:color w:val="000000"/>
          <w:sz w:val="20"/>
          <w:lang w:val="en-US" w:eastAsia="en-US" w:bidi="ar-SA"/>
        </w:rPr>
        <w:t>Richer v. Voyer</w:t>
      </w:r>
      <w:r>
        <w:rPr>
          <w:rFonts w:ascii="arial" w:eastAsia="arial" w:hAnsi="arial" w:cs="arial"/>
          <w:color w:val="000000"/>
          <w:sz w:val="20"/>
          <w:lang w:val="en-US" w:eastAsia="en-US" w:bidi="ar-SA"/>
        </w:rPr>
        <w:t xml:space="preserve"> (1874) LR 5 PC 461, 30 LT 506; </w:t>
      </w:r>
      <w:r>
        <w:rPr>
          <w:rFonts w:ascii="arial" w:eastAsia="arial" w:hAnsi="arial" w:cs="arial"/>
          <w:i/>
          <w:color w:val="000000"/>
          <w:sz w:val="20"/>
          <w:lang w:val="en-US" w:eastAsia="en-US" w:bidi="ar-SA"/>
        </w:rPr>
        <w:t>Mayhew v. Stone</w:t>
      </w:r>
      <w:r>
        <w:rPr>
          <w:rFonts w:ascii="arial" w:eastAsia="arial" w:hAnsi="arial" w:cs="arial"/>
          <w:color w:val="000000"/>
          <w:sz w:val="20"/>
          <w:lang w:val="en-US" w:eastAsia="en-US" w:bidi="ar-SA"/>
        </w:rPr>
        <w:t xml:space="preserve"> (1895) 26 SCR 58, and </w:t>
      </w:r>
      <w:r>
        <w:rPr>
          <w:rFonts w:ascii="arial" w:eastAsia="arial" w:hAnsi="arial" w:cs="arial"/>
          <w:i/>
          <w:color w:val="000000"/>
          <w:sz w:val="20"/>
          <w:lang w:val="en-US" w:eastAsia="en-US" w:bidi="ar-SA"/>
        </w:rPr>
        <w:t>Sun Life Assur. Co. v. Elliott</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(1900) 31 SCR 91</w:t>
        </w:r>
      </w:hyperlink>
      <w:r>
        <w:rPr>
          <w:rFonts w:ascii="arial" w:eastAsia="arial" w:hAnsi="arial" w:cs="arial"/>
          <w:color w:val="000000"/>
          <w:sz w:val="20"/>
          <w:lang w:val="en-US" w:eastAsia="en-US" w:bidi="ar-SA"/>
        </w:rPr>
        <w:t xml:space="preserve">, reversing </w:t>
      </w:r>
      <w:hyperlink r:id="rId43" w:history="1">
        <w:r>
          <w:rPr>
            <w:rFonts w:ascii="arial" w:eastAsia="arial" w:hAnsi="arial" w:cs="arial"/>
            <w:i/>
            <w:color w:val="0077CC"/>
            <w:sz w:val="20"/>
            <w:u w:val="single"/>
            <w:shd w:val="clear" w:color="auto" w:fill="FFFFFF"/>
            <w:lang w:val="en-US" w:eastAsia="en-US" w:bidi="ar-SA"/>
          </w:rPr>
          <w:t>7 BCR 189</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Lowery v. Walker</w:t>
      </w:r>
      <w:r>
        <w:rPr>
          <w:rFonts w:ascii="arial" w:eastAsia="arial" w:hAnsi="arial" w:cs="arial"/>
          <w:color w:val="000000"/>
          <w:sz w:val="20"/>
          <w:lang w:val="en-US" w:eastAsia="en-US" w:bidi="ar-SA"/>
        </w:rPr>
        <w:t xml:space="preserve"> [1911] AC 10, 80 LJKB 138, per Lord Loreburn, at p. 11, concerning subsequent alterations to remove ambiguities in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Although </w:t>
      </w:r>
      <w:r>
        <w:rPr>
          <w:rFonts w:ascii="arial" w:eastAsia="arial" w:hAnsi="arial" w:cs="arial"/>
          <w:i/>
          <w:color w:val="000000"/>
          <w:sz w:val="20"/>
          <w:lang w:val="en-US" w:eastAsia="en-US" w:bidi="ar-SA"/>
        </w:rPr>
        <w:t>Scarr v. Gower</w:t>
      </w:r>
      <w:r>
        <w:rPr>
          <w:rFonts w:ascii="arial" w:eastAsia="arial" w:hAnsi="arial" w:cs="arial"/>
          <w:color w:val="000000"/>
          <w:sz w:val="20"/>
          <w:lang w:val="en-US" w:eastAsia="en-US" w:bidi="ar-SA"/>
        </w:rPr>
        <w:t xml:space="preserve"> must be treated with some caution for the reasons articulated by Davey, C.J.B.C. in </w:t>
      </w:r>
      <w:r>
        <w:rPr>
          <w:rFonts w:ascii="arial" w:eastAsia="arial" w:hAnsi="arial" w:cs="arial"/>
          <w:i/>
          <w:color w:val="000000"/>
          <w:sz w:val="20"/>
          <w:lang w:val="en-US" w:eastAsia="en-US" w:bidi="ar-SA"/>
        </w:rPr>
        <w:t>Coulas</w:t>
      </w:r>
      <w:r>
        <w:rPr>
          <w:rFonts w:ascii="arial" w:eastAsia="arial" w:hAnsi="arial" w:cs="arial"/>
          <w:color w:val="000000"/>
          <w:sz w:val="20"/>
          <w:lang w:val="en-US" w:eastAsia="en-US" w:bidi="ar-SA"/>
        </w:rPr>
        <w:t>, nonetheless it is clear that judges should avoid issuing additional reasons after a notice of appeal has been filed, and if additional reasons are unavoidable then those reasons should be as confined or restrained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case at bar the defendant submits that I am free to revisit all of the issues discussed in the May reasons. The defendant again invites this Court to find that the action is "fundamentally ill-suited for certification as a class action because the claims Mr. Ewert makes necessarily require individualized assessment", an argument it pressed in the earlier hearing. The plaintiff objects to that submission as being misconceived and improper and submits the paragraphs of the defendant's response that re-argue those issues ought to be struck because they relate to issues already decided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agree that it is not appropriate that I revisit issues already addressed in the May reasons, although I do not see any need to strike portions of the defendant's response, as the plaintiff argued. As I have already noted, where an appeal is pending there can be danger in a judge revisiting issues already decided because of at least the </w:t>
      </w:r>
      <w:r>
        <w:rPr>
          <w:rFonts w:ascii="arial" w:eastAsia="arial" w:hAnsi="arial" w:cs="arial"/>
          <w:i/>
          <w:color w:val="000000"/>
          <w:sz w:val="20"/>
          <w:lang w:val="en-US" w:eastAsia="en-US" w:bidi="ar-SA"/>
        </w:rPr>
        <w:t>appearance</w:t>
      </w:r>
      <w:r>
        <w:rPr>
          <w:rFonts w:ascii="arial" w:eastAsia="arial" w:hAnsi="arial" w:cs="arial"/>
          <w:color w:val="000000"/>
          <w:sz w:val="20"/>
          <w:lang w:val="en-US" w:eastAsia="en-US" w:bidi="ar-SA"/>
        </w:rPr>
        <w:t xml:space="preserve"> of becoming an advocate in support of his or her own decision. So to the extent that the defendant merely repeats the submissions made at the earlier hearing, I decline to revisit those issues and decline to give further reasons on them. The May reasons will have to stand or fall as written, without elaboration or amplification. I do, however, consider it appropriate for me to address those certification issues that arise from the current amendments to the extent they are not mere reiterations of the earlier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have already addressed the defendant's submissions about alleged flaws in the amended pleadings. I now address the defendant's submissions concerning the common issues to the extent they arise out of amendments to the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Defendant's Individual Assessment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noted earlier, the defendant says the plaintiff has failed to demonstrate a basis in fact showing that the proposed common issues can be determined on a class-wide basis. Here, the defendant refers to the plaintiff's claim for unlawful imprisonment, where the first proposed common issue is: "Did the Defendant's Agents cause the Class Members to be deprived of their residual liberty?" The paragraphs of the proposed amended notice of civil claim relevant to this claim (paras. 17 to 20) set out a number of specific alleged deprivations (for example, threats, verbal abuse, the pointing of weapons at inmates, denial of legal counsel and health care and the denial of various essentials, including medication and toiletries). The defendant says these allegations are a compilation of alleged events or deprivations, some of which apply to some inmates and others which apply to other inmates. As such, the defendant submits, Mr. Ewert must show that "whatever the specific combination of these facts was in his case amounted to 'a manner of imprisonment that was significantly different from and a more severe deprivation of liberty than ordinary imprisonment'". This, the defendant submits, is an inherently individual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agree that the various events and deprivations alleged in paragraphs 17 to 20 of the proposed amended notice of civil claim are no doubt a compilation of allegations and that each inmate will likely have had a somewhat different experience. For example, not all will have been deprived of medication because some may not have needed medication. Nonetheless, there are some events pleaded that are of a more generalized nature, such as the suspension of visits, exercise and institutional programs and an inability to clean cells. From this I conclude that there is at least the prospect the plaintiff will be able to show a generalized common experience that amounted to an unlawful deprivation of the residual liberty of the inmates. I also find there is a factual basis set out in the affidavits on which to come to this conclusion. In addition, while it may be that not every inmate was denied toothpaste, to take perhaps the most trivial of the allegations, I conclude that it may not be necessary for inmates to have had identical deprivations in order to conclude there was a more generalized common experience that could amount to an unlawful deprivation of residual liberty.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 repeats its submissions for other causes of action, those being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misfeasance in public office and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again arguing that these require individual factual inquiries. On this point I am again mindful that I must not address issues already dealt with in the May reasons and, in my view, the defendant's submissions invite me to do exactly that. Suffice it to say that, as with the claim in unlawful imprisonment, which I have just discussed, I am satisfied that there is a factual and legal basis on which to conclude the plaintiff might well establish an experience common to the class members for each of those torts 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And, it is important to remember, the focus of the revised common issues is on the alleged harm that was common to the members of the class.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Defendant's Objection to Aggregate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Another issue raised by the defendant, arising out of proposed amendments to the common issues, is the suitability of aggregate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To provide some brief context, the plaintiff's proposed amended common issues raise the matter of aggregate damages by way of asking the following question after posing various liability questions relating to each claim: "If so, [that is, if liability is established] would aggregate damages be an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defendant says this question requires the plaintiff to have shown, with supporting evidence, that there is a workable methodology for determining damages on a class-wide basis, citing </w:t>
      </w:r>
      <w:r>
        <w:rPr>
          <w:rFonts w:ascii="arial" w:eastAsia="arial" w:hAnsi="arial" w:cs="arial"/>
          <w:i/>
          <w:color w:val="000000"/>
          <w:sz w:val="20"/>
          <w:lang w:val="en-US" w:eastAsia="en-US" w:bidi="ar-SA"/>
        </w:rPr>
        <w:t>Charlton v. Abbott Laboratories, Ltd.</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2015 BCCA 26</w:t>
        </w:r>
      </w:hyperlink>
      <w:r>
        <w:rPr>
          <w:rFonts w:ascii="arial" w:eastAsia="arial" w:hAnsi="arial" w:cs="arial"/>
          <w:color w:val="000000"/>
          <w:sz w:val="20"/>
          <w:lang w:val="en-US" w:eastAsia="en-US" w:bidi="ar-SA"/>
        </w:rPr>
        <w:t xml:space="preserve"> at para. 85. The defendant submits that the plaintiff has failed to lead any evidence on, or otherwise address, a methodology to assess whether harm was caused on a class-wide basis, again citing </w:t>
      </w:r>
      <w:r>
        <w:rPr>
          <w:rFonts w:ascii="arial" w:eastAsia="arial" w:hAnsi="arial" w:cs="arial"/>
          <w:i/>
          <w:color w:val="000000"/>
          <w:sz w:val="20"/>
          <w:lang w:val="en-US" w:eastAsia="en-US" w:bidi="ar-SA"/>
        </w:rPr>
        <w:t>Charlton</w:t>
      </w:r>
      <w:r>
        <w:rPr>
          <w:rFonts w:ascii="arial" w:eastAsia="arial" w:hAnsi="arial" w:cs="arial"/>
          <w:color w:val="000000"/>
          <w:sz w:val="20"/>
          <w:lang w:val="en-US" w:eastAsia="en-US" w:bidi="ar-SA"/>
        </w:rPr>
        <w:t xml:space="preserve"> for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Finally, the defendant argues that the formulation of a basis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will require an individualized assessment. This, the defendant says, again shows that the threshold for certification of common issues concerning aggregate damages is not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plaintiff says that these issues were already dealt with in the May reasons, and for that reason should not be revisited by the Court. The plaintiff argues, in any event, that whether questions relating to aggregate damages remain in the list of common issues is of little practical consequence because the decision to award aggregate damages rests with the trial judge in any event pursuant to s. 29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conclude that the defendant's argument on a "workable methodology" for the assessment of damages is misconceived. That approach applies only in cases where damages are economic or essentially economic in nature, not where damages sought are at large, as they are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turn to the defendant's argument that damages in this case are essentially individual in nature. The defendant made essentially the same argument at the earlier hearing, but I consider it appropriate to address this issue because the current questions relating to aggregate damages were not part of the proposed common issues. The defendant's objection is, however, not well-founded. The same argument was made by the appellant police board in </w:t>
      </w:r>
      <w:r>
        <w:rPr>
          <w:rFonts w:ascii="arial" w:eastAsia="arial" w:hAnsi="arial" w:cs="arial"/>
          <w:i/>
          <w:color w:val="000000"/>
          <w:sz w:val="20"/>
          <w:lang w:val="en-US" w:eastAsia="en-US" w:bidi="ar-SA"/>
        </w:rPr>
        <w:t>Good v. Toronto (Police Services Board)</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2016 ONCA 250</w:t>
        </w:r>
      </w:hyperlink>
      <w:r>
        <w:rPr>
          <w:rFonts w:ascii="arial" w:eastAsia="arial" w:hAnsi="arial" w:cs="arial"/>
          <w:color w:val="000000"/>
          <w:sz w:val="20"/>
          <w:lang w:val="en-US" w:eastAsia="en-US" w:bidi="ar-SA"/>
        </w:rPr>
        <w:t xml:space="preserve">, leave to appeal to S.C.C. ref'd, 2016 CanLII 76801. There, the Ontario Court of Appeal, after referring to the Ontario provision providing for aggregate damages (the equivalent in British Columbia is s. 29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said the issue should be left to the common issues trial judge.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I agree with the Divisional Court that it should be open to the common issues judge to consider whether aggregate damages would be an appropriate remedy, in whole or in part. The motion judge's decision pre-dated the Supreme Court's decision in </w:t>
      </w:r>
      <w:r>
        <w:rPr>
          <w:rFonts w:ascii="arial" w:eastAsia="arial" w:hAnsi="arial" w:cs="arial"/>
          <w:i/>
          <w:color w:val="000000"/>
          <w:sz w:val="20"/>
          <w:lang w:val="en-US" w:eastAsia="en-US" w:bidi="ar-SA"/>
        </w:rPr>
        <w:t>Pro-Sys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[2013] 3 SCR 477</w:t>
        </w:r>
      </w:hyperlink>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At para. 134, Rothstein J. wrote this for the court, in relation to legislation in British Columbia that parallels the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of whether damages assessed in the aggregate are an appropriate remedy can be certified as a common issue. However, this common issue is only determined at the common issues trial after a finding of liability has been made. </w:t>
      </w:r>
      <w:r>
        <w:rPr>
          <w:rFonts w:ascii="arial" w:eastAsia="arial" w:hAnsi="arial" w:cs="arial"/>
          <w:i/>
          <w:color w:val="000000"/>
          <w:sz w:val="20"/>
          <w:lang w:val="en-US" w:eastAsia="en-US" w:bidi="ar-SA"/>
        </w:rPr>
        <w:t>The ultimate decision as to whether the aggregate damages provisions of the CPA should be available is one that should be left to the common issues trial judge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Further, this appears to be a case where the common issues judge may well determine that at least part of TPS' liability can reasonably be determined without proof by individual class members. As the Divisional Court highlighted, s. 24(1) asks whether the aggregate </w:t>
      </w:r>
      <w:r>
        <w:rPr>
          <w:rFonts w:ascii="arial" w:eastAsia="arial" w:hAnsi="arial" w:cs="arial"/>
          <w:color w:val="000000"/>
          <w:sz w:val="20"/>
          <w:u w:val="single"/>
          <w:lang w:val="en-US" w:eastAsia="en-US" w:bidi="ar-SA"/>
        </w:rPr>
        <w:t>or a part</w:t>
      </w:r>
      <w:r>
        <w:rPr>
          <w:rFonts w:ascii="arial" w:eastAsia="arial" w:hAnsi="arial" w:cs="arial"/>
          <w:color w:val="000000"/>
          <w:sz w:val="20"/>
          <w:lang w:val="en-US" w:eastAsia="en-US" w:bidi="ar-SA"/>
        </w:rPr>
        <w:t xml:space="preserve"> of the defendant's liability can reasonably be determined without proof by class members. And, as the Divisional Court observed, it would be open to a common issues judge to determine that there was a base amount of damages that any member of the class (or subclass) was entitled to as compensation for breach of his or her rights. It wrote, at para. 73, that "[i]t does not require an individual assessment of each person's situation to determine that, if anyone is unlawfully detained in breach of their rights at common law or under s. 9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 minimum award of damages in a certain amount is justified."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the Ontario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So, since it is open to the trial judge in this case to consider whether, following a determination of liability, there is a base amount of damages for any member of a class or sub-class concerning any of the alleged torts 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the assessment of damages does not inevitably require an individual assessment of each person's situation. As noted in the excerpt from </w:t>
      </w:r>
      <w:r>
        <w:rPr>
          <w:rFonts w:ascii="arial" w:eastAsia="arial" w:hAnsi="arial" w:cs="arial"/>
          <w:i/>
          <w:color w:val="000000"/>
          <w:sz w:val="20"/>
          <w:lang w:val="en-US" w:eastAsia="en-US" w:bidi="ar-SA"/>
        </w:rPr>
        <w:t>Pro-Sys</w:t>
      </w:r>
      <w:r>
        <w:rPr>
          <w:rFonts w:ascii="arial" w:eastAsia="arial" w:hAnsi="arial" w:cs="arial"/>
          <w:color w:val="000000"/>
          <w:sz w:val="20"/>
          <w:lang w:val="en-US" w:eastAsia="en-US" w:bidi="ar-SA"/>
        </w:rPr>
        <w:t xml:space="preserve"> quoted above, that is an issue that should be left to the trial judge.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Conclusion on Certification Issues Relating to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summary, I do not find anything arising from the amendments that causes me to change my opinion on suitability for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Sub-Classes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noted in the May reasons (at para. 76), the plaintiff said the issues of non-resident class members and the differing conditions prevailing during the lockdown in the prison's four distinct units could be dealt with by creating sub-classes. I agreed with that submission, and commented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I am satisfied that the class definition is appropriate and that the issues of non-resident class members and differing conditions on the institution's four units can be appropriately managed by creating sub-classes as proposed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However, in the plaintiff's current submissions nothing was said about sub-classes, and the proposed revised common issues make no mention of sub-classes. Simply put, sub-classes are necessary here. Section 6(2)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requires that a class that comprises both residents of British Columbia as well as non-residents </w:t>
      </w:r>
      <w:r>
        <w:rPr>
          <w:rFonts w:ascii="arial" w:eastAsia="arial" w:hAnsi="arial" w:cs="arial"/>
          <w:i/>
          <w:color w:val="000000"/>
          <w:sz w:val="20"/>
          <w:lang w:val="en-US" w:eastAsia="en-US" w:bidi="ar-SA"/>
        </w:rPr>
        <w:t>must be</w:t>
      </w:r>
      <w:r>
        <w:rPr>
          <w:rFonts w:ascii="arial" w:eastAsia="arial" w:hAnsi="arial" w:cs="arial"/>
          <w:color w:val="000000"/>
          <w:sz w:val="20"/>
          <w:lang w:val="en-US" w:eastAsia="en-US" w:bidi="ar-SA"/>
        </w:rPr>
        <w:t xml:space="preserve"> divided into sub-classes. This is a separate issue from the residency requirement for the representative plaintiff prescribed by s. 2(1)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which was addressed in the May reasons. That requirement was satisfied because Mr. Ewert was a resident of British Columbia at the time the action was commenced. The s. 6(2) requirement for sub-classes must still be addressed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addition, as the foregoing excerpt from the May reasons shows, I concluded there should also be sub-classes to reflect the differing conditions between the prison's four units. This too has not been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can be no certification until sub-classes are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application for certification cannot be dealt with until he addresses the issue of sub-classes and amends the proposed common issues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M.B. BLOK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Felix v. Insurance Corp. of British Columbia, [2014] I.L.R. para. I-5558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Saunders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February 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S24034</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[2014] I.L.R. para. I-5558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[2014] B.C.J. No. 182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2014 BCSC 166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Marnetta Lynn Felix Plaintiff v. Insurance Corporation of British Columbia Defendant</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 w:name="Keywords_1"/>
      <w:bookmarkEnd w:id="14"/>
      <w:r>
        <w:rPr>
          <w:rFonts w:ascii="arial" w:eastAsia="arial" w:hAnsi="arial" w:cs="arial"/>
          <w:b/>
          <w:color w:val="000000"/>
          <w:sz w:val="20"/>
          <w:lang w:val="en-US" w:eastAsia="en-US" w:bidi="ar-SA"/>
        </w:rPr>
        <w:t xml:space="preserve">Automobile insurance — Use of vehicle by passenger — Plaintiff driver was injured when passenger grabbed steering wheel and caused accident in which passenger was killed — Plaintiff obtained over $700,000 judgment against deceased passenger's estate, and sought payment from defendant insurer pursuant to Insurance (Motor Vehicle) Act — Plaintiff submitted indemnity was available under her owner's certificate due to passenger's use of her vehicle as passenger — Insurer argued passenger's act was severable from his role as passenger and his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not a "motorist" tort — Court agreed with insurer — S. 63 and 64 of Regulation permitted finding passenger was making use of vehicle with consent of owner — But when Regulation was read as a whole, if such an interpretation applied, s. 66 (extension of indemnity) would be redundant — Court concluded passenger was therefore not engaged in use of vehicle pursuant to s. 64 — Action dismissed — Insurance (Motor Vehicle) Act, </w:t>
      </w:r>
      <w:hyperlink r:id="rId54" w:history="1">
        <w:r>
          <w:rPr>
            <w:rFonts w:ascii="arial" w:eastAsia="arial" w:hAnsi="arial" w:cs="arial"/>
            <w:b/>
            <w:i/>
            <w:color w:val="0077CC"/>
            <w:sz w:val="20"/>
            <w:u w:val="single"/>
            <w:shd w:val="clear" w:color="auto" w:fill="FFFFFF"/>
            <w:lang w:val="en-US" w:eastAsia="en-US" w:bidi="ar-SA"/>
          </w:rPr>
          <w:t>RSBC 1996, c. 231, s. 21</w:t>
        </w:r>
      </w:hyperlink>
      <w:r>
        <w:rPr>
          <w:rFonts w:ascii="arial" w:eastAsia="arial" w:hAnsi="arial" w:cs="arial"/>
          <w:b/>
          <w:color w:val="000000"/>
          <w:sz w:val="20"/>
          <w:lang w:val="en-US" w:eastAsia="en-US" w:bidi="ar-SA"/>
        </w:rPr>
        <w:t xml:space="preserve"> — Insurance (Vehicle) Regulation, </w:t>
      </w:r>
      <w:hyperlink r:id="rId55" w:history="1">
        <w:r>
          <w:rPr>
            <w:rFonts w:ascii="arial" w:eastAsia="arial" w:hAnsi="arial" w:cs="arial"/>
            <w:b/>
            <w:i/>
            <w:color w:val="0077CC"/>
            <w:sz w:val="20"/>
            <w:u w:val="single"/>
            <w:shd w:val="clear" w:color="auto" w:fill="FFFFFF"/>
            <w:lang w:val="en-US" w:eastAsia="en-US" w:bidi="ar-SA"/>
          </w:rPr>
          <w:t>BC Reg. 447/83, s. 63</w:t>
        </w:r>
      </w:hyperlink>
      <w:r>
        <w:rPr>
          <w:rFonts w:ascii="arial" w:eastAsia="arial" w:hAnsi="arial" w:cs="arial"/>
          <w:b/>
          <w:color w:val="000000"/>
          <w:sz w:val="20"/>
          <w:lang w:val="en-US" w:eastAsia="en-US" w:bidi="ar-SA"/>
        </w:rPr>
        <w:t>, 64, 66.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 w:name="Case Summary_1"/>
            <w:bookmarkEnd w:id="15"/>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 July 2006, the plaintiff was driving her vehicle when her passenger grabbed the steering wheel and caused a serious accident; the passenger was killed and the plaintiff was injured. The plaintiff obtained judgment against the deceased's estate for $791,950. She sought to have the judgment paid by the defendant insurer pursuant to section 21 of the former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The plaintiff submitted that indemnity could be provided under her owner's certificate as a result of the deceased's use of her vehicle as a passenger. The insurer responded that the passenger's act of grabbing the steering wheel was severable from his role as a passenger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a "motorist" tort. The plaintiff also argued that a finding against her would be contrary to public policy, as it would leave an injured designated driver without any means of compensation. The issue was whether a passenger who intentionally interferes with the driver could be considered to be using or operating the vehicle such that the passenger is covered by third-party automobile liability insurance.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 w:name="Holdings of Court_1"/>
            <w:bookmarkEnd w:id="16"/>
            <w:r>
              <w:rPr>
                <w:rFonts w:ascii="arial" w:eastAsia="arial" w:hAnsi="arial" w:cs="arial"/>
                <w:color w:val="000000"/>
                <w:sz w:val="20"/>
                <w:lang w:val="en-US" w:eastAsia="en-US" w:bidi="ar-SA"/>
              </w:rPr>
              <w:t>HELD: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held that if it were to read sections 63 and 64 of the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(the "Regulation"), which dealt with third-party liability, in isolation, it would find that the passenger was making use of the vehicle with the consent of the owner. The word "uses" was broad enough to cover the passive use of a vehicle by a passenger as a means of conveyance. This interpretation was consistent with both the purpose and causation tests stated in the relevant case law. However, when the Court viewed the Regulation as a whole, that interpretation was incompatible with section 66 of the Regulation. Section 66 explicitly extends indemnity to a passenger who causes injury or death to a person not occupying the vehicle, by operating part of the vehicle while the vehicle was being operated by an insured. The Court found that if section 64 were interpreted such that every passenger was deemed to be using a vehicle, then section 66 would be redundant. The Court concluded that the passenger was therefore not engaged in the use of the vehicle pursuant to section 64. The consequence of this interpretation for designated drivers was a matter for the government.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 w:name="Counsel_1"/>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MacAdams, QC, M. Thornton, and P. Thornton for the plaintiff; D. James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 w:name="Judgment_1"/>
      <w:bookmarkEnd w:id="18"/>
      <w:r>
        <w:pict>
          <v:line id="_x0000_s1037" style="position:absolute;z-index:2517626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 w:name="A. SAUNDERS J."/>
            <w:bookmarkEnd w:id="19"/>
            <w:r>
              <w:rPr>
                <w:rFonts w:ascii="arial" w:eastAsia="arial" w:hAnsi="arial" w:cs="arial"/>
                <w:b/>
                <w:color w:val="000000"/>
                <w:sz w:val="30"/>
                <w:lang w:val="en-US" w:eastAsia="en-US" w:bidi="ar-SA"/>
              </w:rPr>
              <w:t>A. SAUNDERS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When a passenger in a motor vehicle intentionally interferes with the vehicle driver, is the passenger using or operating the motor vehicle such that his or her actions are covered by motor vehicle third party liability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Ms. Marnetta Felix, suffered significant injuries in a single-vehicle accident on July 8, 2006. Ms. Felix was driving her vehicle, travelling eastbound on Highway No. 1. Her boyfriend, the late Mr. Kevin Hearne, was in the right front passenger seat. Mr. Hearne grabbed the steering wheel, Ms. Felix lost control and the vehicle left the highway and came to rest overturned. Mr. Hearne was killed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Felix sued Mr. Hearne's estate and ultimately obtained judgment in the amount of $791,950 and costs. The Insurance Corporation of British Columbia ("ICBC") was put on notice of the proceedings but declined to participate.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Ms. Felix now seeks to have the judgment amount paid by ICBC pursuant to s. 21 of the former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the day of the accident Ms. Felix and Mr. Hearne had been at a soccer tournament. After his last game of the day, Mr. Hearne went to a concession and began drinking beer. Over the next two hours or more Mr. Hearne continued to drink, to the point that he became very intoxicated. At one point, he saw that Ms. Felix had her arm around another man. Mr. Hearne approached them. He looked angry, as if he wanted to start an argument. Ms. Felix decided that they had better leave, and she got into the driver's seat of her car, which she was the registered owner of, with Mr. Hearne taking the front passenger seat. At that point Ms. Felix was anticipating an argument; she could see from the expression on his face how angry he was. There had been previous occasions during their relationship when Mr. Hearne had had jealous outbursts and the two of them had gotten into big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They drove out of the grounds where the tournament was being held and proceeded along a road leading to Highway 1. They began arguing. The argument was purely verbal.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Felix reached a stretch of road that was winding and uphill. Her speed slowed to about 30 or 40 km/h. They were still arguing at that point. Mr. Hearne suddenly reached over, grabbed the steering wheel, and then let go of it immediately. Ms. Felix said something to him like, "What the hell are you doing?" Seconds later, he grabbed the steering wheel again, and again let go of it immediately. She repeated her remark.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Neither of these incidents affected the movement of the vehicle, or caused it to move to the left or the right. Ms. Felix's impression was that Mr. Hearne had grabbed the wheel to scare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They then merged onto Highway 1, and began heading east towards Chilliwack.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examined for discovery on August 15, 2012, Ms. Felix deposed that she could not remember whether the argument continued as they travelled along Highway 1; however, in a statement given to the police on July 30, 2006, again in a written statement given to an insurance adjuster in August 2006, and in an affidavit she swore in April 2009, Ms. Felix stated that she and Mr. Hearne continued to argue as they drove along the freeway. I find that to have been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Suddenly - Ms. Felix estimates approximately 15 minutes after the second incident when he grabbed the wheel - Mr. Hearne reached across and grabbed the steering wheel again. This time he did not let go. Her last continuous memory is of the vehicle moving toward the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Her next memory is of seeing people looking down at her. Mr. Hearne was next to her, upside down. He was unresponsive. He died at the scene, or shortly thereafter. Ms. Felix was hospitalized.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Felix commenced an action in this court for damages against Kevin Terrance Hearne, Deceased, by way of a Writ of Summons and Statement of Claim filed March 5, 2008 (the "Damages Action"). ICBC was duly notified of the Damages Action and was advised throughout of steps being taken by counsel for Ms. Felix to prosecute her claim, but declined to participate.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June 12, 2008 Master Caldwell ordered that the wife of the deceased be appointed to represent the estate of the deceased for all purposes of the action. An Appearance and a Statement of Defence were filed four days later, June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June 8, 2009 Mr. Justice Joyce ordered that the style of cause in the Damages Action be amended to name as defendants Kevin Terrance Hearne, Deceased and The Estate of Kevin Terrance Hearne, Deceased, and he granted judgment in favour of the plaintiff, with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trial assessment of damages was heard over four days in February 2011 before Mr. Justice Grist. By way of Reasons for Judgment given September 15, 2011 (indexed at </w:t>
      </w:r>
      <w:hyperlink r:id="rId56"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 the plaintiff was awarded damages of $791,950. (The higher total damages given in those Reasons reflects a mistake in addition, which was corrected in the final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December 1, 2011, Registrar Cameron assessed costs in the amount of $71,292.63.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therefore, seeks in the present action to recover from ICBC the total amount of $863,242.63, plus post-judgment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Recovery from ICBC is claimed under s. 21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(the "Act"). At the time of the subject accident, the Act had been amended and renamed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but the amendments had not yet come into force. Pursuant to the transition provisions in s. 81 of the </w:t>
      </w:r>
      <w:r>
        <w:rPr>
          <w:rFonts w:ascii="arial" w:eastAsia="arial" w:hAnsi="arial" w:cs="arial"/>
          <w:i/>
          <w:color w:val="000000"/>
          <w:sz w:val="20"/>
          <w:lang w:val="en-US" w:eastAsia="en-US" w:bidi="ar-SA"/>
        </w:rPr>
        <w:t>Insurance (Motor Vehicle) Amendment Act</w:t>
      </w:r>
      <w:r>
        <w:rPr>
          <w:rFonts w:ascii="arial" w:eastAsia="arial" w:hAnsi="arial" w:cs="arial"/>
          <w:color w:val="000000"/>
          <w:sz w:val="20"/>
          <w:lang w:val="en-US" w:eastAsia="en-US" w:bidi="ar-SA"/>
        </w:rPr>
        <w:t xml:space="preserve">, S.B.C.2003 c. 94, the Act and the </w:t>
      </w:r>
      <w:r>
        <w:rPr>
          <w:rFonts w:ascii="arial" w:eastAsia="arial" w:hAnsi="arial" w:cs="arial"/>
          <w:i/>
          <w:color w:val="000000"/>
          <w:sz w:val="20"/>
          <w:lang w:val="en-US" w:eastAsia="en-US" w:bidi="ar-SA"/>
        </w:rPr>
        <w:t>Revised Regulation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(1984)</w:t>
      </w:r>
      <w:r>
        <w:rPr>
          <w:rFonts w:ascii="arial" w:eastAsia="arial" w:hAnsi="arial" w:cs="arial"/>
          <w:color w:val="000000"/>
          <w:sz w:val="20"/>
          <w:lang w:val="en-US" w:eastAsia="en-US" w:bidi="ar-SA"/>
        </w:rPr>
        <w:t xml:space="preserve"> thereto, </w:t>
      </w:r>
      <w:hyperlink r:id="rId57"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(the "Revised Regulation"), were to continue to apply to insurance in place before the amendments came into force. Both parties agree that the former Act and Revised Regulation apply to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Section 21(1) of the Act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(1) Even though he or she does not have a contractual relationship with the corporation, a person having a claim against an insured for which indemnity is provided by an owner's certificate under a plan or part of a plan is entitled, on recovering judgment against the insured or settlement with the corporation, to have the insurance money payable under a plan or part of a applied toward his or her judgment or the settlement and toward any other judgments or claims against the insured covered by the indemnity; and he or she may, if a settlement is not made, on behalf of himself or herself and all persons having judgments or claims, maintain an action against the corporation to have the insurance money so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issue in the present case is whether Ms. Felix's claim against Mr. Hearn is one for which indemnity is provided by an owner's certificate. "Owner's certificate" is a defined in the Act as "a certificate issued under this Act or the regulations to an owner" (s.1). An "owner" is defined in the Act as "the person in whose name a motor vehicle or trailer is registered and licensed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Commercial Transport Act</w:t>
      </w:r>
      <w:r>
        <w:rPr>
          <w:rFonts w:ascii="arial" w:eastAsia="arial" w:hAnsi="arial" w:cs="arial"/>
          <w:color w:val="000000"/>
          <w:sz w:val="20"/>
          <w:lang w:val="en-US" w:eastAsia="en-US" w:bidi="ar-SA"/>
        </w:rPr>
        <w:t>" (s.1).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has pleaded in the alternative that the claim is one for which indemnity was provided by a driver's certificate, that being the liability insurance deemed by the provisions of Part 4 of the Revised Regulation to be incorporated into Mr. Hearne's British Columbia driver's license. That position, however, does not assist the plaintiff, as the operation of s.21 does not extend to claims under a driver's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scope of third party liability insurance provided under owner's certificates was set out in Part 6 of the Revised Regulation. The salient provisions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Interpretation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In this Part, "insured" means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named as an owner in an owner's certificate,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individual who, with the consent of the owner or while a member of the owner's household, uses or operates the vehicle described in the owner's certificate,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Indemnity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Subject to section 67, the corporation shall indemnify an insured for liability imposed on the insured by law for injury or death of another or loss or damage to property of another that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arises out of the use or operation by the insured of a vehicle described in an owner's certificate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Extension of indemnity to passenger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Indemnity under this Part is extended to a passenger in a vehicle described in an owner's certificate who, by operating any part of the vehicle while the vehicle is being operated by an insured, causes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or death to a person who is not an occupant of the vehicle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Principles of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provisions of the Act and the Revised Regulation are of course subject to the usual rules of statutory interpretation, not the least of which is the requirement set out in section 8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enactment must be construed as being remedial, and must be given such fair, large and liberal construction and interpretation as best ensure the attainment of its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However, as these statutory provisions also create an insurance contract, the rules of interpreting insurance contracts may come into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One such rule is the principle that ambiguities in an insurance contract are to be interpreted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against the interests of the underwriter responsible for the wording. This rule is often viewed as having no place in the interpretation of insurance contract terms mandated by statute: see for example </w:t>
      </w:r>
      <w:r>
        <w:rPr>
          <w:rFonts w:ascii="arial" w:eastAsia="arial" w:hAnsi="arial" w:cs="arial"/>
          <w:i/>
          <w:color w:val="000000"/>
          <w:sz w:val="20"/>
          <w:lang w:val="en-US" w:eastAsia="en-US" w:bidi="ar-SA"/>
        </w:rPr>
        <w:t>Madill v. Chu</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[1977] 2 S.C.R. 400</w:t>
        </w:r>
      </w:hyperlink>
      <w:r>
        <w:rPr>
          <w:rFonts w:ascii="arial" w:eastAsia="arial" w:hAnsi="arial" w:cs="arial"/>
          <w:color w:val="000000"/>
          <w:sz w:val="20"/>
          <w:lang w:val="en-US" w:eastAsia="en-US" w:bidi="ar-SA"/>
        </w:rPr>
        <w:t xml:space="preserve">, per Ritchie J. at p. 410, and per Spence J. (dissenting on other grounds) at p. 405; and </w:t>
      </w:r>
      <w:r>
        <w:rPr>
          <w:rFonts w:ascii="arial" w:eastAsia="arial" w:hAnsi="arial" w:cs="arial"/>
          <w:i/>
          <w:color w:val="000000"/>
          <w:sz w:val="20"/>
          <w:lang w:val="en-US" w:eastAsia="en-US" w:bidi="ar-SA"/>
        </w:rPr>
        <w:t>Squire v. Insurance Corp. of British Columbia</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(1990), 44 B.C.L.R. (2d) 65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Another rule, sometimes described as a corollary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(e.g. in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at para. 70), is that coverage provisions should be construed broadly in favour of the insured, and exclusion provisions narrowly against the insurer. In his dissenting judgement in </w:t>
      </w:r>
      <w:r>
        <w:rPr>
          <w:rFonts w:ascii="arial" w:eastAsia="arial" w:hAnsi="arial" w:cs="arial"/>
          <w:i/>
          <w:color w:val="000000"/>
          <w:sz w:val="20"/>
          <w:lang w:val="en-US" w:eastAsia="en-US" w:bidi="ar-SA"/>
        </w:rPr>
        <w:t>Madill</w:t>
      </w:r>
      <w:r>
        <w:rPr>
          <w:rFonts w:ascii="arial" w:eastAsia="arial" w:hAnsi="arial" w:cs="arial"/>
          <w:color w:val="000000"/>
          <w:sz w:val="20"/>
          <w:lang w:val="en-US" w:eastAsia="en-US" w:bidi="ar-SA"/>
        </w:rPr>
        <w:t>, Spence J. indicated that this principle could be applied to statutory insurance language (at p. 405):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Arnup J.A. accepted as an alternative argument in favour of the contention of the plaintiff, the respondent in the Court of Appeal and in this Court, the application of the well-known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However, as I have pointed out, the words in the insurance policy are the exact words which appear in </w:t>
      </w:r>
      <w:r>
        <w:rPr>
          <w:rFonts w:ascii="arial" w:eastAsia="arial" w:hAnsi="arial" w:cs="arial"/>
          <w:i/>
          <w:color w:val="000000"/>
          <w:sz w:val="20"/>
          <w:lang w:val="en-US" w:eastAsia="en-US" w:bidi="ar-SA"/>
        </w:rPr>
        <w:t>The Insurance Act</w:t>
      </w:r>
      <w:r>
        <w:rPr>
          <w:rFonts w:ascii="arial" w:eastAsia="arial" w:hAnsi="arial" w:cs="arial"/>
          <w:color w:val="000000"/>
          <w:sz w:val="20"/>
          <w:lang w:val="en-US" w:eastAsia="en-US" w:bidi="ar-SA"/>
        </w:rPr>
        <w:t xml:space="preserve"> and their inclusion in the standard automobile policy is directed by the provision of the statute I have quoted. Under those circumstances, I agree with the view expressed by Henry J. in </w:t>
      </w:r>
      <w:r>
        <w:rPr>
          <w:rFonts w:ascii="arial" w:eastAsia="arial" w:hAnsi="arial" w:cs="arial"/>
          <w:i/>
          <w:color w:val="000000"/>
          <w:sz w:val="20"/>
          <w:lang w:val="en-US" w:eastAsia="en-US" w:bidi="ar-SA"/>
        </w:rPr>
        <w:t>Linsley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Co-operators Insurance Association of Guelph,</w:t>
      </w:r>
      <w:r>
        <w:rPr>
          <w:rFonts w:ascii="arial" w:eastAsia="arial" w:hAnsi="arial" w:cs="arial"/>
          <w:color w:val="000000"/>
          <w:sz w:val="20"/>
          <w:lang w:val="en-US" w:eastAsia="en-US" w:bidi="ar-SA"/>
        </w:rPr>
        <w:t xml:space="preserve"> [1975] I.L.R. 1206 at p. 1210. But, apart altogether from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it is sound construction of a contract to construe the provision thereof broadly and the exclusions thereof narrowly.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Further, in </w:t>
      </w:r>
      <w:r>
        <w:rPr>
          <w:rFonts w:ascii="arial" w:eastAsia="arial" w:hAnsi="arial" w:cs="arial"/>
          <w:i/>
          <w:color w:val="000000"/>
          <w:sz w:val="20"/>
          <w:lang w:val="en-US" w:eastAsia="en-US" w:bidi="ar-SA"/>
        </w:rPr>
        <w:t>July v. Neal</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(1986), 32 D.L.R. (4th) 463</w:t>
        </w:r>
      </w:hyperlink>
      <w:r>
        <w:rPr>
          <w:rFonts w:ascii="arial" w:eastAsia="arial" w:hAnsi="arial" w:cs="arial"/>
          <w:color w:val="000000"/>
          <w:sz w:val="20"/>
          <w:lang w:val="en-US" w:eastAsia="en-US" w:bidi="ar-SA"/>
        </w:rPr>
        <w:t xml:space="preserve"> (Ont. C.A.), at 469; </w:t>
      </w:r>
      <w:hyperlink r:id="rId61" w:history="1">
        <w:r>
          <w:rPr>
            <w:rFonts w:ascii="arial" w:eastAsia="arial" w:hAnsi="arial" w:cs="arial"/>
            <w:i/>
            <w:color w:val="0077CC"/>
            <w:sz w:val="20"/>
            <w:u w:val="single"/>
            <w:shd w:val="clear" w:color="auto" w:fill="FFFFFF"/>
            <w:lang w:val="en-US" w:eastAsia="en-US" w:bidi="ar-SA"/>
          </w:rPr>
          <w:t>57 O.R. (2d) 129</w:t>
        </w:r>
      </w:hyperlink>
      <w:r>
        <w:rPr>
          <w:rFonts w:ascii="arial" w:eastAsia="arial" w:hAnsi="arial" w:cs="arial"/>
          <w:color w:val="000000"/>
          <w:sz w:val="20"/>
          <w:lang w:val="en-US" w:eastAsia="en-US" w:bidi="ar-SA"/>
        </w:rPr>
        <w:t>, at 135, the majority judgment expressed support for the notion that in cases of doubt, statutory provisions should be interpreted in the insured's favour: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Insurance policies are statutory contracts and the wording of the terms as in the instant case normally are not the words of the insurer but the words of the statute or of the regulation. To such terms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does not apply. However, the insurance industry is consulted and does have input with regard to legislation affecting the industry. The individual insured has none. His role is to pay the premium for the expected indemnity. It appears to me that if there is doubt in the legislation establishing and governing the cover, and there are two possible interpretations of any aspect of the cover, the one more favourable to the insured should govern.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July</w:t>
      </w:r>
      <w:r>
        <w:rPr>
          <w:rFonts w:ascii="arial" w:eastAsia="arial" w:hAnsi="arial" w:cs="arial"/>
          <w:color w:val="000000"/>
          <w:sz w:val="20"/>
          <w:lang w:val="en-US" w:eastAsia="en-US" w:bidi="ar-SA"/>
        </w:rPr>
        <w:t xml:space="preserve"> was cited approvingly in </w:t>
      </w:r>
      <w:r>
        <w:rPr>
          <w:rFonts w:ascii="arial" w:eastAsia="arial" w:hAnsi="arial" w:cs="arial"/>
          <w:i/>
          <w:color w:val="000000"/>
          <w:sz w:val="20"/>
          <w:lang w:val="en-US" w:eastAsia="en-US" w:bidi="ar-SA"/>
        </w:rPr>
        <w:t>Somersall v. Friedman</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2002 SCC 59</w:t>
        </w:r>
      </w:hyperlink>
      <w:r>
        <w:rPr>
          <w:rFonts w:ascii="arial" w:eastAsia="arial" w:hAnsi="arial" w:cs="arial"/>
          <w:color w:val="000000"/>
          <w:sz w:val="20"/>
          <w:lang w:val="en-US" w:eastAsia="en-US" w:bidi="ar-SA"/>
        </w:rPr>
        <w:t>, both in the majority judgment of Iacobucci J. at para. 47, and in the minority decision of Binnie J. at para.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Accordingly, if I were to have any doubt as to the legislative intent behind the relevant sections of the Act and the Revised Regulation, I would resolve that doubt in favour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their arguments, counsel cited a great number of cases involving consideration of what constitutes use or operation of a motor vehicle, in the context of both first-party accident benefit coverage and third-party legal liability insurance. The analysis found in the older cases, in my respectful view, has largely been supplanted by the reasoning of the Supreme Court of Canada in two decisions released on the same day, both of which were written by Binnie J.: </w:t>
      </w:r>
      <w:r>
        <w:rPr>
          <w:rFonts w:ascii="arial" w:eastAsia="arial" w:hAnsi="arial" w:cs="arial"/>
          <w:i/>
          <w:color w:val="000000"/>
          <w:sz w:val="20"/>
          <w:lang w:val="en-US" w:eastAsia="en-US" w:bidi="ar-SA"/>
        </w:rPr>
        <w:t>Vytlingam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Citadel General Assurance Co. v. Vytlingam</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2007 SCC 46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Herbison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Lumbermans Mutual Casualty Co. v. Herbison</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2007 SCC 47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With that caveat, I must also say that I have throughout my deliberations been mindful of a comment made by Southin J.A. in </w:t>
      </w:r>
      <w:r>
        <w:rPr>
          <w:rFonts w:ascii="arial" w:eastAsia="arial" w:hAnsi="arial" w:cs="arial"/>
          <w:i/>
          <w:color w:val="000000"/>
          <w:sz w:val="20"/>
          <w:lang w:val="en-US" w:eastAsia="en-US" w:bidi="ar-SA"/>
        </w:rPr>
        <w:t>Paulus v. Robinson</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(1991), 60 B.C.L.R. (2d) 116</w:t>
        </w:r>
      </w:hyperlink>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84 D.L.R. (4th) 756</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 "use" as a verb has so many shades of meaning that to consult the dictionary is of no help. Nor, for that matter, does one get much help in answering the question from the many authorities cited by counsel arising on different facts, many of which have to do with the construction of exclusion clauses in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Both </w:t>
      </w:r>
      <w:r>
        <w:rPr>
          <w:rFonts w:ascii="arial" w:eastAsia="arial" w:hAnsi="arial" w:cs="arial"/>
          <w:i/>
          <w:color w:val="000000"/>
          <w:sz w:val="20"/>
          <w:lang w:val="en-US" w:eastAsia="en-US" w:bidi="ar-SA"/>
        </w:rPr>
        <w:t>Vytlingam</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Herbison</w:t>
      </w:r>
      <w:r>
        <w:rPr>
          <w:rFonts w:ascii="arial" w:eastAsia="arial" w:hAnsi="arial" w:cs="arial"/>
          <w:color w:val="000000"/>
          <w:sz w:val="20"/>
          <w:lang w:val="en-US" w:eastAsia="en-US" w:bidi="ar-SA"/>
        </w:rPr>
        <w:t xml:space="preserve"> deal with the application, to liability insurance cases, of a two-part test for "use and operation" first formulated by Major J. in </w:t>
      </w:r>
      <w:r>
        <w:rPr>
          <w:rFonts w:ascii="arial" w:eastAsia="arial" w:hAnsi="arial" w:cs="arial"/>
          <w:i/>
          <w:color w:val="000000"/>
          <w:sz w:val="20"/>
          <w:lang w:val="en-US" w:eastAsia="en-US" w:bidi="ar-SA"/>
        </w:rPr>
        <w:t>Amos v. Insurance Corp. of British Columbia</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[1995] 3 S.C.R. 405</w:t>
        </w:r>
      </w:hyperlink>
      <w:r>
        <w:rPr>
          <w:rFonts w:ascii="arial" w:eastAsia="arial" w:hAnsi="arial" w:cs="arial"/>
          <w:color w:val="000000"/>
          <w:sz w:val="20"/>
          <w:lang w:val="en-US" w:eastAsia="en-US" w:bidi="ar-SA"/>
        </w:rPr>
        <w:t>. In both cases, the Ontario Court of Appeal had found in favour of the injured plaintiffs, and the Supreme Court of Canada reversed, holding in favour of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background to the claim of the Vytlingams is set out at paragraph 2 of the Supreme Court of Canada's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respondents, who are Ontario residents, were motoring northwards along Interstate 95 near Fayetteville, North Carolina, when their vehicle was struck by a large boulder dropped from an overpass by two local thrill seekers, Todd Farmer and Anthony Raynor, who were high on alcohol and drugs. The respondent Michael Vytlingam received catastrophic injuries as a result of the crime. His mother Chandra and his sister Suzana Vytlingam suffered serious psychological harm. Farmer and Raynor were prosecuted, convicted and received substantial prison sentences.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Farmer was not adequately insured. The wording of the underinsured motorist coverage in the Vytlingams' policy entitled them to claim from their own insurer for indemnity for the amounts they were "legally entitled to recover from an inadequately insured motorist" as damages in respect of injury "arising directly or indirectly from the use or operation of an automobile".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background to the claim of Mr. Herbison is neatly summarized in that judgment's opening sentence: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 it be said that when a hunter steps away from his pick-up truck under cover of darkness, leaving the engine running, and negligently shoots at a target he cannot see 1,000 feet away, and hits a companion in the leg thinking him to be a deer, that the injury arose "directly or indirectly from the use or operation" of the insured truck within the meaning of s. 239(1)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R.S.O. 1990, c. I.8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decisions of the Court of Appeal in these two cases - affirming the decision of the motions judge in </w:t>
      </w:r>
      <w:r>
        <w:rPr>
          <w:rFonts w:ascii="arial" w:eastAsia="arial" w:hAnsi="arial" w:cs="arial"/>
          <w:i/>
          <w:color w:val="000000"/>
          <w:sz w:val="20"/>
          <w:lang w:val="en-US" w:eastAsia="en-US" w:bidi="ar-SA"/>
        </w:rPr>
        <w:t>Vytlingam</w:t>
      </w:r>
      <w:r>
        <w:rPr>
          <w:rFonts w:ascii="arial" w:eastAsia="arial" w:hAnsi="arial" w:cs="arial"/>
          <w:color w:val="000000"/>
          <w:sz w:val="20"/>
          <w:lang w:val="en-US" w:eastAsia="en-US" w:bidi="ar-SA"/>
        </w:rPr>
        <w:t xml:space="preserve">, but allowing the appeal in </w:t>
      </w:r>
      <w:r>
        <w:rPr>
          <w:rFonts w:ascii="arial" w:eastAsia="arial" w:hAnsi="arial" w:cs="arial"/>
          <w:i/>
          <w:color w:val="000000"/>
          <w:sz w:val="20"/>
          <w:lang w:val="en-US" w:eastAsia="en-US" w:bidi="ar-SA"/>
        </w:rPr>
        <w:t>Herbison</w:t>
      </w:r>
      <w:r>
        <w:rPr>
          <w:rFonts w:ascii="arial" w:eastAsia="arial" w:hAnsi="arial" w:cs="arial"/>
          <w:color w:val="000000"/>
          <w:sz w:val="20"/>
          <w:lang w:val="en-US" w:eastAsia="en-US" w:bidi="ar-SA"/>
        </w:rPr>
        <w:t xml:space="preserve"> - had turned on the aforementioned two-part test set out in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xml:space="preserve"> at p. 415:</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same way, while s. 79(1) must not be stretched beyond its plain and ordinary meaning, it ought not to be given a technical construction that defeats the object and insuring intent of the legislation providing coverage. The two-part test to be applied to interpreting this section is: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accident result from the ordinary and well-known activities to which automobiles are put?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there </w:t>
      </w:r>
      <w:r>
        <w:rPr>
          <w:rFonts w:ascii="arial" w:eastAsia="arial" w:hAnsi="arial" w:cs="arial"/>
          <w:color w:val="000000"/>
          <w:sz w:val="20"/>
          <w:u w:val="single"/>
          <w:lang w:val="en-US" w:eastAsia="en-US" w:bidi="ar-SA"/>
        </w:rPr>
        <w:t>some</w:t>
      </w:r>
      <w:r>
        <w:rPr>
          <w:rFonts w:ascii="arial" w:eastAsia="arial" w:hAnsi="arial" w:cs="arial"/>
          <w:color w:val="000000"/>
          <w:sz w:val="20"/>
          <w:lang w:val="en-US" w:eastAsia="en-US" w:bidi="ar-SA"/>
        </w:rPr>
        <w:t xml:space="preserve"> nexus or causal relationship (not necessarily a direct or proximate causal relationship) between the appellant's injuries and the ownership, use or operation of his vehicle, or is the connection between the injuries and the ownership, use or operation of the vehicle merely incidental or fortuitous?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two-part test summarizes the case law interpreting the phrase "arising out of the ownership, use or operation of a vehicle", and encompasses both the "purpose" and "causation" tests posited in the jurisprudence.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Supreme Court of Canada noted at para. 11 of its decision in </w:t>
      </w:r>
      <w:r>
        <w:rPr>
          <w:rFonts w:ascii="arial" w:eastAsia="arial" w:hAnsi="arial" w:cs="arial"/>
          <w:i/>
          <w:color w:val="000000"/>
          <w:sz w:val="20"/>
          <w:lang w:val="en-US" w:eastAsia="en-US" w:bidi="ar-SA"/>
        </w:rPr>
        <w:t>Vytlingam</w:t>
      </w:r>
      <w:r>
        <w:rPr>
          <w:rFonts w:ascii="arial" w:eastAsia="arial" w:hAnsi="arial" w:cs="arial"/>
          <w:color w:val="000000"/>
          <w:sz w:val="20"/>
          <w:lang w:val="en-US" w:eastAsia="en-US" w:bidi="ar-SA"/>
        </w:rPr>
        <w:t xml:space="preserve"> the potential difficulty arising from use of the words "result from" in the first branch of the test, in that it implies an element of causation. The Court states that the difficulty is to be avoided by substituting in the first branch of the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xml:space="preserve"> test the phrase, "Did the accident occur </w:t>
      </w:r>
      <w:r>
        <w:rPr>
          <w:rFonts w:ascii="arial" w:eastAsia="arial" w:hAnsi="arial" w:cs="arial"/>
          <w:i/>
          <w:color w:val="000000"/>
          <w:sz w:val="20"/>
          <w:lang w:val="en-US" w:eastAsia="en-US" w:bidi="ar-SA"/>
        </w:rPr>
        <w:t>in the course of</w:t>
      </w:r>
      <w:r>
        <w:rPr>
          <w:rFonts w:ascii="arial" w:eastAsia="arial" w:hAnsi="arial" w:cs="arial"/>
          <w:color w:val="000000"/>
          <w:sz w:val="20"/>
          <w:lang w:val="en-US" w:eastAsia="en-US" w:bidi="ar-SA"/>
        </w:rPr>
        <w:t xml:space="preserve"> the ordinary and well know,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Vytlingam</w:t>
      </w:r>
      <w:r>
        <w:rPr>
          <w:rFonts w:ascii="arial" w:eastAsia="arial" w:hAnsi="arial" w:cs="arial"/>
          <w:color w:val="000000"/>
          <w:sz w:val="20"/>
          <w:lang w:val="en-US" w:eastAsia="en-US" w:bidi="ar-SA"/>
        </w:rPr>
        <w:t xml:space="preserve">, the majority of the Court of Appeal had held that the first branch of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xml:space="preserve"> - the "purpose test" - was met by the fact that the two tortfeasors, Farmer and Raynor, had used Farmer's vehicle to transport them and the rocks they used to the overpass. As the motions judge had held, transporting goods is a common and ordinary use of a vehicle. The second branch - the "causation test" - was held to have been satisfied by the finding that the use of Farmer's vehicle was not merely incidental or fortuitous, but was essential both to the transporting of the boulders to the overpass, and to the tortfeasors' escape.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Herbison</w:t>
      </w:r>
      <w:r>
        <w:rPr>
          <w:rFonts w:ascii="arial" w:eastAsia="arial" w:hAnsi="arial" w:cs="arial"/>
          <w:color w:val="000000"/>
          <w:sz w:val="20"/>
          <w:lang w:val="en-US" w:eastAsia="en-US" w:bidi="ar-SA"/>
        </w:rPr>
        <w:t xml:space="preserve"> the majority of the Court of Appeal had held the purpose test to have been satisfied by the fact that the hunter who had discharged his rifle, Mr. Wolfe, had used his truck to travel to the hunting site; had needed to use his truck to drive across a field, as he was partially disabled; and had, though not intentionally, made use of his vehicle headlights to illuminate the scene. These were all held to be ordinary uses of a truck. The use of the truck was more than merely incidental, and created a causal relationship sufficient to satisfy the causation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both these cases, the Supreme Court of Canada held that the Court of Appeal's application of the purpose test had been appropriate, but found fault with its application of the causation test. In </w:t>
      </w:r>
      <w:r>
        <w:rPr>
          <w:rFonts w:ascii="arial" w:eastAsia="arial" w:hAnsi="arial" w:cs="arial"/>
          <w:i/>
          <w:color w:val="000000"/>
          <w:sz w:val="20"/>
          <w:lang w:val="en-US" w:eastAsia="en-US" w:bidi="ar-SA"/>
        </w:rPr>
        <w:t>Vytlingam</w:t>
      </w:r>
      <w:r>
        <w:rPr>
          <w:rFonts w:ascii="arial" w:eastAsia="arial" w:hAnsi="arial" w:cs="arial"/>
          <w:color w:val="000000"/>
          <w:sz w:val="20"/>
          <w:lang w:val="en-US" w:eastAsia="en-US" w:bidi="ar-SA"/>
        </w:rPr>
        <w:t>, it held, the focus ought to have been on "whether the chain of causation linking the claimed loss or injuries to the use and operation of [the tortfeasor's] motor vehicle, which is shown to be more than simply fortuitous or 'but for', is unbroken" (at para. 12). Binnie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While the use of Farmer's car "in some manner" contributed to Farmer's ability to commit the tort that caused the Vytlingams' injuries, such contribution does not mean the tort was committed in his capacity as an at-fault "motorist" within the meaning of the OPCF 44R endorsement. In the words of Rand J. in </w:t>
      </w:r>
      <w:r>
        <w:rPr>
          <w:rFonts w:ascii="arial" w:eastAsia="arial" w:hAnsi="arial" w:cs="arial"/>
          <w:i/>
          <w:color w:val="000000"/>
          <w:sz w:val="20"/>
          <w:lang w:val="en-US" w:eastAsia="en-US" w:bidi="ar-SA"/>
        </w:rPr>
        <w:t>Stevenson v. Reliance Petroleum Ltd.</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[1956] S.C.R. 936</w:t>
        </w:r>
      </w:hyperlink>
      <w:r>
        <w:rPr>
          <w:rFonts w:ascii="arial" w:eastAsia="arial" w:hAnsi="arial" w:cs="arial"/>
          <w:color w:val="000000"/>
          <w:sz w:val="20"/>
          <w:lang w:val="en-US" w:eastAsia="en-US" w:bidi="ar-SA"/>
        </w:rPr>
        <w:t>, "the question is whether we have . . . a severable activity" (p. 940). In the present case rock throwing was an activity entirely severable from the use or operation of the Farmer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 As stated earlier, coverage under the OPCF 44R is dependent on the Vytlingams being able to demonstrate that their claim arose from the ownership of, or directly or indirectly from the use or operation of the Farmer vehicle. It is not enough to demonstrate that "but for" Farmer's car the tort could not have been committed in the way that it was. To suggest that any time a car is used to transport people to the scene of a tort or a crime is sufficient to engage "inadequately insured motorist" coverage stretches the intended coverage until it snaps. The trial judge found that "but for" Farmer's car the tortfeasors could not have transported the rocks weighing 27 and 30 pounds to the scene of the crime, but the insurer's liability turned on the nature of the tort not on the size of the rocks.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The claimant argues that the car was "integral" to this whole operation which was planned to include its use, but the test is concerned with the elements of the tort itself, which here consisted of dropping the rocks from a highway overpass, not transporting rocks across the countryside. As it was put by appellant's counsel, "[n]o amount of carrying rocks all over the country for whatever purpose gives rise to one iota of civil liability. Liability comes from dropping those rocks" (transcript, at p. 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The claimant also puts reliance on the use of the car to escape the crime scene, but by that time the tort giving rise to the liability was complete. The car-related activities are </w:t>
      </w:r>
      <w:r>
        <w:rPr>
          <w:rFonts w:ascii="arial" w:eastAsia="arial" w:hAnsi="arial" w:cs="arial"/>
          <w:i/>
          <w:color w:val="000000"/>
          <w:sz w:val="20"/>
          <w:lang w:val="en-US" w:eastAsia="en-US" w:bidi="ar-SA"/>
        </w:rPr>
        <w:t>severable</w:t>
      </w:r>
      <w:r>
        <w:rPr>
          <w:rFonts w:ascii="arial" w:eastAsia="arial" w:hAnsi="arial" w:cs="arial"/>
          <w:color w:val="000000"/>
          <w:sz w:val="20"/>
          <w:lang w:val="en-US" w:eastAsia="en-US" w:bidi="ar-SA"/>
        </w:rPr>
        <w:t xml:space="preserve"> from the tort. The fact that the word "indirectly" appears in the OPCF 44R is not sufficient to overcome the fact that the tort was an intervening event wholly "severable" from the use and operation of the Farmer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Herbison,</w:t>
      </w:r>
      <w:r>
        <w:rPr>
          <w:rFonts w:ascii="arial" w:eastAsia="arial" w:hAnsi="arial" w:cs="arial"/>
          <w:color w:val="000000"/>
          <w:sz w:val="20"/>
          <w:lang w:val="en-US" w:eastAsia="en-US" w:bidi="ar-SA"/>
        </w:rPr>
        <w:t xml:space="preserve"> Binnie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 Can it be said that Wolfe's negligent shooting was fairly within the risk created by his use or operation of the insured truck, or did the use of the truck merely create an opportunity in time and space for the damage to be inflicted, without any causal connection direct or indirect to the legal basis of Wolfe's tortious liability? Clearly, I think, the latter is the case.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In my view, Cronk J.A. was correct to uphold the finding of the trial judge that the shooting was an act independent of the ownership, use or operation of Wolfe's truck. The approach taken by the majority did not give adequate weight to Wolfe's separate, distinct and intervening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firing the rifle at a target 1,000 feet away that he could not see, and which turned out to be the unfortunate Mr. Herbison. As the Ontario Court of Appeal remarked in </w:t>
      </w:r>
      <w:r>
        <w:rPr>
          <w:rFonts w:ascii="arial" w:eastAsia="arial" w:hAnsi="arial" w:cs="arial"/>
          <w:i/>
          <w:color w:val="000000"/>
          <w:sz w:val="20"/>
          <w:lang w:val="en-US" w:eastAsia="en-US" w:bidi="ar-SA"/>
        </w:rPr>
        <w:t>Alchimowicz v. Continental Insurance Co. of Canada</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(1996), 37 C.C.L.I. (2d) 284</w:t>
        </w:r>
      </w:hyperlink>
      <w:r>
        <w:rPr>
          <w:rFonts w:ascii="arial" w:eastAsia="arial" w:hAnsi="arial" w:cs="arial"/>
          <w:color w:val="000000"/>
          <w:sz w:val="20"/>
          <w:lang w:val="en-US" w:eastAsia="en-US" w:bidi="ar-SA"/>
        </w:rPr>
        <w:t xml:space="preserve">, "[a]s liberally as one may choose to interpret legislation which provides benefits to persons who are injured, it must be remembered that this is automobile legislation" (para. 9).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xml:space="preserve"> itself rejected a simple "but for" test. In para. 21, Major J. quoted with approval from </w:t>
      </w:r>
      <w:r>
        <w:rPr>
          <w:rFonts w:ascii="arial" w:eastAsia="arial" w:hAnsi="arial" w:cs="arial"/>
          <w:i/>
          <w:color w:val="000000"/>
          <w:sz w:val="20"/>
          <w:lang w:val="en-US" w:eastAsia="en-US" w:bidi="ar-SA"/>
        </w:rPr>
        <w:t>Kangas v. Aetna Casualty &amp; Surety Co.</w:t>
      </w:r>
      <w:r>
        <w:rPr>
          <w:rFonts w:ascii="arial" w:eastAsia="arial" w:hAnsi="arial" w:cs="arial"/>
          <w:color w:val="000000"/>
          <w:sz w:val="20"/>
          <w:lang w:val="en-US" w:eastAsia="en-US" w:bidi="ar-SA"/>
        </w:rPr>
        <w:t>, 235 N.W.2d 42 (1975), where the Michigan Court of Appeals stated, at p. 50: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there still must be a causal connection between the injury sustained and the ownership, maintenance or use of the automobile and </w:t>
      </w:r>
      <w:r>
        <w:rPr>
          <w:rFonts w:ascii="arial" w:eastAsia="arial" w:hAnsi="arial" w:cs="arial"/>
          <w:color w:val="000000"/>
          <w:sz w:val="20"/>
          <w:u w:val="single"/>
          <w:lang w:val="en-US" w:eastAsia="en-US" w:bidi="ar-SA"/>
        </w:rPr>
        <w:t>which causal connection is more than incidental, fortuitous or but for</w:t>
      </w:r>
      <w:r>
        <w:rPr>
          <w:rFonts w:ascii="arial" w:eastAsia="arial" w:hAnsi="arial" w:cs="arial"/>
          <w:color w:val="000000"/>
          <w:sz w:val="20"/>
          <w:lang w:val="en-US" w:eastAsia="en-US" w:bidi="ar-SA"/>
        </w:rPr>
        <w:t xml:space="preserve">. [Emphasis added in </w:t>
      </w:r>
      <w:r>
        <w:rPr>
          <w:rFonts w:ascii="arial" w:eastAsia="arial" w:hAnsi="arial" w:cs="arial"/>
          <w:i/>
          <w:color w:val="000000"/>
          <w:sz w:val="20"/>
          <w:lang w:val="en-US" w:eastAsia="en-US" w:bidi="ar-SA"/>
        </w:rPr>
        <w:t>Herbison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 It is simply not enough to find that the use or operation of the tortfeasor's motor vehicle "in </w:t>
      </w:r>
      <w:r>
        <w:rPr>
          <w:rFonts w:ascii="arial" w:eastAsia="arial" w:hAnsi="arial" w:cs="arial"/>
          <w:i/>
          <w:color w:val="000000"/>
          <w:sz w:val="20"/>
          <w:lang w:val="en-US" w:eastAsia="en-US" w:bidi="ar-SA"/>
        </w:rPr>
        <w:t>some manner contributes to or adds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w:t>
      </w:r>
      <w:r>
        <w:rPr>
          <w:rFonts w:ascii="arial" w:eastAsia="arial" w:hAnsi="arial" w:cs="arial"/>
          <w:color w:val="000000"/>
          <w:sz w:val="20"/>
          <w:lang w:val="en-US" w:eastAsia="en-US" w:bidi="ar-SA"/>
        </w:rPr>
        <w:t xml:space="preserve"> the injury"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xml:space="preserve">, at para. 26, cited by Borins J.A., at para. 105). While I agree with the Ontario Court of Appeal that the addition of the "directly or indirectly" language to s. 239 relaxed the causation requirement, nevertheless, </w:t>
      </w:r>
      <w:r>
        <w:rPr>
          <w:rFonts w:ascii="arial" w:eastAsia="arial" w:hAnsi="arial" w:cs="arial"/>
          <w:i/>
          <w:color w:val="000000"/>
          <w:sz w:val="20"/>
          <w:lang w:val="en-US" w:eastAsia="en-US" w:bidi="ar-SA"/>
        </w:rPr>
        <w:t>some</w:t>
      </w:r>
      <w:r>
        <w:rPr>
          <w:rFonts w:ascii="arial" w:eastAsia="arial" w:hAnsi="arial" w:cs="arial"/>
          <w:color w:val="000000"/>
          <w:sz w:val="20"/>
          <w:lang w:val="en-US" w:eastAsia="en-US" w:bidi="ar-SA"/>
        </w:rPr>
        <w:t xml:space="preserve"> causation link must be found and it must constitute a link in an unbroken chain. I agree with the dissenting judgment of Cronk J.A. that here the source of Wolfe's liability to the Herbisons was a tort quite independent of the use and operation of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addition to those two decisions of the Supreme Court of Canada, one other British Columbia decision may be of some relevance, the decision of Chamberlist J. in </w:t>
      </w:r>
      <w:r>
        <w:rPr>
          <w:rFonts w:ascii="arial" w:eastAsia="arial" w:hAnsi="arial" w:cs="arial"/>
          <w:i/>
          <w:color w:val="000000"/>
          <w:sz w:val="20"/>
          <w:lang w:val="en-US" w:eastAsia="en-US" w:bidi="ar-SA"/>
        </w:rPr>
        <w:t>AXA Pacific Ins. Co. v. Elwood</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2000 BCSC 1248</w:t>
        </w:r>
      </w:hyperlink>
      <w:r>
        <w:rPr>
          <w:rFonts w:ascii="arial" w:eastAsia="arial" w:hAnsi="arial" w:cs="arial"/>
          <w:color w:val="000000"/>
          <w:sz w:val="20"/>
          <w:lang w:val="en-US" w:eastAsia="en-US" w:bidi="ar-SA"/>
        </w:rPr>
        <w:t>. This was a petition seeking declarations as to a homeowner insurer's duty to defend its insured in liability actions arising out of a single-vehicle accident. It was alleged in the underlying action that the vehicle operator, one Garcia, had lost control through the negligent act of her passenger, Elwood (the insured), "in her deliberate, intentional, and careless moving or pulling or bumping of the steering wheel of the said motor vehicle" while Garcia was operating it. The insurance policy excluded coverage for claims arising from the ownership, use or operation of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Being mindful of the concern that a liability insurer, whose duty to defend is to be determined with reference to the pleadings, might be at the mercy of the individual who drafted the pleadings, Chamberlist J. invoked "the so-called 'underlying facts exception'" and looked beyond the pleadings to statements made by Elwood and answers given by her and by Garcia on examination for discovery in the underlying action. Those materials revealed a conflict in the evidence of Garcia and Elwood as to whether Elwood's grabbing of the steering wheel was prompted by Elwood's belief that they were going to collide with another vehicle; Elwood said that a collision was imminent, whereas Garcia denied the presence of another vehicle and said that Elwood had grabbed the wheel for no reason. Chamberlist J. proceeded on the basis that whichever was the case, Elwood had intended to alter the path of the Garcia vehicle. He held that Elwood's actions "constituted a use and operation of the vehicle", and that the insurer was not obligated to defend Elwood.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Putting aside the submissions on the extensive series of cases provided to me, many of which deal with different statutes or different insurance policy wordings, the parties' positions, simply put,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says that indemnity may be provided to the estate of Hearne under his insurance on the vehicle he owned - his owner's certificate. Alternatively, it may be provided under the plaintiff's owner's certificate, Hearne having been using the plaintiff's vehicle at the time of the accident - that is, having been making use of it - as a passenger. The definition of an "insured" under the Act and the Revised Regulations is not restricted to drivers. Hearne was a passenger of the vehicle, and his liability to the plaintiff arises directly out of a negligent act committed by him as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further says that this interpretation is sound for reasons of public policy. One means of limiting the incidence of impaired driving is to encourage persons who will be drinking alcohol to have a designated driver who will refrain from alcohol consumption; there is obviously a significant social interest in promoting the use of designated drivers. It is foreseeable that impaired persons may behave foolishly while being driven by a designated driver, and in doing so could distract the driver or interfere in operation of the vehicle. Injury to the designated driver might result. In such a situation, to refuse to extend liability coverage to an impaired passenger on the grounds that his or her use of the vehicle as a passenger is not "use" within the meaning of the Revised Regulation would potentially leave an injured designated driver without any means of obtaining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defendant says that Hearne's act of grabbing the steering wheel is severable from his role as a passenger.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is argued, was not a "motorist tort". The causation test in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xml:space="preserve"> is therefore not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First - though it makes no difference to the outcome - I reject the plaintiff's contention that the estate of Mr. Hearne can obtain indemnity by virtue of Mr. Hearne having been an insured under his own owner's certificate. Section 63(a) of the Revised Regulations does use the indefinite article, defining an insured as a person named in </w:t>
      </w:r>
      <w:r>
        <w:rPr>
          <w:rFonts w:ascii="arial" w:eastAsia="arial" w:hAnsi="arial" w:cs="arial"/>
          <w:color w:val="000000"/>
          <w:sz w:val="20"/>
          <w:u w:val="single"/>
          <w:lang w:val="en-US" w:eastAsia="en-US" w:bidi="ar-SA"/>
        </w:rPr>
        <w:t>an</w:t>
      </w:r>
      <w:r>
        <w:rPr>
          <w:rFonts w:ascii="arial" w:eastAsia="arial" w:hAnsi="arial" w:cs="arial"/>
          <w:color w:val="000000"/>
          <w:sz w:val="20"/>
          <w:lang w:val="en-US" w:eastAsia="en-US" w:bidi="ar-SA"/>
        </w:rPr>
        <w:t xml:space="preserve"> owner's certificate. But it does not refer to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owner's certificate. Reading Part 6 of the Revised Regulation as a whole, the scheme of insurance created thereunder clearly envisages the owner's certificate referenced in s. 63 to be the certificate on the at-fault vehicle, not any certificate on which an at-fault driver may be named. I agree with the defendant's submission that the plaintiff's interpretation of s. 63(a) would lead to an absurdity: having one's own owner's certificate would entitle one to the status of an insured in respect of any motor vehicle, without that vehicle's owner's consent, and without having paid any extra premium. I further agree that indemnity to an insured operating a motor vehicle not described in an owner's certificate issued to the insured is extended by operation of s.65 of the Revised Regulation. To provide indemnity to such an insured through the plaintiff's interpretation would render s. 65 redundant.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Second, I would not find - and it is not contended by the plaintiff - that Mr. Hearne's grabbing of the steering wheel constituted operation of the vehicle, with the meaning of s. 64 of the Revised Regulation. I cannot find on the evidence that Mr. Hearne probably intended to take control or intended to aim the vehicle in any particular direction. Ms. Felix's impression is that in the first two incidents of him grabbing the wheel, Mr. Hearne was simply intending to scare her. Although the final incident was different in that the movement of the vehicle was affected, there is not sufficient evidence for me to infer that Mr. Hearne meant to alter its course. His action interfered with the operation of the vehicle by Ms. Felix, but was not operation in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If I were to consider ss. 63 and 64 in isolation, I would find that Mr. Hearn, as a passenger, was making use of the vehicle, and was doing so with the consent of the owner, Ms. Felix. The word "uses" may normally imply some degree of positive action on the part of the "user", but the word is general enough to cover the passive use of a vehicle by a passenger as a means of conveyance. Read broadly, as a coverage provision of an insurance plan, Mr. Hearne's conduct falls within the scope of those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would find that this interpretation of those sections of the Revised Regulation is consistent with both the purpose test and the causation test as stated in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xml:space="preserve"> and reformulated in </w:t>
      </w:r>
      <w:r>
        <w:rPr>
          <w:rFonts w:ascii="arial" w:eastAsia="arial" w:hAnsi="arial" w:cs="arial"/>
          <w:i/>
          <w:color w:val="000000"/>
          <w:sz w:val="20"/>
          <w:lang w:val="en-US" w:eastAsia="en-US" w:bidi="ar-SA"/>
        </w:rPr>
        <w:t>Vytlingam.</w:t>
      </w:r>
      <w:r>
        <w:rPr>
          <w:rFonts w:ascii="arial" w:eastAsia="arial" w:hAnsi="arial" w:cs="arial"/>
          <w:color w:val="000000"/>
          <w:sz w:val="20"/>
          <w:lang w:val="en-US" w:eastAsia="en-US" w:bidi="ar-SA"/>
        </w:rPr>
        <w:t xml:space="preserve"> Ms. Felix's vehicle was being used for a common, usual purpose. Mr. Hearne's actions were more than incidentally related to his use of the vehicle: he could only interfere with the operation of the vehicle in the manner in which he did while being a passenger, and his negligent conduct was directed towards an essential mechanism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defendant argues that the grabbing of the wheel is severable from Mr. Hearne's status as a passenger. It is fair to say that the type of misconduct Mr. Hearne engaged in is not necessary to the role of being a passenger. That objection, however, may equally apply to some forms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driver - for example, operating a handheld smart phone while driving - and yet no one would contend that liability for such driver actions is not covered. Mr. Hearne's conduct cannot be severed from the fact that he was a passenger; his conduct is intimately connected with his position in the vehicle and his access to the wheel. His irresponsible action is not independent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defendant's interpretation of the phrase "use or operation of a vehicle" is contrary to the reasoning in </w:t>
      </w:r>
      <w:r>
        <w:rPr>
          <w:rFonts w:ascii="arial" w:eastAsia="arial" w:hAnsi="arial" w:cs="arial"/>
          <w:i/>
          <w:color w:val="000000"/>
          <w:sz w:val="20"/>
          <w:lang w:val="en-US" w:eastAsia="en-US" w:bidi="ar-SA"/>
        </w:rPr>
        <w:t>Elwood.</w:t>
      </w:r>
      <w:r>
        <w:rPr>
          <w:rFonts w:ascii="arial" w:eastAsia="arial" w:hAnsi="arial" w:cs="arial"/>
          <w:color w:val="000000"/>
          <w:sz w:val="20"/>
          <w:lang w:val="en-US" w:eastAsia="en-US" w:bidi="ar-SA"/>
        </w:rPr>
        <w:t xml:space="preserve"> The defendant submits that the authority of </w:t>
      </w:r>
      <w:r>
        <w:rPr>
          <w:rFonts w:ascii="arial" w:eastAsia="arial" w:hAnsi="arial" w:cs="arial"/>
          <w:i/>
          <w:color w:val="000000"/>
          <w:sz w:val="20"/>
          <w:lang w:val="en-US" w:eastAsia="en-US" w:bidi="ar-SA"/>
        </w:rPr>
        <w:t>Elwood</w:t>
      </w:r>
      <w:r>
        <w:rPr>
          <w:rFonts w:ascii="arial" w:eastAsia="arial" w:hAnsi="arial" w:cs="arial"/>
          <w:color w:val="000000"/>
          <w:sz w:val="20"/>
          <w:lang w:val="en-US" w:eastAsia="en-US" w:bidi="ar-SA"/>
        </w:rPr>
        <w:t xml:space="preserve"> is "suspect given application of the misunderstood 'relaxed causation test' from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xml:space="preserve"> I find nothing in that judgment's application of the purpose test and the causation test to be inconsistent with </w:t>
      </w:r>
      <w:r>
        <w:rPr>
          <w:rFonts w:ascii="arial" w:eastAsia="arial" w:hAnsi="arial" w:cs="arial"/>
          <w:i/>
          <w:color w:val="000000"/>
          <w:sz w:val="20"/>
          <w:lang w:val="en-US" w:eastAsia="en-US" w:bidi="ar-SA"/>
        </w:rPr>
        <w:t>Vytlingam</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Herbison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also find much force in the plaintiff's argument as to the potential consequences of the interpretation urged by the defendant for designated drivers. ICBC and the driving public who pay insurance premiums to it have much to gain from the intervention of designated drivers who reduce the risk of bodily injury and property damage resulting from impaired drivers. To deprive such drivers of a means of compensation when injured through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inebriated passenger is to shift the risk of loss to them entirely. This would appear to be a powerful disincentive to anyone acting as a designated driver, when there was any risk of a passenger acting irresponsibly.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However, these comments as to the characterization of a passenger as one who is using a vehicle are, as I stated at the outset, based on viewing ss. 63 and 64 of the Revised Regulation in isolation. It would be improper for me to reach a conclusion as to the scope of coverage afforded by those sections in that manner, without considering the Revised Regulation as a whole. A proper analysis of the provisions in issue requires that I consider the impact of any particular interpretation on the legislative or regulatory scheme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Looking at the Revised Regulation as a whole, I am - unfortunately - led to conclude that the foregoing interpretation of ss. 63 and 64 is incompatible with s. 66. The latter extends indemnity explicitly to a passenger who causes injury or death to a person not occupying the vehicle, by operating any part of the vehicle while the vehicle is being operated by an insured. On its face, this section would appear to be intended to encompass situations such as a passenger opening a door and thereby interfering with a passing cyclist. If, however, s. 64 were interpreted so that any passenger is deemed to be using the vehicle, s. 66 would be redundant; all passengers would be covered for liability arising out of their use, and there would be no need for the Revised Regulation to include a separate coverage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It is a general principle of statutory interpretation that there is a presumption against tautology; the legislature - or, in the case of a regulation, the governor in council - intends each provision to be given effect. As Professor Ruth Sullivan in </w:t>
      </w:r>
      <w:r>
        <w:rPr>
          <w:rFonts w:ascii="arial" w:eastAsia="arial" w:hAnsi="arial" w:cs="arial"/>
          <w:i/>
          <w:color w:val="000000"/>
          <w:sz w:val="20"/>
          <w:lang w:val="en-US" w:eastAsia="en-US" w:bidi="ar-SA"/>
        </w:rPr>
        <w:t>Sullivan on the Construction of Statutes</w:t>
      </w:r>
      <w:r>
        <w:rPr>
          <w:rFonts w:ascii="arial" w:eastAsia="arial" w:hAnsi="arial" w:cs="arial"/>
          <w:color w:val="000000"/>
          <w:sz w:val="20"/>
          <w:lang w:val="en-US" w:eastAsia="en-US" w:bidi="ar-SA"/>
        </w:rPr>
        <w:t>, 5th ed. (Markham, Ont: LexisNexis, 2008) says at p. 210: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presumed that the legislature avoids superfluous or meaningless words, that it does not pointlessly repeat itself or speak in vain. Every word in a statute is presumed to make sense and to have a specific role to play in advancing the legislative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every word and provision found in a statute is supposed to have a meaning and a function. For this reason courts should avoid, as much as possible, adopting interpretations that would render any portion of a statute meaningless or pointless or redundant.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violate that principle would be to construe the statutory instrument in a manner contrary to the legislative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the Revised Regulation does, in effect, create a policy of liability insurance, and while, as I have found, it is appropriate to apply to the Revised Regulation the interpretive rule that coverage is to be construed broadly, the rules of interpretation of statutory instruments must be paramount. Statutes are to be construed liberally, but the construction and interpretation must be consistent with the evident legislative intent. It appears to have been the intention of the governor in council not to extend indemnity to vehicle passengers except those who may be found to have been operating a vehicle with consent, or, in the limited case of injury to a person who was not an occupant, to have been operating a part of the vehicle within the meaning of s.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For that reason I am led to the conclusion that Mr. Hearne, as a passenger in the plaintiff's vehicle, was not engaged in use of the vehicle within the meaning of s. 64. The defendant is under no obligation to indemnify the Hearne estate, and the plaintiff's claim must therefore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consequence of this interpretation as regards designated drivers is one which some may find disturbing. If that consequence was unintended, that is a matter for consideration by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SAUNDERS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 w:history="1">
        <w:r>
          <w:rPr>
            <w:rFonts w:ascii="arial" w:eastAsia="arial" w:hAnsi="arial" w:cs="arial"/>
            <w:b/>
            <w:bCs/>
            <w:i/>
            <w:color w:val="0077CC"/>
            <w:kern w:val="32"/>
            <w:sz w:val="28"/>
            <w:szCs w:val="32"/>
            <w:u w:val="single"/>
            <w:shd w:val="clear" w:color="auto" w:fill="FFFFFF"/>
            <w:lang w:val="en-US" w:eastAsia="en-US" w:bidi="ar-SA"/>
          </w:rPr>
          <w:t>Gill v. A&amp;P Fruit Growers Ltd., [2009] B.C.J. No. 593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15-18, 2008 and February 13,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S93335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593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412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176 A.C.W.S. (3d) 1199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Amardeep Singh Gill, Plaintiff, and A&amp;P Fruit Growers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9"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 w:name="Keywords_2"/>
      <w:bookmarkEnd w:id="2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Action for damages resulting from a slip and fall accident allowed in part — Plaintiff alleged he fell out of back door of defendant's double wide mobile home which had no stairs or landing at back door — Defendant alleged plaintiff fell at his home — Defendant in mobile home drinking with two of defendant's employees — Plaintiff's version supported by the evidence — Although plaintiff was nor warned of danger, some care on his part would have cautioned plaintiff to check before stepping out into the darkness without any hesitation — Plaintiff 30 per cent liable..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Dangerous premises — Duty of occupier — To invitees — Knowledge of danger — Duty to warn — Action for damages resulting from a slip and fall accident allowed in part — Plaintiff alleged he fell out of back door of defendant's double wide mobile home which had no stairs or landing at back door — Defendant alleged plaintiff fell at his home — Defendant in mobile home drinking with two of defendant's employees — Plaintiff's version supported by the evidence - Defendant owed duty of care to plaintiff as invitee — Defendant failed to warn of danger of missing landing and to ensure users of mobile home were reasonably safe.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 w:name="Case Summary_2"/>
            <w:bookmarkEnd w:id="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resulting from a slip and fall accident. The defendant owned a double wide mobile home located on the defendant's blueberry farm. The plaintiff alleged that he was injured when he stepped outside and fell to the ground, because there was no landing or stairs leading from the mobile home. The defendant denied that the plaintiff fell when leaving the mobile home but argued that the plaintiff fell down stairs at the plaintiff's house. The defendant argued that the door in question was strapped with two two-by-fours that were placed horizontally across the doors and screwed into the door frame at the time of the incident. The witnesses for both sides were all connected through family relationships or friendships. All witnesses and the plaintiff had attended a wedding reception prior to the incident and had consumed considerable amount of alcohol. After the reception, the plaintiff and two friends, who worked at the defendant farm, wanted to continue drinking at the mobile home. One of the men then asked the plaintiff to come outside the mobile home. It was dark at the time. The plaintiff alleged he exited the back door and fell.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 w:name="Holdings of Court_2"/>
            <w:bookmarkEnd w:id="2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30 per cent negligent. The objective and circumstantial evidence supported the plaintiff's version of events. The defendant's evidence was rejected. The door was not boarded up the night that the plaintiff opened it and fell to the ground. The plaintiff fell out of the back door, which had no deadbolt. Neither employee warned the plaintiff about the danger. No signs were posted in the unit. The plaintiff was an invited and welcome guest at the material time. The plaintiff was therefore not a trespasser and the defendant owed him the standard of care owed an invitee. The defendant, as owner of the lands and premises and employer of the plaintiff's friends was ultimately responsible for the repair and maintenance of the premises. Section 6 of the Occupiers Liability Act extended the duty of care owed by a landlord to its tenant to any invitee of those tenants. The defendant failed in its duty to take the care that in all the circumstances of this case was reasonable to see that a person in the double wide would be reasonably safe using it. The plaintiff was not warned about the absent landing and stairs. A modicum of care would have, however, cautioned the plaintiff to check before stepping out into the darkness without any hesitation at all.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 w:name="Legislation Cited_1"/>
      <w:bookmarkEnd w:id="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0"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 Liability Act, </w:t>
      </w:r>
      <w:hyperlink r:id="rId78" w:history="1">
        <w:r>
          <w:rPr>
            <w:rFonts w:ascii="arial" w:eastAsia="arial" w:hAnsi="arial" w:cs="arial"/>
            <w:i/>
            <w:color w:val="0077CC"/>
            <w:sz w:val="20"/>
            <w:u w:val="single"/>
            <w:shd w:val="clear" w:color="auto" w:fill="FFFFFF"/>
            <w:lang w:val="en-US" w:eastAsia="en-US" w:bidi="ar-SA"/>
          </w:rPr>
          <w:t>RSBC 1996, CHAPTER 337, s. 1</w:t>
        </w:r>
      </w:hyperlink>
      <w:r>
        <w:rPr>
          <w:rFonts w:ascii="arial" w:eastAsia="arial" w:hAnsi="arial" w:cs="arial"/>
          <w:color w:val="000000"/>
          <w:sz w:val="20"/>
          <w:lang w:val="en-US" w:eastAsia="en-US" w:bidi="ar-SA"/>
        </w:rPr>
        <w:t>, s. 3(3.2), s. 3(3.2)(b), 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3(3.3), s. 6, s. 6(1), s. 6(2), s. 6(3), s. 6(3)(a), s. 6(4)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 w:name="Counsel_2"/>
      <w:bookmarkEnd w:id="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M.W. Buhler.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 w:name="Judgment_2"/>
      <w:bookmarkEnd w:id="25"/>
      <w:r>
        <w:pict>
          <v:line id="_x0000_s1042"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 w:name="N. BROWN J."/>
            <w:bookmarkEnd w:id="26"/>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slip and fall case. Liability is the only issue, damages set aside pending this decision. The central question is this: where did the plaintiff fall and hurt himself, on premises owned by the corporate defendant as the plaintiff claims, or at his own home as the defendant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says that at 1:08 a.m. June 20, 2004 he opened a door in a double wide mobile home, expecting to step outside onto a landing. He describes turning the handle, pushing the door and stepping out, not onto the expected landing and stairs, but into the darkness and thin air, falling over a meter to the ground, which resulted in a compound fracture of his left tibia and fibula.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corporate defendant, owner of the 30 acre Abbotsford blueberry farm where the double wide was set up, admits the plaintiff was in the mobile home at the time the plaintiff says, but denies this is the place where the plaintiff fell and injured himself. The defendant called witnesses to testify that the plaintiff suffered his fractures after falling down a set of stairs leading up to a patio at the back of the house (located at Cottonwood Street, Mission, B.C.), where the plaintiff lived with three of the defence witnesses, one of them his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All the potential eyewitnesses to the fall, in whichever disputed place it happened, are bound by bonds of family or friendship. The plaintiff's own sister, Jasbir Bath, and the plaintiff's brother in law Sikander Bath, both testified against him. The only other potential eyewitness, Parmajit Gill, a friend of both Sikander Bath and the plaintiff, testified over a month after I had heard all the other evidence. This delay came about at the defendant's request because Mr. Gill was out of the country at the time and counsel persuaded me there was due diligence on his part and that Mr. Gill was an important eyewitness for the defence. I therefore granted a continuance. However, when Mr. Gill finally did testify, he did not say what the defence expected him to say, instead, he confirmed the plaintiff's claim that he had fallen at the double wide, not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Each party called a biomechanical expert to support their version of events. Their evidence is not pivotal to my final decision, but I will discuss it later below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Apart from the obvious question about who speaks the truth about the location of the fall that resulted in the plaintiff's serious fractures, the defendant raised two evidentiary objections and three defences that I have also to deal with. The first evidentiary objection relates to the Mission Hospital Emergency Admitting Notes, and in particular a notation on the record that states that the plaintiff was injured after a fall from a trailer. The plaintiff alleges this information came from Sikander Bath, who did not deny his presence or provisioning of at least some of the information given to the admitting clerk at the time. I did not admit this record into evidence for reasons given below. The second evidentiary issue relates to cell phone records showing the time that a cell phone call was made by the plaintiff to Sikander Bath, and likewise the times that certain cell phone calls were made by Sikander Bath to his wife Jasbir Bath. These records were produced by Rogers pursuant to a court order upon the plaintiff's application and at a cost to him of $1,500. These records give the timing of certain calls that the plaintiff, Sikander Bath and his wife admit they made. The timing of these calls is important. I admitted these records into evidence for limited purposes for reasons discussed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 also argued, should I accept the plaintiff's claim that he fell on the defendant's property, that the plaintiff was there for a recreational purpose, and as such, he was a trespasser, thus resulting in a lower standard of care owed to him by the defendant and in this case arguably met by the defendant. The defendant further argues, the plaintiff's recreational intention and defendant's agricultural purposes aside, that the plaintiff did not have the owner's permission to be on the property: The plaintiff was thus a trespasser and here again the defendant met the required standard of care owed him as a trespasser. If I should reject those arguments, the defendant says that the evidence shows that the plaintiff's own actions were the cause of his injury, or alternatively he was negligent and that I ought to find a high degree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an overview of some of the most pertinent evidence, I will set out the reasons for my evidentiary rulings, analyze a segment of the facts in a little more detail, then make my findings on the location of the fall, and conclude with a consideration of the defences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OVERVIEW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Besides being the brother in law of the plaintiff, principle defence witness Sikander Bath is also connected to the corporate defendant, since it employs him and his brother, Sukhminder Bath, owns all the company's shares. Sikander Bath manages the defendant's blueberry farm and oversees all its day to day operations for him. Defence witness Parmajit Bath worked on the farm too, more or less as a field hand. As noted earlier, the plaintiff and these two men were long time friends. The plaintiff and sole shareholder Sukhminder Bath also knew one another, but not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Parmajit Gill lived part-time in the double wide mobile home, which also served as an office for the farm operation. He lived about half the time on Cottonwood, the other half of the time in the double 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Sikander Bath was responsible for the day to day operation of the farm, and was given a free hand by his brother to run it more or less as he saw fit, although his brother kept a close eye on production costs, with his attention focused on the financial end of the farm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Sikander Bath and Parmajit Gill had been at a Cloverdale wedding reception that evening with Sikander's wife Jasbir Bath and other family and friends. The three men drank throughout the evening and continued on drinking after returning to the double wide trailer situated on the defendant's farm. The three were experienced drinkers. Jasbir Bath, the plaintiff's sister and Sikander's wife, had dropped them off at the farm and then drove herself to the Cottonwood Street Mission home where she and her husband Sikander Bath testified that the plaintiff later fell down the stairs leading up to their backyard patio. It was a short drive home from the Townshipline farm because the farm and their Mission home were not far apart, about a seven to twelve minute drive, with little traffic that time of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heard considerable evidence and argument about events leading up to the time that the three men were dropped off by Jasbir Bath, mostly concerning routes taken to the farm and the Cottonwood home, who was in which SUV, whether the Hummer was left at the farm after Mrs. Bath left and so on. But there was no controversy that at some point on the return trip from the Cloverdale wedding, passengers switched between the two SUV's, ending with Jasbir Bath driving the three men - the plaintiff, Sikander Bath and Parmajit Gill, to the Townshipline, Abbotsford farm in a an SUV. As noted already, Jasbir Bath left the men at the farm as they had decided to continue socializing and drinking. I heard some unpersuasive testimony from Mrs. Bath and Sikander Bath about a conversation at the farm that was supposed to show that the men stayed only at the plaintiff's insistence and that he was not a welcome guest at the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heart of this case lies in what happened next. The men drank more whiskey in the double wide trailer set up on the farm. This double wide was used as an office, lunch room/rest area for workers and as part-time residence of Parmajit Gill. Suffice for now to say that the defence theory agrees with the plaintiff that at around 1:08 a.m. the plaintiff called Sikander Bath, who was outdoors at the time, walking to the pump house. Sikander Bath received that 1:08 a.m. call from the plaintiff. He says the plaintiff called in order to tell him they were out of whiskey, so he wanted to go home. The plaintiff agrees that he called Sikander Bath; but says it was in order to tell him that he had just fallen out of the trailer, was hurt and could not get up. Before phoning, he had called out for help, but neither Parmajit Bath or Sikander Bath showed up, so he decided to try reaching Mr. Bath by cell phone. The plaintiff says that after Mr. Bath received the call he and Mr. Gill came by, Sikander Bath and Mr. Gill tried to lift him, but could not because he was too heavy, so Mr. Gill brought a tractor around, lowered the bucket to the ground and the men slid him into it. They then travelled a short distance to a place near the front of the double wide and from there into the back of the Escalade that his sister Jasbir Bath had driven over from Mission to the farm in response to a 1:12 a.m. call made to her by her husband Sikander Bath. The Baths testified that Mrs. Bath had come over to the farm in order to drive the men home; the plaintiff says Mrs. Bath had come over in response to his injury and his need to get to hospital. The only thing the parties agree on here is that Sikander Bath called his wife Jasbir Bath to come to the farm. The plaintiff says he had asked Sikander to call an ambulance but he refused because "there was no blood," hence the necessity for Mrs. Bath to drive to the farm and take him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also no question that Sikander Bath placed a second call to his wife at about 1:24 a.m., 12 minutes after the first call; Sikander Bath said that this call was made to find out where she was. As it turned out, just about the time the call was made, Mrs. Bath told Sikander Bath that she was turning into the farm's driveway. She drove up the driveway and picked up the three men up, either in no hurry at all because she was there only to take all three home to bed, or more urgently and to the hospital, is the critical question that must be answered in the plaintiff's favour or see him non-suited.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evidence confirmed that it would take about seven to twelve minutes to drive from the farm to Mission General Hospital, depending on traffic conditions and speed: in an emergency situation, with no traffic to contend with that early in the morning, likely less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Cottonwood home where the plaintiff, Sikander Bath, his wife, and Parmajit Gill lived-at least part of the time-is within about two blocks of the Mission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contends that the three men and Jasbir Bath drove to Cottonwood. Sikander Bath testified that they were in no hurry since they were just going home to bed. In that case, the trip from the Townshipline farm to Cottonwood could have taken 15 minutes or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What follows now is an outline of the defendant's version of events leading up to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they arrived at Cottonwood, Mrs. Bath got out of the car and went through the front door. Their three children, her mother and other family had arrived home earlier with Mrs. Bath, who could not have been home very long before receiving 1:12 a.m. call to drive to the farm. Meanwhile, according to Sikander Bath, the three men went around the side of the house to the back, where there was a ground level basement and stairs that led up to an outdoor patio accessible from the house through sliding doors. I do not know why they would not have gone through the front door, Sikander Bath says they did not. Instead, they went along the cement walkway at the front of the house, Parmajit in front, the plaintiff in the middle, with Sikander Bath not far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stairs leading up to the patio have seven treads leading up to the deck. The defence theory says that when Parmajit Gill had climbed the stairs and reached the patio and the plaintiff was at the sixth tread, he somehow lost his balance, wobbly because of alcohol the defence theory, caught his foot in the tread, and fell backwards down the stairs. The defence biomechanical expert says that the plaintiff's left foot was caught at an angle under the tread, and that as the plaintiff fell backward, this created sufficient torsion to fracture his tibia and fibula thus causing a spiral fracture, even before he had hit the cement at the bottom of the stairs. This, at least is the scenario for the mechanism of the injury offered by Dr. Peter Cripton; but it is a mechanism that finds scant support in Mr. Sikander's eyewitness descriptions of how the fall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Jasbir Bath and Sikander Bath then say that the plaintiff got himself up onto his side, somehow propping himself up. Parmajit Gill was then said to have requested a chair from the patio, which Mrs. Bath carried down the stairs. Then, one man on each side, they supported the plaintiff as they walked up the side of the house, prompting one to wonder why they simply did not call an ambulance, considering the pain the plaintiff must have been and the impossibility of weight bearing on the injured leg. Anyway they then managed to get him into the second row seat of the Escalade, where the plaintiff propped himself up with his legs resting on Sikander Bath's lap. The other self-evident difficulty with this picture of a man on either side of the plaintiff, who had suffered a serious compound fracture, is that Parmajit Gill testified that the plaintiff was injured after falling from the double wide, not down the Cottonwood patio stairs, and so presumably would not have been called upon there to support the plaintiff on the one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drive to Mission Hospital would not have taken more than a minute or so to reach. There the plaintiff was transferred to a wheel chair and wheeled into emergency, where Sikander Bath testified that he dealt with registration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plaintiff's version during this interval, he would have been driven from the farm directly to Mission Hospital and admitted into care there. At that point, the two narratives join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3</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EXPERT TESTIMONY ON STANDARD OF CARE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CAUSATION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 City of Abbotsford on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Dale Zahara is a building inspector, and works for the City of Abbotsford. He confirmed that the defendant required a building permit to place the double wide on the farm. The evidence of the lay witnesses confirms it used to be located on a cedar mill, where it had been set up sometime in May 2004. The defendant did not have a building permit for the double wide on the farm. Municipal bylaws require compliance with standards for stairs, handrails and landings.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confirmed that safety is the primary concern of municipal building inspectors. He confirmed that the double wide on the farm would not have been approved for use or occupancy without a proper landing in place. If not in place, inspectors usually allow a temporary measure to make sure someone does not open the door and step out and fall to the ground. On a temporary basis only, the owner may be granted a permit if the door has a deadbolt locked from both sides, so that special knowledge or a key would be required to open the door from the inside of the unit. A double bolt is a condition of occupancy.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double wide on Townshipline did not confirm with the bylaw as it had no deadbolt. However, in this case, the defendant says that the door in question was (at the time the plaintiff said he opened and walked through it) strapped with two two-by-fours that were placed horizontally across the doors and screwed into the door frame. If that is so, it is obvious that the plaintiff would not have been able to open the door and fall to the ground in the first place, and would make the whole question of standards for securing the door utterly moot. Whether the straps were on the door at the time is part of the larger question of fact for me to decide. If they were not, then the defendant obviously failed to comply with municipal standards. Further, a door unsecured by deadbolts as municipally required or shuttered in some way as the law would require, would leave the premises in an unsafe condition with a foreseeable risk of injury to people, including farm workers using the premises. Whether the defendant is guilty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depends on other findings with respect to the events on June 20,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Biomechanical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heard from two biomechanical experts, Dennis Chimich and Dr. Peter Cripton, both well very qualified to give opinions about the biomechanical aspects of physical injuries. Both witnesses gave their evidence in what I would consider a scientific and professional way, answering questions put to them on cross-examination without evasion.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They agreed on methodology. They based their opinions on different factual assumptions and so unsurprisingly came to different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Both witnesses describe different kinds of fracture patterns. The patterns the fractured bones exhibit on x-ray and other images can reveal how force was applied to the bone. They then compared the fracture patterns with the forces that would be involved in a fall from the trailer versus the patio stairs on Cottonwood.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relevant patterns here are what are referred to as oblique and spiral patterns. These share some similarities. The main distinguishing feature is the way that a spiral fracture wraps around the bone in a spiral pattern. Both experts agree that a spiral fracture requires torsion or a twisting force be applied to the bone, similar to the forces resulting from using a monkey wrench to turn pipe. An oblique fracture involves compression, with axial forces generated up through the bone, although some bending can also be involved. Dennis Chimich assumed that the plaintiff suffered an oblique fracture; Dr. Cripton a spiral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Dennis Chimich when first writing his report relied on the opinion of Dr. B. Vaisler, who opined that the plaintiff had suffered a displaced oblique fracture. Dr. Vaisler's opinion was later buttressed by the November 26, 2008 report of radiologist Dr. P. Munk, prepared in rebuttal to the defence orthopaedic opinion of Dr. P. Guy, which Dr. Cripton relied on. Dr. Munk opined that the fracture was an "oblique fracture of the proximal tibia, not that of classical spiral fracture." Dr. Guy however had opined that the plaintiff's fracture was "a spiral fracture of the proximal tibia with a small amount of combination at the fracture site... caused by a torsional type load which also likely caused the proximal fibula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Munk's curriculum vitae reveals very impressive qualifications in his field. He serves in the radiology department at Vancouver General Hospital and on the UBC Faculty of Medicine. He has published very widely, presented, and taught many-including residents in orthopaedics.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Guy's curriculum vitae is also impressive. He is an assistant professor in the faculty of Medicine at UBC and has presented and lectured extensively, though not to the extent of Dr. Munk. He was qualified as an orthopaedic surgeon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Dennis Chimich concluded that the plaintiff's fracture was consistent with the Townshipline injury scenario, with compression forces applied primarily through the heel of the left leg. He testified that the defendant's Cottonwood scenario that sees the plaintiff ascending the stairs, losing his balance, falling backward and coming to rest on the concrete pad at the bottom of the stairs would produce 50 to 60% of the amount of energy available at Townshipline. Further, a backwards fall is atypical, because on a stair climb the climber is moving forward, so a slip typically involves a fall forward onto the hands and knees. Further, on Dr. Cripton's scenario, he would expect to see injury to the head, shoulders and upper back, which were missing in this case, according to both experts. (The plaintiff later on did complain of aches and pains in the neck shoulder and back but neither expert found evidence of obvious injury to these areas following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noted in the overview, Dr. Cripton assumed a scenario at Cottonwood that sees the plaintiff's left foot getting hung up between the treads as the plaintiff lost his balance and fell backwards. This would produce the torsional forces necessary to produce a spiral fracture, with the break occurring as the plaintiff fell to the bottom of the "arc of his fall", and coming to rest at the concrete pad at the bottom of the stairs. Dr. Cripton acknowledged that this is not a typical fall pattern and so he could produce no literature that focused its attention on this type of scenario. He said that the general biomechanical principles of such a fall would nonetheless apply. He acknowledged that one would expect to see back injuries with such a fall, with a significant risk of a fractured neck should the back of the neck strike the edge of a tread.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Plaintiff's counsel cross-examined Dr. Cripton about the assumptions he relied on for both scenarios, starting with the fact that he had requested from counsel a radiological opinion upon which to base his opinion, but instead had been provided with an orthopaedic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examining the plaintiff's fall of 3 feet 4 inches (1.01 m) from the floor of the double wide to the ground he agreed that he had not taken into account the fact that the plaintiff stated that he did not just step forward past the door sill. In such a typical case as that you would expect his forward momentum to pitch him forward and so see him fall on his knees, as proposed by Dr. Cripton. However, the plaintiff testified that he pushed the door forward and hung onto it as it swung out, from there falling down to the ground, striking the concrete apron that extended 15 inches (0.38 m) from the edge of the wall. This would have involved a more complex set of assumptions and variables unaccounted for in the simpler set of assumptions used by Dr. Cripton.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Cripton conceded that while in his opinion the Cottonwood scenario would produce more (torsional) force on the leg and be more likely to produce the spiral fracture he had assumed, the Townshipline scenario, even using his assumptions and estimations, would still produce sufficient force to cause a compression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medical experts themselves were not cross-examined. On the face of the curriculum vitae's produced and the scope of the opinion required in this case, I find the speciality, qualifications and breadth of experience of Dr. Munk lend more weight to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Chimich's opinion is weakened by the fact that he did not conduct an onsite investigation and take his own measurements as Dr. Cripton did. Dr. Cripton's opinion is weakened by the complex set of facts and conditions he must assume about how the plaintiff atypically fell down the Cottonwood stairs; but that complex scenario would be less problematical for his opinion if it were strongly supported by witness evidence, which does not appear to be the case, or supported by empirical evidence such as bruises, abrasions or other clear identifiers of significant injury to the plaintiff's back, likewise lacking.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the opinions of Mr. Chimich and Dr. Cripton were of some assistance, this case will not turn on either opinion, though of the two, I prefer the opinion of Dr. Chimich for the reasons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EVIDENTIARY RULINGS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turn now to certain evidentiary rulings relating to Rogers cell phone records and the Mission General Hospital emergency admission record in order to decide if I can rely on some of the information contained 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Cell Phone Records Authentication and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objected to the admissibility of the Rogers' cell phone records on the grounds that Mr. De Fehr, a witness called by the plaintiff to explain certain technical aspects of the cell phone records that were produced by Rogers pursuant to court order, could not introduce the records into evidence or attest to their accuracy as a true copy of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Mr. Buhler also argued that the records could be introduced only pursuant to s. 42 of the </w:t>
      </w:r>
      <w:r>
        <w:rPr>
          <w:rFonts w:ascii="arial" w:eastAsia="arial" w:hAnsi="arial" w:cs="arial"/>
          <w:b/>
          <w:i/>
          <w:color w:val="000000"/>
          <w:sz w:val="20"/>
          <w:lang w:val="en-US" w:eastAsia="en-US" w:bidi="ar-SA"/>
        </w:rPr>
        <w:t>Evidence Act</w:t>
      </w:r>
      <w:r>
        <w:rPr>
          <w:rFonts w:ascii="arial" w:eastAsia="arial" w:hAnsi="arial" w:cs="arial"/>
          <w:color w:val="000000"/>
          <w:sz w:val="20"/>
          <w:lang w:val="en-US" w:eastAsia="en-US" w:bidi="ar-SA"/>
        </w:rPr>
        <w:t>, 1996 R.S.B.C. c. 124, business records rule, which requires that the adducing party show that "they were kept in the usual and ordinary course of business to record in the document a statement of the fact at the time it occurred or within a reasonable time after." He argues that the plaintiff did not satisfy this requirement. Counsel also submitted that it was not clear whether the records were recorded in Pacific or Eastern Time, or corrected for daylight savings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reject these submissions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Of course a document must be authenticated before it can be admitted into evidence. Here, the cell phone records were received as documents produced by Rogers pursuant to a court order. The records were attached to a cover letter from a Rogers agent who explained that the records were produced in accordance with that order. The records therefore purport to set out every call made at stipulated phone numbers and time periods. Though not attached to a sworn affidavit, the signed letter provides some evidence confirming the authenticity of the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This letter and attached court ordered cell phone records were produced by plaintiff's counsel, who in his role as agent and as an officer of the court attests to the legitimacy of the letter and its attachments as delivered and received in response to the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form of authentication is far from ideal. However, there are other circumstances to consider, including the fact that during the trial defendant's counsel conceded that the records could be used for the limited purposes of showing that someone at one phone number called another at a certain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Buhler:</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we dealt with that. It was an [sic] expert evidence as to what it meant that particular tower dealt with a phone call. All we agreed these records were going to show was that someone called someone at the numbers here at a particular time. [Page 12, Day 2 of Trial]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for the need for interpretation of these records by Rogers, these are not records that require expert interpretation. They are clearly labelled "calling number" and "called number". Further, pertinent sections of these records were put to the witnesses who admitted the cell phone numbers, and did not repudiate the calling time information in them. Generally speaking, they were acknowledged to be "probably" accurate. It should be noted as well that the witnesses could test the accuracy of the information in the records with copies of their own cell phone records if they had concerns about the accuracy of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Further, the records require no interpretation if utilized for the limited purposes of showing the date and time the calls were made, and from what number and to what numbers and the duration of the calls. Cell phone bills are ubiquitous, and in them one commonly sees the date of a call, the number of the recipient, the duration of the call and the calculated charges, if any. And here, the records are not received to show the location of the caller at the time the calls were made, which was a major concern of counsel: I found Mr. De Fehr's evidence relating to this both irrelevant and unqualified. Also pertinent is the common knowledge that Rogers, like other cell phone companies, needs to keep a record of the time, duration and recipients of calls in order to justify their billings to customers. I conclude that the records here can be properly utilized to show when someone from one number called another based upon:</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records are generally corroborated by the testimony of witnesses;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calling records of one number correspond to the receiving records of another with the numbers admitted by the relevant witnesses;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of the defendant's counsel;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knowledge and experience in reading cell phone records;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produced pursuant to court order and there is sufficient evidence of authenticity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regard to the remaining submissions of the defendant arguing against the admissibility of the cell phone records: It was not clear if all these objections related to the admissibility of the records generally or just to their admissibility for the purpose of showing the location of the caller, (which they cannot be used for in this case). These objections included an argument that without testimony from Rogers we cannot not be sure if the records were corrected for time zones and day light savings time. Not only do these arguments fail to persuade, they are relevant only when considering the weight of the evidence, or the interpretation of the evidence, not when considering their admissibility. Further, the times shown in the bills accords sufficiently with the oral testimony of witnesses about the local times of pertinent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note that despite the above noted statement by counsel, he still argued against their admissibility on the grounds that they are admissible only under s. 42 of the </w:t>
      </w:r>
      <w:r>
        <w:rPr>
          <w:rFonts w:ascii="arial" w:eastAsia="arial" w:hAnsi="arial" w:cs="arial"/>
          <w:b/>
          <w:i/>
          <w:color w:val="000000"/>
          <w:sz w:val="20"/>
          <w:lang w:val="en-US" w:eastAsia="en-US" w:bidi="ar-SA"/>
        </w:rPr>
        <w:t>Evidence Act</w:t>
      </w:r>
      <w:r>
        <w:rPr>
          <w:rFonts w:ascii="arial" w:eastAsia="arial" w:hAnsi="arial" w:cs="arial"/>
          <w:color w:val="000000"/>
          <w:sz w:val="20"/>
          <w:lang w:val="en-US" w:eastAsia="en-US" w:bidi="ar-SA"/>
        </w:rPr>
        <w:t xml:space="preserve">, "whose requirements the plaintiff has not satisfied". That is not correct. These records can also be admitted as a principled exception to hearsay. As none of the parties seem able to remember with certainty the timing of the relevant calls made, (understandably) that are of importance in this case, the objective evidence provided by the phone records are necessary. As for reliability, the records were produced by a major disinterested corporation pursuant to a court order, and the plaintiff paid Rogers to produce them. As mentioned, it is common knowledge (and common sense) that Rogers must keep accurate call records for its own business needs. The records information was not rebutted by the defendant, despite more than adequate advance notice of their content and tender. Based upon these circumstances, to which can be added the lack of prejudice to the defendant, threshold reliability has been established and the evidence should be admitted for the purposes stated: see </w:t>
      </w:r>
      <w:r>
        <w:rPr>
          <w:rFonts w:ascii="arial" w:eastAsia="arial" w:hAnsi="arial" w:cs="arial"/>
          <w:b/>
          <w:i/>
          <w:color w:val="000000"/>
          <w:sz w:val="20"/>
          <w:lang w:val="en-US" w:eastAsia="en-US" w:bidi="ar-SA"/>
        </w:rPr>
        <w:t>R. v. Hall</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[1998] B.C.J. No. 2515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above ruling should not be taken as an endorsement of a practice of adducing such records without at least a covering affidavit and imprinted record certification. However, in the circumstances of this case, and for the reasons given, I have admitted them for certain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Mission General Hospital Emergency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objected to the admissibility of the Mission Hospital emergency admission clinical record sheet. The relevant portions of this sheet are the type written entries in the top left corner of the page, one of them stating that the plaintiff fell from a trailer, just as the plaintiff claims. As noted earlier, Sikander Bath testified that he was present and gave information to the admitting clerk. The plaintiff submits that among the information he gave to the clerk was the location of the fall at the trailer. I should mention here that the attending physician's handwritten notes in the lower portion of the record also contained a note that the plaintiff fell from a trailer. This was redacted from the document after submissions by counsel, and by agreement. However, the said typewritten portion typed in by the clerk about the location of the fall was not redacted. This may have been due to oversight on the part of the defendant's counsel in the heat of trial. I would have considered this if so, but given my findings for other reasons, I need not consider that as a reason for also excluding this part of the unredacted section of the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Such a statement [about the location of the fall] would not be hearsay if submitted for the purposes of simply showing that the statement was made. If admitted as such, it could go to the credibility of Sikander Bath's testimonial loss of memory or any denial he offered about making the statement. However, while plaintiff's counsel questioned Sikander Bath generally about the making of statements to the admitting clerk, the statement itself and the note about the location of the fall was not squarely put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This same concern about the failure to put the statement squarely to the witness arises when attempting to adduce this evidence for the truth of its contents. Though I disagree with counsel that this case is similar to </w:t>
      </w:r>
      <w:r>
        <w:rPr>
          <w:rFonts w:ascii="arial" w:eastAsia="arial" w:hAnsi="arial" w:cs="arial"/>
          <w:b/>
          <w:color w:val="000000"/>
          <w:sz w:val="20"/>
          <w:lang w:val="en-US" w:eastAsia="en-US" w:bidi="ar-SA"/>
        </w:rPr>
        <w:t>Olynyk v. Yeo</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(1988), 55 D.L.R. (4th) 294</w:t>
        </w:r>
      </w:hyperlink>
      <w:r>
        <w:rPr>
          <w:rFonts w:ascii="arial" w:eastAsia="arial" w:hAnsi="arial" w:cs="arial"/>
          <w:color w:val="000000"/>
          <w:sz w:val="20"/>
          <w:lang w:val="en-US" w:eastAsia="en-US" w:bidi="ar-SA"/>
        </w:rPr>
        <w:t xml:space="preserve"> (B.C.C.A.) and </w:t>
      </w:r>
      <w:r>
        <w:rPr>
          <w:rFonts w:ascii="arial" w:eastAsia="arial" w:hAnsi="arial" w:cs="arial"/>
          <w:b/>
          <w:i/>
          <w:color w:val="000000"/>
          <w:sz w:val="20"/>
          <w:lang w:val="en-US" w:eastAsia="en-US" w:bidi="ar-SA"/>
        </w:rPr>
        <w:t>Johnny v. Palmantier</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2005 BCSC 799</w:t>
        </w:r>
      </w:hyperlink>
      <w:r>
        <w:rPr>
          <w:rFonts w:ascii="arial" w:eastAsia="arial" w:hAnsi="arial" w:cs="arial"/>
          <w:color w:val="000000"/>
          <w:sz w:val="20"/>
          <w:lang w:val="en-US" w:eastAsia="en-US" w:bidi="ar-SA"/>
        </w:rPr>
        <w:t xml:space="preserve">, it nevertheless would still be highly prejudicial to admit the evidence for this purpose without giving Sikander Bath an opportunity to explain the statement or to deny he was the author, especially considering his evidence that Mr. Gill was also present at the time. It is of course the rule in </w:t>
      </w:r>
      <w:r>
        <w:rPr>
          <w:rFonts w:ascii="arial" w:eastAsia="arial" w:hAnsi="arial" w:cs="arial"/>
          <w:b/>
          <w:i/>
          <w:color w:val="000000"/>
          <w:sz w:val="20"/>
          <w:lang w:val="en-US" w:eastAsia="en-US" w:bidi="ar-SA"/>
        </w:rPr>
        <w:t>Browne v. Dunn</w:t>
      </w:r>
      <w:r>
        <w:rPr>
          <w:rFonts w:ascii="arial" w:eastAsia="arial" w:hAnsi="arial" w:cs="arial"/>
          <w:color w:val="000000"/>
          <w:sz w:val="20"/>
          <w:lang w:val="en-US" w:eastAsia="en-US" w:bidi="ar-SA"/>
        </w:rPr>
        <w:t xml:space="preserve"> (1893), 6 R. 67 (H.L.) that in such circumstances as these, stands in the way of admission of the statement about the location of the fall for either assessment of credibility or truth purposes. If the cross-examiner intends to impeach the credibility of a witness by means of extrinsic evidence, they must give that witness notice of their intention. See also for a fairly recent case: </w:t>
      </w:r>
      <w:r>
        <w:rPr>
          <w:rFonts w:ascii="arial" w:eastAsia="arial" w:hAnsi="arial" w:cs="arial"/>
          <w:b/>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2006 BCSC 2064</w:t>
        </w:r>
      </w:hyperlink>
      <w:r>
        <w:rPr>
          <w:rFonts w:ascii="arial" w:eastAsia="arial" w:hAnsi="arial" w:cs="arial"/>
          <w:color w:val="000000"/>
          <w:sz w:val="20"/>
          <w:lang w:val="en-US" w:eastAsia="en-US" w:bidi="ar-SA"/>
        </w:rPr>
        <w:t xml:space="preserve"> and s. 14 of the </w:t>
      </w:r>
      <w:r>
        <w:rPr>
          <w:rFonts w:ascii="arial" w:eastAsia="arial" w:hAnsi="arial" w:cs="arial"/>
          <w:b/>
          <w:i/>
          <w:color w:val="000000"/>
          <w:sz w:val="20"/>
          <w:lang w:val="en-US" w:eastAsia="en-US" w:bidi="ar-SA"/>
        </w:rPr>
        <w:t>Evidence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this record can be admitted to show the time the plaintiff was admitted to the hospital. For this purpose, the record would be a business record kept in the ordinary course of business and recorded by someone who was under a duty to do so. It could be admitted for this purpose under the business records exemption.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Defendant's counsel also raised a concern that there was no evidence that the emergency ward clock used for admission was calibrated to the clock used by Rogers to record the time cell phone calls are made. This is a matter of weight, not admissibility, and regarding weight, common sense suggests that both the hospital and Rogers record keeping would be concerned about accuracy; requiring proof of exact calibration is not reasonable in a trial such as this, especially considering the evidence as a whole before me: </w:t>
      </w:r>
      <w:r>
        <w:rPr>
          <w:rFonts w:ascii="arial" w:eastAsia="arial" w:hAnsi="arial" w:cs="arial"/>
          <w:b/>
          <w:i/>
          <w:color w:val="000000"/>
          <w:sz w:val="20"/>
          <w:lang w:val="en-US" w:eastAsia="en-US" w:bidi="ar-SA"/>
        </w:rPr>
        <w:t>Hall</w:t>
      </w:r>
      <w:r>
        <w:rPr>
          <w:rFonts w:ascii="arial" w:eastAsia="arial" w:hAnsi="arial" w:cs="arial"/>
          <w:color w:val="000000"/>
          <w:sz w:val="20"/>
          <w:lang w:val="en-US" w:eastAsia="en-US" w:bidi="ar-SA"/>
        </w:rPr>
        <w:t xml:space="preserve"> at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FURTHER FACTUAL ANALYSIS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heard a fair amount of evidence about alcohol consumption enroute to the wedding reception, at the wedding reception, and after. While of only tangential relevance in deciding the location of the fall, evidence of activities leading up to the alleged fall at the double wide becomes more pertinent when assessing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turn now to those events in greater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noted, the three men drove the plaintiff's Hummer to the wedding reception. They stopped at a liquor store in Mission where they bought a forty ounce bottle of Wiser's Rye Whiskey and a flat of 12 to 18 beers. The plaintiff and Parmajit Gill drank some of this on the way to the Cloverdale wedding reception. They drank more in the parking lot of the reception before going into the hall. I find they also had some drinks from the free bar, and some outside in the Hummer as well. When they left, I doubt any of them would have passed a breathalyser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Jasbir Bath, her mother-in-law, the Bath's children and some other relatives travelled separately to the reception in their Cadillac Escalade.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oral testimony suggests that they all left the reception at the same time. The men were planning on travelling up 176th to the freeway and heading off to Vancouver to party more. So far as can I tell from the evidence, this was nipped in the bud by the mother of one of the younger men who had been hoping to join in with the other older men. As noted earlier, there was a transfer of passengers between SUV's and the plaintiff, Sikander Bath, and Parmajit Gill were driven to the defendant's Townshipline farm as outlined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heard estimates of 11:30 a.m., 11:45 a.m. and 11:50 a.m. as the time of arrival at the farm. Cell phone records that I will set out more fully shortly show that the transfer of passengers near the 176th freeway entrance occurred around 11:23 a.m., which was the (recorded) time that a cell phone call was made at the time of the vehicle and passenger change-over. Allowing 40 minutes to travel the distance to the Townshipline farm-just about all highway miles-will take the time to around midnight. Jasbir Bath then, either alone in the Hummer, or in the Escalade with the rest of the group, had about a 10 minute or so drive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testified that the plan was for the three men to go to the farm to continue drinking after their first idea to head into Vancouver was overturned. The plaintiff said when that did not work out, they mutually decided to go to the double wide located on the defendant's farm. But both Sikander Bath and Jasbir Bath testified that they had stopped off at the farm for no other reason than to drop off Parmajit Gill, and then go home. Sikander Bath said he just wanted to go home with his wife, but the plaintiff kept insisting. He said that he finally said, "What the hell" and decided to go along with it. I note that Jasbir Bath used the identical phrase, "what the hell," when describing this same conversation. This struck me as odd and not something one would remotely expect to be independently remembered by Mrs. Bath four years later, especially considering her affirmed testimony that she had never discussed this case with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reject the evidence of Sikander Bath and Jasbir Bath about what occurred at the farm drop off. At question 63 of his examination for discovery, Sikander Bath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 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three of you got dropped off at the Townshipline property because you were going to continue to drink at the property?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also find it difficult to accept that Sikander Bath needed arm twisting to spend some time with his friends and have a few more drinks. Further, Parmajit Gill confirms the plaintiff's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testified that he did not know if the forty ounce bottle was gone by the time they arrived at the farm. Parmajit Gill confirmed he had whiskey in the double wide. In any event, there was certainly enough to pour drinks all round and, according to the plaintiff, enough for the final one poured for him in order to reduce the pain he was in after falling and breaking his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From midnight until some time before 1:08 a.m., which was the time when Sikander Bath said he received the cell phone call from the plaintiff saying he wanted to go home because they were out of whiskey, the three men mostly hung around in the reception area at the south end of the double wide and drank.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says that Sikander Bath then invited him to look at the new pump house 'set up'. The new pump house was situated to the east of the double wide, about the distance of the length of the double wide three or four times over. The plaintiff testified that he told Mr. Bath he was not interested in looking at the pump house. In any event, Sikander Bath went outside the double wide on his own. The plaintiff says that Sikander Bath called out again for him to come and join him. (It was a balmy June evening and the windows on the east side of the trailer were likely open, so such a call should have been easy to hear.) This time, the plaintiff says that he decided to join him, but called out to Sikander Bath that he had to use the washroom first. He said that Mr. Bath then told him to come out the back door when he came out. (This would have been the back door that the plaintiff eventually fell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At this point, Parmajit Gill was in the area of the front office. He gives a slightly different version. He says that the plaintiff was firing off the banger gun out the front door by the office sitting area where the three men had been drinking. But Sikander Bath, according to Parmajit Gill, was worried about the noise the plaintiff was making with the banger gun because there were tenants living on the permanent house located nearby; and so Sikander Bath told the plaintiff to go shoot the gun out the back door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either the plaintiff's or Parmajit Gill's scenario, the plaintiff then headed down the hallway. The plaintiff testified that he used the washroom, then turned right, heading again down the corridor for the back door, at the opposite end of the double wide from where the office area and front entrance was situated. The plaintiff, whether intending to shoot the banger gun, as Parmajit Gill testified, or to go from there and join Sikander Bath at the pump house, is at this point oblivious to the fact that there were no steps and no landing on the other side of the back door he was soon to open and step through. Neither Sikander Bath or Parmajit Gill said anything to the plaintiff about the fact there was no stairs or landing at the back door, though of course Sikander Bath in the first place denies telling the plaintiff to join him at the pump house, let alone come out the back door. Sikander Bath would not likely have yet reached the pump house at the time that the plaintiff would have fallen at the back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it unnecessary to find whether the plaintiff was going out the back door to join Sikander Bath as he says, or to shoot the banger from that location, which is what Parmajit Gill thought. If he had the banger in his right hand, this would have made it more difficult to open the door, but he could have held the banger in his left hand. The plaintiff was not cross-examined on this, presumably because counsel did not expect Mr. Gill to agree with the plaintiff's version at the time that he cross-examined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6</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FINDINGS ON LOCATION OF THE FALL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find that the plaintiff fell from the mobile home and injured himself at the farm on Townshipline. I firmly reject the evidence of all the defence witnesses who testified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Cell Phone Records Support the Plaintiff's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objective and circumstantial evidence supports the plaintiff's version of events. Sikander Bath called his wife at 1:12 a.m. She arrived at the farm just as he was making the second call to her at 1:24 a.m. This means that she arrived at the farm within 12 minutes. Sikander Bath would have no reason to call her back to ask "where are you?" if just awaiting her arrival to pick the men up and drive them home; 12 minutes is well within the expected travel time. However, this quick call back makes more sense if there were some sense of urgency, as there would be if the plaintiff had broken his leg and was in lot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Allowing 10 minutes for an urgent drive to the hospital, just down Mission Highway and across the Mission bridge, would place the plaintiff at Mission Hospital sometime around 1:35 a.m. The hospital records indicate registration at 1:37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Sikander Bath indicated that they were not in a hurry to get home; the trip could take 15 to 20 minutes according to him. Allowing 15 minutes, three minutes more than the approximate time it took Mrs. Bath to drive over from Mission, would place them at home on Cottonwood at around 1:45 a.m., 12 minutes after the registration time at the hospital. To this, time needs to be added for getting out of the car, walking to the back of the house, climbing the stairs, falling, fetching a chair for the plaintiff to sit on, helping him around the side of the house, loading him into the SUV and driving to the hospital. Arrival time realistically could not be much earlier than 1:50 a.m. The table below, based on the times contained in the Rogers records and the factual assumptions noted, compares the two scenarios and confirms that a fall at Cottonwood does not fit with the time available to arrive at the hospital by 1:37 a.m.</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432.06pt;height:279.04pt">
            <v:imagedata r:id="rId83"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Buhler went through a similar analytical exercise and came up with an elapsed time very close to these calculations. He argued that there could be errors in the emergency record admission times, and that time the difference between the two theories was not that great. However, this overlooks the fact that it would have taken a considerable amount of time for the plaintiff to walk down the side of the Cottonwood house to the SUV-assuming he was even capable of doing so. These assumptions are generous to the defendants'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far as credibility is concerned, I found Sikander Bath when giving his testimony was evasive, contradictory, argumentative, quibbled over non-essentials and I did not find him to be a credible witness. For example, Sikander Bath testified at trial that when he was at the bottom of the stairs he had looked up and then saw the plaintiff for about 10 seconds, saw him twist his leg into the thing ('the thing' most likely referring to the space between the treads). He also said that the plaintiff broke his leg when he landed on the concrete pad at the bottom of the stairs. However, on examination for discovery,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366Q: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not talking about time. I am talking about what you saw. What did you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Sir, what I am telling you is this is what I saw. The guy fell right in front of me and he landed on his leg and then that's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367Q</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Let's back up a bit.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let's back it 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368Q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are staying there. You are watching two people walk to the top of the stairs,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369Q</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probably watching or watching the sky.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370Q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it's night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 don't matter. I don't have to watch people.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371Q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are there star-gazing; is that what you are telling 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Maybe I don't have to watch people. You are forcing me to watch people.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372Q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asking you whether you were.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remember four years if I was watching, but all I know is he fell in front of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395Q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describe how he landed on the sidewalk as you saw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one of his leg. I don't even know which leg he did break, left or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396Q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asking you what you saw.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saw he dropped on one side and he said - holding his legs he said he broke his leg.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find Sikander Bath's evidence that Mrs. Bath was called to pick the men up not much more than one half hour after being dropped off because they had run out of whiskey, and that he would call his wife back again just twelve minutes later to see what was keeping her, is not believable.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also find that Mrs. Bath's evidence was not credible. She clearly was not happy to be testifying in this case. She ignored the terms of a Rule 28 examination order made November 7, 2007 by Master Keighley and her explanation for her failure to attend the January 16, 2008 substituted date was unconvincing. She denied discussing the case with anyone before testifying, while at the same time gave the impression of following a scripted version of events when the topic related to the supposed Cottonwood fall. I have little confidence in Mrs. Bath's evidence and reject completely her account of events on Cottonwood.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mentioned, the defendant intended to call Parmajit Gill to testify, and I adjourned the trial in order to afford the defendant an opportunity to call him as a witness. However, to the defendant's surprise and mine, his testimony supported the plaintiff's version of events. I allowed counsel to cross-examine Mr. Gill, but he was unshaken. Mr. Gill, who testified through an interpreter, was shown a copy of an affidavit sworn January 8, 2008 in Mr. Buhler's office, with statements therein placing the location of the fall on Cottonwood. Mr. Gill testified that Sikander Bath acted as an interpreter at the time, did not explain the contents of the affidavit, and just told him to sign it. He said the statement in it that the plaintiff had fallen on Cottonwood did not come from him. Mr. Buhler in cross-examination asked Mr. Gill to agree that there were others present at the time, intimating they also spoke Punjabi, but Mr. Gill did not confirm this to be so. No witnesses were called in rebuttal. Mr. Buhler suggested to me in argument that Mr. Gill's English was better than he let on, but I note that he was called by the defence, who presumably arranged the interpreter. Mr. Buhler submitted that Mr. Gill knew what was going on and what he had been asked to sign, intimating others were present. Of course, counsel is placed in an impossible position in such circumstances. As stated in court, counsel did nothing wrong here: it is not always necessary or possible to cross and dot every preparatory "t" and "i" when gathering witness statements for a case such as this; usually statements are just signed off, not sworn, as here. However, Sikander Bath's rejected evidence, his authority over Mr. Gill and the failure to certify the translation through an official court interpreter taints the reliability of the out of court statement in this case; and I am more than reluctant in the circumstances to regard this as a prior inconsistent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note that Mr. Gill's evidence did not dovetail with the plaintiff's evidence in all particulars, for example his recollection that the plaintiff was going to the back of the double wide in order to shoot the banger gun differs. Similarly, he minimized Sikander Bath's involvement in the banger gun shooting. He also introduced elements to some of the events that only an eyewitness would recall, such as going outside the trailer and walking along the front of it, looking for the plaintiff because he had not heard the banger gun going off for a few minutes. His description of his conversation when he met up with Sikander Bath outside the double wide conveyed the richer sense and sequencing of an eye witness account. I note as well that Sikander Bath was the witness's boss and that he was friends with both the plaintiff and Sikander Bath. Nonetheless, I do accept his evidence with some caution, though a caution somewhat tempered in that it does conform largely with other accepted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also called Manjit Khangura, who has so far gone unmentioned in these reasons. The defendant called him as a supervisor at the farm, employed by the defendant. He was not at the reception nor an eyewitness to the plaintiff's fall. No mention on his direct was made of his close relationship over 10 years with Sikander Bath. On cross-examination, the plaintiff admitted he was co-accused with Sikander Bath in criminal proceedings relating to GST fraud. Questioning on this issue was allowed, not touching the issue of character or honesty, but as evidence of the at first unmentioned close association between the witness and Sikander Bath. He acknowledged that he had been told all the details of the party, the drinking, the fall down the Cottonwood stairs etc. offering details, as Mr. Cope pointed out, not as well recalled by Sikander Bath.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Khangura was called principally to show that when he was at work the early morning following the plaintiff's fall, he had noticed that the planks that had been used to board up the door (well before the plaintiff's fall) were still in their usual place. I find it highly improbable he would have taken any notice of a condition that had supposedly been in place for weeks and when the circumstances and timing of events warranted the witness no reason at all to pay attention to the condition of the door (especially while driving a tractor around 30 acres of berries or alternatively doing paper work in the double wide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Likewise unbelievable is his evidence that when the plaintiff attended on the farm a couple of months later and asked him to remove the planks (by that time nailed against the door to prevent access) in order for the plaintiff to take pictures of the door he had fallen through, the witness said that he did not know the reason for the plaintiff asking him to doing this. He just did it as requested. The plaintiff had testified that Sikander Bath was present at the time and authorized removal of the planks, though Sikander Bath denied this. I find it likely that Sikander Bath was present at the time and authorized the removal of the doors; but this is not a necessary finding to my rejection of Mr. Khangura's evidence here. It would strain common sense to the breaking point to accept either that Mr. Khangura would have demonstrated such a singular lack of curiosity about the reasons for removing the planks or that he would have done so without some authorization or explanation. I reject Manjit Khangura's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find that the door was not boarded up the night that the plaintiff opened it and fell to the ground. It was boarded up after this incident and I find the witness evidence about seeing it boarded up the day following the fall a complete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have considered the evidence of Iqbal Gill. Nothing in his testimony alters to any extent my conclusion that the plaintiff fell from the double 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Defendant's counsel identified various contradictions and minor discrepancies in the plaintiff's evidence. I have considered them and counsel's able submissions, but none of them give me cause to alter my conclusions on the question of the location of the fall. The plaintiff's evidence on the weightier issues was not significantly shaken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find that that the plaintiff fell out of the back door of the double wide, which had no deadbolt, neither was it boarded up to prevent egress by anyone. The stairs and landing had been removed earlier for whatever reason of convenience or simply not yet put up. Neither Parmajit Gill or Sikander Gill, on the evidence before me, warned the plaintiff about the danger. No signs were posted in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find that the plaintiff was an invited and welcome guest of Sikander Bath and Parmajit Gill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7</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LEGAL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Defendant's counsel argued that if I should find that the plaintiff fell on the defendant's farm, it met the requisite lower standard of care owed the plaintiff imposed by the </w:t>
      </w:r>
      <w:r>
        <w:rPr>
          <w:rFonts w:ascii="arial" w:eastAsia="arial" w:hAnsi="arial" w:cs="arial"/>
          <w:b/>
          <w:i/>
          <w:color w:val="000000"/>
          <w:sz w:val="20"/>
          <w:lang w:val="en-US" w:eastAsia="en-US" w:bidi="ar-SA"/>
        </w:rPr>
        <w:t>Occupier Liability Act</w:t>
      </w:r>
      <w:r>
        <w:rPr>
          <w:rFonts w:ascii="arial" w:eastAsia="arial" w:hAnsi="arial" w:cs="arial"/>
          <w:color w:val="000000"/>
          <w:sz w:val="20"/>
          <w:lang w:val="en-US" w:eastAsia="en-US" w:bidi="ar-SA"/>
        </w:rPr>
        <w:t xml:space="preserve"> in these circumstances. Defendant's counsel argues that the plaintiff was engaged in a recreational activity on lands and premises that were used for agricultural purposes: see s. 3(3.2)(b) of the </w:t>
      </w:r>
      <w:r>
        <w:rPr>
          <w:rFonts w:ascii="arial" w:eastAsia="arial" w:hAnsi="arial" w:cs="arial"/>
          <w:b/>
          <w:i/>
          <w:color w:val="000000"/>
          <w:sz w:val="20"/>
          <w:lang w:val="en-US" w:eastAsia="en-US" w:bidi="ar-SA"/>
        </w:rPr>
        <w:t>Occupier Liability Act</w:t>
      </w:r>
      <w:r>
        <w:rPr>
          <w:rFonts w:ascii="arial" w:eastAsia="arial" w:hAnsi="arial" w:cs="arial"/>
          <w:color w:val="000000"/>
          <w:sz w:val="20"/>
          <w:lang w:val="en-US" w:eastAsia="en-US" w:bidi="ar-SA"/>
        </w:rPr>
        <w:t>, 1996 R.S.B.C. c. 337. He further argues that the defendant was a trespasser because he was on the premises uninvited by any authorized person without reasonable grounds for believing that either Sikander Bath or Parmajit Gill had authority to allow him on the lands and premises in the circumstances. I will deal with the 'recreational argument'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Recreational Use and Occupier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can potentially lower the duty of care placed on owners: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This lower standard of care is applied only in limited circumstances. The sections relevant to this case are reproduced below:</w:t>
      </w:r>
      <w:r>
        <w:rPr>
          <w:rFonts w:ascii="arial" w:eastAsia="arial" w:hAnsi="arial" w:cs="arial"/>
          <w:sz w:val="20"/>
          <w:lang w:val="en-US" w:eastAsia="en-US" w:bidi="ar-SA"/>
        </w:rPr>
        <w:cr/>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enters any of the categories of premises described in subsection (3.3) is deemed to have willingly assumed all risks and the occupier of those premises is subject only to the duty of care set out in subsection (3) if</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 enters is trespassing, or</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entry is for the purpose of a recreational activity and</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receives no payment or other consideration for the entry or activity of the person, other than a payment or other consideration from a government or government agency or a non-profit recreational club or association, and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is not providing the person with living accommodation on those premises.</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categories of premises referred to in subsection (3.2) are as follows:</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premises that the occupier uses primarily for agricultural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purpose of these sections was considered in </w:t>
      </w:r>
      <w:r>
        <w:rPr>
          <w:rFonts w:ascii="arial" w:eastAsia="arial" w:hAnsi="arial" w:cs="arial"/>
          <w:b/>
          <w:i/>
          <w:color w:val="000000"/>
          <w:sz w:val="20"/>
          <w:lang w:val="en-US" w:eastAsia="en-US" w:bidi="ar-SA"/>
        </w:rPr>
        <w:t>Skopnik v. BC Rail Ltd.</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2008 BCCA 331</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Skopnik</w:t>
      </w:r>
      <w:r>
        <w:rPr>
          <w:rFonts w:ascii="arial" w:eastAsia="arial" w:hAnsi="arial" w:cs="arial"/>
          <w:color w:val="000000"/>
          <w:sz w:val="20"/>
          <w:lang w:val="en-US" w:eastAsia="en-US" w:bidi="ar-SA"/>
        </w:rPr>
        <w:t xml:space="preserve">, the court adopted the comments of the court in </w:t>
      </w:r>
      <w:r>
        <w:rPr>
          <w:rFonts w:ascii="arial" w:eastAsia="arial" w:hAnsi="arial" w:cs="arial"/>
          <w:b/>
          <w:i/>
          <w:color w:val="000000"/>
          <w:sz w:val="20"/>
          <w:lang w:val="en-US" w:eastAsia="en-US" w:bidi="ar-SA"/>
        </w:rPr>
        <w:t>Hindley v. Waterfront Properties Corp.</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2002 BCSC 885</w:t>
        </w:r>
      </w:hyperlink>
      <w:r>
        <w:rPr>
          <w:rFonts w:ascii="arial" w:eastAsia="arial" w:hAnsi="arial" w:cs="arial"/>
          <w:color w:val="000000"/>
          <w:sz w:val="20"/>
          <w:lang w:val="en-US" w:eastAsia="en-US" w:bidi="ar-SA"/>
        </w:rPr>
        <w:t xml:space="preserve"> (at para. 19 and para. 22). In </w:t>
      </w:r>
      <w:r>
        <w:rPr>
          <w:rFonts w:ascii="arial" w:eastAsia="arial" w:hAnsi="arial" w:cs="arial"/>
          <w:b/>
          <w:i/>
          <w:color w:val="000000"/>
          <w:sz w:val="20"/>
          <w:lang w:val="en-US" w:eastAsia="en-US" w:bidi="ar-SA"/>
        </w:rPr>
        <w:t>Hindley</w:t>
      </w:r>
      <w:r>
        <w:rPr>
          <w:rFonts w:ascii="arial" w:eastAsia="arial" w:hAnsi="arial" w:cs="arial"/>
          <w:color w:val="000000"/>
          <w:sz w:val="20"/>
          <w:lang w:val="en-US" w:eastAsia="en-US" w:bidi="ar-SA"/>
        </w:rPr>
        <w:t xml:space="preserve"> the court explained that the amendments to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which include s. 3(3.2)(b), were made for the purpose of recognizing that a normal duty of care would be too onerous on rural owners, who cannot reasonably be expected to monitor all their land in order to ensure that it is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amendments were made in order to lower the standard of care owed to outdoor recreationalists such as recreational bicyclists and ATV riders. The court in </w:t>
      </w:r>
      <w:r>
        <w:rPr>
          <w:rFonts w:ascii="arial" w:eastAsia="arial" w:hAnsi="arial" w:cs="arial"/>
          <w:b/>
          <w:i/>
          <w:color w:val="000000"/>
          <w:sz w:val="20"/>
          <w:lang w:val="en-US" w:eastAsia="en-US" w:bidi="ar-SA"/>
        </w:rPr>
        <w:t>Skopnik</w:t>
      </w:r>
      <w:r>
        <w:rPr>
          <w:rFonts w:ascii="arial" w:eastAsia="arial" w:hAnsi="arial" w:cs="arial"/>
          <w:color w:val="000000"/>
          <w:sz w:val="20"/>
          <w:lang w:val="en-US" w:eastAsia="en-US" w:bidi="ar-SA"/>
        </w:rPr>
        <w:t xml:space="preserve"> recounted:</w:t>
      </w:r>
      <w:r>
        <w:rPr>
          <w:rFonts w:ascii="arial" w:eastAsia="arial" w:hAnsi="arial" w:cs="arial"/>
          <w:sz w:val="20"/>
          <w:lang w:val="en-US" w:eastAsia="en-US" w:bidi="ar-SA"/>
        </w:rPr>
        <w:cr/>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detailed in the reasons of Mr. Justice Bauman, section 3(3.3) was added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in 1998 in response to calls for reform by outdoor recreationalists who were willing to assume the risk of hazards in return for being allowed greater access. This was commented upon by the Honourable C. McGregor when introducing the amendment for second reading: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planning the route for the Trans Canada Trail, government and community groups encountered a longstanding issue in British Columbia. Fear of liability is causing landowners to restrict recreational access to their properties. In the context of the Trans Canada Trail, this means that private land owners are reluctant to allow recreational trail use of their land and that local communities are hesitant to assume full responsibility for managing local portions of the trail.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Amendments to the Occupiers Liability Act will help to resolve these problems by lowering the duty of care owed to non-paying recreationalists on recreational trails and certain classes of undeveloped lands. These amendments more equitably balance the duty of care between occupiers and the non-paying recreationalists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w:t>
      </w:r>
      <w:r>
        <w:rPr>
          <w:rFonts w:ascii="arial" w:eastAsia="arial" w:hAnsi="arial" w:cs="arial"/>
          <w:i/>
          <w:color w:val="000000"/>
          <w:sz w:val="20"/>
          <w:lang w:val="en-US" w:eastAsia="en-US" w:bidi="ar-SA"/>
        </w:rPr>
        <w:t>Official Report of Debates of the Legislative Assembly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Vol. 9, No. 16 (11 May 1998) at 7681)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purpose of s. 3(3.2)(b) establishes that the intentions of the plaintiff in this case may have been "recreational" within an ordinary meaning of that word, but not within the meaning intended by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The position of the plaintiff is not at all like that of an ATV driver riding on a large tract of agricultural land, and far more like that of a guest, with the analysis of the duty of care guided more by social host liability and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It is important to note that the recreational activity provision can apply both when a plaintiff is invited by the owner and when not invited. Its real significance lies in those circumstances where the landowner </w:t>
      </w:r>
      <w:r>
        <w:rPr>
          <w:rFonts w:ascii="arial" w:eastAsia="arial" w:hAnsi="arial" w:cs="arial"/>
          <w:i/>
          <w:color w:val="000000"/>
          <w:sz w:val="20"/>
          <w:lang w:val="en-US" w:eastAsia="en-US" w:bidi="ar-SA"/>
        </w:rPr>
        <w:t>invites</w:t>
      </w:r>
      <w:r>
        <w:rPr>
          <w:rFonts w:ascii="arial" w:eastAsia="arial" w:hAnsi="arial" w:cs="arial"/>
          <w:color w:val="000000"/>
          <w:sz w:val="20"/>
          <w:lang w:val="en-US" w:eastAsia="en-US" w:bidi="ar-SA"/>
        </w:rPr>
        <w:t xml:space="preserve"> the plaintiff, for example, to snowmobile on a large tract of land-when, though invited, he is still owed no higher duty than that owed to a trespasser. On the other hand, if a plaintiff were uninvited, hence a trespasser, the inquiry need go no further, the plaintiff is likewise a trespasser, the occupier required only to meet the lower standard of care: see s. 3(3.3)(a).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To accept the defendant's rough hewn interpretation of this section would lead to seeing hosts living on a Chilliwack farm released from the standards that would be imposed on them if hosting their guests in a Coal Harbour condominium. It would make no difference at all if the Chilliwack farmhouse stairs the guests were invited to climb were as rotten as a year old pumpkin, so long as the host lived on land used for agricultural purposes. This cannot be the intended result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Both the Supreme Court and the Court of Appeal in </w:t>
      </w:r>
      <w:r>
        <w:rPr>
          <w:rFonts w:ascii="arial" w:eastAsia="arial" w:hAnsi="arial" w:cs="arial"/>
          <w:b/>
          <w:i/>
          <w:color w:val="000000"/>
          <w:sz w:val="20"/>
          <w:lang w:val="en-US" w:eastAsia="en-US" w:bidi="ar-SA"/>
        </w:rPr>
        <w:t>Skopnik</w:t>
      </w:r>
      <w:r>
        <w:rPr>
          <w:rFonts w:ascii="arial" w:eastAsia="arial" w:hAnsi="arial" w:cs="arial"/>
          <w:color w:val="000000"/>
          <w:sz w:val="20"/>
          <w:lang w:val="en-US" w:eastAsia="en-US" w:bidi="ar-SA"/>
        </w:rPr>
        <w:t xml:space="preserve"> found that s. 3.2 was drafted in response to organizations representing outdoor recreational users, explaining that their constituents would be willing to accept a lower standard of care for greater access to rural areas. As the legislation was drafted in response to this plea, one can only conclude that it was intended for the broad range of "recreational uses" covered by such organizations. Broad though this range might potentially be, attending at a location on the invitation of an owner cannot reasonably be considered the type of recreational activity intended by the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Trespasser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Mr. Buhler referred me to </w:t>
      </w:r>
      <w:r>
        <w:rPr>
          <w:rFonts w:ascii="arial" w:eastAsia="arial" w:hAnsi="arial" w:cs="arial"/>
          <w:b/>
          <w:i/>
          <w:color w:val="000000"/>
          <w:sz w:val="20"/>
          <w:lang w:val="en-US" w:eastAsia="en-US" w:bidi="ar-SA"/>
        </w:rPr>
        <w:t>Skopnik</w:t>
      </w:r>
      <w:r>
        <w:rPr>
          <w:rFonts w:ascii="arial" w:eastAsia="arial" w:hAnsi="arial" w:cs="arial"/>
          <w:color w:val="000000"/>
          <w:sz w:val="20"/>
          <w:lang w:val="en-US" w:eastAsia="en-US" w:bidi="ar-SA"/>
        </w:rPr>
        <w:t xml:space="preserve">, which for the purposes of this case simply affirms that at common law and likewise for the purposes of s. 3(3.2)(a)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 person is a trespasser if on lands and premises without permission. A person's honest belief that they are not trespassing is not a defence. The </w:t>
      </w:r>
      <w:r>
        <w:rPr>
          <w:rFonts w:ascii="arial" w:eastAsia="arial" w:hAnsi="arial" w:cs="arial"/>
          <w:b/>
          <w:i/>
          <w:color w:val="000000"/>
          <w:sz w:val="20"/>
          <w:lang w:val="en-US" w:eastAsia="en-US" w:bidi="ar-SA"/>
        </w:rPr>
        <w:t>Trespass Act</w:t>
      </w:r>
      <w:r>
        <w:rPr>
          <w:rFonts w:ascii="arial" w:eastAsia="arial" w:hAnsi="arial" w:cs="arial"/>
          <w:color w:val="000000"/>
          <w:sz w:val="20"/>
          <w:lang w:val="en-US" w:eastAsia="en-US" w:bidi="ar-SA"/>
        </w:rPr>
        <w:t>, 1996 R.S.B.C. c. 462, on the other hand, requires enclosures around premises or the posting of signs around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Counsel then argues that the owner of the farm was the corporate defendant and that permission to enter the property could come only from a duly authorized representative of the corporate defendant, and that the plaintiff's honest belief that he had permission to enter the farm does not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 further pointed out that: at the examination for discovery the plaintiff could not identify the owner of the property, so could not know who had authority to allow him entry; that the actual owner did not invite him onto the property; that Parmajit Gill did not have authority to invite the plaintiff onto the farm; that Sikander Bath did not have the authority, and the plaintiff had no reasonable basis for believing that he had it, since he did not know the identity of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first flaw in this argument is its failure to acknowledge the fact that the act is the </w:t>
      </w:r>
      <w:r>
        <w:rPr>
          <w:rFonts w:ascii="arial" w:eastAsia="arial" w:hAnsi="arial" w:cs="arial"/>
          <w:b/>
          <w:i/>
          <w:color w:val="000000"/>
          <w:sz w:val="20"/>
          <w:u w:val="single"/>
          <w:lang w:val="en-US" w:eastAsia="en-US" w:bidi="ar-SA"/>
        </w:rPr>
        <w:t>Occupiers</w:t>
      </w:r>
      <w:r>
        <w:rPr>
          <w:rFonts w:ascii="arial" w:eastAsia="arial" w:hAnsi="arial" w:cs="arial"/>
          <w:b/>
          <w:i/>
          <w:color w:val="000000"/>
          <w:sz w:val="20"/>
          <w:lang w:val="en-US" w:eastAsia="en-US" w:bidi="ar-SA"/>
        </w:rPr>
        <w:t xml:space="preserve"> Liability Act</w:t>
      </w:r>
      <w:r>
        <w:rPr>
          <w:rFonts w:ascii="arial" w:eastAsia="arial" w:hAnsi="arial" w:cs="arial"/>
          <w:color w:val="000000"/>
          <w:sz w:val="20"/>
          <w:lang w:val="en-US" w:eastAsia="en-US" w:bidi="ar-SA"/>
        </w:rPr>
        <w:t>, not the "</w:t>
      </w:r>
      <w:r>
        <w:rPr>
          <w:rFonts w:ascii="arial" w:eastAsia="arial" w:hAnsi="arial" w:cs="arial"/>
          <w:color w:val="000000"/>
          <w:sz w:val="20"/>
          <w:u w:val="single"/>
          <w:lang w:val="en-US" w:eastAsia="en-US" w:bidi="ar-SA"/>
        </w:rPr>
        <w:t>Owners</w:t>
      </w:r>
      <w:r>
        <w:rPr>
          <w:rFonts w:ascii="arial" w:eastAsia="arial" w:hAnsi="arial" w:cs="arial"/>
          <w:color w:val="000000"/>
          <w:sz w:val="20"/>
          <w:lang w:val="en-US" w:eastAsia="en-US" w:bidi="ar-SA"/>
        </w:rPr>
        <w:t xml:space="preserve"> Liability Act", as well as the fact that there may be more than one occupier.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defines "occupier"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"occupier" means a person who</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the premises, the activities conducted on those premises and the persons allowed to enter those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on occupier of the same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plaintiff argued that the defendant is negligent, based upon the invitation and direction of Sikander Bath, who was authorized to do so by the corporate defendant, into a dangerous situation. Though not plead or specifically argued, this situation is one that is provided for by s. 6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premises are occupied or used under a tenancy under which a landlord is responsible for the maintenance or repair of the premises, it is the duty of the landlord to show toward any person who, or whose property, may be on the premises the same care in respect of risks arising from failure on the landlord's part in carrying out the landlord's responsibility, as is required by this Act to be shown by an occupier of premises toward persons entering on or using the premises.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premises are occupied under a subtenancy, subsection (1) applies to a landlord who is responsible for the maintenance or repair of the premises comprised in the subtenancy.</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section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landlord is not in default of the landlord's duty under subsection (1) unless the default would be actionable at the suit of the occupier,</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relieves a landlord of a duty the landlord may have apart from this section, and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obligations imposed by an enactment in respect of a tenancy are deemed to be imposed by the tenancy.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applies to all tenancies.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A tenancy includes a statutory tenancy, an implied tenancy, and any contract conferring the right of occupation, and "landlord" must be construed accordingly: see s. 1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According to accepted evidence, Parmajit Gill lived in part of the double wide part of the time. He was authorized to do so by Sikander Bath, who was responsible for the day to day operation of the whole farm, and for all practical day to day purposes was in physical possession of it. Sukhminder Bath had very little involvement in the day to day operations, including rental of the permanent house on the farm, which was rented out to tenants by Sikander Bath. He also confirmed that his brother Sikander Bath made all the arrangements for removal of the double wide from its former site at a saw mill to the farm-indeed the move was carried out by Sikander Bath without any prior discussion or authorization. In fact, Sukhminder did not even know that the double wide was on the farm until after service of the writ of summons on him in August 2005, two years later. He did not know a building permit was required, and did not instruct his brother to make inquiries, leaving this up to Sikander Bath as "manager of the farm." He had very little social contact with his brother and had never visited his house. He was unaware of his social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Given this evidence, Sukhminder Bath's evidence that he did not give permission to his brother to invite someone to the double wide to socialize rings hollow, given that he had so little physical involvement with the farm operations that he did not realize for two years there was even a double wide on the farm. While Sukhminder Bath may have had financial oversight, it is clear that he had ceded managerial control, and for all practical purposes, physical possession of the farm and physical operations on it almost entirely to Sikander Bath.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reject the submission that in the circumstances Sikander Bath did not have authority to invite the plaintiff onto the farm for social purposes. The plaintiff was therefore not a trespasser and the defendant owes him the legislated standard of care owed an invitee; and nothing further is required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But in addition, and referring now back to s. 6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I find that both Sikander Bath and Parmajit Bath may be considered as a tenant with a right of occupancy: in the case of Sikander Bath in his capacity of farm manager in physical possession of the farm, including the double wide, and Parmajit Gill in his capacity as an employee with a right of part-time residency in the double wide inherent to his status as an employee with those specific duties assigned him by Sikander Bath.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 as owner of the lands and premises and employer of Sikander Bath and Parmajit Gill is ultimately responsible for the repair and maintenance of the premises; and a duty of care is owed to its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extends this duty to "any person" that "may be on the premises". This 'extension' of course must be read subject to the right of an occupier to show a lower standard of care to trespassers, else that provision would be nullified. Therefore, s. 6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extends the duty of care owed by a landlord to its tenant to any 'invitee' of those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all events, in the circumstances of this case, I find that Sikander Bath had authority to invite the plaintiff into the double wide to socialize, as did Parmajit Gill, and that it would be reasonable on the part of the plaintiff to assume that Sikander Bath possessed this authority; and I find that the plaintiff was not a trespasser in the circumstances of this case. Further, I have found that the cooperate defendant failed in its duty to take the care that in all the circumstances of this case was reasonable to see that a person in the double wide would be reasonably safe using it. Such default and liability, as here, would be actionable by the occupiers Parmajit Gill and Sikander Bath, and by operation of s. 6 this liability extends to the plaintiff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 note that incidentally the fact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corporate defendant would involve the non misfeasance and misfeasance of employee Sikander Bath would not be a defence to the plaintiff's action. And were Sikander Bath to bring such an action himself, the defendant would have a ready and very strong answer to such action in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any event, the requirements of s. 6(3)(a) need not be read in such a literal sense. Further, I note that Parmajit Gill, also a tenant of the defendant, could also bring such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note also that it was open to the defendant to join Sikander Bath as a Third Party in this action, alleging breach of authority, likewise for the plaintiff to join Sikander Bath and Parmajit Gill as occupiers, who might theoretically then have joined the defendant as an occupier and/or made claims as employees for indemnification. However, this case can be decided, as constituted here, within the four corners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Liability on the Ordinary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defendant submits that even on the ordinary standard of care, it escapes liability, referring me to </w:t>
      </w:r>
      <w:r>
        <w:rPr>
          <w:rFonts w:ascii="arial" w:eastAsia="arial" w:hAnsi="arial" w:cs="arial"/>
          <w:b/>
          <w:i/>
          <w:color w:val="000000"/>
          <w:sz w:val="20"/>
          <w:lang w:val="en-US" w:eastAsia="en-US" w:bidi="ar-SA"/>
        </w:rPr>
        <w:t>Wilde v. Cambie Malone Corp.</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2008 BCSC 704</w:t>
        </w:r>
      </w:hyperlink>
      <w:r>
        <w:rPr>
          <w:rFonts w:ascii="arial" w:eastAsia="arial" w:hAnsi="arial" w:cs="arial"/>
          <w:color w:val="000000"/>
          <w:sz w:val="20"/>
          <w:lang w:val="en-US" w:eastAsia="en-US" w:bidi="ar-SA"/>
        </w:rPr>
        <w:t xml:space="preserve"> and guiding principles for the establishment of liability as laid down by Martinson J.</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failure to act must be a breach of the defendant's positive duty to take reasonable care to ensure that the plaintiff was reasonably safe when using the premises;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does not extend so far as to require removal of every possibility of danger, perfection is not required;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proven that the unsafe condition actually caused the accident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above tests are well met in this case. Had the defendant taken the reasonable care exemplified by the municipal inspection standards, the plaintiff would not have fallen. Further, I reject the defendant's argument that the accident was not foreseeable on the basis that the premises were intended to be used during day light business hours only. This accident could have just as easily occurred in daylight business hours with a farm worker in for a noon hour lunch leaving in a hurry and distractedly rushing out the door and falling in the same way as the plaintiff. Further, it is trite law that the precise nature of the harm that has unfolded need not be foreseen; only the reasonable possibility of harm and in a general way. I find that the duty of care, and the standard of care, and the breach of it are all well proven on the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Occupiers are entitled to assume that persons using their premises will exercise reasonable care for their own safety: </w:t>
      </w:r>
      <w:r>
        <w:rPr>
          <w:rFonts w:ascii="arial" w:eastAsia="arial" w:hAnsi="arial" w:cs="arial"/>
          <w:b/>
          <w:i/>
          <w:color w:val="000000"/>
          <w:sz w:val="20"/>
          <w:lang w:val="en-US" w:eastAsia="en-US" w:bidi="ar-SA"/>
        </w:rPr>
        <w:t>Fryer v. Beta Theta Pi Alumni Assoc. of British Columbia</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[1990] B.C.J. No. 1968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It is clear from the evidence that the plaintiff consumed a great deal of alcohol throughout the day. While he testified that he was able to walk down the double wide hallway without difficulty, he also acknowledged that he was too intoxicated to drive a vehicle. Defendant's counsel referred me to the following cases where the plaintiff was found partially responsible for his injuries on account of intoxication:</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Cretien v. Jensen</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(1998), 58 B.C.L.R. (3d) 186</w:t>
        </w:r>
      </w:hyperlink>
      <w:r>
        <w:rPr>
          <w:rFonts w:ascii="arial" w:eastAsia="arial" w:hAnsi="arial" w:cs="arial"/>
          <w:color w:val="000000"/>
          <w:sz w:val="20"/>
          <w:lang w:val="en-US" w:eastAsia="en-US" w:bidi="ar-SA"/>
        </w:rPr>
        <w: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Cooper v. Spectra Food Corp</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[1998] B.C.J. No. 2297</w:t>
        </w:r>
      </w:hyperlink>
      <w:r>
        <w:rPr>
          <w:rFonts w:ascii="arial" w:eastAsia="arial" w:hAnsi="arial" w:cs="arial"/>
          <w:color w:val="000000"/>
          <w:sz w:val="20"/>
          <w:lang w:val="en-US" w:eastAsia="en-US" w:bidi="ar-SA"/>
        </w:rPr>
        <w: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Peters v. A.B.C. Boat Charters Ltd</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(1992), 73 B.C.L.R. (2d) 389</w:t>
        </w:r>
      </w:hyperlink>
      <w:r>
        <w:rPr>
          <w:rFonts w:ascii="arial" w:eastAsia="arial" w:hAnsi="arial" w:cs="arial"/>
          <w:color w:val="000000"/>
          <w:sz w:val="20"/>
          <w:lang w:val="en-US" w:eastAsia="en-US" w:bidi="ar-SA"/>
        </w:rPr>
        <w: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Niblock v. Pacific National Exhibition</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(1981), 30 B.C.L.R. 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defendant submits as well that the plaintiff did not look before stepping out the trailer door and referred me to the following cases where a plaintiff was found at fault in varying degrees for failing to look where they were going:</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Macrae v. Peterson, Stark and Fowler</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[1989] B.C.J. No. 1898</w:t>
        </w:r>
      </w:hyperlink>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Pilon v. Joe Webber Pontiac Buick GMC Ltd.</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[1986] B.C.J. No. 2664</w:t>
        </w:r>
      </w:hyperlink>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Castillo v. Westfair Foods Ltd. (c.o.b. Real Canadian Superstore)</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[1999] B.C.J. No. 1326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this case I note that the plaintiff was not warned off about the absent landing and stairs, a failure that would not be completely unexpected given the inebriated states and the depressed state of vigilance and care that usually follows. Further, as Mr. Cope pointed out for the plaintiff, the door opened outwards, and there was no light. I am not sure that this assists the plaintiff that much however; he knew he was going outside. Nonetheless the fact he was not warned off, and indeed was told to either exit that door-or shoot the banger from it on Parmajit Gill's version-are mitigating factors in apportioning blameworthiness on this aspect. All aside, just a modicum of care would have cautioned the plaintiff to check before stepping out into the darkness without any hesitation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This is a question of relative blameworthiness. I find the plaintiff contributorily negligent. I apportion fault, with the defendant bearing 70%, the plaintiff bearing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Gish v. Hooper Insurance and Financial Services Inc., [2010] B.C.J. No. 774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K.M. 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 and 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S105362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774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2010 BCSC 605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320 D.L.R. (4th) 385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6 B.C.L.R. (5th) 166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[2010] I.L.R. I-4987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84 C.C.L.I. (4th) 121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188 A.C.W.S. (3d) 847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2010 CarswellBC 1079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Margaret Carolyn Gish, Plaintiff, and Hooper Insurance and Financial Services Inc, Bernard David Hooper and Transamerica Life Insurance Company of Canada doing business as Transamerica Life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5"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 w:name="Keywords_3"/>
      <w:bookmarkEnd w:id="27"/>
      <w:r>
        <w:rPr>
          <w:rFonts w:ascii="arial" w:eastAsia="arial" w:hAnsi="arial" w:cs="arial"/>
          <w:b/>
          <w:color w:val="000000"/>
          <w:sz w:val="20"/>
          <w:lang w:val="en-US" w:eastAsia="en-US" w:bidi="ar-SA"/>
        </w:rPr>
        <w:t>Insurance law — Agents — Liability of agent — Application by agents for summary judgment dismissing plaintiff's claim dismissed — Plaintiff's husband cancelled life insurance policies three months before he was diagnosed with brain cancer — Agents had been retained to review both plaintiff's and husband's policies — Plaintiff alleged agents were negligent in failing to contact and advise her once husband cancelled policies — Clear that agents owed duty of care and there were important credibility issues to determine — Agents may have had duty to contact plaintiff so not clear and obvious action would fail.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Insurance law — Insurers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insurer for summary judgment dismissing plaintiff's action dismissed — Plaintiff's husband cancelled life insurance policies three months before he was diagnosed with brain cancer — Plaintiff alleged insurer made negligent misrepresentations about status of policy and failed to advise her of reinstatement options — Plaintiff was beneficiary of policy so, since beneficiaries could assume payments of premiums, it was not absolutely clear that insurer did not owe plaintiff duty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The insurance contract — Termination or breach — By insured — Application by plaintiff for declaration that cancellation of life insurance policy was invalid dismissed — Plaintiff's husband cancelled life insurance policies three months before he was diagnosed with brain cancer — Husband provided clear and unequivocal written notice of his intent to cancel policies, which was accepted by insurer — Insurer did not reject cancellation notice by allowing coverage to continue for duration of pre-paid premium term — Husband was owner and insured on policy so had right to unilaterally terminate policy — Plaintiff had no control as beneficiary.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 w:name="Case Summary_3"/>
            <w:bookmarkEnd w:id="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a declaration that the cancellation of life insurance policies was invalid. Application by the defendants for summary judgment dismissing the action against them. The defendants were the insurer and agents retained by the plaintiff and her husband to review their life insurance policies. The plaintiff's husband owned two life insurance policies under which he was the insured and the plaintiff was the beneficiary. The plaintiff and her husband hired the agents to review their policies, hoping to cut monthly costs. The agents advised the plaintiff and her husband to keep their policies but the plaintiff asserted that they had no intention of acting until the agents provided further information. The plaintiff's 74-year-old husband was in declining health. Shortly after meeting with the agents, the husband called the insurer for directions on cancelling his policies. He was told to provide written instructions, so he faxed a handwritten note directing the insurer to cancel his coverage immediately. The insurer responded, confirming its acceptance of the cancellation. The insurer informed the agents of the cancellation, but the agents did not discuss the matter with the plaintiff, nor did she make inquiries with them. The agents continued to advise the plaintiff on her own policies. The plaintiff argued that the cancellation was invalid because the insurer allowed the policy to continue for the duration of the pre-paid premium. The plaintiff argued this meant the policy actually lapsed for non-payment and the insurer was negligent in not giving her the opportunity to pay the premiums. The plaintiff alleged all defendants breached their duty of care, fiduciary duty and contract.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 w:name="Holdings of Court_3"/>
            <w:bookmarkEnd w:id="29"/>
            <w:r>
              <w:rPr>
                <w:rFonts w:ascii="arial" w:eastAsia="arial" w:hAnsi="arial" w:cs="arial"/>
                <w:color w:val="000000"/>
                <w:sz w:val="20"/>
                <w:lang w:val="en-US" w:eastAsia="en-US" w:bidi="ar-SA"/>
              </w:rPr>
              <w:t>HELD: All applications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the owner and insured under the policies, the husband had the right to unilaterally cancel the policies and the plaintiff, as the beneficiary, had no control. The policy had no terms relating to cancellation and the husband provided clear, unequivocal notice of his intent to cancel the policies. The insurer provided written acceptance. Allowing the coverage to continue for the duration of the pre-paid policy term did not constitute a rejection of the cancellation. Once the pre-paid term was completed, the insurer did not charge further premiums. The cancellation was valid. There were important credibility issues to be determined between the plaintiff and agents. The agents clearly owed the plaintiff a duty of care and there was a triable issue as to whether or not this meant they had the duty to inform and advise the plaintiff once they learned the husband had cancelled the policies. It was also not clear that the action against the insurer would fail. Since beneficiaries could assume payments of premiums, the insurer may have had a duty to advise the plaintiff on her options.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 w:name="Legislation Cited_2"/>
      <w:bookmarkEnd w:id="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6"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Act, RSBC 1996, CHAPTER 226, s. 29, s. 36, s. 37, s. 40, s. 47, s. 55, s. 89, s. 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18A, Rule 18(11), Rule 18(16)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 w:name="Counsel_3"/>
      <w:bookmarkEnd w:id="3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7"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K.H. Wirsig, B. Trainor.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Hooper defendants: T.R. Darby.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Transamerica: A.S. Dosanjh.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 w:name="Judgment_3"/>
      <w:bookmarkEnd w:id="32"/>
      <w:r>
        <w:pict>
          <v:line id="_x0000_s1048"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 w:name="K.M. KER J."/>
            <w:bookmarkEnd w:id="33"/>
            <w:r>
              <w:rPr>
                <w:rFonts w:ascii="arial" w:eastAsia="arial" w:hAnsi="arial" w:cs="arial"/>
                <w:b/>
                <w:color w:val="000000"/>
                <w:sz w:val="30"/>
                <w:lang w:val="en-US" w:eastAsia="en-US" w:bidi="ar-SA"/>
              </w:rPr>
              <w:t>K.M. 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dispute in this action concerns the cancellation of two life insurance policies owned by the plaintiff's husband, Robert Gish. Mr. Gish held the life insurance policies for approximately 20 years. In October 2004 Mr. Gish faxed a handwritten letter to the defendant insurer, Transamerica Insurance Company of Canada ("Transamerica"), directing it to cancel his two life insurance policies immediately. Unbeknownst to the Gishs at this time, Mr. Gish likely had inoperable brain cancer. Mr. Gish was diagnosed with the brain cancer three months after writing and sending the letter directing Transamerica to cancel the two life insurance policies and died one month later. The plaintiff does not allege that Mr. Gish was incapacitated at the time he sent the faxed letter to Transamerica or that he was acting under any disability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Hooper Insurance and Financial Services Inc. and Bernard David Hooper (collectively the "Hooper Defendants"), became the appointed insurance agent/broker of record for the Gishs in May 2002 when a financial planner working with them asked the Hooper Defendants to review the insurance policies held by the Gishs. It should be noted that no argument was advanced by any of the parties as to the legal effect of this designation.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has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both Transamerica and the Hooper Defendants for what she argues is the premature loss of the two life insurance policies due to the negligent misrepresentations of the defendants as to the actual status of the cancellation of the life insurance and the failure to advise the plaintiff and her husband that the policies in fact were not cancelled but simply lapsed for non-payment of the premiums which the plaintiff, as the beneficiary of the policies, could have assumed paying pursuant to s. 40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over 20 years Robert and Marilyn Gish owned and ran a jewellery business in Burnaby, B.C. In April 1985, as part of their financial and business planning, they each purchased two life insurance policies from Transamerica, one each with a face value of $150,000 and one each with a face value of $100,000. Mr. Gish also purchased a third insurance policy from Transamerica that had a face value of $50,000. Mr. Gish was the policy owner and the insured life on each of his three policies. The plaintiff was the beneficiary of these three life insurance policies. Mr. Gish was the beneficiary of each of the plaintiff's two life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summer and fall of 2004 the plaintiff and her husband were winding up their business and trying to consolidate their finances and reduce expenses. They turned to the Hooper Defendants for advice and assistance. The Hooper Defendants were the appointed insurance agent/broker of record for the Gishs in respect of their various life insurance policies with Transamerica and had been so since May 2,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and Mr. Gish met with the Hooper Defendants on October 7, 2004 to discuss their insurance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October 22, 2004, Mr. Gish telephoned Transamerica inquiring about how to cancel insurance. The call centre operator advised Mr. Gish that Transamerica required written instructions to effect cancellation of insurance policies. Shortly after the telephone call Mr. Gish faxed a hand written letter to Transamerica directing it to cancel two of his policies immediately. Transamerica sent Mr. Gish letters dated October 23, 2004, confirming receipt of his instructions and advising that each of the two policies had been cancelled as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Unbeknownst to the Gishs, Transamerica allowed the coverage for the policies to continue up to the "paid to date" of the October 1, 2004 premium which was November 15, 2004 for one policy and November 22, 2004 for the other policy (policy #465185 and policy # 465184 respectively - collectively "the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November 3, 2004, in response to inquiries about the status of all the insurance policies the Gishs held with Transamerica, the Hooper Defendants received an e-mail from Transamerica indicating that the Policies owned by Mr. Gish had been cancelled on October 22, 2004 effective the paid to dates of November 15 and 22,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Hooper Defendants conducted no follow up with the Gishs about the cancellation of the Policies. Nor did the Gishs discuss the cancellation of the Policies with the Hooper Defendants after October 22,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One of the issues in this litigation is whether, by virtue of Transamerica's electing to continue coverage of the Policies until the paid to dates in November 2004, Mr. Gish actually cancelled the Policies with Transamerica. The plaintiff argues that by allowing the Policies to continue to the paid to date, Mr. Gish's Policies were not cancelled by Transamerica and instead lapsed through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Broadly stated, the plaintiff alleges in her statement of claim that both defendants breached their contractual duty, their fiduciary duty, and their duty of care owed to the plaintiff by, among other things, (i) failing to provide information and advice in a timely manner regarding the options under the Policies; (ii) failing to obtain the fully informed consent of both the plaintiff and Mr. Gish before cancelling the Policies; and (iii) failing to counsel or discuss with the plaintiff options for reinstating the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Counsel for the plaintiff elaborated in submissions that the plaintiff's action against the defendants is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omission in failing to advise the Gishs that the Policies had not been cancelled immediately and that they were still in effect and could be saved by means of the grace period for lapsed policies allowed under both the terms of the Policies and s. 40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and also that the plaintiff had a right to assume payment of the monthly premiums pursuant to s. 40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The plaintiff argues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 this case caused the premature loss of the Policies which named Mrs. Gish as the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Each of the parties to the overall action filed applications pursuant to Rule 18A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and all three applications were heard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and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application under Rule 18A seeks a declaration that the cancellation of Mr. Gish's Policies was invalid at law. The defendants argue that Mr. Gish's faxed letter of October 22, 2004, is a clear, unequivocal, and unconditional notice of cancellation that Transamerica properly acted upon and over which the Hooper Defendants had no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its Rule 18A application Transamerica seeks to have the plaintiff's action dismissed, arguing her claim is without merit as Mr. Gish requested that the Policies be cancelled and Transamerica acted upon those instructions in cancelling the Policies. Thus Transamerica argues the cancellations were valid at law. Transamerica further argues it breached no duties to the plaintiff and seeks to have the plaintiff's action against it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their Rule 18A application, the Hooper Defendants seek to have the plaintiff's action against them dismissed arguing they have breached no duty owed to the plaintiff. They further argue that the uncontradicted evidence discloses that Mr. Gish's cancellation could not be revoked and therefore the cancelled Policies could not be reinstated.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opposes the defendants' applications arguing that their applications are not appropriate for disposition by means of a summary trial under Rule 18A. The plaintiff argues there are many issues of fact that involve significant credibility issues that must be canvassed at a full trial. The plaintiff relies upon an expert report prepared by an underwriting consultant outlining the accepted industry standard as support for its argument that the defendants' applications are not suitable for disposition under Rule 18A and that the matter should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Collectively then, the following issues arise on these applications: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Gish's written cancellation instruction of October 22, 2004 invalid at law;</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written cancellation instruction is invalid due to Transamerica's continuation of the policy until the end of the premium coverage period on November 15 and 22, 2004, was the grace period and Transamerica's 14 day administrative period triggered by the non-payment of the premiums on November 1, 2004 such that the Gishs had a further 45 days to pay the premiums on the Policies;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applications suitable for disposition under Rule 18A;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defendants' applications are suitable for disposition under Rule 18A and the policies were not properly cancelled but simply lapsed by Transamerica's conduct in continuing coverage to the paid to dates in November, did either of the defendants owe any contractual duty, fiduciary duty or duty of care to the Gishs to advise them of the ability to preserve the policies and that the plaintiff had a right to assume payment of Mr. Gish's premiums.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are also two evidentiary issues that must be addressed in the context of the applications. The defendants take issue with the admissibility of two aspects of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first evidentiary issue relates to the admissibility of certain statements contained in Mrs. Gish's affidavit which the defendants say are inadmissible hearsay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second evidentiary issue relates to the admissibility of an expert's report prepared by an underwriting consultant retained by the plaintiff to prepare and provide expert opinion evidence as to accepted industry standards and whether or not the conduct of the defendants in this case followed those standards. The defendants argue this report is inadmissible as the author improperly weighs evidence, provides interpretations of the Policies, and provides legal opinions and conclusions on the merits of the case. This issue is more properly determined in the context of the defendants' Rule 18A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order to put the three applications in their proper context and to address the evidentiary issues, it is necessary to outline in detail the background facts that give rise to this litigation and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April 15, 1985 the plaintiff and her husband each completed applications to acquire life insurance policies with Transamerica. Mr. Gish purchased three policies, two of which are the Policies at issue in these proceedings. The Policies were pure insurance policies that required Mr. Gish to pay monthly premiums in advance and contained no conversion option available to Mr. Gish regarding the premiums on the Policies. Mr. Gish was the policy owner and the insured life on both Policies. Mrs. Gish was designated the beneficiary under the Policies, but was not an irrevocable beneficiary. Policy #465184 had a face value of $150,000 and was issued on May 22, 1985. Policy #465185 had a face value of $100,000 and was issued on April 15, 1985. The Policies were not purchased through the Hooper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addition to being pure insurance policies, both Policies had no surrender value. This is to be distinguished from the third policy that Mr. Gish owned and the two policies the plaintiff owned. These three other policies, none of which are in issue in these proceedings, had a "reduced paid up" option that permitted the insured to stop paying the premiums but continue coverage on the policy albeit at a lower amount of coverage in proportion to the time left in the policy's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total monthly premium on the Policies was $317.07. These premiums were paid by means of automatic withdrawal from Mr. Gish's bank account on the first of the month in advance of the coverage period. The monthly coverage period for policy #465184 was from the 16th of the month through to the 15th of the following month. The monthly coverage period for policy #465185 was from the 23rd of the month through to the 22nd of the following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and Mrs. Gish jointly operated a jewellery business in Burnaby for about 20 years and in July 2004 began to wind up their business. Policy #465184 had been assigned to the CIBC bank in 1987 in connection with loans for the jewellery business. The assignment was released on July 26, 2004, contemporaneous with the time frame when the Gishs ceased to operate their jewellery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April 2002 the Gishs met with a financial planner to review their finances and insurance portfolio. In order to obtain information about the portfolio of insurance policies, the financial planner forwarded information about the policies to the Hooper Defendants and requested that they review the insurance policies held by the plaintiff and Mr. Gish. In order to carry out the review requested by the financial planner, the Hooper Defendants forwarded a form of authorization letter to the financial planner for the Gishs to execute. The authorization letter designated the Hooper Defendants as the appointed insurance agent/broker of record for all the life insurance policies held by the Gishs with Transamerica.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or before May 2, 2002, Mr. Gish signed the authorization letter appointing the Hooper Defendants as the insurance agent/broker of record and authorizing Transamerica to give the Hooper Defendants full access to the Policies. The Hooper Defendants did not meet with the plaintiff and Mr. Gish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August 30, 2002, the Hooper Defendants wrote Transamerica in their capacity as Agent of Record for the plaintiff and Mr. Gish, requesting information about the various insurance policies in order to allow the Hooper Defendants to assist in servicing their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October 8, 2002, Transamerica wrote to Mr. Gish, copying the Hooper Defendants, enclosing copies of the certificates on the Policies which outlined the type of life insurance policy, the face value of each policy, the policy date and date of issue, the monthly premiums, and the designated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summer and fall of 2004 the Gishs were looking at ways to reduce their expenses. They also wanted a full understanding of their entire insurance coverage and on which policies they might be able to reduce their insurance premium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August 2004, the plaintiff contacted Transamerica to request information about the status of all the insurance policies she and her husband held with Transamerica. The plaintiff was referred to a number of different companies but eventually learned that the Hooper Defendants had conducted a review of the policies for their financial planner in 2002. The plaintiff contacted the Hooper Defendants and indicated that she and her husband wished to review their insurance coverage. The plaintiff and her husband wanted to do a full review and evaluation of the policies and wanted an explanation of what the policies were in order to understand the coverage, who owned what policies, and whether any policies were assigned.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 meeting was eventually arranged between the Hooper Defendants and the Gishs for October 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Between September 23, 2004 and October 3, 2004, the Hooper Defendants prepared a spreadsheet outlining all the existing life insurance policies held by the Gishs.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October 3, 2004, the Hooper Defendants also prepared a survey of current premiums for the insurance coverage provided by the existing policies held by the Gishs and to demonstrate, for discussion purposes, what the premium for a new policy would be for $100,000 in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October 7, 2004, Mr. Hooper met with the plaintiff and Mr. Gish at their home. Mr. Hooper deposes that he was not certain what the purpose of the meeting was, other than to review the insurance coverage. Mrs. Gish deposes that the meeting was unsatisfactory in that Mr. Hooper did not provide her with the information they had asked him to bring to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the meeting, the Hooper Defendants informed the Gishs that the Policies were pure insurance policies with no conversion option available and that Mr. Gish had to pay the monthly premium. The Hooper Defendants advised Mr. Gish to keep the Policies. During this meeting, the Gishs did not indicate to Mr. Hooper that there was any urgency to obtain the information they sought and did not provide any indication that it was their intention to cancel any of the policies, indeed the Hooper Defendants understood the Gishs were going to wait to receive further information before they did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was not satisfied with the course of the October 7, 2004 meeting and requested that the Hooper Defendants obtain further information about all the life insurance policies and about the values and options on her two policies that had a reduced paid up option and whether the monthly premiums on the policies would stay the same until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expected that the Hooper Defendants would obtain the requested information within a week. About one week after the meeting the plaintiff contacted the Hooper Defendants to ask where the follow up information was but was advised that it had not yet been obtained. The plaintiff contacted the Hooper Defendants again after a further week but there was still no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Prior to the October 7, 2004 meeting the Hooper Defendants were aware that Mr. Gish was 74 years of age and had already had a heart attack some years earlier. During the fall of 2004, Mr. Gish's health was declining and he was experiencing dizziness, vomiting, fainting and falling, and a variety of other symptoms. He was initially diagnosed as suffering from cracked ribs.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During this time frame Mr. Gish was very anxious about his expenses and reducing what expenses he could. The insurance premiums were the only fixed recurring payment for the Gishs. The Gishs had at least three other life insurance policies, two insuring Mrs. Gish for the same values as the Policies in issue in this action and at least one insuring the life of Mr. Gish with a face value of $50,000. The total for monthly premiums on these three other policies was $140.02, and when combined with the Policies' premiums of $317.07, the Gishs owed a total of $457.09 per month for all five life insurance policies held with Transamerica.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October 20, 2004 Mr. Hooper telephoned the Gish residence but has no recollection of what was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10:49:21 hours (eastern time) on October 22, 2004, Mr. Gish telephoned Transamerica. Call records generated at the time of the call indicate that Mr. Gish was calling to inquire about the process of cancelling or surrendering the Policies. The call operator recorded this in the call logs and advised Mr. Gish on how to cancel his policies. The premiums on the Policies had been paid prior to October 22, 2004 with the last premium payment automatically withdrawn from Mr. Gish's bank account on October 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Shortly after making this telephone call to Transamerica, Mr. Gish faxed a handwritten letter to the offices of Transamerica requesting that the Policies be cancelled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however, Mrs. Gish's evidence that it was not their intention to do anything about the insurance policies until she had obtained the full information she sought from the Hooper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October 23, 2004, Transamerica issued two confirmation letters to Mr. Gish, one for each policy, confirming that Mr. Gish's request to cancel the Policies had been received and acted upon. Transamerica directed Mr. Gish to contact Mr. Hooper, his Transamerica advisor, if he had any questions or additional insurance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Although there is no record in the call centre log books, on or about October 25, 2004, Mrs. Gish telephoned the Transamerica call centre to inquire if the Policies had been cancelled and was informed they had been cancelled. The plaintiff also asked if the insurer needed a signed and witnessed form through the agent to cancel a policy and was told that a faxed handwritten letter was sufficient. Mrs. Gish was advised that the owner of a life insurance policy could do what they wanted and that it was not any of her business. Mrs. Gish understood from this call that the cancellation had been completed and that it was final.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last premium payments made on Mr. Gish's Policies were made on October 1, 2004. The next premium payments would have been due and withdrawn by means of automatic debit on November 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October 27, 2004 the Transamerica letter of October 23 to Mr. Gish confirming cancellation of the Policies was received by the managing agent and then forwarded sometime thereafter to the Hooper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October 28, 2004, at 9:28 a.m. the Hooper Defendants faxed a request to Transamerica seeking information about the premiums on all five life insurance policies the Gishs held with Transamerica, including the Policies in issue in this action. At the time this request was sent, the Hooper Defendants did not know that Mr. Gish had requested that Transamerica cancel the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November 3, 2004, the Hooper Defendants received from Transamerica an e-mail response to its October 28, 2004 inquiries about the Gish policies. At that time they learned that the Policies had been cancelled on October 22, 2004. The e-mail further informed the Hooper Defendants that the Policies had been cancelled on October 22, 2004 effective the paid to date of November 15 and 22, 2004. Mr. Hooper did not contact the plaintiff or her husband about the contents of this e-mail and the cancellation of the Policies as it is not his practice to follow up with a client who has decided to cancel an insurance policy. The decision to cancel, in Mr. Hooper's view, was solely within the discretion of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Not included in the information sent by Transamerica on November 3, 2004 was the requested information on the reduced paid up values on the plaintiff's life insurance policies. Mr. Hooper requested that information again and received the information on November 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December 9, 2004, Transamerica sent a letter to the plaintiff about her reduced paid-up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February 2005, Mr. Gish was diagnosed with inoperable brain cancer and died on March 6,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no time before Mr. Gish died did the plaintiff or Mr. Gish contact the Hooper Defendants about the cancelled Policies. The Hooper Defendants continued to provide some services to the plaintiff in respect of her insurance policies until October 2006.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Policy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Policies are identical in their coverage terms and contain a term under the heading "General Provisions" which specifies that only the owner of the policy will be entitled to the rights granted by the policy before the insured's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Under the beneficiary provisions of the policy terms, a policy owner can change the designation of a beneficiary by filing a satisfactory written notice with Transamerica. However, where the beneficiary is designated irrevocably, the policy term provides that the owner cannot change the beneficiary without the written consent of that beneficiary. In this case, Mrs. Gish was not named as an irrevocable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Policies define the term "lapse" as meaning termination of the policy for non-payment of the premiums. Under the heading "Premium Payment and Reinstatement of Lapsed Policy" the Policies outline the terms for payment of premiums in advance and permit the payment of premiums within a "grace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Policies specifically define the grace period for paying premiums as a period of 31 days after the premium due date. During this grace period the Policies continue in full force. The Policies further provide that where any premium remains unpaid upon the expiry of the grace period, the policy will lapse. Transamerica also has a further 14 day administrative period beyond the 31 day grace period where it would accept full payment of a premium outside the 31 day grace period without the necessity of the owner applying for reinstatement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are no specific terms within the Policies addressing cancellation by either the insurer or the insured. Transamerica does not accept a simple verbal cancellation request in order for a life insurance policy to be cancelled. Instead, Transamerica requires written instructions from the owner of the policy directing the insurer to cancel the policy. Once a policy is cancelled, Transamerica does not permit reinstatement of the policy nor does it permit revocation of the cancellation.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Procedural History: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commenced this action on April 24, 2007. The plaintiff alleges that the defendants were negligent in failing to advise the Gishs that Mr. Gish's direction to cancel his two insurance policies immediately was not followed. By Transamerica failing to convey the true state of the cancellation effective date and the Hooper defendants failing to advise the plaintiff and her husband of the ability to retain the policy by paying the insurance premiums during the grace period, the plaintiff alleges the defendants caused the premature loss of Mr. Gish's two life insurance policies and that as a result the plaintiff as beneficiary under the policies has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filed separate statements of defence in June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Examinations for discovery have been conducted both on the plaintiff and on the Hooper defendants in June 2008 and December 2009. An examination for discovery of a representative of Transamerica was also conducted in December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matter was set for a three week jury trial, scheduled to commence on March 22, 2010. During the hearing of these three Rule 18A applications counsel for the parties advised that they had agreed to adjourn the trial of the matter pending the decision of the Court on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Before addressing the merits of the plaintiff's Rule 18A application there is a preliminary evidentiary issue that must be determined before a conclusion on Mrs. Gish's application can be reached. The merits of the plaintiff's application will be addressed after considering this preliminary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is no issue raised by any of the parties as to whether the plaintiff's application is suitable for determination under Rule 18A. Insofar as the defendants' Rule 18A applications are concerned, the plaintiff objects to the matters being determined by means of Rule 18A arguing there are significant issues of credibility to be determined and that as such the matters are not suitable for disposition by means of a summary trial. I will address this issue, and the second preliminary evidentiary issue, when I turn to the applications of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Evidentiary Issue #1 - Does Mrs. Gish's affidavit contain inadmissible hearsay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Mrs. Gish's affidavit outlines background facts from the perspective of the plaintiff, and to an extent her husband, as at the time of the faxed cancellation letter. To that end, it contains references to the intention of both the Gishs' at the material time and their understanding of the cancellation of Mr. Gish's policies. By stating her evidence in the plural and collective, Mrs. Gish incorporates elements of discussions she deposes she had with Mr. Gish at the time of dealing with the policies in October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defendants take issue with the contents of paragraphs 20, 21, 22, 26, and 29 of the plaintiff's affidavit arguing these paragraphs contain inadmissible hearsay that lacks "particularity and reliability" and that in one instance the plaintiff was not present for the October 22, 2004 conversation Mr. Gish had with a Transamerica call centre operator. On this last point the plaintiff has provided an account of what she understood her husband to have discussed with the call centre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argues that the impugned paragraphs are not tendered as proof of the truth of the statements made by Mr. Gish but instead are tendered to demonstrate Mr. Gish's state of mind of at the time his letter requesting cancellation of the two policies was faxed to Transamerica on October 22, 2004. The plaintiff argues that the comments are tendered to show Mr. Gish's frustration and confusion prior to sending the fax on October 22, 2004 and his subsequent regret of sending the faxed letter. From this, the plaintiff argues, the state of mind evidence is circumstantial evidence from which the Court may infer Mr. Gish's intent at the time of the cancellation.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One of the traditional exceptions to the inadmissibility of hearsay evidence is the declarant's state of mind. Where a declarant's state of mind is in issue in the proceedings, the statement is admissible to prove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Recently, Mr. Justice Romilly provided a comprehensive review of this area of law in </w:t>
      </w:r>
      <w:r>
        <w:rPr>
          <w:rFonts w:ascii="arial" w:eastAsia="arial" w:hAnsi="arial" w:cs="arial"/>
          <w:i/>
          <w:color w:val="000000"/>
          <w:sz w:val="20"/>
          <w:lang w:val="en-US" w:eastAsia="en-US" w:bidi="ar-SA"/>
        </w:rPr>
        <w:t>R. v. Violette</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2008 BCSC 422</w:t>
        </w:r>
      </w:hyperlink>
      <w:r>
        <w:rPr>
          <w:rFonts w:ascii="arial" w:eastAsia="arial" w:hAnsi="arial" w:cs="arial"/>
          <w:color w:val="000000"/>
          <w:sz w:val="20"/>
          <w:lang w:val="en-US" w:eastAsia="en-US" w:bidi="ar-SA"/>
        </w:rPr>
        <w:t xml:space="preserve"> at paras. 66-77. Germane to this application is the following passage from </w:t>
      </w:r>
      <w:r>
        <w:rPr>
          <w:rFonts w:ascii="arial" w:eastAsia="arial" w:hAnsi="arial" w:cs="arial"/>
          <w:i/>
          <w:color w:val="000000"/>
          <w:sz w:val="20"/>
          <w:lang w:val="en-US" w:eastAsia="en-US" w:bidi="ar-SA"/>
        </w:rPr>
        <w:t>Violette</w:t>
      </w:r>
      <w:r>
        <w:rPr>
          <w:rFonts w:ascii="arial" w:eastAsia="arial" w:hAnsi="arial" w:cs="arial"/>
          <w:color w:val="000000"/>
          <w:sz w:val="20"/>
          <w:lang w:val="en-US" w:eastAsia="en-US" w:bidi="ar-SA"/>
        </w:rPr>
        <w:t xml:space="preserve"> at paras. 69-70: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Evidence of state of mind is not tendered for its truth, but rather, as circumstantial evidence of the declarant's state of mind, including his knowledge, purpose and intention respecting the issues addressed. As the House of Lords observed in </w:t>
      </w:r>
      <w:r>
        <w:rPr>
          <w:rFonts w:ascii="arial" w:eastAsia="arial" w:hAnsi="arial" w:cs="arial"/>
          <w:i/>
          <w:color w:val="000000"/>
          <w:sz w:val="20"/>
          <w:lang w:val="en-US" w:eastAsia="en-US" w:bidi="ar-SA"/>
        </w:rPr>
        <w:t>R. v. Blastland</w:t>
      </w:r>
      <w:r>
        <w:rPr>
          <w:rFonts w:ascii="arial" w:eastAsia="arial" w:hAnsi="arial" w:cs="arial"/>
          <w:color w:val="000000"/>
          <w:sz w:val="20"/>
          <w:lang w:val="en-US" w:eastAsia="en-US" w:bidi="ar-SA"/>
        </w:rPr>
        <w:t xml:space="preserve">, [1986] A.C. 41 at 54, in a passage adopted by Lamer C.J.C. at para. 23 of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[1992] 2 S.C.R. 915</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of course, elementary that statements made to a witness by a third party are not excluded by the hearsay rule when they are put in evidence solely to prove the state of mind either of the maker of the statement or of the person to whom it was made. What a person said or heard said may well be the best and most direct evidence of that person's state of mind. This principle can only apply, however, when the state of mind evidenced by the statement is either itself directly in issue at the trial or of direct and immediate relevance to an issue which arises at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Doherty J. (as he then was), also explained the nature of evidence admitted for state of mind at p. 341 of </w:t>
      </w:r>
      <w:r>
        <w:rPr>
          <w:rFonts w:ascii="arial" w:eastAsia="arial" w:hAnsi="arial" w:cs="arial"/>
          <w:i/>
          <w:color w:val="000000"/>
          <w:sz w:val="20"/>
          <w:lang w:val="en-US" w:eastAsia="en-US" w:bidi="ar-SA"/>
        </w:rPr>
        <w:t>R. v. P.(R.)</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(1990), 58 C.C.C. (3d) 334</w:t>
        </w:r>
      </w:hyperlink>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[1990] O.J. No. 3418</w:t>
        </w:r>
      </w:hyperlink>
      <w:r>
        <w:rPr>
          <w:rFonts w:ascii="arial" w:eastAsia="arial" w:hAnsi="arial" w:cs="arial"/>
          <w:color w:val="000000"/>
          <w:sz w:val="20"/>
          <w:lang w:val="en-US" w:eastAsia="en-US" w:bidi="ar-SA"/>
        </w:rPr>
        <w:t xml:space="preserve"> (Ont. H.C.J.):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If the statements are explicit statements of a state of mind, they are admitted as exceptions to the hearsay rule. If those statements permit an inference as to the speaker's state of mind, they are regarded as original testimonial evidence and admitted as circumstantial evidence from which a state of mind can be inferred. The result is the same whichever route is taken, although circumstantial evidence of a state of mind poses added problems rising out of the inference drawing process.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Once admitted as circumstantial evidence imputing the declarant's state of mind, a further inference may be drawn that the declarant acted in accordance with that state of mind where either the state of mind itself or the resulting action is relevant to a fact in issue: </w:t>
      </w:r>
      <w:r>
        <w:rPr>
          <w:rFonts w:ascii="arial" w:eastAsia="arial" w:hAnsi="arial" w:cs="arial"/>
          <w:i/>
          <w:color w:val="000000"/>
          <w:sz w:val="20"/>
          <w:lang w:val="en-US" w:eastAsia="en-US" w:bidi="ar-SA"/>
        </w:rPr>
        <w:t>Violette</w:t>
      </w:r>
      <w:r>
        <w:rPr>
          <w:rFonts w:ascii="arial" w:eastAsia="arial" w:hAnsi="arial" w:cs="arial"/>
          <w:color w:val="000000"/>
          <w:sz w:val="20"/>
          <w:lang w:val="en-US" w:eastAsia="en-US" w:bidi="ar-SA"/>
        </w:rPr>
        <w:t xml:space="preserve"> at para. 72. I adopt this analysis for the purposes of determining the admissibility of Mr. Gish's hearsay statements contained in Mrs. Gish's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present case, the plaintiff seeks to tender the impugned portions of her affidavit as circumstantial evidence of the state of mind of Mr. Gish at the time of the cancellation letter and from which the Court may infer that Mr. Gish was frustrated and confused at the time he sent his faxed cancellation request to Transamerica.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account at paragraph 22 of her affidavit, of what she understood her husband discussed with the call centre operator at Transamerica, is simply a belief not supported by any reference to her husband advising her of the actual contents of the call, with the exception of Mr. Gish informing Mrs. Gish that he was instructed to send a handwritten fax indicating his desire to cancel the policies. This paragraph is inadmissible hearsay and not something that fits within the parameters of the state of mind exception to the hearsay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However, Mrs. Gish's evidence in the remaining impugned paragraphs is, with the exception of paragraph 22, admissible under the state of mind exception to the hearsay rule. Paragraph 22 of Ms Gish's affidavit is not admissible under the state of mind exception to the hearsay rule as being far too remote from a repetition of statements made by Mr. Gish that went to his state of mind. Rather, it is Mrs. Gish's interpretation and understanding of the conversation her husband had with the call centre operator and contains an element of double hearsay insofar as Mr. Gish telling Mrs. Gish what another person instructed him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While paragraphs 20, 21, 26, and 29 of Mrs. Gish's affidavit are admissible as some evidence of Mr. Gish's state of mind at the time he faxed the cancellation letter, it is not the entirety of the evidence providing context to the circumstances. In addition to these observations, the evidence establishes that Mr. Gish was very concerned about the various fixed expenses he had and was looking at ways to reduce his expenses. He had also received advice from the Hooper Defendants not to cancel the Policies in issue. The plaintiff does not take the position that Mr. Gish was incapacitated by his illness. Thus, it cannot be inferred from the circumstances that Mr. Gish was unaware of the consequences of sending a letter to Transamerica directing it to immediately cancel the two policies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While the content of these passages from Mrs. Gish's affidavit, with the exception of paragraph 22, are admissible as circumstantial evidence going to Mr. Gish's state of mind at the time, being confusion and frustration over the status of the Policies, I am unable to make the further inference from this that Mr. Gish simply faxed a letter requesting that the Policies be cancelled simply because he was frustrated and that he did not intend to do anything until he and Mrs. Gish had the full information about all their policies. Mr. Gish's concern and fixation about reducing his various expenses, as outlined in Mrs. Gish's discovery evidence, is also circumstantial evidence that must be considered in the assessment of his intention at the time the cancellation letter was faxed to Transamerica.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When the totality of the circumstances are examined and considered, including the content of the letter sent to Transamerica, I am unable to draw the further inference urged by the plaintiff that Mr. Gish only sent the cancellation letter out of frustration and confusion in their dealings with the defendants and that he subsequently regretted sending the cancellation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Significantly, the Gishs continued to have dealings with the Hooper Defendants after Mr. Gish sent the letter to Transamerica requesting cancellation of the Policies and at no time did they express to the Hooper Defendants regret over cancelling the Policies or frustration over the dealings they had with either the Hooper Defendants or Transamerica in October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Mr. Gish's October 22, 2004 faxed letter requesting immediate cancellation of the Policies invalid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seeks in her Rule 18A application to have Mr. Gish's purported cancellation declared to be invalid in law. The defendants argue that Mr. Gish's October 22, 2004 letter of cancellation was a clear, unequivocal, and unconditional direction to Transamerica to cancel the two policies immediately and as such is valid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An essential element of any insurance contract is its length. The parties must agree on either a fixed date or the occurrence of a specific event to signify the termination of the contract. Once this date is reached or the event occurs, the contract automatically expires unless the parties have made alternate arrangements. However, it is also possible for the parties to terminate the contract prematurely either by mutual accord (consensual termination) or unilaterally. The jurisprudence and authoritative texts on the topic of insurance law appear to refer to the term cancellation, termination, or surrender of a life insurance policy interchangeably all with the same meaning - the ending of the insurance policy contract before it reaches its automatic expiry by virtue of a particular date or specified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Cancellation, termination or surrender of a life insurance policy is a complete termination of the contract. When cancellation is effected, and the life insurance contract comes to an end, the insurer has no obligation and no liability under the policy, and the insured, or beneficiary, or any other party with an interest in the policy, has no further right in respect of it: D. Norwood and J.P. Weir, </w:t>
      </w:r>
      <w:r>
        <w:rPr>
          <w:rFonts w:ascii="arial" w:eastAsia="arial" w:hAnsi="arial" w:cs="arial"/>
          <w:i/>
          <w:color w:val="000000"/>
          <w:sz w:val="20"/>
          <w:lang w:val="en-US" w:eastAsia="en-US" w:bidi="ar-SA"/>
        </w:rPr>
        <w:t>Norwood on Life Insurance Law in Canada</w:t>
      </w:r>
      <w:r>
        <w:rPr>
          <w:rFonts w:ascii="arial" w:eastAsia="arial" w:hAnsi="arial" w:cs="arial"/>
          <w:color w:val="000000"/>
          <w:sz w:val="20"/>
          <w:lang w:val="en-US" w:eastAsia="en-US" w:bidi="ar-SA"/>
        </w:rPr>
        <w:t>, 3rd ed. (Carswell: Toronto, 2002) at 202 ["</w:t>
      </w:r>
      <w:r>
        <w:rPr>
          <w:rFonts w:ascii="arial" w:eastAsia="arial" w:hAnsi="arial" w:cs="arial"/>
          <w:i/>
          <w:color w:val="000000"/>
          <w:sz w:val="20"/>
          <w:lang w:val="en-US" w:eastAsia="en-US" w:bidi="ar-SA"/>
        </w:rPr>
        <w:t>Norwood</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Edgar v. Great-West Life Assurance Co.,</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[1982] B.C.J. No. 1427</w:t>
        </w:r>
      </w:hyperlink>
      <w:r>
        <w:rPr>
          <w:rFonts w:ascii="arial" w:eastAsia="arial" w:hAnsi="arial" w:cs="arial"/>
          <w:color w:val="000000"/>
          <w:sz w:val="20"/>
          <w:lang w:val="en-US" w:eastAsia="en-US" w:bidi="ar-SA"/>
        </w:rPr>
        <w:t xml:space="preserve"> at para. 9, </w:t>
      </w:r>
      <w:hyperlink r:id="rId107" w:history="1">
        <w:r>
          <w:rPr>
            <w:rFonts w:ascii="arial" w:eastAsia="arial" w:hAnsi="arial" w:cs="arial"/>
            <w:i/>
            <w:color w:val="0077CC"/>
            <w:sz w:val="20"/>
            <w:u w:val="single"/>
            <w:shd w:val="clear" w:color="auto" w:fill="FFFFFF"/>
            <w:lang w:val="en-US" w:eastAsia="en-US" w:bidi="ar-SA"/>
          </w:rPr>
          <w:t>[1983] 3 W.W.R. 218</w:t>
        </w:r>
      </w:hyperlink>
      <w:r>
        <w:rPr>
          <w:rFonts w:ascii="arial" w:eastAsia="arial" w:hAnsi="arial" w:cs="arial"/>
          <w:color w:val="000000"/>
          <w:sz w:val="20"/>
          <w:lang w:val="en-US" w:eastAsia="en-US" w:bidi="ar-SA"/>
        </w:rPr>
        <w:t xml:space="preserve"> (B.C.Co.Ct.).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case at bar deals with the unilateral termination of the life insurance contracts by the sole policy owner and insured, Mr. Gish. The Policies in issue contain no specific terms outlining how either the insurer or the insured can terminate or cancel the policies prematurely.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does contain statutory conditions deemed to be part of every contract for fire insurance and accident and sickness insurance that provide the means for one party to unilaterally terminate an insurance contract: see s. 89 (fire insurance) and s. 126 (accident and sickness insurance). These provisions set out the procedure for either the insurer or the insured to notify the other party of termination of the contract. Under these statutory provisions, an insured can terminate the contract at any time by communicating that intention to the insurer. Under the fire insurance provisions, the notice must be in writing and sent by registered mail to the insurer or delivered to an authorized agent of the insurer (s. 89 - statutory condition #5). Under the accident and sickness insurance provisions, an insured may terminate at any time upon request (s. 126 - statutory condition #5(1)(b)).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does not contain any statutory provisions that are deemed to be part of every life insurance contract and it is silent on the issue of premature termination or cancellation of a life insurance contract. However, the silence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on this point does not mean that one can infer that from the lack of statutory conditions deemed to be part of every life insurance policy or the lack of specific terms in the policy addressing cancellation or termination, a life insurance contract cannot be unilaterally terminated or cancelled prematurely.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Indeed, the common law recognizes that an insured can unilaterally terminate or cancel a life insurance policy upon notice to the insurer: </w:t>
      </w:r>
      <w:r>
        <w:rPr>
          <w:rFonts w:ascii="arial" w:eastAsia="arial" w:hAnsi="arial" w:cs="arial"/>
          <w:i/>
          <w:color w:val="000000"/>
          <w:sz w:val="20"/>
          <w:lang w:val="en-US" w:eastAsia="en-US" w:bidi="ar-SA"/>
        </w:rPr>
        <w:t>Edgar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Norwood</w:t>
      </w:r>
      <w:r>
        <w:rPr>
          <w:rFonts w:ascii="arial" w:eastAsia="arial" w:hAnsi="arial" w:cs="arial"/>
          <w:color w:val="000000"/>
          <w:sz w:val="20"/>
          <w:lang w:val="en-US" w:eastAsia="en-US" w:bidi="ar-SA"/>
        </w:rPr>
        <w:t xml:space="preserve"> at 203.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Distinctions on when cancellation, termination or surrender of a policy by an insured have developed in the jurisprudence depending on the type of life insurance policy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Where the insurance policy contains a stated surrender value, it is construed as containing a continuing "offer" by the insurer, and surrender takes effect when the insured communicates acceptance of the insurer's continuing offer by notifying the insurer of the intention to exercise the surrender option: </w:t>
      </w:r>
      <w:r>
        <w:rPr>
          <w:rFonts w:ascii="arial" w:eastAsia="arial" w:hAnsi="arial" w:cs="arial"/>
          <w:i/>
          <w:color w:val="000000"/>
          <w:sz w:val="20"/>
          <w:lang w:val="en-US" w:eastAsia="en-US" w:bidi="ar-SA"/>
        </w:rPr>
        <w:t>Edgar</w:t>
      </w:r>
      <w:r>
        <w:rPr>
          <w:rFonts w:ascii="arial" w:eastAsia="arial" w:hAnsi="arial" w:cs="arial"/>
          <w:color w:val="000000"/>
          <w:sz w:val="20"/>
          <w:lang w:val="en-US" w:eastAsia="en-US" w:bidi="ar-SA"/>
        </w:rPr>
        <w:t xml:space="preserve"> at para. 12; </w:t>
      </w:r>
      <w:r>
        <w:rPr>
          <w:rFonts w:ascii="arial" w:eastAsia="arial" w:hAnsi="arial" w:cs="arial"/>
          <w:i/>
          <w:color w:val="000000"/>
          <w:sz w:val="20"/>
          <w:lang w:val="en-US" w:eastAsia="en-US" w:bidi="ar-SA"/>
        </w:rPr>
        <w:t>Norwood</w:t>
      </w:r>
      <w:r>
        <w:rPr>
          <w:rFonts w:ascii="arial" w:eastAsia="arial" w:hAnsi="arial" w:cs="arial"/>
          <w:color w:val="000000"/>
          <w:sz w:val="20"/>
          <w:lang w:val="en-US" w:eastAsia="en-US" w:bidi="ar-SA"/>
        </w:rPr>
        <w:t xml:space="preserve"> at 202. A significant amount of the case law on surrender in these circumstances deals with when surrender is completed or consummated, particularly where the death of the insured intervenes before the surrender notification is processed and the cheque for the cash surrender value of the policy is issued: </w:t>
      </w:r>
      <w:r>
        <w:rPr>
          <w:rFonts w:ascii="arial" w:eastAsia="arial" w:hAnsi="arial" w:cs="arial"/>
          <w:i/>
          <w:color w:val="000000"/>
          <w:sz w:val="20"/>
          <w:lang w:val="en-US" w:eastAsia="en-US" w:bidi="ar-SA"/>
        </w:rPr>
        <w:t>Norwood</w:t>
      </w:r>
      <w:r>
        <w:rPr>
          <w:rFonts w:ascii="arial" w:eastAsia="arial" w:hAnsi="arial" w:cs="arial"/>
          <w:color w:val="000000"/>
          <w:sz w:val="20"/>
          <w:lang w:val="en-US" w:eastAsia="en-US" w:bidi="ar-SA"/>
        </w:rPr>
        <w:t xml:space="preserve"> at 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When a life insurance policy contains no surrender value, termination or cancellation of the policy will not take effect when the insured simply mails the request to the insurer of their desire to cancel the policy: </w:t>
      </w:r>
      <w:r>
        <w:rPr>
          <w:rFonts w:ascii="arial" w:eastAsia="arial" w:hAnsi="arial" w:cs="arial"/>
          <w:i/>
          <w:color w:val="000000"/>
          <w:sz w:val="20"/>
          <w:lang w:val="en-US" w:eastAsia="en-US" w:bidi="ar-SA"/>
        </w:rPr>
        <w:t>Norwood</w:t>
      </w:r>
      <w:r>
        <w:rPr>
          <w:rFonts w:ascii="arial" w:eastAsia="arial" w:hAnsi="arial" w:cs="arial"/>
          <w:color w:val="000000"/>
          <w:sz w:val="20"/>
          <w:lang w:val="en-US" w:eastAsia="en-US" w:bidi="ar-SA"/>
        </w:rPr>
        <w:t xml:space="preserve"> at 202. Instead, the insured must clearly, unequivocally, and unconditionally notify the insurer of their clear desire to terminate or cancel the policy and this notification must actually be received by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plaintiff argues that because there is no continuous offer of cancellation by the insurer where a life insurance policy has no cash surrender value, unilateral termination, or cancellation of such policies is impossible at law, citing </w:t>
      </w:r>
      <w:r>
        <w:rPr>
          <w:rFonts w:ascii="arial" w:eastAsia="arial" w:hAnsi="arial" w:cs="arial"/>
          <w:i/>
          <w:color w:val="000000"/>
          <w:sz w:val="20"/>
          <w:lang w:val="en-US" w:eastAsia="en-US" w:bidi="ar-SA"/>
        </w:rPr>
        <w:t>Bolton Estate v. Allstate Insurance Co. of Canada</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[1995] O.J. No. 1225</w:t>
        </w:r>
      </w:hyperlink>
      <w:r>
        <w:rPr>
          <w:rFonts w:ascii="arial" w:eastAsia="arial" w:hAnsi="arial" w:cs="arial"/>
          <w:color w:val="000000"/>
          <w:sz w:val="20"/>
          <w:lang w:val="en-US" w:eastAsia="en-US" w:bidi="ar-SA"/>
        </w:rPr>
        <w:t xml:space="preserve"> (Gen. Div.)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facts in </w:t>
      </w:r>
      <w:r>
        <w:rPr>
          <w:rFonts w:ascii="arial" w:eastAsia="arial" w:hAnsi="arial" w:cs="arial"/>
          <w:i/>
          <w:color w:val="000000"/>
          <w:sz w:val="20"/>
          <w:lang w:val="en-US" w:eastAsia="en-US" w:bidi="ar-SA"/>
        </w:rPr>
        <w:t>Bolton Estate</w:t>
      </w:r>
      <w:r>
        <w:rPr>
          <w:rFonts w:ascii="arial" w:eastAsia="arial" w:hAnsi="arial" w:cs="arial"/>
          <w:color w:val="000000"/>
          <w:sz w:val="20"/>
          <w:lang w:val="en-US" w:eastAsia="en-US" w:bidi="ar-SA"/>
        </w:rPr>
        <w:t xml:space="preserve"> are, however, quite different to the circumstances of the current application. In </w:t>
      </w:r>
      <w:r>
        <w:rPr>
          <w:rFonts w:ascii="arial" w:eastAsia="arial" w:hAnsi="arial" w:cs="arial"/>
          <w:i/>
          <w:color w:val="000000"/>
          <w:sz w:val="20"/>
          <w:lang w:val="en-US" w:eastAsia="en-US" w:bidi="ar-SA"/>
        </w:rPr>
        <w:t>Bolton Estate</w:t>
      </w:r>
      <w:r>
        <w:rPr>
          <w:rFonts w:ascii="arial" w:eastAsia="arial" w:hAnsi="arial" w:cs="arial"/>
          <w:color w:val="000000"/>
          <w:sz w:val="20"/>
          <w:lang w:val="en-US" w:eastAsia="en-US" w:bidi="ar-SA"/>
        </w:rPr>
        <w:t xml:space="preserve">, the insured dictated a letter on August 15, 1994 indicating he wished to cancel his ten year term life insurance policy with his insurer, directing his insurer to immediately stop withdrawing money from his bank account to pay the premiums on the policy and to return any premiums withdrawn </w:t>
      </w:r>
      <w:r>
        <w:rPr>
          <w:rFonts w:ascii="arial" w:eastAsia="arial" w:hAnsi="arial" w:cs="arial"/>
          <w:color w:val="000000"/>
          <w:sz w:val="20"/>
          <w:u w:val="single"/>
          <w:lang w:val="en-US" w:eastAsia="en-US" w:bidi="ar-SA"/>
        </w:rPr>
        <w:t>since</w:t>
      </w:r>
      <w:r>
        <w:rPr>
          <w:rFonts w:ascii="arial" w:eastAsia="arial" w:hAnsi="arial" w:cs="arial"/>
          <w:color w:val="000000"/>
          <w:sz w:val="20"/>
          <w:lang w:val="en-US" w:eastAsia="en-US" w:bidi="ar-SA"/>
        </w:rPr>
        <w:t xml:space="preserve"> the date of the letter. The insurance premiums for the policy in issue were withdrawn on the 15th of each month and a premium payment for the next month of coverage (August 15 to September 15) was made on August 15,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letter of cancellation was mailed by the insured's secretary on August 18, 1994. The insured died in an airplane crash on August 19, 1994. The estate of the insured sought a declaration that the insured's life insurance policy was in full force and effect on August 19,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Bolton Estate,</w:t>
      </w:r>
      <w:r>
        <w:rPr>
          <w:rFonts w:ascii="arial" w:eastAsia="arial" w:hAnsi="arial" w:cs="arial"/>
          <w:color w:val="000000"/>
          <w:sz w:val="20"/>
          <w:lang w:val="en-US" w:eastAsia="en-US" w:bidi="ar-SA"/>
        </w:rPr>
        <w:t xml:space="preserve"> Leitch J. made two important findings. First, he found the policy was in full force and effect on the date of the insured's death because the letter from the insured to the insurer was not a clear, unequivocal and unconditional offer to cancel the policy effective August 15, 1994. The letter was found to be equivocal as to the actual date of the cancellation of the policy. Although it was clear from the letter that the policy was to be cancelled, the letter merely contemplated that cancellation would occur at a future, unspecified date: </w:t>
      </w:r>
      <w:r>
        <w:rPr>
          <w:rFonts w:ascii="arial" w:eastAsia="arial" w:hAnsi="arial" w:cs="arial"/>
          <w:i/>
          <w:color w:val="000000"/>
          <w:sz w:val="20"/>
          <w:lang w:val="en-US" w:eastAsia="en-US" w:bidi="ar-SA"/>
        </w:rPr>
        <w:t>Bolton Estate</w:t>
      </w:r>
      <w:r>
        <w:rPr>
          <w:rFonts w:ascii="arial" w:eastAsia="arial" w:hAnsi="arial" w:cs="arial"/>
          <w:color w:val="000000"/>
          <w:sz w:val="20"/>
          <w:lang w:val="en-US" w:eastAsia="en-US" w:bidi="ar-SA"/>
        </w:rPr>
        <w:t xml:space="preserve"> at para. 19. The fact that the insured did not immediately transmit the letter to the insurer on August 15, 1994 and did nothing to stop withdrawal of the premium payment of August 15, 1994 led the motions judge to conclude that the insured intended to continue coverage after August 15,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 do not construe the decision in </w:t>
      </w:r>
      <w:r>
        <w:rPr>
          <w:rFonts w:ascii="arial" w:eastAsia="arial" w:hAnsi="arial" w:cs="arial"/>
          <w:i/>
          <w:color w:val="000000"/>
          <w:sz w:val="20"/>
          <w:lang w:val="en-US" w:eastAsia="en-US" w:bidi="ar-SA"/>
        </w:rPr>
        <w:t>Bolton Estate</w:t>
      </w:r>
      <w:r>
        <w:rPr>
          <w:rFonts w:ascii="arial" w:eastAsia="arial" w:hAnsi="arial" w:cs="arial"/>
          <w:color w:val="000000"/>
          <w:sz w:val="20"/>
          <w:lang w:val="en-US" w:eastAsia="en-US" w:bidi="ar-SA"/>
        </w:rPr>
        <w:t xml:space="preserve"> as authority for the proposition that an insured policyholder can never unilaterally cancel a contract of life insurance. Although the decision in </w:t>
      </w:r>
      <w:r>
        <w:rPr>
          <w:rFonts w:ascii="arial" w:eastAsia="arial" w:hAnsi="arial" w:cs="arial"/>
          <w:i/>
          <w:color w:val="000000"/>
          <w:sz w:val="20"/>
          <w:lang w:val="en-US" w:eastAsia="en-US" w:bidi="ar-SA"/>
        </w:rPr>
        <w:t>Bolton Estate</w:t>
      </w:r>
      <w:r>
        <w:rPr>
          <w:rFonts w:ascii="arial" w:eastAsia="arial" w:hAnsi="arial" w:cs="arial"/>
          <w:color w:val="000000"/>
          <w:sz w:val="20"/>
          <w:lang w:val="en-US" w:eastAsia="en-US" w:bidi="ar-SA"/>
        </w:rPr>
        <w:t xml:space="preserve"> intimates that the policy could not be unilaterally cancelled by the insured, it should be noted that there is reference to provisions in the policy in issue there that related to cancellation but that they were not applicable in the circumstances where the premiums were paid up to date. Consequently, in </w:t>
      </w:r>
      <w:r>
        <w:rPr>
          <w:rFonts w:ascii="arial" w:eastAsia="arial" w:hAnsi="arial" w:cs="arial"/>
          <w:i/>
          <w:color w:val="000000"/>
          <w:sz w:val="20"/>
          <w:lang w:val="en-US" w:eastAsia="en-US" w:bidi="ar-SA"/>
        </w:rPr>
        <w:t>Bolton Estate</w:t>
      </w:r>
      <w:r>
        <w:rPr>
          <w:rFonts w:ascii="arial" w:eastAsia="arial" w:hAnsi="arial" w:cs="arial"/>
          <w:color w:val="000000"/>
          <w:sz w:val="20"/>
          <w:lang w:val="en-US" w:eastAsia="en-US" w:bidi="ar-SA"/>
        </w:rPr>
        <w:t xml:space="preserve"> the motions judge held that the policy in that case could only be terminated with the agreement of the insured and the insurer and in that case there was no agreement between the parties before the insured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the case at bar, however, there are no terms in the policy relating to cancellation. And, significantly, there was an agreement between Mr. Gish and Transamerica on the issue of cancellation of the Policies as evidenced in his October 22, 2004 letter to Transamerica and in Transamerica's acceptance of the request to cancel and cancellation as requested as evidenced in its letters to Mr. Gish of October 23,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second important finding made by Leitch J. in </w:t>
      </w:r>
      <w:r>
        <w:rPr>
          <w:rFonts w:ascii="arial" w:eastAsia="arial" w:hAnsi="arial" w:cs="arial"/>
          <w:i/>
          <w:color w:val="000000"/>
          <w:sz w:val="20"/>
          <w:lang w:val="en-US" w:eastAsia="en-US" w:bidi="ar-SA"/>
        </w:rPr>
        <w:t>Bolton Estate</w:t>
      </w:r>
      <w:r>
        <w:rPr>
          <w:rFonts w:ascii="arial" w:eastAsia="arial" w:hAnsi="arial" w:cs="arial"/>
          <w:color w:val="000000"/>
          <w:sz w:val="20"/>
          <w:lang w:val="en-US" w:eastAsia="en-US" w:bidi="ar-SA"/>
        </w:rPr>
        <w:t xml:space="preserve"> was a finding in the alternative. If the August 15, 1994 letter was considered to be a clear, unequivocal, and unconditional offer to cancel the policy, cancellation would not be effected until the insurer actually received the letter from the insured. Leitch J. found as a fact that the letter of cancellation was not received by the insurer until August 24, 1994, several days after the death of the insured. Even if the letter had been received by the insurer the day after it was mailed,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August 19, 1994, the policy would remain in force for the whole day on which the notice was received by the insurer and the insurance policy would still have been in effect on the date of the insured's death: </w:t>
      </w:r>
      <w:r>
        <w:rPr>
          <w:rFonts w:ascii="arial" w:eastAsia="arial" w:hAnsi="arial" w:cs="arial"/>
          <w:i/>
          <w:color w:val="000000"/>
          <w:sz w:val="20"/>
          <w:lang w:val="en-US" w:eastAsia="en-US" w:bidi="ar-SA"/>
        </w:rPr>
        <w:t>Bolton Estate</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ratio of </w:t>
      </w:r>
      <w:r>
        <w:rPr>
          <w:rFonts w:ascii="arial" w:eastAsia="arial" w:hAnsi="arial" w:cs="arial"/>
          <w:i/>
          <w:color w:val="000000"/>
          <w:sz w:val="20"/>
          <w:lang w:val="en-US" w:eastAsia="en-US" w:bidi="ar-SA"/>
        </w:rPr>
        <w:t>Bolton Estate</w:t>
      </w:r>
      <w:r>
        <w:rPr>
          <w:rFonts w:ascii="arial" w:eastAsia="arial" w:hAnsi="arial" w:cs="arial"/>
          <w:color w:val="000000"/>
          <w:sz w:val="20"/>
          <w:lang w:val="en-US" w:eastAsia="en-US" w:bidi="ar-SA"/>
        </w:rPr>
        <w:t xml:space="preserve"> then is that where an equivocal letter of cancellation is sent by an insured that does not specify when cancellation is to occur, and the premiums are paid up to date, coverage under the policy will continue for the period for which the insured paid the premium. The decision in </w:t>
      </w:r>
      <w:r>
        <w:rPr>
          <w:rFonts w:ascii="arial" w:eastAsia="arial" w:hAnsi="arial" w:cs="arial"/>
          <w:i/>
          <w:color w:val="000000"/>
          <w:sz w:val="20"/>
          <w:lang w:val="en-US" w:eastAsia="en-US" w:bidi="ar-SA"/>
        </w:rPr>
        <w:t>Bolton Estate</w:t>
      </w:r>
      <w:r>
        <w:rPr>
          <w:rFonts w:ascii="arial" w:eastAsia="arial" w:hAnsi="arial" w:cs="arial"/>
          <w:color w:val="000000"/>
          <w:sz w:val="20"/>
          <w:lang w:val="en-US" w:eastAsia="en-US" w:bidi="ar-SA"/>
        </w:rPr>
        <w:t xml:space="preserve"> is therefore distinguishable on the basis that the insured's notice of cancellation was equivocal as to when cancellation was to take effect. Where an equivocal request for cancellation is made, it does not amount to a valid cancellation and a contract of insurance will continue in force: </w:t>
      </w:r>
      <w:r>
        <w:rPr>
          <w:rFonts w:ascii="arial" w:eastAsia="arial" w:hAnsi="arial" w:cs="arial"/>
          <w:i/>
          <w:color w:val="000000"/>
          <w:sz w:val="20"/>
          <w:lang w:val="en-US" w:eastAsia="en-US" w:bidi="ar-SA"/>
        </w:rPr>
        <w:t>Bolton Estate</w:t>
      </w:r>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Edgar</w:t>
      </w:r>
      <w:r>
        <w:rPr>
          <w:rFonts w:ascii="arial" w:eastAsia="arial" w:hAnsi="arial" w:cs="arial"/>
          <w:color w:val="000000"/>
          <w:sz w:val="20"/>
          <w:lang w:val="en-US" w:eastAsia="en-US" w:bidi="ar-SA"/>
        </w:rPr>
        <w:t xml:space="preserve"> at paras. 14-22.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plaintiff also relies upon </w:t>
      </w:r>
      <w:r>
        <w:rPr>
          <w:rFonts w:ascii="arial" w:eastAsia="arial" w:hAnsi="arial" w:cs="arial"/>
          <w:i/>
          <w:color w:val="000000"/>
          <w:sz w:val="20"/>
          <w:lang w:val="en-US" w:eastAsia="en-US" w:bidi="ar-SA"/>
        </w:rPr>
        <w:t>Edgar</w:t>
      </w:r>
      <w:r>
        <w:rPr>
          <w:rFonts w:ascii="arial" w:eastAsia="arial" w:hAnsi="arial" w:cs="arial"/>
          <w:color w:val="000000"/>
          <w:sz w:val="20"/>
          <w:lang w:val="en-US" w:eastAsia="en-US" w:bidi="ar-SA"/>
        </w:rPr>
        <w:t xml:space="preserve"> to support her argument that Mr. Gish's October 22, 2004 faxed letter directing Transamerica to immediately cancel his Policies was not a valid notice of cancellation in this case. In </w:t>
      </w:r>
      <w:r>
        <w:rPr>
          <w:rFonts w:ascii="arial" w:eastAsia="arial" w:hAnsi="arial" w:cs="arial"/>
          <w:i/>
          <w:color w:val="000000"/>
          <w:sz w:val="20"/>
          <w:lang w:val="en-US" w:eastAsia="en-US" w:bidi="ar-SA"/>
        </w:rPr>
        <w:t>Edgar,</w:t>
      </w:r>
      <w:r>
        <w:rPr>
          <w:rFonts w:ascii="arial" w:eastAsia="arial" w:hAnsi="arial" w:cs="arial"/>
          <w:color w:val="000000"/>
          <w:sz w:val="20"/>
          <w:lang w:val="en-US" w:eastAsia="en-US" w:bidi="ar-SA"/>
        </w:rPr>
        <w:t xml:space="preserve"> Mr. Justice Fisher reviewed the jurisprudence and determined that in order for an insured's notice of cancellation to be valid, it had to be clear, unequivocal, and unconditional.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facts in </w:t>
      </w:r>
      <w:r>
        <w:rPr>
          <w:rFonts w:ascii="arial" w:eastAsia="arial" w:hAnsi="arial" w:cs="arial"/>
          <w:i/>
          <w:color w:val="000000"/>
          <w:sz w:val="20"/>
          <w:lang w:val="en-US" w:eastAsia="en-US" w:bidi="ar-SA"/>
        </w:rPr>
        <w:t>Edgar</w:t>
      </w:r>
      <w:r>
        <w:rPr>
          <w:rFonts w:ascii="arial" w:eastAsia="arial" w:hAnsi="arial" w:cs="arial"/>
          <w:color w:val="000000"/>
          <w:sz w:val="20"/>
          <w:lang w:val="en-US" w:eastAsia="en-US" w:bidi="ar-SA"/>
        </w:rPr>
        <w:t xml:space="preserve"> are also distinguishable to the circumstances in the case at bar. In </w:t>
      </w:r>
      <w:r>
        <w:rPr>
          <w:rFonts w:ascii="arial" w:eastAsia="arial" w:hAnsi="arial" w:cs="arial"/>
          <w:i/>
          <w:color w:val="000000"/>
          <w:sz w:val="20"/>
          <w:lang w:val="en-US" w:eastAsia="en-US" w:bidi="ar-SA"/>
        </w:rPr>
        <w:t>Edgar</w:t>
      </w:r>
      <w:r>
        <w:rPr>
          <w:rFonts w:ascii="arial" w:eastAsia="arial" w:hAnsi="arial" w:cs="arial"/>
          <w:color w:val="000000"/>
          <w:sz w:val="20"/>
          <w:lang w:val="en-US" w:eastAsia="en-US" w:bidi="ar-SA"/>
        </w:rPr>
        <w:t>, one of the terms in the policy provided that the policy owner could surrender the policy for its cash surrender value upon written request. On May 7, 1979, Mr. Edgar attended at the office of an agent of the defendant insurance company and cancelled one of his life insurance policies and discussed the possibility of cancelling a second policy. The defendant continued to withdraw premiums on the second policy by means of the premium loan provision in the policy. On August 26, 1980, more than a year after Mr. Edgar's meeting with the agent, Mr. Edgar wrote the defendant indicating that the second policy was to be cancelled the previous year. Despite this letter, the defendant continued to make deductions from the cash surrender value of the policy by means of the premium loan provision in the policy with the last deduction occurring on October 12 and which covered the period of October 12 to November 12, 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Mr. Edgar died on October 25, 1980. The plaintiff in the </w:t>
      </w:r>
      <w:r>
        <w:rPr>
          <w:rFonts w:ascii="arial" w:eastAsia="arial" w:hAnsi="arial" w:cs="arial"/>
          <w:i/>
          <w:color w:val="000000"/>
          <w:sz w:val="20"/>
          <w:lang w:val="en-US" w:eastAsia="en-US" w:bidi="ar-SA"/>
        </w:rPr>
        <w:t>Edgar</w:t>
      </w:r>
      <w:r>
        <w:rPr>
          <w:rFonts w:ascii="arial" w:eastAsia="arial" w:hAnsi="arial" w:cs="arial"/>
          <w:color w:val="000000"/>
          <w:sz w:val="20"/>
          <w:lang w:val="en-US" w:eastAsia="en-US" w:bidi="ar-SA"/>
        </w:rPr>
        <w:t xml:space="preserve"> case, the beneficiary of Mr. Edgar's policy, argued that there had been no effective cancellation and that the August 1980 letter did not constitute a letter of cancellation. Mr. Justice Fisher agreed and found as a fact that the letter was not a clear, unequivocal, and unconditional intention to cancel nor did it contain a direction to cancel. At para. 22, Mr. Justice Fisher reached the following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letter I find merely explains the events of the previous year and the discussions with Mr. Konner, an insurance agent. Clearly, the writer states that he did tell the agent he was cancelling "BOTH" policies at that time but there was no written notice of the request for cancellation at that time. This letter does not state in the above clear terms that the policy is now to be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lack of clarity of intention and no specific direction to cancel in Mr. Edgar's letter, coupled with the fact that the earlier discussion about cancelling the year before being simply verbal and not amounting to a written request to surrender, all contributed to finding that the cancellation notice in </w:t>
      </w:r>
      <w:r>
        <w:rPr>
          <w:rFonts w:ascii="arial" w:eastAsia="arial" w:hAnsi="arial" w:cs="arial"/>
          <w:i/>
          <w:color w:val="000000"/>
          <w:sz w:val="20"/>
          <w:lang w:val="en-US" w:eastAsia="en-US" w:bidi="ar-SA"/>
        </w:rPr>
        <w:t>Edgar</w:t>
      </w:r>
      <w:r>
        <w:rPr>
          <w:rFonts w:ascii="arial" w:eastAsia="arial" w:hAnsi="arial" w:cs="arial"/>
          <w:color w:val="000000"/>
          <w:sz w:val="20"/>
          <w:lang w:val="en-US" w:eastAsia="en-US" w:bidi="ar-SA"/>
        </w:rPr>
        <w:t xml:space="preserve"> was not clear, unequivocal, and unconditional. Thus, the May 1979 meeting with the agent could not constitute notice of cancellation of the policy as there was no written notice provided as required by the terms of the policy. The August 1980 letter simply explained Mr. Edgar's interpretation of the meeting in May 1979 but failed to state in clear terms that the policy was to be cancelled in August 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What </w:t>
      </w:r>
      <w:r>
        <w:rPr>
          <w:rFonts w:ascii="arial" w:eastAsia="arial" w:hAnsi="arial" w:cs="arial"/>
          <w:i/>
          <w:color w:val="000000"/>
          <w:sz w:val="20"/>
          <w:lang w:val="en-US" w:eastAsia="en-US" w:bidi="ar-SA"/>
        </w:rPr>
        <w:t>Edgar</w:t>
      </w:r>
      <w:r>
        <w:rPr>
          <w:rFonts w:ascii="arial" w:eastAsia="arial" w:hAnsi="arial" w:cs="arial"/>
          <w:color w:val="000000"/>
          <w:sz w:val="20"/>
          <w:lang w:val="en-US" w:eastAsia="en-US" w:bidi="ar-SA"/>
        </w:rPr>
        <w:t xml:space="preserve"> establishes, however, is that in order for an insured to effectively cancel a life insurance contract that has no surrender value, the notice of cancellation must contain a clear, unequivocal, and unconditional intention to cancel. As outlined in </w:t>
      </w:r>
      <w:r>
        <w:rPr>
          <w:rFonts w:ascii="arial" w:eastAsia="arial" w:hAnsi="arial" w:cs="arial"/>
          <w:i/>
          <w:color w:val="000000"/>
          <w:sz w:val="20"/>
          <w:lang w:val="en-US" w:eastAsia="en-US" w:bidi="ar-SA"/>
        </w:rPr>
        <w:t>Edgar</w:t>
      </w:r>
      <w:r>
        <w:rPr>
          <w:rFonts w:ascii="arial" w:eastAsia="arial" w:hAnsi="arial" w:cs="arial"/>
          <w:color w:val="000000"/>
          <w:sz w:val="20"/>
          <w:lang w:val="en-US" w:eastAsia="en-US" w:bidi="ar-SA"/>
        </w:rPr>
        <w:t xml:space="preserve"> at paras. 15 and 20, and the cases reviewed in </w:t>
      </w:r>
      <w:r>
        <w:rPr>
          <w:rFonts w:ascii="arial" w:eastAsia="arial" w:hAnsi="arial" w:cs="arial"/>
          <w:i/>
          <w:color w:val="000000"/>
          <w:sz w:val="20"/>
          <w:lang w:val="en-US" w:eastAsia="en-US" w:bidi="ar-SA"/>
        </w:rPr>
        <w:t>Edgar</w:t>
      </w:r>
      <w:r>
        <w:rPr>
          <w:rFonts w:ascii="arial" w:eastAsia="arial" w:hAnsi="arial" w:cs="arial"/>
          <w:color w:val="000000"/>
          <w:sz w:val="20"/>
          <w:lang w:val="en-US" w:eastAsia="en-US" w:bidi="ar-SA"/>
        </w:rPr>
        <w:t xml:space="preserve">, the determination of this issue is done by reference to the whole instrument,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the letter of cancellation, or all the circumstances. In other words, whether the letter should be construed as notice of cancellation will depend on the intent of the writer as ascertained from the whole instrument or all the circumstances and doubts are to be construed against cancellation.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this case, Mr. Gish's October 22, 2004 letter faxed to Transamerica clearly requested that the two Policies in issue be cancelled and that they be cancelled immediately. Transamerica acted upon that instruction and wrote Mr. Gish on October 23, 2004 indicating that the Polices had been cancelled as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Although Mrs. Gish's affidavit contains information that goes to the state of mind of Mr. Gish at the time they were dealing with these policies in October 2004, the purported confusion and frustration of Mr. Gish is not fully supported on the plaintiff's own evidence. While there may have been some frustration and confusion, it is equally clear that Mr. Gish was concerned about fixed expenses and was looking at ways to reduce them. Both Mr. and Mrs. Gish were advised by the Hooper Defendants at their only meeting on October 7, 2004, that they had good value in their insurance policies and that Mr. Gish should keep paying the premiums on the Policies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Unlike the circumstances in the cases relied upon by the plaintiff in her argument, it cannot be said that there is anything unclear, equivocal, or conditional about the contents of Mr. Gish's October 22, 2004 letter. It contains a clear statement of intention and a direction to cancel the two policies immediately. Transamerica acted on the written notification and cancelled the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Gish as sole owner of the Policies had unilateral control over whether the Policies continued or not. That this is so is inherent in the owner's decision whether to continue to pay premiums or permit a policy to lapse, which constitutes an indirect method of cancellation by an owner. If an owner can cancel a policy indirectly through withholding the payment of premiums, then an owner can equally cancel a policy directly by expressly stating that intention through a written notice of cancellation that is clear, unequivocal, and unconditional.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Even if the decision in </w:t>
      </w:r>
      <w:r>
        <w:rPr>
          <w:rFonts w:ascii="arial" w:eastAsia="arial" w:hAnsi="arial" w:cs="arial"/>
          <w:i/>
          <w:color w:val="000000"/>
          <w:sz w:val="20"/>
          <w:lang w:val="en-US" w:eastAsia="en-US" w:bidi="ar-SA"/>
        </w:rPr>
        <w:t>Bolton Estate</w:t>
      </w:r>
      <w:r>
        <w:rPr>
          <w:rFonts w:ascii="arial" w:eastAsia="arial" w:hAnsi="arial" w:cs="arial"/>
          <w:color w:val="000000"/>
          <w:sz w:val="20"/>
          <w:lang w:val="en-US" w:eastAsia="en-US" w:bidi="ar-SA"/>
        </w:rPr>
        <w:t xml:space="preserve"> could be construed as requiring an agreement between the insured and the insurer, such an agreement need be no more that the insured's clear direction or notice of cancellation and the insurer's acceptance of that notification and acting upon the clear notification. Thus the right of a policyholder or owner to cancel a life insurance contract is in the nature of a contractual "option" subject to the usual rules of offer and acceptance.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this case Mr. Gish, as the policyholder or owner, had the contractual right to offer to cancel his life insurance policy which he did by means of a clear, unequivocal, and unconditional written direction which he faxed to Transamerica. Mr. Gish provided a written notice of cancellation on October 22, 2004, that directed Transamerica to cancel the Policies immediately. Transamerica accepted the notice and cancelled the Policies on October 22, 2004, as requested by Mr. Gish, and confirmed the instruction in writing on October 23, 2004. Thus the parties were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xml:space="preserve"> on the cancellation of the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Moreover, it is an implied term of the contract of insurance between the insurer and the policyholder owner/insured, in this case Mr. Gish, that the owner as the person with the contractual rights has the right to end or terminate the contract unilaterally upon proper written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allowing the coverage to simply continue for the duration of the pre-paid premium submitted October 1, 2004, Transamerica was not rejecting the direction to cancel. Indeed, its correspondence both to Mr. Gish on October 23, 2004, and to the Hooper Defendants on November 3, 2004, clearly show that it accepted the cancellation of October 22, 2004 on that date. No further premiums became due after that date as the contract was at an end. The fact that Transamerica did not provide any premium refund to Mr. Gish for the period after October 22, 2004 and retained the premium does not affect the validity of the cancellation of the insurance policy by the insured: </w:t>
      </w:r>
      <w:r>
        <w:rPr>
          <w:rFonts w:ascii="arial" w:eastAsia="arial" w:hAnsi="arial" w:cs="arial"/>
          <w:i/>
          <w:color w:val="000000"/>
          <w:sz w:val="20"/>
          <w:lang w:val="en-US" w:eastAsia="en-US" w:bidi="ar-SA"/>
        </w:rPr>
        <w:t>The Globe Indemnity Co. of Canada v. Lomax</w:t>
      </w:r>
      <w:r>
        <w:rPr>
          <w:rFonts w:ascii="arial" w:eastAsia="arial" w:hAnsi="arial" w:cs="arial"/>
          <w:color w:val="000000"/>
          <w:sz w:val="20"/>
          <w:lang w:val="en-US" w:eastAsia="en-US" w:bidi="ar-SA"/>
        </w:rPr>
        <w:t xml:space="preserve"> (1921), 67 D.L.R. 480 (Que. K.B.) at 482-484; </w:t>
      </w:r>
      <w:r>
        <w:rPr>
          <w:rFonts w:ascii="arial" w:eastAsia="arial" w:hAnsi="arial" w:cs="arial"/>
          <w:i/>
          <w:color w:val="000000"/>
          <w:sz w:val="20"/>
          <w:lang w:val="en-US" w:eastAsia="en-US" w:bidi="ar-SA"/>
        </w:rPr>
        <w:t>Reicker v. Co-operative Fire and Casualty Co.</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[1976] N.B.J. No. 44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Waldman Estate v. The Excelsior Life Insurance Co.</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[1991] S.J. No. 237</w:t>
        </w:r>
      </w:hyperlink>
      <w:r>
        <w:rPr>
          <w:rFonts w:ascii="arial" w:eastAsia="arial" w:hAnsi="arial" w:cs="arial"/>
          <w:color w:val="000000"/>
          <w:sz w:val="20"/>
          <w:lang w:val="en-US" w:eastAsia="en-US" w:bidi="ar-SA"/>
        </w:rPr>
        <w:t xml:space="preserve">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this case, I find that the cancellation occurred on October 22, 2004 with Mr. Gish's clear written notice of cancellation faxed to Transamerica on that same date. Transamerica's decision to allow the coverage to continue for the period of time already paid by the premium withdrawn on October 1, 2004 did not vitiate Mr. Gish's cancellation. The policy was cancelled October 22, 2004 and was not capable of re-instatement when the next premium would ordinarily have come due on November 1, 2004. Once a policy is cancelled, as in this case, Transamerica's practice is not to re-instate the policy. Re-instatement of a life insurance policy is only possible for lapsed policies: s. 47 of the </w:t>
      </w:r>
      <w:r>
        <w:rPr>
          <w:rFonts w:ascii="arial" w:eastAsia="arial" w:hAnsi="arial" w:cs="arial"/>
          <w:i/>
          <w:color w:val="000000"/>
          <w:sz w:val="20"/>
          <w:lang w:val="en-US" w:eastAsia="en-US" w:bidi="ar-SA"/>
        </w:rPr>
        <w:t>Insurance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Transamerica accepted Mr. Gish's clear notice of cancellation and cancelled the Policies. Cancellation of the Policies crystallized when Mr. Gish's faxed letter of October 22, 2004 was received by Transamerica and Transamerica accepted the cancellation. This it did and confirmed by letter on October 23,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argues in the alternative that Mr. Gish's handwritten faxed letter cancelling the Policies was ineffective because the Policies were, in equity, joint policies and as such required the written consent of the plaintiff to cancel the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plaintiff relies upon </w:t>
      </w:r>
      <w:r>
        <w:rPr>
          <w:rFonts w:ascii="arial" w:eastAsia="arial" w:hAnsi="arial" w:cs="arial"/>
          <w:i/>
          <w:color w:val="000000"/>
          <w:sz w:val="20"/>
          <w:lang w:val="en-US" w:eastAsia="en-US" w:bidi="ar-SA"/>
        </w:rPr>
        <w:t>Kulvi v. Canada Life Assurance Co.</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[1998] B.C.J. No. 3161</w:t>
        </w:r>
      </w:hyperlink>
      <w:r>
        <w:rPr>
          <w:rFonts w:ascii="arial" w:eastAsia="arial" w:hAnsi="arial" w:cs="arial"/>
          <w:color w:val="000000"/>
          <w:sz w:val="20"/>
          <w:lang w:val="en-US" w:eastAsia="en-US" w:bidi="ar-SA"/>
        </w:rPr>
        <w:t xml:space="preserve"> (S.C.) at paras. 11 and 13 as authority for the proposition that where a spouse is a beneficiary on a life insurance policy, the policy cannot be cancelled without the spouse's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circumstances in </w:t>
      </w:r>
      <w:r>
        <w:rPr>
          <w:rFonts w:ascii="arial" w:eastAsia="arial" w:hAnsi="arial" w:cs="arial"/>
          <w:i/>
          <w:color w:val="000000"/>
          <w:sz w:val="20"/>
          <w:lang w:val="en-US" w:eastAsia="en-US" w:bidi="ar-SA"/>
        </w:rPr>
        <w:t>Kulvi</w:t>
      </w:r>
      <w:r>
        <w:rPr>
          <w:rFonts w:ascii="arial" w:eastAsia="arial" w:hAnsi="arial" w:cs="arial"/>
          <w:color w:val="000000"/>
          <w:sz w:val="20"/>
          <w:lang w:val="en-US" w:eastAsia="en-US" w:bidi="ar-SA"/>
        </w:rPr>
        <w:t xml:space="preserve"> however, are distinguishable. There the court was dealing with cancellation of a joint mortgage life insurance policy by one of the co-applicants. In </w:t>
      </w:r>
      <w:r>
        <w:rPr>
          <w:rFonts w:ascii="arial" w:eastAsia="arial" w:hAnsi="arial" w:cs="arial"/>
          <w:i/>
          <w:color w:val="000000"/>
          <w:sz w:val="20"/>
          <w:lang w:val="en-US" w:eastAsia="en-US" w:bidi="ar-SA"/>
        </w:rPr>
        <w:t>Kulvi</w:t>
      </w:r>
      <w:r>
        <w:rPr>
          <w:rFonts w:ascii="arial" w:eastAsia="arial" w:hAnsi="arial" w:cs="arial"/>
          <w:color w:val="000000"/>
          <w:sz w:val="20"/>
          <w:lang w:val="en-US" w:eastAsia="en-US" w:bidi="ar-SA"/>
        </w:rPr>
        <w:t xml:space="preserve"> the husband and wife jointly applied for mortgage life insurance, with the husband as the applicant and the wife the co-applicant. They completed one application form, only one premium payment was made by the insureds and it was described as a "joint coverage" premium. The husband later requested cancellation of the mortgage life insurance but the consent of the wife was not obtained. Madam Justice Dillon concluded that based on the words of the certificate of insurance, the mortgage life insurance issued to the Kulvis covered them as joint insureds and as such cancellation of the policy was not effective without the consent of both: </w:t>
      </w:r>
      <w:r>
        <w:rPr>
          <w:rFonts w:ascii="arial" w:eastAsia="arial" w:hAnsi="arial" w:cs="arial"/>
          <w:i/>
          <w:color w:val="000000"/>
          <w:sz w:val="20"/>
          <w:lang w:val="en-US" w:eastAsia="en-US" w:bidi="ar-SA"/>
        </w:rPr>
        <w:t>Kulvi</w:t>
      </w:r>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 similar conclusion was reached in </w:t>
      </w:r>
      <w:r>
        <w:rPr>
          <w:rFonts w:ascii="arial" w:eastAsia="arial" w:hAnsi="arial" w:cs="arial"/>
          <w:i/>
          <w:color w:val="000000"/>
          <w:sz w:val="20"/>
          <w:lang w:val="en-US" w:eastAsia="en-US" w:bidi="ar-SA"/>
        </w:rPr>
        <w:t>Harnden v. Farmers Mutual Fire Insurance Co.,</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[1997] O.J. No. 4412</w:t>
        </w:r>
      </w:hyperlink>
      <w:r>
        <w:rPr>
          <w:rFonts w:ascii="arial" w:eastAsia="arial" w:hAnsi="arial" w:cs="arial"/>
          <w:color w:val="000000"/>
          <w:sz w:val="20"/>
          <w:lang w:val="en-US" w:eastAsia="en-US" w:bidi="ar-SA"/>
        </w:rPr>
        <w:t xml:space="preserve"> (Gen. Div.) where a fire insurance policy had both the husband and wife as insureds on the contract. The husband requested that the policy be cancelled but the wife, also an insured, did not request the cancellation. The insurer cancelled the policy on the strength of the cancellation request of the husband and said it did not require the consent of the second insured. In declaring the policy valid, Kitely J. held that statutory condition for cancellation of the fire insurance had not been complied with where only one insured requested cancellation. To constitute a valid cancellation all insureds had to sign the cancellation form: </w:t>
      </w:r>
      <w:r>
        <w:rPr>
          <w:rFonts w:ascii="arial" w:eastAsia="arial" w:hAnsi="arial" w:cs="arial"/>
          <w:i/>
          <w:color w:val="000000"/>
          <w:sz w:val="20"/>
          <w:lang w:val="en-US" w:eastAsia="en-US" w:bidi="ar-SA"/>
        </w:rPr>
        <w:t>Harnden</w:t>
      </w:r>
      <w:r>
        <w:rPr>
          <w:rFonts w:ascii="arial" w:eastAsia="arial" w:hAnsi="arial" w:cs="arial"/>
          <w:color w:val="000000"/>
          <w:sz w:val="20"/>
          <w:lang w:val="en-US" w:eastAsia="en-US" w:bidi="ar-SA"/>
        </w:rPr>
        <w:t xml:space="preserve"> at paras. 19-20.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the case at bar however, Mr. and Mrs. Gish were not joint insureds on the Policies. Mr. Gish was the owner and insured of the Policies and the plaintiff was the named beneficiary. They were not co-applicants on each other's policies they were separate owners and separate insureds with separate policies as is clear from the face of the certificates of the Policies in issue that contain the following details under the heading "POLICY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INSURED:</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ROBERT GISH JR.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OWNER:</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ROBERT GISH JR.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BENEFICIARY:</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MARGARET GISH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terms of the Policies make it equally clear that before the insured's death, only the owner of the policy is entitled to the rights granted by the policy. The plaintiff was not the owner of these Policies nor was she an insured under the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plaintiff was simply a beneficiary but she was not designated an irrevocable beneficiary. In that respect, s. 55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provides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Insured dealing with contract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beneficiary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not designated irrevocably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insured may assign, exercise rights under or in respect of, surrender or otherwise deal with the contract as provided in it or in this Part, or as may be agreed on with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Under the terms of the Policies, Mr. Gish was the owner of the Policies. Under s. 29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the term "insured" is defined as the person who makes the contract with the insurer. In this case Mr. Gish was the person who made the contract with the insurer and thus was the insured. The combined effect of s. 55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and the terms of the Policies in issue make it clear that only the owner of the policy or the insured of the policy have rights in respect of the policy and only the owner or the insured can exercise surrender rights or otherwise deal with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Only where the beneficiary is designated as an irrevocable beneficiary is consent of the beneficiary required for surrender of the policy to be effective: </w:t>
      </w:r>
      <w:r>
        <w:rPr>
          <w:rFonts w:ascii="arial" w:eastAsia="arial" w:hAnsi="arial" w:cs="arial"/>
          <w:i/>
          <w:color w:val="000000"/>
          <w:sz w:val="20"/>
          <w:lang w:val="en-US" w:eastAsia="en-US" w:bidi="ar-SA"/>
        </w:rPr>
        <w:t>Norwood</w:t>
      </w:r>
      <w:r>
        <w:rPr>
          <w:rFonts w:ascii="arial" w:eastAsia="arial" w:hAnsi="arial" w:cs="arial"/>
          <w:color w:val="000000"/>
          <w:sz w:val="20"/>
          <w:lang w:val="en-US" w:eastAsia="en-US" w:bidi="ar-SA"/>
        </w:rPr>
        <w:t xml:space="preserve"> at 203.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not being the owner or the insured under the Policies and not being designated as an irrevocable beneficiary, had no contractual rights under the Policies before the death of Mr. Gish. Consequently, her consent to cancellation of the Policies was not necessary to validate the cancellation of the Policies. Mr. Gish's handwritten letter faxed to Transamerica was sufficient and effective to cancel the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fact that the plaintiff statutorily had an "insurable interest" in the </w:t>
      </w:r>
      <w:r>
        <w:rPr>
          <w:rFonts w:ascii="arial" w:eastAsia="arial" w:hAnsi="arial" w:cs="arial"/>
          <w:color w:val="000000"/>
          <w:sz w:val="20"/>
          <w:u w:val="single"/>
          <w:lang w:val="en-US" w:eastAsia="en-US" w:bidi="ar-SA"/>
        </w:rPr>
        <w:t>life</w:t>
      </w:r>
      <w:r>
        <w:rPr>
          <w:rFonts w:ascii="arial" w:eastAsia="arial" w:hAnsi="arial" w:cs="arial"/>
          <w:color w:val="000000"/>
          <w:sz w:val="20"/>
          <w:lang w:val="en-US" w:eastAsia="en-US" w:bidi="ar-SA"/>
        </w:rPr>
        <w:t xml:space="preserve"> of her spouse, as provided by s. 37(b)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does not mean she had an insurable interest in the </w:t>
      </w:r>
      <w:r>
        <w:rPr>
          <w:rFonts w:ascii="arial" w:eastAsia="arial" w:hAnsi="arial" w:cs="arial"/>
          <w:color w:val="000000"/>
          <w:sz w:val="20"/>
          <w:u w:val="single"/>
          <w:lang w:val="en-US" w:eastAsia="en-US" w:bidi="ar-SA"/>
        </w:rPr>
        <w:t>life insurance policies</w:t>
      </w:r>
      <w:r>
        <w:rPr>
          <w:rFonts w:ascii="arial" w:eastAsia="arial" w:hAnsi="arial" w:cs="arial"/>
          <w:color w:val="000000"/>
          <w:sz w:val="20"/>
          <w:lang w:val="en-US" w:eastAsia="en-US" w:bidi="ar-SA"/>
        </w:rPr>
        <w:t xml:space="preserve"> owned by Mr. Gish.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Sections 36 and 37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Insurable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36(1) Subject to subsection (2), if at the time a contract would otherwise take effect the insured has no insurable interest, the contract is void.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A contract is not void for lack of insurable interest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a contract of group insurance,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whose life is insured has consented in writing to the insurance being placed on his or her life.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whose life is insured is under the age of 16 years, consent to insurance being placed on his or her life may be given by one of his or her parents or by a person standing in the place of a parent.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Insurable interest defined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restricting the meaning of the expression "insurable interest", a person has an insurable interest in his or her own life and in the life of the following:</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or her child or grandchild;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or her spouse;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on whom he or she is wholly or in part dependent for, or from whom he or she is receiving, support or education;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or her employee;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in the duration of whose life he or she has a pecuniary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These provisions reflect the long standing and universally accepted rule that in order to insure the life of another person, the owner of the policy,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the person who makes the contract with the insurer and for whose benefit the insurance is placed, must have an insurable interest in the life of the insured person. Otherwise, the insurance has been traditionally treated as tantamount to a wager on human life and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as against public policy: </w:t>
      </w:r>
      <w:r>
        <w:rPr>
          <w:rFonts w:ascii="arial" w:eastAsia="arial" w:hAnsi="arial" w:cs="arial"/>
          <w:i/>
          <w:color w:val="000000"/>
          <w:sz w:val="20"/>
          <w:lang w:val="en-US" w:eastAsia="en-US" w:bidi="ar-SA"/>
        </w:rPr>
        <w:t>Chantiam v. Packall Packaging Inc.</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[1998] O.J. No. 1458</w:t>
        </w:r>
      </w:hyperlink>
      <w:r>
        <w:rPr>
          <w:rFonts w:ascii="arial" w:eastAsia="arial" w:hAnsi="arial" w:cs="arial"/>
          <w:color w:val="000000"/>
          <w:sz w:val="20"/>
          <w:lang w:val="en-US" w:eastAsia="en-US" w:bidi="ar-SA"/>
        </w:rPr>
        <w:t xml:space="preserve"> (C.A.)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combined operation of ss. 36 and 37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simply requires that when a life insurance contract takes effect the person who takes out the contract has an insurable interest in the object of the contract at the commencement of the policy. Section 37 statutorily grants a person an "insurable interest" in the life of their spouse and thus gives them the ability to take out a life insurance policy on the life of their spouse. Section 37 does not go so far as to grant a beneficiary spouse contractual rights under the separate policy already taken out by their spouse. Thus, s. 37 would grant the plaintiff the right to take out a life insurance policy on her husband as she has an insurable interest in her spouse's life. Section 37, however, does not grant her rights under a separate policy taken out by her husband as the sole owner and insured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this case, Mr. Gish's Policies were "first-party contracts" as he was both the "insured" (policyholder or owner), that is the person who made the contract with the insurer, and the "life insured", that is the person whose life was the object of the insurance contract. As the insured, Mr. Gish is a party to the contract with the insurer and therefore has contractual rights. But the life insured, like a beneficiary, is not a party to the contract and has no contractual rights: </w:t>
      </w:r>
      <w:r>
        <w:rPr>
          <w:rFonts w:ascii="arial" w:eastAsia="arial" w:hAnsi="arial" w:cs="arial"/>
          <w:i/>
          <w:color w:val="000000"/>
          <w:sz w:val="20"/>
          <w:lang w:val="en-US" w:eastAsia="en-US" w:bidi="ar-SA"/>
        </w:rPr>
        <w:t>Norwood</w:t>
      </w:r>
      <w:r>
        <w:rPr>
          <w:rFonts w:ascii="arial" w:eastAsia="arial" w:hAnsi="arial" w:cs="arial"/>
          <w:color w:val="000000"/>
          <w:sz w:val="20"/>
          <w:lang w:val="en-US" w:eastAsia="en-US" w:bidi="ar-SA"/>
        </w:rPr>
        <w:t xml:space="preserve"> at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Section 37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simply grants a statutory right to a spouse to be an insured (policyholder or owner) and the person who takes out the contract of life insurance with the insurer on the life insured. It does not, however, automatically transform the plaintiff into an insured (policyholder or owner) on Mr. Gish's first party contract such that she has contractual rights and becomes a party to the contract between Mr. Gish and the insurer, Transamerica. Having an insurable interest in the life of one's spouse does not transform one into an insured or policyholder owner on a contract of insurance already taken out by the other spouse as the sole insured policyholder or owner: </w:t>
      </w:r>
      <w:r>
        <w:rPr>
          <w:rFonts w:ascii="arial" w:eastAsia="arial" w:hAnsi="arial" w:cs="arial"/>
          <w:i/>
          <w:color w:val="000000"/>
          <w:sz w:val="20"/>
          <w:lang w:val="en-US" w:eastAsia="en-US" w:bidi="ar-SA"/>
        </w:rPr>
        <w:t>Norwood</w:t>
      </w:r>
      <w:r>
        <w:rPr>
          <w:rFonts w:ascii="arial" w:eastAsia="arial" w:hAnsi="arial" w:cs="arial"/>
          <w:color w:val="000000"/>
          <w:sz w:val="20"/>
          <w:lang w:val="en-US" w:eastAsia="en-US" w:bidi="ar-SA"/>
        </w:rPr>
        <w:t xml:space="preserve"> at 74-83. Having an insurable interest under s. 37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simply means that the plaintiff is able to take out a contract of insurance on the life of her husband and can sue the insurer for payment of the policy benefit upon the death of her husband. Section 37 does not grant the plaintiff contractual rights as an insured/policyholder owner under an insurance contract where Mr. Gish is the sole insured/policyholder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For the reasons outlined above, I find that Mr. Gish's faxed letter of October 22, 2004 directing Transamerica to cancel his two life insurance policies immediately to constitute a valid cancellation at law as the letter was a clear, unequivocal and unconditional notice of cancellation.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the grace period become operational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Having found that the cancellation of the Policies in issue was valid at law, it is not necessary to determine the issue of whether the grace period became operational by Transamerica's allowing coverage to continue to the end of the paid to dates of November 15 and 22,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For completeness however, I will simply note that the grace period provided in the policy and s. 40(2)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comes into effect to protect against unintentional lapses in a policy due to failure to pay a premium at the required time when a premium is due. In this case, there being a clear direction to cancel the Policies by Mr. Gish's written instructions of October 22, 2004 and acceptance of that direction and request by Transamerica on that date and confirmed by letter dated October 23, 2004, no further premiums were due for the next premium payment of November 1, 2004. Accordingly, the grace period provided both by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and the terms of the Policies was not triggered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plaintiff relied upon the case of </w:t>
      </w:r>
      <w:r>
        <w:rPr>
          <w:rFonts w:ascii="arial" w:eastAsia="arial" w:hAnsi="arial" w:cs="arial"/>
          <w:i/>
          <w:color w:val="000000"/>
          <w:sz w:val="20"/>
          <w:lang w:val="en-US" w:eastAsia="en-US" w:bidi="ar-SA"/>
        </w:rPr>
        <w:t>Bains v. National Life Assurance Co. of Canada</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[1991] B.C.J. No. 2538</w:t>
        </w:r>
      </w:hyperlink>
      <w:r>
        <w:rPr>
          <w:rFonts w:ascii="arial" w:eastAsia="arial" w:hAnsi="arial" w:cs="arial"/>
          <w:color w:val="000000"/>
          <w:sz w:val="20"/>
          <w:lang w:val="en-US" w:eastAsia="en-US" w:bidi="ar-SA"/>
        </w:rPr>
        <w:t xml:space="preserve"> (S.C.) aff'd </w:t>
      </w:r>
      <w:hyperlink r:id="rId115" w:history="1">
        <w:r>
          <w:rPr>
            <w:rFonts w:ascii="arial" w:eastAsia="arial" w:hAnsi="arial" w:cs="arial"/>
            <w:i/>
            <w:color w:val="0077CC"/>
            <w:sz w:val="20"/>
            <w:u w:val="single"/>
            <w:shd w:val="clear" w:color="auto" w:fill="FFFFFF"/>
            <w:lang w:val="en-US" w:eastAsia="en-US" w:bidi="ar-SA"/>
          </w:rPr>
          <w:t>[1992] B.C.J. No. 1108</w:t>
        </w:r>
      </w:hyperlink>
      <w:r>
        <w:rPr>
          <w:rFonts w:ascii="arial" w:eastAsia="arial" w:hAnsi="arial" w:cs="arial"/>
          <w:color w:val="000000"/>
          <w:sz w:val="20"/>
          <w:lang w:val="en-US" w:eastAsia="en-US" w:bidi="ar-SA"/>
        </w:rPr>
        <w:t xml:space="preserve"> (C.A.) to support her argument that the grace period was still in operation and applied to Mr. Gish's Policies and that because of that the plaintiff was eligible to take over payment of the premiums by virtue of s. 40(1)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However, the decision in </w:t>
      </w:r>
      <w:r>
        <w:rPr>
          <w:rFonts w:ascii="arial" w:eastAsia="arial" w:hAnsi="arial" w:cs="arial"/>
          <w:i/>
          <w:color w:val="000000"/>
          <w:sz w:val="20"/>
          <w:lang w:val="en-US" w:eastAsia="en-US" w:bidi="ar-SA"/>
        </w:rPr>
        <w:t>Bains</w:t>
      </w:r>
      <w:r>
        <w:rPr>
          <w:rFonts w:ascii="arial" w:eastAsia="arial" w:hAnsi="arial" w:cs="arial"/>
          <w:color w:val="000000"/>
          <w:sz w:val="20"/>
          <w:lang w:val="en-US" w:eastAsia="en-US" w:bidi="ar-SA"/>
        </w:rPr>
        <w:t xml:space="preserve"> is distinguishable as in that case the insured simply stopped payment of his premiums and then died during the grace period. No express direction to cancel the policies had been received and thus the grace period was found to be in place at the time of the deceased's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Where a policyholder cancels a life insurance contract by means of a clear written notification of that intention, and the insurer accepts the cancellation, as occurred in this case, then the contract between the insurer and the insured is at an end, with no rights or obligations upon either party after the cancellation is completed. Accordingly, the grace period provided both by the terms of the Policies and under s. 40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was not triggered in this case and there would be no right of reinstatement as there would be if the policy had lapsed: </w:t>
      </w:r>
      <w:r>
        <w:rPr>
          <w:rFonts w:ascii="arial" w:eastAsia="arial" w:hAnsi="arial" w:cs="arial"/>
          <w:i/>
          <w:color w:val="000000"/>
          <w:sz w:val="20"/>
          <w:lang w:val="en-US" w:eastAsia="en-US" w:bidi="ar-SA"/>
        </w:rPr>
        <w:t>Norwood</w:t>
      </w:r>
      <w:r>
        <w:rPr>
          <w:rFonts w:ascii="arial" w:eastAsia="arial" w:hAnsi="arial" w:cs="arial"/>
          <w:color w:val="000000"/>
          <w:sz w:val="20"/>
          <w:lang w:val="en-US" w:eastAsia="en-US" w:bidi="ar-SA"/>
        </w:rPr>
        <w:t xml:space="preserve"> at 206.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Before turning to the defendants' Rule 18A applications, I must address a second evidentiary issue raised in the context of the defendants' applications. After addressing the evidentiary issue I will then turn to the issue of whether the defendants' applications are suitable for determination under Rule 18A.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Evidentiary Issue #2 - Admissibility of the Expert Opinion Tendered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David Staines, an underwriting consultant with Associated Underwriting Services, was retained by the plaintiff to prepare and provide an expert opinion and report as to accepted industry standards and whether or not the conduct of the defendants in this case followed those standards. His expert report is contained in a letter to plaintiff's counsel dated January 21,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defendants argue this report is inadmissible as the author improperly weighs evidence, provides interpretations of the Policies and provides legal conclusions on the merits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 argues the report is admissible for these proceedings and simply tendered at this juncture to demonstrate there is a triable issue with respect to the plaintiff's claims that the defendants were negligent in their dealings with the plaintiff and her husband and that the issue of whether a duty of care arose and fiduciary duties were breached in this case is not suitable for determination by means of a summary trial under the Rule 18A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Before dealing with the specifics of the report in issue, it is useful to briefly review the principles governing the admissibility of expert opinion evidence. In </w:t>
      </w:r>
      <w:r>
        <w:rPr>
          <w:rFonts w:ascii="arial" w:eastAsia="arial" w:hAnsi="arial" w:cs="arial"/>
          <w:i/>
          <w:color w:val="000000"/>
          <w:sz w:val="20"/>
          <w:lang w:val="en-US" w:eastAsia="en-US" w:bidi="ar-SA"/>
        </w:rPr>
        <w:t>R. v. Abbey</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[1982] 2 S.C.R. 24</w:t>
        </w:r>
      </w:hyperlink>
      <w:r>
        <w:rPr>
          <w:rFonts w:ascii="arial" w:eastAsia="arial" w:hAnsi="arial" w:cs="arial"/>
          <w:color w:val="000000"/>
          <w:sz w:val="20"/>
          <w:lang w:val="en-US" w:eastAsia="en-US" w:bidi="ar-SA"/>
        </w:rPr>
        <w:t xml:space="preserve"> at 42, the Supreme Court of Canada stated that the function of an expert witness is "to provide the judge and jury with a ready-made inference which the judge and jury, due to the technical nature of the facts, are unable to formulate." The expert's opinion is usually based on assumed facts and its value depends on the extent to which those facts are proved through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at 20, the Court set out four essential criteria for the admissibility of expert opinion:</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relevance;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necessity in assisting the trier of fact;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any exclusionary rule;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properly qualified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There is no dispute that those threshold criteria are met in this case. The question of what the industry standard and the scope of the duty of care owed by insurers and insurance agents/brokers to insured clients is very much at issue and is one on which the trier of fact may be required to make a finding of fact. It is clearly a technical or specialized question on which the court is unable to reach a conclusion without expert assistance. There is no suggestion of a general exclusionary rule and when his </w:t>
      </w:r>
      <w:r>
        <w:rPr>
          <w:rFonts w:ascii="arial" w:eastAsia="arial" w:hAnsi="arial" w:cs="arial"/>
          <w:i/>
          <w:color w:val="000000"/>
          <w:sz w:val="20"/>
          <w:lang w:val="en-US" w:eastAsia="en-US" w:bidi="ar-SA"/>
        </w:rPr>
        <w:t>curriculum vitae</w:t>
      </w:r>
      <w:r>
        <w:rPr>
          <w:rFonts w:ascii="arial" w:eastAsia="arial" w:hAnsi="arial" w:cs="arial"/>
          <w:color w:val="000000"/>
          <w:sz w:val="20"/>
          <w:lang w:val="en-US" w:eastAsia="en-US" w:bidi="ar-SA"/>
        </w:rPr>
        <w:t xml:space="preserve"> is considered there can be little issue about Mr. Staines'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However, the fact that the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criteria are met does not end the matter. The question here is not whether the Court should be receiving expert evidence, but whether the specific opinions accord with the proper role and function of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There are many cases in which this Court has stated what experts can and cannot do in terms of their reports and opinions and how they are expressed. The leading decisions include </w:t>
      </w:r>
      <w:r>
        <w:rPr>
          <w:rFonts w:ascii="arial" w:eastAsia="arial" w:hAnsi="arial" w:cs="arial"/>
          <w:i/>
          <w:color w:val="000000"/>
          <w:sz w:val="20"/>
          <w:lang w:val="en-US" w:eastAsia="en-US" w:bidi="ar-SA"/>
        </w:rPr>
        <w:t>Emil Andersen Construction v. B.C. Railway Co.</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(1987), 15 B.C.L.R. (2d) 28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Emil Anderson No. 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Emil Andersen Construction v. B.C. Railway Co.</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(1987), 17 B.C.L.R. (2d) 357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Emil Anderson No. 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Quintette Coal Ltd. v. Bow Valley Resource Services Ltd.</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(1988), 29 B.C.L.R. (2d) 127</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Surrey Credit Union v. Wilson et al.</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(1990), 45 B.C.L.R. (2d) 310</w:t>
        </w:r>
      </w:hyperlink>
      <w:r>
        <w:rPr>
          <w:rFonts w:ascii="arial" w:eastAsia="arial" w:hAnsi="arial" w:cs="arial"/>
          <w:color w:val="000000"/>
          <w:sz w:val="20"/>
          <w:lang w:val="en-US" w:eastAsia="en-US" w:bidi="ar-SA"/>
        </w:rPr>
        <w:t xml:space="preserve"> at 315 (S.C.), aff'd </w:t>
      </w:r>
      <w:hyperlink r:id="rId122" w:history="1">
        <w:r>
          <w:rPr>
            <w:rFonts w:ascii="arial" w:eastAsia="arial" w:hAnsi="arial" w:cs="arial"/>
            <w:i/>
            <w:color w:val="0077CC"/>
            <w:sz w:val="20"/>
            <w:u w:val="single"/>
            <w:shd w:val="clear" w:color="auto" w:fill="FFFFFF"/>
            <w:lang w:val="en-US" w:eastAsia="en-US" w:bidi="ar-SA"/>
          </w:rPr>
          <w:t>(1990), 47 B.C.L.R. (2d) 242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Quintette</w:t>
      </w:r>
      <w:r>
        <w:rPr>
          <w:rFonts w:ascii="arial" w:eastAsia="arial" w:hAnsi="arial" w:cs="arial"/>
          <w:color w:val="000000"/>
          <w:sz w:val="20"/>
          <w:lang w:val="en-US" w:eastAsia="en-US" w:bidi="ar-SA"/>
        </w:rPr>
        <w:t>, Spencer J. provided guidelines addressing the admissibility of an expert's report. Restated in terms relevant to this case, those guidelines are: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expert may give evidence on matters of industry practice relating to the proper methods and steps required of insurers and insurance agents or insurance brokers when dealing with insured clients in the context of the issuing, assessing, and cancellation of life insurance policies.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give both opinion evidence and factual evidence based on his knowledge and experience as to the proper techniques and practices of insurers and insurance agents and insurance brokers when dealing with insured clients insofar as the sale, variation, and cancellation of life insurance policies is concerned and servicing of insured clients and requests for information about their policies.</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interpret, in the form of an opinion, the requirements of insurers and insurance agents and insurance brokers in advising and dealing with insured clients on the issues of seeking information about and cancellation of an insurance policy but he may not give an opinion which amounts to a legal interpretation of the policies or a legal opinion as to the circumstances in issue in this case.</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rival experts have presented or are expected to present differing opinions, he may descend to argument to show why his opinion should be accepted in preference to the others', but the argument should be restricted to the technical reasons why he says his opinion is preferable.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not make conclusive findings of fact on issues disputed between the parties, but he may state certain facts as the hypothesis upon which he reaches an opinion or refer to matters which are already put in evidence. In each case, he should make clear which hypotheses or evidence he relies upon. It will be for the court to decide eventually whether that hypothesis is made out or whether the appropriate facts are found from that evidence.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not assess the value or justifiability of the plaintiff's claim.</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not assign blame to any party, but he may give his opinion as to cause and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Quintette</w:t>
      </w:r>
      <w:r>
        <w:rPr>
          <w:rFonts w:ascii="arial" w:eastAsia="arial" w:hAnsi="arial" w:cs="arial"/>
          <w:color w:val="000000"/>
          <w:sz w:val="20"/>
          <w:lang w:val="en-US" w:eastAsia="en-US" w:bidi="ar-SA"/>
        </w:rPr>
        <w:t>, the court rejected an expert report, saying at 128: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great deal of the report records findings of fact, allocations of blame and conclusions of law made by the witness. In some cases the findings and conclusions are overt, but in others they are implied. In all of that, the witness trespasses upon the task which the parties have assigned to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Similar findings were made in two separate decisions in the case of </w:t>
      </w:r>
      <w:r>
        <w:rPr>
          <w:rFonts w:ascii="arial" w:eastAsia="arial" w:hAnsi="arial" w:cs="arial"/>
          <w:i/>
          <w:color w:val="000000"/>
          <w:sz w:val="20"/>
          <w:lang w:val="en-US" w:eastAsia="en-US" w:bidi="ar-SA"/>
        </w:rPr>
        <w:t>Emil Anderson</w:t>
      </w:r>
      <w:r>
        <w:rPr>
          <w:rFonts w:ascii="arial" w:eastAsia="arial" w:hAnsi="arial" w:cs="arial"/>
          <w:color w:val="000000"/>
          <w:sz w:val="20"/>
          <w:lang w:val="en-US" w:eastAsia="en-US" w:bidi="ar-SA"/>
        </w:rPr>
        <w:t>. In the first decision, Macdonald J. rejected an engineering report, saying at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document such as an engineer might provide to an owner faced with a claim by a contractor for extra work or damages. It is an "assessment" of the claims of W.T.C. in this action. In the course of that assessment, opinions are expressed. However, those opinions are so mixed with evidence which is inadmissible that they are themselves not admissible in their present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the second decision at 363, MacDonald J. rejected two more reports on similar grounds: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I regard the opinions of both Codville and Dixon as not "scientific" or "technical" but directed in substance to the legal or general merits of the case. Viewed in their totality they are more appropriate as argument than they are as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Surrey Credit Union</w:t>
      </w:r>
      <w:r>
        <w:rPr>
          <w:rFonts w:ascii="arial" w:eastAsia="arial" w:hAnsi="arial" w:cs="arial"/>
          <w:color w:val="000000"/>
          <w:sz w:val="20"/>
          <w:lang w:val="en-US" w:eastAsia="en-US" w:bidi="ar-SA"/>
        </w:rPr>
        <w:t>, McColl J., at 314, stressed the need for expert testimony to be given in "an objective and impartial manner so the court can place some reliance upon it." He added at 315: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Expert opinions will be rendered inadmissible when they are nothing more than the reworking of the argument of counsel participating in the case. Where an argument clothed in the guise of an expert's opinion is tendered it will be rejected for what it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These principles are often encapsulated by the statement that an expert should not be an advocate. However, that statement is sometimes misunderstood. There is a difference between an expert who advocates for a party and one who advocates for his or her opinion. An expert opinion should be confined to the expert's field of expertise and to the question within that field that is at issue. It should be the result of careful and objective consideration of all relevant facts and principles and not based on extraneous considerations: </w:t>
      </w:r>
      <w:r>
        <w:rPr>
          <w:rFonts w:ascii="arial" w:eastAsia="arial" w:hAnsi="arial" w:cs="arial"/>
          <w:i/>
          <w:color w:val="000000"/>
          <w:sz w:val="20"/>
          <w:lang w:val="en-US" w:eastAsia="en-US" w:bidi="ar-SA"/>
        </w:rPr>
        <w:t>Keefer Laundry Ltd. v. Pellerin Milnor Corp.</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2007 BCSC 899</w:t>
        </w:r>
      </w:hyperlink>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court should be able to approach an expert's opinion with some confidence that the expert would have rendered the same opinion if he or she had been consulted by the opposite party. However, once an expert has formed an opinion through that process, he or she may be firm, emphatic, or even strident in the way he or she expresses the opinion or defends it against contrary opinions: </w:t>
      </w:r>
      <w:r>
        <w:rPr>
          <w:rFonts w:ascii="arial" w:eastAsia="arial" w:hAnsi="arial" w:cs="arial"/>
          <w:i/>
          <w:color w:val="000000"/>
          <w:sz w:val="20"/>
          <w:lang w:val="en-US" w:eastAsia="en-US" w:bidi="ar-SA"/>
        </w:rPr>
        <w:t>Keefer Laundry</w:t>
      </w:r>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As the foregoing authorities establish, when an objection is raised to the admissibility of an expert opinion, the opinion must be considered in its entirety. The experts who provide opinions to the courts come from many fields, but they are not expected to be experts in the law of evidence. It is almost always possible to isolate passages or phrases in a report that can be said to violate one or other of the rules that have been set out. In many cases, those passages can be excised or, in a case without a jury, simply ignored. Conversely, a report may be so permeated by improper considerations that excision of the most blatantly offending passages cannot save it: </w:t>
      </w:r>
      <w:r>
        <w:rPr>
          <w:rFonts w:ascii="arial" w:eastAsia="arial" w:hAnsi="arial" w:cs="arial"/>
          <w:i/>
          <w:color w:val="000000"/>
          <w:sz w:val="20"/>
          <w:lang w:val="en-US" w:eastAsia="en-US" w:bidi="ar-SA"/>
        </w:rPr>
        <w:t>Keefer Laundry</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each case, the question is whether the report, taken as a whole, is capable of providing the court with the assistance that is required. Of course, objections or criticisms that are not sufficient to render a report inadmissible may still be the subject of cross-examination and argument going to the weight the court should ultimately give to the opinion: </w:t>
      </w:r>
      <w:r>
        <w:rPr>
          <w:rFonts w:ascii="arial" w:eastAsia="arial" w:hAnsi="arial" w:cs="arial"/>
          <w:i/>
          <w:color w:val="000000"/>
          <w:sz w:val="20"/>
          <w:lang w:val="en-US" w:eastAsia="en-US" w:bidi="ar-SA"/>
        </w:rPr>
        <w:t>Keefer Laundry</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With those general principles in mind, I now turn to the specific report in issue. Mr. Staines prepared a 16 page report dated January 21, 2010, produced well after this action was commenced in April 2007 and just before the matter was originally scheduled for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Mr. Staines outlines in his report the facts and assumptions on which his opinion is based. However, as was the case in </w:t>
      </w:r>
      <w:r>
        <w:rPr>
          <w:rFonts w:ascii="arial" w:eastAsia="arial" w:hAnsi="arial" w:cs="arial"/>
          <w:i/>
          <w:color w:val="000000"/>
          <w:sz w:val="20"/>
          <w:lang w:val="en-US" w:eastAsia="en-US" w:bidi="ar-SA"/>
        </w:rPr>
        <w:t>Quintette</w:t>
      </w:r>
      <w:r>
        <w:rPr>
          <w:rFonts w:ascii="arial" w:eastAsia="arial" w:hAnsi="arial" w:cs="arial"/>
          <w:color w:val="000000"/>
          <w:sz w:val="20"/>
          <w:lang w:val="en-US" w:eastAsia="en-US" w:bidi="ar-SA"/>
        </w:rPr>
        <w:t>, aspects of Mr. Staines' report, as presently tendered, would not be admissible at a trial as the author does, at times, appear to weigh evidence in his report, and on some occasions offers legal opinions, relies on legal texts to inform his opinions, interprets aspects of the Policies in issue and includes irrelevant considerations such as the pricing of premiums. In some areas of the report, Mr. Staines' opinion appears to be directed more to the legal merits of the case and in some parts appears more to be argument clothed in the guise of an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However, what can be discerned from those portions of the report that were not challenged by the defendants is that the Hooper Defendants as the insurance agent/broker for the Gishs owed both of them a duty of care in their dealings with them. The extent of that duty of care owed and whether the Hooper Defendants' conduct actually satisfied the requirements insofar as the dealings with the Gishs were concerned raise both issues of accepted industry standards, which Mr. Staines is able to comment upon, and issues of credibility insofar as the dealings between the Gishs and the Hooper Defendants are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It can also be discerned from the report that the usual industry practice insofar as an insurer is concerned is that when a request is made for cancellation, an insurer generally informs the insured on the proper route to cancel including advising that the insured should allow the policy to lapse on the payment of premiums. The report also indicates that where an insurer elects to continue coverage through the retention of the premium, past an effective cancellation date, and not advising the insured that this was done, denies an insured the opportunity to retain the policy in accordance with their original intention. The report also refers to a generalized duty of care owed by an insurer to an insured in its dealings with an insured in respect of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extent of that duty of care owed and whether Transamerica's conduct actually satisfied the requirements insofar as the dealings with the Gishs were concerned raise both issues of accepted industry standards, which Mr. Staines is able to comment upon, and issues of credibility insofar as the dealings between the Gishs and Transamerica is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While there are some difficulties with the way Mr. Staines report is currently drafted such that aspects of it are inadmissible as currently tendered, the more general considerations outlining the duty of care owed by both defendants assists in assessing the suitability of the defendants Rule 18A applications to have the plaintiff's statement of claim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Suitability of the defendants' applications for determination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defendants both contend that their applications to have the plaintiff's claim dismissed are appropriate for determination by way of Rule 18A arguing there is no evidence to support the plaintiff's claim that they were negligent in their dealings with the plaintiff and her husband and that there was no breach of contractual duties, fiduciary duties, and no duty of care owed by the defendants to the Gishs.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plaintiff's submission is that the defendants' applications under Rule 18A are not suitable for determination under the summary trial procedure, arguing the totality of the materials filed on these applications demonstrate there are significant issues of fact involving issues of credibility that can only be properly canvassed through a full trial with the opportunity to cross examine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Rule 18A(11) sets out the applicable test, which is that the court may grant judgment in favour of any party, either on an issue or generally, unless the court is unable to find the facts necessary to decide the issues of fact or law, or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Under the principles set down by Chief Justice McEachern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at 214-15 (C.A.), a chambers judge is obliged to rule if he or she can find the facts as a judge would at trial, unless to do so would be unjust.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In deciding whether a matter is appropriate for determination under Rule 18A, or whether it would be unjust to give judgment under Rule 18A, the court should consider the amount involved; the complexity of the matter; the cost of a conventional trial in relation to the amount involved; the course of the proceedings; whether credibility is a crucial factor; and, whether the application is an effective use of the court's time and will result in the efficient resolution of the proceedings: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Dahl v. Royal Bank</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(2005) 46 B.C.L.R. (4th) 342</w:t>
        </w:r>
      </w:hyperlink>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paras 11-12, aff'd </w:t>
      </w:r>
      <w:hyperlink r:id="rId126"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will now proceed to determine whether it is appropriate to hear the defendants' applications such that they are suitable for disposition under Rule 18A application. The law is clear that where there are significant, unresolved issues of credibility or conflicting evidence the matter should not be determined by way of a summary trial. I note that in this case there are significant unresolved issues of credibility as between the plaintiff and the Hooper Defendants and also conflicting evidence as between the plaintiff's case and the defendants' case insofar as industry standards and generally accepted practices are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monetary claim presented in this case is not in substantial from the perspective of any of the parties involved. Additionally, one must not overlook the fact that what is involved here is a denial to the plaintiff of her right to a trial before a judge with a jury. This factor was considered by Mr. Justice Clancy in </w:t>
      </w:r>
      <w:r>
        <w:rPr>
          <w:rFonts w:ascii="arial" w:eastAsia="arial" w:hAnsi="arial" w:cs="arial"/>
          <w:i/>
          <w:color w:val="000000"/>
          <w:sz w:val="20"/>
          <w:lang w:val="en-US" w:eastAsia="en-US" w:bidi="ar-SA"/>
        </w:rPr>
        <w:t>Marshall v. Payne</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[1995] B.C.J. No. 2981</w:t>
        </w:r>
      </w:hyperlink>
      <w:r>
        <w:rPr>
          <w:rFonts w:ascii="arial" w:eastAsia="arial" w:hAnsi="arial" w:cs="arial"/>
          <w:color w:val="000000"/>
          <w:sz w:val="20"/>
          <w:lang w:val="en-US" w:eastAsia="en-US" w:bidi="ar-SA"/>
        </w:rPr>
        <w:t xml:space="preserve"> (S.C.), where, after referring to the decision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he stated, at para. 14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 also, that it was apparently the case before the Court of Appeal that the Chief Justice was contrasting the summary judgment procedure with a full trial before a judge of this court. He was not considering the impact of a chambers judge taking away the right of the defendant to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Of course, subrule (16) of Rule 18A expressly provides that summary trial proceedings are not precluded by the fact that a party has filed a notice requiring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2003 BCCA 257</w:t>
        </w:r>
      </w:hyperlink>
      <w:r>
        <w:rPr>
          <w:rFonts w:ascii="arial" w:eastAsia="arial" w:hAnsi="arial" w:cs="arial"/>
          <w:color w:val="000000"/>
          <w:sz w:val="20"/>
          <w:lang w:val="en-US" w:eastAsia="en-US" w:bidi="ar-SA"/>
        </w:rPr>
        <w:t xml:space="preserve"> Madam Justice Levine reviewed the jurisprudence on the issue of the suitability of determining proceedings under Rule 18A when a jury trial notice has been filed. Although </w:t>
      </w:r>
      <w:r>
        <w:rPr>
          <w:rFonts w:ascii="arial" w:eastAsia="arial" w:hAnsi="arial" w:cs="arial"/>
          <w:i/>
          <w:color w:val="000000"/>
          <w:sz w:val="20"/>
          <w:lang w:val="en-US" w:eastAsia="en-US" w:bidi="ar-SA"/>
        </w:rPr>
        <w:t>Hung</w:t>
      </w:r>
      <w:r>
        <w:rPr>
          <w:rFonts w:ascii="arial" w:eastAsia="arial" w:hAnsi="arial" w:cs="arial"/>
          <w:color w:val="000000"/>
          <w:sz w:val="20"/>
          <w:lang w:val="en-US" w:eastAsia="en-US" w:bidi="ar-SA"/>
        </w:rPr>
        <w:t xml:space="preserve"> was a defamation case, the decision reviews the broader jurisprudence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effect of Rule 18A(16) and the jurisprudence that has developed since its inception, as reviewed in </w:t>
      </w:r>
      <w:r>
        <w:rPr>
          <w:rFonts w:ascii="arial" w:eastAsia="arial" w:hAnsi="arial" w:cs="arial"/>
          <w:i/>
          <w:color w:val="000000"/>
          <w:sz w:val="20"/>
          <w:lang w:val="en-US" w:eastAsia="en-US" w:bidi="ar-SA"/>
        </w:rPr>
        <w:t>Hung,</w:t>
      </w:r>
      <w:r>
        <w:rPr>
          <w:rFonts w:ascii="arial" w:eastAsia="arial" w:hAnsi="arial" w:cs="arial"/>
          <w:color w:val="000000"/>
          <w:sz w:val="20"/>
          <w:lang w:val="en-US" w:eastAsia="en-US" w:bidi="ar-SA"/>
        </w:rPr>
        <w:t xml:space="preserve"> establishes that the filing of a jury notice is one of the factors to consider in assessing whether a matter is appropriate or suitable for determination under the summary trial procedure of Rule 18A. Thus the fact that the plaintiff would be deprived of a trial by jury is a factor that must be given consideration in this case. However, the rule contemplates that this may occur in appropriate cases. While the denial of a jury trial is a factor the court can consider, it is far from determinative and should be viewed in the light of other factors bearing on the test of comparative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Significantly, important credibility issues arise as between Mr. Hooper and Mrs. Gish as disclosed from their affidavits as to the extent of their dealings, the requests for information and the expectations of the Gishs in endeavouring to understand the full scope of their coverage, how their expenses could be reduced, and what coverage could be varied through non-payment of premiums that would not result in the loss of the policies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Moreover, it is clear that insurance agents and insurance brokers owe their clients some measure of a duty of care but that the scope of the duty varies depending on the nature of the relationship. The majority decision in </w:t>
      </w:r>
      <w:r>
        <w:rPr>
          <w:rFonts w:ascii="arial" w:eastAsia="arial" w:hAnsi="arial" w:cs="arial"/>
          <w:i/>
          <w:color w:val="000000"/>
          <w:sz w:val="20"/>
          <w:lang w:val="en-US" w:eastAsia="en-US" w:bidi="ar-SA"/>
        </w:rPr>
        <w:t>Fine's Flowers Ltd v. General Accident Assurance Company of Canada</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(1977), 17 O.R. (2d) 529</w:t>
        </w:r>
      </w:hyperlink>
      <w:r>
        <w:rPr>
          <w:rFonts w:ascii="arial" w:eastAsia="arial" w:hAnsi="arial" w:cs="arial"/>
          <w:color w:val="000000"/>
          <w:sz w:val="20"/>
          <w:lang w:val="en-US" w:eastAsia="en-US" w:bidi="ar-SA"/>
        </w:rPr>
        <w:t xml:space="preserve"> (C.A.) and the numerous decisions that have reinforced its principles establish that there is a fairly broad professional scope to the duties owed by an insurance agent or insurance brokers to their insured clients. As a result, insurance agents and insurance brokers are often held to a level of professionalism similar to that required of lawyers, accountants and other professionals. As such, the requirement for providing the necessary information to allow a client to make an informed decision is very much an aspect and issue of the scope of the duty of care owed by an insurance agent or an insurance broker to their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Counsel for the Hooper Defendants relies upon the comments of Madam Justice Southin, as she then was, in </w:t>
      </w:r>
      <w:r>
        <w:rPr>
          <w:rFonts w:ascii="arial" w:eastAsia="arial" w:hAnsi="arial" w:cs="arial"/>
          <w:i/>
          <w:color w:val="000000"/>
          <w:sz w:val="20"/>
          <w:lang w:val="en-US" w:eastAsia="en-US" w:bidi="ar-SA"/>
        </w:rPr>
        <w:t>Girardet v. Crease &amp; Co.</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(1987), 11 B.C.L.R. (2d) 361</w:t>
        </w:r>
      </w:hyperlink>
      <w:r>
        <w:rPr>
          <w:rFonts w:ascii="arial" w:eastAsia="arial" w:hAnsi="arial" w:cs="arial"/>
          <w:color w:val="000000"/>
          <w:sz w:val="20"/>
          <w:lang w:val="en-US" w:eastAsia="en-US" w:bidi="ar-SA"/>
        </w:rPr>
        <w:t xml:space="preserve"> at 371 (S.C.) to argue that the Hooper Defendants did not breach their duty of reasonable care and skill in this case when they simply advised the Gishs on one occasion to retain the two Policies and in so doing the Hooper Defendants were not required to do anything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While the Hooper Defendants may not have been required to repeatedly tell the plaintiff and her husband to retain the two policies, this is not necessarily dispositive of the issue in this case. An earlier step may well have been required in terms of providing information and advice about the ability of a beneficiary to assume premium payments, particularly where expenses and reducing expenses were an evident concern, so that any decision to cancel was a fully informed decision. The evidence is unsatisfactory on this point such that on the whole of the evidence the court is unable to find the facts necessary to decide the issues of fact and law raised by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Counsel for Transamerica argues that Transamerica breached no duties to the plaintiff as beneficiary of the Policies in issue as all dealings on the Policies occurred when the owner and insured on the policies, Mr. Gish, was still alive. As such, argues Transamerica, the plaintiff had no rights in relation to Mr. Gish's policies either in contract or in a fiduciary or duty of care capacity citing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at paras. 28-37 as support for its argument that no duty of care was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While the plaintiff as beneficiary may not have any contractual rights under the Policies while the policy owner and insured was still alive and thus able to change the beneficiary, it is not entirely clear on the state of the evidence and law that there is absolutely no duty of care or fiduciary duties owed, particularly in circumstances where the provisions of s. 40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permit beneficiaries to assume payment of policy premiums and s. 37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creates an insurable interest in a spouse's life. Where these two provisions arise and there is expert evidence of a general industry standard and accepted practice about advice, notification, and cancellation issues, it is at least arguable that under the traditional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(from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adopted by the Court in </w:t>
      </w:r>
      <w:r>
        <w:rPr>
          <w:rFonts w:ascii="arial" w:eastAsia="arial" w:hAnsi="arial" w:cs="arial"/>
          <w:i/>
          <w:color w:val="000000"/>
          <w:sz w:val="20"/>
          <w:lang w:val="en-US" w:eastAsia="en-US" w:bidi="ar-SA"/>
        </w:rPr>
        <w:t>Kamloops (City) v. Nielsen</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in the circumstances presented by this case. The scope of the duty of care and whether it has been met or breached is something that requires significantly more developed evidence to provide the proper context for making any findings of fact on such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expert report prepared by Mr. Staines, while largely inadmissible as currently tendered, nevertheless discloses that there are significant issues as to the scope of the duty of care and fiduciary duties owed by both defendants to the plaintiff and her husband in this case when measured against the generally accepted standards and practices of the industry. Mr. Staines' report also directly conflicts with the evidence tendered by the defendants as to their understanding of the usual and accepted practice of cancellation of life insurance policies insofar as the insurer Transamerica is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Both the conflict in the evidence which raises issues of credibility that cannot be resolved in these applications, coupled with the existence of expert opinion evidence that suggests the conduct of the defendants in the circumstances of this case may well have fallen below generally accepted standards and practices of the industry renders the defendants' applications for judgment in a summary trial not suitable for disposition under this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Moreover on the whole of the evidence, the Court is unable to find the facts necessary to decide the issues of fact or law as to the scope of the duty of care and the fiduciary duties the defendants each owed the plaintiff or whether they were negligent in the manner in which they dealt with the plaintiff and her husband in respect of the cancellation of the two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Finally, I have concluded that in the circumstances of this case it would be unjust to decide the issues in this format, particularly where there are credibility issues that ought to be properly canvassed through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and cross-examination, and the existence of an expert evidence that appears to contradict the defendants' affidavit evidence as to the generally accepted standards and practices of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For the reasons set out above, I am not satisfied that the issues of the scope of duty of care or the fiduciary duties owed by the defendants to the plaintiff and whether they were, in fact, negligent and in breach of their duties in their dealings with the plaintiff are suitable for disposition under Rule 18A. Accordingly the defendants' summary trial applications seeking to have the plaintiff's statement of claim dismissed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Conclusion: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For the reasons set out above, the plaintiff's application for a declaration that the October 22, 2004 letter of cancellation sent by Mr. Gish to Transamerica is invalid at law is dismissed. Mr. Gish's October 22, 2004 faxed letter of cancellation to Transamerica was a valid cancellation of the Policies accepted by Transamerica.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applications of all defendants to have the plaintiff's statement of claim dismissed under Rule 18A are not suitable for determination under the summary trial procedure and are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As none of the parties were successful in their applications, they will each bear their own costs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K.M. 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9"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Gitxsan First Nation v. British Columbia (Minister of Forests), [2005] B.C.J. No. 1531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25, 26 and 27,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Smithers Registry Nos. 12437, 13155, 13184, 13305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13306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1531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994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141 A.C.W.S. (3d) 188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YAL also known as Aubrey Jackson, DJOGASLEE also known as Ted Mowatt, LELT also known as Lloyd Ryan, GEEL also known as Walter Harris, WII EELAST also known as Jim Angus, TSABUX also known as Wilmer Johnson, TENIMGYET also known as Art Mathews Jr. and SAKXUM HIGOOKW also known as Vernon Smith, on behalf of themselves and in their capacity as Gitxsan House Chiefs and on behalf of all members of the Gitxsan Houses having their principal office at P.O. Box 229, 1650 Omineca Street, Hazelton, B.C., petitioners, and Minister of Forests of the Province of British Columbia and Skeena Cellulose Inc., respondents (Smithers Registry No. 12437) And between WII GYET (Lloyd Morrison) Hereditary Chief of the WII GYET Gitxsan House of Kispiox, British Columbia and Others, petitioners, and Gitxsan Government Commission and Others, respondents (Smithers Registry No. 13155) And between YAL (Aubrey Jackson) in his capacity as Hereditary Chief of the Gitxsan House of YAL and on behalf of all its members and all of the Hereditary Chiefs, their respective Houses and the people of those Houses that they represent as shown on the "Schedule of Plaintiffs" attached hereto, plaintiffs, and The Minister of Forests and the Attorney General on behalf of Her Majesty the Queen in Right of the Province of British Columbia, Skeena Cellulose Inc., The Gitxsan Treaty Society, Gordon Sebastian, Elmer Derrick and Bev Percival Clifton, defendants (Smithers Registry No. 13184) And between YAL (Aubrey Jackson) in his capacity as Hereditary Chief of the Gitxsan House of YAL and on behalf of all its members, TSABUX (Wilmer Johnson) in his capacity as Hereditary Chief of the Gitxsan House of TSABUX and on behalf of all of the members of the Gitxsan House of YAL, and all of the Hereditary Chiefs, their respective Houses and the people of those Houses that they represent as shown on the "Schedule of Plaintiffs" attached hereto, plaintiffs, and The Minister of Forests and the Attorney General on behalf of Her Majesty the Queen in Right of the Province of British Columbia, 552513 B.C. Ltd., NWBC Timber and Pulp Ltd., New Skeena Forest Products Ltd., Daniel Veniez, West Fraser Timber Co. Ltd., the Gitxsan Treaty Society, Gordon Sebastian, Elmer Derrick, Bev Percival Clifton, James Angus, Jack Sebastian and Art Mathews, defendants (Smithers Registry No. 13305) And between WII GYET (Lloyd Morrison) Hereditary Chief of the Gitxsan House of WII GYET of Kispiox British Columbia on his own behalf and on behalf of all of the members of the Gitxsan House of WII GYET, YAL (Aubrey Jackson) Hereditary Chief of the Gitxsan House of YAL of Hazelton, British Columbia on behalf of all of the members of the Gitxsan House of YAL, and all of the Petitioners listed together with WII GYET and YAL on the attached, Schedule 1 - List of Gitxsan Hereditary Chiefs who are also Petitioners on their own behalf and on behalf of all the members of their respective Gitxsan Houses, petitioners, and Gitxsan Government Commission and Others, respondents (Smithers Registry No. 13306)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0"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4" w:name="Keywords_4"/>
      <w:bookmarkEnd w:id="34"/>
      <w:r>
        <w:rPr>
          <w:rFonts w:ascii="arial" w:eastAsia="arial" w:hAnsi="arial" w:cs="arial"/>
          <w:b/>
          <w:color w:val="000000"/>
          <w:sz w:val="20"/>
          <w:lang w:val="en-US" w:eastAsia="en-US" w:bidi="ar-SA"/>
        </w:rPr>
        <w:t>Civil procedure — Actions — Application and interpretation of practice rules — Proceedings taken in wrong court or wrong procedure used — Parties — Class or representative actions — Representative plaintiff — Representation of — By non-lawyer — Pleadings — Striking out pleadings or allegations — Failure to disclose a cause of action or defence — False, frivolous, vexatious or abuse of process — Pleading fraud — Costs.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5" w:name="Case Summary_4"/>
            <w:bookmarkEnd w:id="3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Minister of Forests and other defendants for an order staying the proceedings against them and restricting the plaintiff Gitxsan First Nation from commencing further proceedings until it retained a lawyer authorized to practice law in British Columbia. Gitxsan applied for interim costs for three of the five proceedings. Gitxsan commenced three petitions and two actions on behalf of 50 plaintiffs against the defendants for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fraud, and seeking an accounting of the defendants' activities. The defendants argued that the proceedings should be set aside because they were commenced using the wrong procedure and did not comply with the British Columbia Supreme Court Rules, Gitxsan failed to serve supporting materials, the pleadings did not disclose a cause of action and were frivolous and vexatious, and the representative chosen by Gitxsan was a lay person who was incapable of representing the plaintiffs.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6" w:name="Holdings of Court_4"/>
            <w:bookmarkEnd w:id="36"/>
            <w:r>
              <w:rPr>
                <w:rFonts w:ascii="arial" w:eastAsia="arial" w:hAnsi="arial" w:cs="arial"/>
                <w:color w:val="000000"/>
                <w:sz w:val="20"/>
                <w:lang w:val="en-US" w:eastAsia="en-US" w:bidi="ar-SA"/>
              </w:rPr>
              <w:t>HELD: Application allowed, cross-application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One of the petitions, purporting to be on behalf of all plaintiffs, was not signed by any of them and was invalid. The failure to serve the supporting documents rendered the service ineffective. The two breaches constituted serious irregularities. The facts in the pleadings disclosed a cause of action for breach of fiduciary duty. The pleadings were deficient in identifying the defendants who were accused of breach of fiduciary duty, fraud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pleadings contained statements of law, expressions of opinions and commentary. The pleadings failed to give particulars of the allegation of fraud. The claim for fraud could not be brought by way of petition. The defects in the pleadings were numerous and could not be cured by amendment. One petition failed to assert a legal basis that entitled Gitxsan for an accounting from the defendants. The allegations in the petition contrasting the plaintiffs' financial situation with the defendants' situation were scandalous, embarrassing and vexatious and disclosed no cause of action. Gitxsan was not entitled to interim costs. Gitxsan and the plaintiffs failed to prove they were impecunious or that the necessary efforts were made to raise money from each plaintiff. While the claims were not certain to fail, Gitxsan failed to prove that there was a prima facie case of sufficient merit to warrant pursuit. Gitxsan failed to prove that the case raised unique issues of public importance. A practicing lawyer was required to represent Gitxsan and the 50 plaintiffs. The proceedings involved complex issues of fact. It was necessary for a lawyer to represent the plaintiffs to monitor the potential conflict of interest between them and to conduct the litigation.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7" w:name="Legislation Cited_3"/>
      <w:bookmarkEnd w:id="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1"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 Rule 2(2)(a), Rule 2(2)(d), Rule 2(3), Rule 2(4), Rule 5(11), Rule 8(1), Rule 8(8), Rule 10, Rule 10(4), Rule 19(1), Rule 19(24)(a), Rule 19(24)(b), Rule 19(24)(c), Rule 19(24)(d)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Indian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Legal Profession Act, s.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Society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8" w:name="Counsel_4"/>
      <w:bookmarkEnd w:id="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2"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Representing the Plaintiffs/Petitioners: Aubrey Jackson, appearing with leave of the court (assisted by Robert Jackson and Ronald Jackson).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Minister of Forests and the Attorney General of British Columbia: P. Yearwood.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Defendants/Respondents Gitxsan Treaty Society, Gitxsan Government Commission and Others, including the six petitioners in Petition 12437, other than Aubrey Jackson and Wilmer Johnson P. Freeman and D. Nouvet (also appearing as agent for C. Scotnicki).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Defendants/Respondents Gitxsan Health Society and Others D. Hanuse.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9" w:name="Judgment_4"/>
      <w:bookmarkEnd w:id="39"/>
      <w:r>
        <w:pict>
          <v:line id="_x0000_s1053" style="position:absolute;z-index:2518169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0" w:name="HALFYARD J."/>
            <w:bookmarkEnd w:id="40"/>
            <w:r>
              <w:rPr>
                <w:rFonts w:ascii="arial" w:eastAsia="arial" w:hAnsi="arial" w:cs="arial"/>
                <w:b/>
                <w:color w:val="000000"/>
                <w:sz w:val="30"/>
                <w:lang w:val="en-US" w:eastAsia="en-US" w:bidi="ar-SA"/>
              </w:rPr>
              <w:t>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three sets of applications before me, in these five separate proceedings. In the first set of applications, the defendants/respondents represented by Mr. Janes, applied for orders staying all existing proceedings, and restraining the commencement or prosecution of any new proceedings by the plaintiffs/petitioners against them, until such time as a lawyer authorized to practice law in British Columbia is appointed by the plaintiffs/petitioners to represent them. Mr. Janes argued these applications in the week of September 7, 2004, with the support of all other defendants/respondents. These applications were made on grounds which I would summarize as follows: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Four of the five proceedings (i.e., all but petition 12437) were commenced unlawfully and in violation of s. 15 of the Legal Profession Act, and with respect to petition 12437, the petitioners YAL (Aubrey Jackson) and TSABUX (Wilmer Johnson) are attempting to prosecute that proceeding, contrary to the same statute.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all of the proceedings except petition 12437 should be stayed because the plaintiffs/petitioners have failed to meet the criteria which must be satisfied before the court will permit representative proceedings to be brought.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the court should exercise its discretion to stay all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reasons for judgment filed September 27, 2004, I dismissed ground one of these applications, and reserved decision on grounds two and three. I reserved on the second and third grounds, for the reason that I would be required to decide issues already raised, but not decided, in an application made by Jack Cram for leave to represent the plaintiffs/petitioners. However, I did order that all of the five proceedings would be stayed, pending further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Since that time, Mr. Cram has withdrawn his application for leave, which removes that particular impediment to deciding grounds two and three of Mr. Janes' applications. On April 25, 2005, Mr. Freeman assumed conduct of these applications, as Mr. Janes could not be present. Mr. Freeman took the position at the outset, that I should adjourn all other pending applications generally (except ground two or ground three of his applications), and order that all five proceedings be stayed, and that any new proceedings be restrained.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second set of applications consisted of an application made by Mr. Braker's clients to strike out petition 13306, and an application by Mr. Janes' clients to strike out petition 13306 and petition 13155. Those applications had been made by way of written submissions filed January 31, 2005. The plaintiffs/petitioners failed to file opposing submissions by the required date of February 28, 2005. On March 9, 2005, I granted the plaintiffs/petitioners an extension of time to file and deliver written submissions. I also granted leave to the plaintiffs/petitioners to apply for a further extension of time beyond April 25, 2005, for filing and delivering their written submissions, but on the condition that a notice of motion and supporting affidavit was filed and delivered by April 18, 2005. On April 25, 2005, the plaintiffs/petitioners applied for a further extension of time, but no material having been filed by April 18, 2005, I dismissed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third set of applications were those filed by the plaintiffs/petitioners for orders granting them interim costs in three of the five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hearing preliminary argument from all parties, I decided that the applications of the plaintiffs/petitioners for interim costs, would be heard. The plaintiffs/petitioners were not represented by counsel. I granted leave to Aubrey Jackson to speak on behalf of all of them. Shortly after the hearing commenced, with the consent of all plaintiffs/petitioners who were present, I allowed Aubrey Jackson to delegate his responsibility to Robert Jackson, and then to Ronald Jackson. This permission to speak on behalf of the plaintiffs/petitioners was granted only for the purpose of the proceedings on April 25 to 27,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all parties had been heard on the applications for interim costs, Mr. Freeman re-stated his position with respect to the applications for stays of proceedings which had been pending since September 2004. Mr. Freeman urged the court not to decide any of the other applications, even if I decided that the earlier stay applications should not be granted on either of the remaining two grounds. He submitted that all of the proceedings should be stayed, in any event, until counsel had been appointed by the plaintiffs/petitioners.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With respect to petition 12437, I ordered that the proceeding would be stayed until all of the petitioners in that proceeding were represented by a practicing lawyer. I ordered that the other four proceedings would be stayed pending further order of the court, and dispensed with the need for the approval in writing of the plaintiffs/ petitioners. I then reserved decision on all of the pending applications (except of course on the application to stay petition 12437, which I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ordered that petition 12437 be stayed, on the ground that YAL and TSABUX have split off from the other six petitioners, and each of the two groups have filed separate applications in that proceeding, creating an obvious conflict of interest. The solicitor of record for the petitioners is Gordon Sebastian, but he clearly does not represent YAL and TSABUX. Until that conflict of interest has been resolved, that proceeding must be stayed. Accordingly, petition 12437 is no longer the subject of any of the applications pending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my opinion, the applications brought by Mr. Braker and Mr. Janes to strike out petition 13306 and petition 13155 should be decided, and they should be decided first. I say that, for two reasons. First, I do not think that arguments by counsel could be of much assistance to the plaintiffs/petitioners. Second, if the applications are successful, only two proceedings (action 13184 and action 13305) would remain. I think that the applications by the plaintiffs/petitioners for interim costs should be decided next, because if they are successful, it would be unnecessary to decide the remaining grounds of Mr. Janes' September 2004 applications, in that grounds two and three presumed that a lay person would be seeking leave to represent the plaintiffs/petitioners. If the applications for interim costs are not successful, then the remaining grounds of Mr. Janes' September 2004 applications should be decided, on the assumption that the plaintiffs/petitioners will be making an application for leave to have a lay person represent all of them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setting out what I consider to be a logical sequence for considering the applications, I am mindful that Jack Cram was representing the plaintiffs/petitioners when Mr. Janes' September 2004 applications were fully argued. Mr. Cram was a lay person, but had previously been a competent practicing lawyer for many years. While Mr. Janes certainly did not concede Mr. Cram's present competency or suitability as an advocate, it is apparent that no other lay person with legal experience has sought leave to represent the plaintiffs/petitioners. It is in this context that Mr. Freeman has submitted that the plaintiffs/petitioners are not competent to defend against the applications to strike out petition 13306 and petition 13155, or to bring their applications for interim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APPLICATIONS TO STRIKE OUT PETITION 13306 AND PETITION 13155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Braker attacks petition 13306 on a number of grounds. Relying on Supreme Court Rule 2(2)(a) and 2(2)(d), he submits that the petition should be set aside as a nullity, because: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 was wrongly commenced by petition, when it should have been commenced by writ of summons, contrary to Rule 8(1);</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originating process was not signed by a lawyer, nor was it signed by any of the 62 petitioners, contrary to Rule 8(8);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affidavit was filed in support of the petition on November 28, 2003, contrary to Rule 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Under Rule 19(24)(a),(b), (c) and (d), Mr. Braker asserts the following defects: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 fails to disclose any reasonable claim against Mr. Braker's clients, contrary to Rule 19(24)(a).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 contains allegations that are unnecessary, scandalous, frivolous or vexatious, contrary to Rule 19(24)(b).</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 contains allegations that would prejudice, embarrass or delay the fair trial or hearing of the proceeding, contrary to Rule 19(24))(c).</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 is otherwise an abuse of the process of the court, contrary to Rule 19(24)(d).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Braker's clients seek the following relief:</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entire petition 13306 be set aside as being a nullity, and dismissed, pursuant to Rule 2(2);</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that the petition as it relates to Mr. Braker's clients, be dismissed, pursuant to Rule 19(24);</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that paras. D, 10, 11, 12, 13, 16, 18, 19, 20(B), 21 and 22 of the petition, as they relate to Mr. Braker's clients, be struck out, pursuant to Rule 19(24);</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final alternative, that this proceeding be stayed until the defects in commencement are corrected, and the defects in the pleadings are sufficiently amended;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that the petitioners be required to pay the applicant's costs of this application, as special costs, forthwith after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application brought on behalf of Gitxsan Government Commission, Mr. Janes submits: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petition 13306 should be struck out in its entirety, on the ground that no affidavit was filed and served with the petition, contrary to Rule 10(4);</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any event, the claims against the Gitxsan Government Commission be struck from petition 13306, on the ground that the allegations fail to disclose any reasonable claim against the Gitxsan Government Commission or its employees or directors, contrary to Rule 19(24)(a);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same relief should be granted in respect of petition 13155, which is the predecessor to, and is subsumed by, petition 13306.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DEFENCE TO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mentioned, no written submissions have been made by the petitioners on these applications. Ronald Jackson did make a short oral argument in opposition.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Petition 13155 was filed on September 22, 2003, naming five respondents (which included the Gitxsan Government Commission). There are 56 named petitioners. The parties, the allegations and the relief sought are summarized in paras. 8 to 10 of my reasons for judgment filed September 27,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Petition 13306 was commenced on November 28, 2003. It names as respondents eight Gitxsan organizations and 41 named individuals. The Gitxsan organizations include the Gitxsan Health Authority (aka Gitxsan Health Society), and the Gitxsan Government Commission. A short summary of the relief sought, and the allegations made in petition 13306 is contained in paras. 27 and 28 of my said reasons for judgment. It is apparent that this petition subsumes and expands upon the allegations made and the relief sought in petition 13155.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facts on which Mr. Braker relies to support his submission under Rule 2(2), are not in dispute. The proceeding was commenced by petition rather than by writ of summons. The only person who signed petition 13306 was Ron Jackson. He was not a lawyer, and is not a petitioner, and he purported to sign on behalf of the petitioner Aubrey Jackson. When the petition was filed on November 28, 2003, no affidavit verifying the facts in the petition, was filed. An affidavit of verification appears to have been sworn by Aubrey Jackson on November 28, 2003, but for some unexplained reason was not filed and not served with the petition. It was not filed until July 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relevant parts of the Supreme Court Rules state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2</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a failure to comply with these rules shall be treated as an irregularity and does not nullify a proceeding, a step taken or any document or order made in the proceeding.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subrules (3) and (4), where there has been a failure to comply with these rules, the court may</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aside a proceeding, either wholly or in part,</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aside any step taken in the proceeding, or a document or order made in the proceeding,</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an amendment to be made under Rule 24,</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proceeding or strike out the statement of defence and grant judgment, or</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order it thinks just.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shall not wholly set aside a proceeding on the ground that it was required to be commenced by an originating process other than the one employed.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for an order under subrule (2)(a), (b) or (d) shall not be granted unless it is made within a reasonable time, and the application is made before the party applying has taken a fresh step after knowledge of the irregularity.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8</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where otherwise authorized by an enactment or these rules, every proceeding in the court shall be commenced by filing a writ of summons.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writ of summons shall be signed by the plaintiff or by or for the plaintiff's solicitor.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Subrules (4) to (12) apply to a petition.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10</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other than an interlocutory application or an application in the nature of an appeal, may be made by originating application where</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is authorized to be made to the court,</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sole or principal question at issue is alleged to be one of construction of an enactment, will, deed, oral or written contract, or other document,</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is the only person who is interested in the relief claimed, or there is no person against whom relief is sought,</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advice or direction sought relates to a question arising in the administration of an estate of a deceased person or the execution of a trust, or the performance of an act by a person in the person's capacity as executor, administrator or trustee, or the determination of the persons entitled as creditors or otherwise to the estate or trust property,</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advice or direction sought relates to the maintenance, guardianship or property of infants or other persons under disability,</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sought is for payment of funds into or out of court,</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sought relates to land and is for</w:t>
      </w:r>
    </w:p>
    <w:p>
      <w:pPr>
        <w:numPr>
          <w:numId w:val="1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of a beneficial interest in or a charge on land and of the character and extent of the interest or charge,</w:t>
      </w:r>
    </w:p>
    <w:p>
      <w:pPr>
        <w:numPr>
          <w:numId w:val="1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settling the priority between interests or charges,</w:t>
      </w:r>
    </w:p>
    <w:p>
      <w:pPr>
        <w:numPr>
          <w:numId w:val="1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cancelling a certificate of title or making a title subject to an interest or charge, or</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of partition or sale, or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advice or direction sought relates to the determination of a claim of solicitor and client privilege.</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these rules provide otherwise, a copy of the petition and of each affidavit in support must be served on all persons whose interests may be affected by the order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clear that the procedural acts and omissions complained of were in violation of Rules 8(1), 8(8) and 10(4). Mr. Braker submits that these failures to comply with the Rules of Court, taken separately or in combination, should move the court to conclude that the petition is a nullity, and to set it aside pursuant to Rule 2(2)(a). Mr. Janes supports Mr. Braker's submissions, particularly as to the effect of non-compliance with Rule 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Braker argues that, where there are multiple plaintiffs or petitioners, the originating process must be signed by one lawyer representing all of them. Counsel acknowledges that a plaintiff or petitioner acting in person, and suing alone, can lawfully sign the originating process to commence the proceeding. But he says that the Rules of Court should not be interpreted so as to permit multiple self-represented plaintiffs to commence a proceeding by all of them (or some of them) signing the originating process. Arguing by analogy from the reasoning of Esson, J. in Attorney-General of Canada v. Canadian Pacific Ltd. </w:t>
      </w:r>
      <w:hyperlink r:id="rId140" w:history="1">
        <w:r>
          <w:rPr>
            <w:rFonts w:ascii="arial" w:eastAsia="arial" w:hAnsi="arial" w:cs="arial"/>
            <w:i/>
            <w:color w:val="0077CC"/>
            <w:sz w:val="20"/>
            <w:u w:val="single"/>
            <w:shd w:val="clear" w:color="auto" w:fill="FFFFFF"/>
            <w:lang w:val="en-US" w:eastAsia="en-US" w:bidi="ar-SA"/>
          </w:rPr>
          <w:t>(1981) 30 B.C.L.R. 230</w:t>
        </w:r>
      </w:hyperlink>
      <w:r>
        <w:rPr>
          <w:rFonts w:ascii="arial" w:eastAsia="arial" w:hAnsi="arial" w:cs="arial"/>
          <w:color w:val="000000"/>
          <w:sz w:val="20"/>
          <w:lang w:val="en-US" w:eastAsia="en-US" w:bidi="ar-SA"/>
        </w:rPr>
        <w:t>, Mr. Braker contends that only one lawyer acting on behalf of all of the plaintiffs/petitioners, could sign the originating process to lawfully commence the proceeding. He points out that, otherwise, chaos in the conduct of the litigation could easily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Ronald Jackson argued (as Mr. Cram had argued previously) that any defect in the signing of originating documents could easily be cured by having some or all of the plaintiffs sign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What Mr. Braker says makes sense to me. A lawyer would take steps before commencement to ensure that there was no conflict of interest between any of the potential plaintiffs/petitioners. After commencement, a lawyer representing multiple plaintiffs/petitioners would make sure he or she was taking instructions which were authorized by all of the plaintiffs/petitioners.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the other hand, Rule 5(11) expressly permits "one or more" of "numerous persons" having the same interest, to commence a proceeding on behalf of all of the persons in the group. The Rule goes on to state that the proceeding may be "continued by ... one or more of them as representing all or as representing one or more of them", unless the court otherwise orders. I repeat Rules 8(8) and 8(18) for convenience: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A writ of summons shall be signed by the plaintiff or by or for the plaintiff's solicitor.</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Subrules (4) to (12) apply to a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Reading Rule 5(11) together with Rule 8(8), it seems to me that, if Lloyd Morrison and Aubrey Jackson had signed the petition, purporting to represent all of the petitioners, it is arguable that the proceeding would have been lawfully commenced. On a subsequent application, the court could order that the proceeding should not continue as a representative action, for a number of possible reasons. But such an order would not affect the lawfulness of the commencement of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the end of petition 13306, the following writing appears: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behalf of all petitioners by: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Petitioners: WII GYET (Lloyd Morrison) YAL (Aubrey Jackson)"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However, only Ron Jackson signed petition 13306, and he purported to sign: "For YAL (Aubrey Jackson)". Obviously, because Lloyd Morrison and Aubrey Jackson did not sign the petition, it has not been validly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Petition 13155 does not suffer from the same defect, because the petitioner WII GYET (Lloyd Morrison) signed the petition, and purported to do so "on behalf of all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But petition 13306, was not signed by any one or more petitioners purporting to represent all of the petitioners, nor by a practicing lawyer on behalf of all of the petitioners. In my opinion, this petition should be set aside under Rule 2(2)(a), as being a nullity. It should never have been accepted for filing by the Court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Rule 2(3) prevents the court from setting aside the proceeding on the sole ground that it was wrongly commenced by way of petition rather than by way of writ of summons. Nor would I set aside the petition on the ground that the affidavit of verification, although apparently sworn contemporaneously, was not filed with the petition. But in my view, the failure to serve the supporting affidavit with the petition, rendered service ineffective. I consider both these breaches of the Rules to be serious irregularities. I would add that the claims of breach of fiduciary duty and fraud raise serious issues of fact and law which cannot and should not be tried by way of summary trial on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case I am wrong in concluding that petition 13306 should be set aside as being a nullity, I will state my opinion concerning some of the objections raised by Mr. Braker and Mr. Janes, based on Rule 19(24). In my view, some of the objections are well taken.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19</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(24)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On an application under Rule 19(24)(a), the facts alleged in the statement of claim are assumed to be true. The applicant must persuade the court that it is "plain and obvious" that the facts pleaded do not disclose a reasonable cause of action, and that the action is "certain to fail". See Hunt v. Carey Canada Ltd. </w:t>
      </w:r>
      <w:r>
        <w:rPr>
          <w:rFonts w:ascii="arial" w:eastAsia="arial" w:hAnsi="arial" w:cs="arial"/>
          <w:i/>
          <w:color w:val="000000"/>
          <w:sz w:val="20"/>
          <w:lang w:val="en-US" w:eastAsia="en-US" w:bidi="ar-SA"/>
        </w:rPr>
        <w:t>(1990) 49 B.C.L.R. (2d) 273</w:t>
      </w:r>
      <w:r>
        <w:rPr>
          <w:rFonts w:ascii="arial" w:eastAsia="arial" w:hAnsi="arial" w:cs="arial"/>
          <w:color w:val="000000"/>
          <w:sz w:val="20"/>
          <w:lang w:val="en-US" w:eastAsia="en-US" w:bidi="ar-SA"/>
        </w:rPr>
        <w:t xml:space="preserve"> (S.C.C.) at 282, 285 and 289.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Although very poorly drafted, I think it is possible to identify a cause of action for breach of fiduciary duty in petition 13306. The assertion is made that several of the respondents, including the Gitxsan Government Commission ("the Commission") and the Gitxsan Health Authority ("the Authority"), owed a fiduciary duty to all Gitxsan people, by reason of the purposes for which government funds were received by them. The existence of such a duty may be questionable but it is certainly arguable, and not bound to fail. While it appears from the evidence that the Gitxsan Health Authority was not a legal entity, an amendment to "Gitxsan Treaty Society" could cure this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are allegations made, both general and particular, that the respondents have breached their fiduciary duty. In para. D of the statement of relief sought, and in para. 19 of the statement of facts, certain general breaches of fiduciary duty are attributed to the individual respondents, which include the following (my summarizing):</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Reaping personal benefits from contracts and transactions entered into by the Commission and the Authority;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Negligently administering "the functions, assets and funds" of the Commission and the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para. 19, it is alleged, in effect, that the respondents: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Misappropriated funds and assets of the Commission and the Authority (in (a), (b) and (c));</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account to the petitioners and other Gitxsan hereditary chiefs for their receipt and expenditure of trust funds and assets, despite the demands of the petitioners for information and an accounting (in (d));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Used their positions as trustees to obtain personal gain (in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While the pleadings I have described are objectionable as being general and vague, they could stand as introductions to the recital of the particulars of the breaches alleged in para. 20B of the statement of facts. That paragraph includes the following allegations (my paraphrasing):</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transferred $350,000 to a partnership owned by Don Ryan and Barrie Shibley (i.e., the respondent Aboriginal Investment Management Partnership);</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said partnership invested $300,000 in highly speculative stocks, which resulted in a loss of over $62,000 by July 9, 1998;</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said partnership invested $50,000 in a company owned by Don Ryan (i.e., the respondent Super Optical Services Ltd.);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failed to recover the sums of $62,000 and $50,000 from the said partnership and the said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essentially admit these facts, but say that they did recover $50,000 from the Gitxsan Treaty Society, and they deny any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para. 12, while no particulars are given, it is alleged, in effect, that the respondents: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Falsely purport to be authorized by the Gitxsan people to receive and spend trust funds for various purposes, including treaty negotiations and non-treaty negotiations, when they do not have the authority of the petitioners;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Dishonestly concealed their activities from the petitioners;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Used deception to confuse the Gitxsan people and to perpetuate their control over Gitxsan affairs and money, for their own personal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the question of authority, there are allegations in para. 1 (as well as in the confusing language of para. 12) that the petitioners represent 30 of the 47 Houses that comprise the Gitxsan Nation, and that "the petitioners ... represent the majority of Gitxsan Hereditary Chiefs, Houses and people." This raises the implication that the respondents have been acting against the wishes of the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Another breach of fiduciary duty is alleged, at least implicitly, in para. 16. It is there alleged in substance that the respondent Gitxsan organizations are controlled by Don Ryan and his family, and are rewarded for cooperating with them. This implies that many of the respondents have wrongfully given up their responsibility and independence, thereby breaching their fiduciary duty owed to the petitioners and the Gitxsan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Para. 20A is directed against the Commission, and alleges, in effect: That Don Ryan caused the Commission to invest $500,000 received from the Government of Canada, in the respondent, NOX NOX, etc., a company controlled by Don Ryan; that the $500,000 was invested by NOX NOX in "an unknown German enterprise"; and that the $500,000 was subsequently lost and never recovered. Although not expressly stated, it may reasonably be implied that this transfer of money to NOX NOX is alleged to be a breach of fiduciary duty. This would seem to follow from the allegation that the respondents used trust money for purposes not contemplated by the terms of the trust as described in para. 2. Moreover, the affidavit evidence presented on behalf of the Commission acknowledges that the Commission receives funds from Indian and Northern Affairs Canada, and that it uses the funds to provide various essential services to the members of the five bands which comprise the Gitxsan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While the reasoning is somewhat tortured, a claim for breach of fiduciary duty against the Commission and the Authority, may be gleaned from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pleadings are seriously defective in failing to properly and clearly identify the respondents who are being accused of committing breach of fiduciary duty, fraud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it is alleged that one, or more than one, Gitxsan organization has committed breach of fiduciary duty (or fraud,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that organization (or those organizations) must be identified, in each instance of alleged wrongdoing. The same applies to the directors or employees of the organizations who are being accused of wrongdoing. It is not sufficient to refer to names of Gitxsan organizations and individuals as being contained on a list or schedule annexed to the pleadings, and leave it to the reader to try and figure out who is, or is not, being targeted by an allegation. The description in the introduction to para. 20 will not suffice.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Another obvious defect in the pleadings is that, in a number of instances, evidence is pleaded, rather than material facts, contrary to Rule 19(1). For example, paras. 2, 3 and 20(A) state: "According to the financial statements ... ". Para. 20(E) includes the phrase: "It has been reported by two employees of the project ... ". All of para. 22 is objectionable as being inadmissible hearsay and opinion evidence, not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Para. 11 is objectionable as being the expression of an opinion on a matter that is both unnecessary and irrelevant. The implication of wrongdoing is scandalous. The same is true of paras. 15 and 18, which are also objectionable as failing to advance any claim known to the law. The last sentence of para. 10 is irrelevant and does not advance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That part of para. 19 which begins with: "Take advantage of ... " and ends with: "by way of redress and ... " is improper opinion, and is also scandalous. The last sentence of para. 20(C) is irrelevant commentary.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Para. 12 and para. 20(C) allege fraud directly, and paras. 19(a) and (e) contain general allegations which go beyond mere breach of fiduciary duty, and imply the existence of fraud. Rule 19(11) requires that particulars of fraud must be given, but none of these pleadings alleges facts which, if proved, could establish all of the essential elements of fraud. Moreover, as previously stated, a claim of fraud cannot properly be brought by way of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conclude that, even if I had not set aside petition 13306 as being a nullity, I would have set it aside on the basis of the many defects I have described. In my opinion, the petitioners should not be allowed to seek judgment on the existing pleadings, and the defects are too numerous and too substantial to be cured by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Petition 13155 claims an accounting from five Gitxsan organizations, including the Commission. It is alleged generally that the respondents receive money from the Government of Canada and the Province of British Columbia which they receive in trust and must use for the benefit of the Gitxsan people. Various trust purposes are described. It is then alleged that the respondents have failed to consult with the petitioners and other hereditary chiefs, and have failed to keep them informed, as to the trust money that the respondents have received and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further alleged that the respondent Gitxsan Treaty Society has been negotiating for treaties and agreements, and spending trust money for these purposes, without the authority of the petitioners and other hereditary chiefs, while falsely purporting to have such authority. Allegations are made that the individual respondents are "living in more than comfortable circumstances", while the petitioners and the members of the Houses that they represent "are living in poverty". Finally, it is alleged that the petitioners have demanded that the respondents produce information as to the trust money they have received and spent, but the respondents have failed to comply with their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Evidence filed by the defendants shows that the Gitxsan Health Society files audited financial statements each year with the federal and provincial governments, which should be obtainable by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Petition 13155 fails to assert or articulate any legal basis which would entitle the petitioners to an accounting from the respondents. No facts are alleged which could support the conclusion that the respondents had no power to act without the authority of the petitioners and other hereditary chiefs. There is no direct assertion that the respondents owe a fiduciary duty to the petitioners. Such an assertion may be implied, but if so, the scope of such duty is not alleged to include consulting with the petitioners or keeping the petitioners informed as to financial affairs. Even if these matters are taken to be implied, and even if the reader implies the further essential allegation of breach of fiduciary duty, no particulars are given, contrary to Rule 19(11).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Paras. 9 and 11, which contrast the financial circumstances of the petitioners and their Houses with the individual respondents, do not advance any cause of action and are scandalous, embarrassing or vexatious in their implication.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opinion, petition 13155 does not disclose a reasonable claim against any of the respondents, and also contains unnecessary, scandalous, frivolous and vexatious material. In my view, the defects cannot reasonably be cured by amendment, particularly if it is intended to allege breach of fiduciary duty and fraud against the respondents, by way of petition. Accordingly, I would order that petition 13155 be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APPLICATIONS OF THE PLAINTIFFS/PETITIONERS FOR INTERIM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plaintiffs/petitioners filed applications (prepared by Mr. Cram) seeking interim costs, in petition 12437, petition 13155 and action 13184, but not in action 13305 or petition 13306. I have no doubt that the applicants intended to seek orders in all of the five proceedings, and I intend to consider the applications as though a formal notice of motion had been filed and delivered in all proceedings. However, since petitions 13306 and 13155 have been set aside, and petition 12437 has been stayed indefinitely, these applications pertain directly only to action 13184 and action 13305.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order to succeed on their applications for interim costs, the applicants must establish the existence of "the three criteria of impecuniosity, a meritorious case and special circumstances ... ." See B.C. (Minister of Forests) v. Okanagan Indian Band </w:t>
      </w:r>
      <w:hyperlink r:id="rId141" w:history="1">
        <w:r>
          <w:rPr>
            <w:rFonts w:ascii="arial" w:eastAsia="arial" w:hAnsi="arial" w:cs="arial"/>
            <w:i/>
            <w:color w:val="0077CC"/>
            <w:sz w:val="20"/>
            <w:u w:val="single"/>
            <w:shd w:val="clear" w:color="auto" w:fill="FFFFFF"/>
            <w:lang w:val="en-US" w:eastAsia="en-US" w:bidi="ar-SA"/>
          </w:rPr>
          <w:t>[2003] 3 S.C.R. 371</w:t>
        </w:r>
      </w:hyperlink>
      <w:r>
        <w:rPr>
          <w:rFonts w:ascii="arial" w:eastAsia="arial" w:hAnsi="arial" w:cs="arial"/>
          <w:color w:val="000000"/>
          <w:sz w:val="20"/>
          <w:lang w:val="en-US" w:eastAsia="en-US" w:bidi="ar-SA"/>
        </w:rPr>
        <w:t>, at para. 36. At para. 40, the court further described the criteria that must be met, in a case where the "special circumstances" are said to consist of a matter of public importance,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party seeking interim costs genuinely cannot afford to pay for the litigation, and no other realistic option exists for bringing the issues to trial - in short, the litigation would be unable to proceed if the order were not made.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to be adjudicated is prima facie meritorious: that is, the claim is at least of sufficient merit that it is contrary to the interests of justice for the opportunity to pursue the case to be forfeited just because the litigant lacks financial means.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transcend the individual interests of the particular litigant, are of public importance, and have not been resolved in previous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court points out at para. 41 that, even if these three conditions are satisfied, the question of whether prospective costs should be ordered is still within the discretion of the court, the test being "whether the case is such that the interests of justice would be best served by making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ELEMENT OF IMPECUNIOSITY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will summarize the evidence presented by the applicants to prove impecuniosity.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his affidavit sworn October 30, 2003, YAL (Aubrey Jackson) deposes that he is "the Head Gitxsan Hereditary Chief of the House of Yal". He further states that he earns about $3,200 net per month working as a fishery officer with the federal government, but that, due to his high monthly expenses, he has "no ability to pay any legal expenses". Paras. 4 and 5 of his affidavit state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personally know of the other hereditary chiefs who are parties to these proceedings relating to the Interim Forest Agreement and it is evident that their financial circumstances (most are unemployed or on government pensions) would not permit them to afford legal expenses for these proceedings.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lived in the Gitxsan community for 20 years of my life including the past 12 years and as a result I am familiar with the economy and financial circumstances of Gitxsan people in general and can say that there is widespread unemployment (95% in the area) and poverty among the Gitxsan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WII GYET (Lloyd Morrison) deposes in his affidavit sworn October 30, 2003, that he is the head hereditary chief of the Gitxsan House of WII GYET, and has lived in Kispiox within Gitxsan traditional territory all of his life (he was then 72 years of age). The relevant part of his affidavit reads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only income is a Canada Pension Plan pension of $1,200 per month net after taxes. I have no savings. My home is on Reserve land and is very old. My pickup truck is leased. I cannot afford any legal expenses.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personally know several of the other hereditary chiefs who are parties to these proceedings relating to the Interim Forest Agreement and it is evident that their financial circumstances (most are unemployed or on government pensions) would not permit them to afford legal expenses for these proceedings.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widespread unemployment and poverty among the Gitxsan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YAHL (Wilfred Gawa) swore an affidavit on July 3, 2004. The relevant part of his affidavit is para. 12, which states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78 years of age and I am presently living on a net income of $1,230 per month from Canada Pension Plan and Old Age Pension. I have no significant assets. I receive no income or benefits from any of the respondents although I believe the sizeable revenues received by them from government and other sources as reflected in the statement of facts in the petition is intended for all Gitxsan people in trust. Most Gitxsan people including most of the people of my House are unemployed and live in poverty. I am never consulted by any of the respondents as to the disposition or management of Gitxsan funds and assets and have difficulty in obtaining information and satisfactory answers from the respondents when requested."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AXGOD'MGITGOW'M (Martha Joseph) swore an affidavit which was filed on July 5, 2004. In para. 5, she deposes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66 years of age and I am presently living on a net income of $500 per month from a pension with equal expenses. I have no significant assets. I receive no income or benefits from any of the respondents although I believe the sizeable revenues received by them from government and other sources as reflected in the statement of facts in the petition is intended for all Gitxsan people in trust. Most Gitxsan people including most of the people of my House are unemployed and live in poverty. I am never consulted by any of the respondents as to the disposition or management of Gitxsan funds and assets and have difficulty obtaining information and satisfactory answers from the respondents when requested."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WIIS DIS (Ralph Johnson) swore an affidavit on June 19, 2004, (filed July 5, 2004), which includes the following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63 years of age and my wife and I are presently living on an income of $1,232 per month from my CPP pension and superannuation. We have no significant assets. We do not receive and have not ever received any funds or benefits from any of the respondents although I believe the sizeable revenues received by them from government and other sources as reflected in the statement of facts in the petition is intended for all Gitxsan people in trust. Most Gitxsan people including most of the people of my House are unemployed and live in poverty. I am never consulted by any of the respondents as to the disposition or management of Gitxsan funds and assets and have difficulty obtaining information and satisfactory answers from the respondents when requested."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evidence presented by the defendants/respondents in opposition to these applications is contained in the affidavit of GWAANS (Beverley Clifton Percival) sworn July 21, 2004. The relevant paragraphs of her affidavit are as follows: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Gitxsan, a Wing Chief of the House of Hannamuxw, and a member of the Fireweed Clan. I am also one of the Gitxsan Treaty Society ("Treaty Society") negotiators, representing the Gitxsan people in the treaty negotiation process with British Columbia and Canada. I have also lived amongst the Gitxsan my whole life and have personal knowledge of many of the Gitxsan people. As such, I have personal knowledge of the of the [sic] facts and matters hereinafter deposed to, except where the same are stated to be made upon information and belief, and as to such facts I believe the same to be true.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reviewed the lists of Plaintiffs and Petitioners in the related proceedings and know that a number of them are employed or have family members who are employed. Aubrey Jackson is employed by the Department of Fisheries and Oceans as Enforcement Officer. He has held that job for many years. Originally this job started as a position under the Gitxsan Wet'suwet'en Watershed Authority but it eventually became a full-time position with the Department of Fisheries and Oceans. Mr. Aubrey Jackson also has a logging company which operated under the name of Coyote Contracting.</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Audrey Lindquist, Mr. Aubrey Jackson's sister, is a lawyer.</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Barlow Greene is employed by a mill in Houston and has worked there for a long time.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Monica Greene, the wife of Plaintiff/Petitioner Robert Jackson, is employed as the Housing Coordinator for Gitanmaax Band and earns roughly $36,000 annually. I know this because the Gitanmaax Band Financial Statements of March 31, 2003 show wages and benefits for the Housing Department of Band at $44,576, send Monica Greene is the only employee for that Department.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Melvin Woods is a bus drive for the Gitxsan Wet'suwet'en Education Society and is employed ten months of the year.</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Gloria Wilson owns a restaurant called The Frogs Place at Kispiox and her husband, George Wilson, who is also a Plaintiff, is a commercial fisherman. He owns a boat called the Nikki Boy. Attached to this affidavit as Exhibit "B" is a print-out from Canada's Licensed Fishing Vessel Directory, which identifies George S. Wilson as the contact owner of the Nikki Boy.</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Wallace Johnson is also a commercial fisherman, and he owns a boat called the Heather Princess. Attached to this affidavit as Exhibit "C" is a print-out from Canada's Licensed Fishing Vessel Directory, which identifies Wallace Johnson as the contact owner of the Heather Princess.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Ron Jackson is a jeweller and I have seen his work for sale in the 'Ksan Historical Village Museum in Hazelton, in the Museum of Northern British Columbia in Prince Rupert, and in Artina's Jewellery, a shop in Victoria.</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number of the other named Plaintiffs are retired people who have pension incomes from various sources, including, potentially, substantial pensions from years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plaintiffs/petitioners (hereinafter "the plaintiffs") allege that they are Gitxsan Hereditary Chiefs and that they represent 30 of the 47 Gitxsan Houses which comprise the Gitxsan Nation. There is evidence in the proceedings that, in 1994, the population of the Gitxsan Nation was approximately 8,500. The defendants/respondents (hereinafter "the defendants") say there are more than 60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Because the plaintiffs were not represented by counsel, I asked the lawyers representing the defendants to present their arguments first. Mr. Yearwood, counsel for the Minister of Forests and the Attorney General of British Columbia, led the argument. Submissions were also made by Ms. Nouvet and by Ms. Hanuse (as agent for Mr. Braker). Ronald Jackson then made submissions on behalf of the plaintiffs. On the issue of impecuniosity, Ronald Jackson made the following points in argument:</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were unable to present more or better evidence of impecuniosity, because they had no money to retain a lawyer to gather and present such evidence.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could not provide the court with any estimate of what their legal expenses would amount to in this litigation, without a lawyer to prepare such an estimate.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Beverley Clifton Percival relates to only a few of the plaintiffs and the people they represent.</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plaintiffs do claim to represent a majority of the Gitxsan Houses (and a majority of the Gitxsan people), the plaintiffs simply cannot afford to pay the costs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had previously advanced the position that they required an order for interim costs so that they could retain counsel to argue the motion for interim costs. I rejected that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Yearwood submitted that the plaintiffs had failed to establish that they have no means of funding these proceedings, in whole or in part. In support of his position, he referred me to a number of authorities,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Ochapowace Indian Band v. Saskatchewan (Minister of Justice </w:t>
      </w:r>
      <w:hyperlink r:id="rId142" w:history="1">
        <w:r>
          <w:rPr>
            <w:rFonts w:ascii="arial" w:eastAsia="arial" w:hAnsi="arial" w:cs="arial"/>
            <w:i/>
            <w:color w:val="0077CC"/>
            <w:sz w:val="20"/>
            <w:u w:val="single"/>
            <w:shd w:val="clear" w:color="auto" w:fill="FFFFFF"/>
            <w:lang w:val="en-US" w:eastAsia="en-US" w:bidi="ar-SA"/>
          </w:rPr>
          <w:t>[2004] S.J. No. 801</w:t>
        </w:r>
      </w:hyperlink>
      <w:r>
        <w:rPr>
          <w:rFonts w:ascii="arial" w:eastAsia="arial" w:hAnsi="arial" w:cs="arial"/>
          <w:color w:val="000000"/>
          <w:sz w:val="20"/>
          <w:lang w:val="en-US" w:eastAsia="en-US" w:bidi="ar-SA"/>
        </w:rPr>
        <w:t xml:space="preserve"> (Q.B.) at paras. 19 and 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Papaschase Indian Band v. Canada (Attorney General) </w:t>
      </w:r>
      <w:hyperlink r:id="rId143" w:history="1">
        <w:r>
          <w:rPr>
            <w:rFonts w:ascii="arial" w:eastAsia="arial" w:hAnsi="arial" w:cs="arial"/>
            <w:i/>
            <w:color w:val="0077CC"/>
            <w:sz w:val="20"/>
            <w:u w:val="single"/>
            <w:shd w:val="clear" w:color="auto" w:fill="FFFFFF"/>
            <w:lang w:val="en-US" w:eastAsia="en-US" w:bidi="ar-SA"/>
          </w:rPr>
          <w:t>[2004] A.J. No. 1439</w:t>
        </w:r>
      </w:hyperlink>
      <w:r>
        <w:rPr>
          <w:rFonts w:ascii="arial" w:eastAsia="arial" w:hAnsi="arial" w:cs="arial"/>
          <w:color w:val="000000"/>
          <w:sz w:val="20"/>
          <w:lang w:val="en-US" w:eastAsia="en-US" w:bidi="ar-SA"/>
        </w:rPr>
        <w:t xml:space="preserve"> (Q.B.) at paras. 38 and 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Dominion Bridge Inc. (Trustee of) v. Retirement Income Plan of Dominion Bride Inc. </w:t>
      </w:r>
      <w:hyperlink r:id="rId144" w:history="1">
        <w:r>
          <w:rPr>
            <w:rFonts w:ascii="arial" w:eastAsia="arial" w:hAnsi="arial" w:cs="arial"/>
            <w:i/>
            <w:color w:val="0077CC"/>
            <w:sz w:val="20"/>
            <w:u w:val="single"/>
            <w:shd w:val="clear" w:color="auto" w:fill="FFFFFF"/>
            <w:lang w:val="en-US" w:eastAsia="en-US" w:bidi="ar-SA"/>
          </w:rPr>
          <w:t>[2004] M.J. No. 419</w:t>
        </w:r>
      </w:hyperlink>
      <w:r>
        <w:rPr>
          <w:rFonts w:ascii="arial" w:eastAsia="arial" w:hAnsi="arial" w:cs="arial"/>
          <w:color w:val="000000"/>
          <w:sz w:val="20"/>
          <w:lang w:val="en-US" w:eastAsia="en-US" w:bidi="ar-SA"/>
        </w:rPr>
        <w:t xml:space="preserve"> (C.A.) at para. 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Deans v. Thachuk </w:t>
      </w:r>
      <w:hyperlink r:id="rId145" w:history="1">
        <w:r>
          <w:rPr>
            <w:rFonts w:ascii="arial" w:eastAsia="arial" w:hAnsi="arial" w:cs="arial"/>
            <w:i/>
            <w:color w:val="0077CC"/>
            <w:sz w:val="20"/>
            <w:u w:val="single"/>
            <w:shd w:val="clear" w:color="auto" w:fill="FFFFFF"/>
            <w:lang w:val="en-US" w:eastAsia="en-US" w:bidi="ar-SA"/>
          </w:rPr>
          <w:t>[2004] A.J. No. 470</w:t>
        </w:r>
      </w:hyperlink>
      <w:r>
        <w:rPr>
          <w:rFonts w:ascii="arial" w:eastAsia="arial" w:hAnsi="arial" w:cs="arial"/>
          <w:color w:val="000000"/>
          <w:sz w:val="20"/>
          <w:lang w:val="en-US" w:eastAsia="en-US" w:bidi="ar-SA"/>
        </w:rPr>
        <w:t xml:space="preserve"> (Q.B.) at paras. 49-52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do not accept Mr. Yearwood's argument that the plaintiffs should have presented evidence showing that they had investigated the possibility of making a contingency fee arrangement, because it seems unlikely that any individual plaintiff would ever be awarded damages (a restitution order would seem to be the appropriate remedy). Nor do I think that cost estimates should have been presented. However, I find the evidence of impecuniosity to be insufficient. Even assuming that the plaintiffs represented only 4,000 of the Gitxsan, in my opinion, it is not unreasonable to expect that at least 1,000 of those persons could have contributed a modest amount to a fund which could be used to retain counsel. I am not persuaded by the evidence that reasonable efforts have been made to achieve this. I find merit in Mr. Yearwood's argument that the evidence is as consistent with the inference that the plaintiffs and the Gitxsan people that they represent, are unwilling to contribute to legal expenses, as with the inference that they are unable to contribute.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Although not strictly necessary, I will comment on the issues of merit, and public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ELEMENT OF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thrust of Ronald Jackson's argument on this issue was based on the various claims made by the plaintiffs in the proceedings. An essential feature of his argument was that the defendants who are Gitxsan organizations and Gitxsan individuals, did not have the authority of the Gitxsan people to enter into the Interim Forestry Agreement on June 1, 2003, or to spend trust money for purposes other than the specific purposes for which the money was received. It was argued that these defendants lacked the authority to do the things complained of, because they had not been given authority in accordance with traditional Gitxsan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Jackson submitted that some or all of the Gitxsan administrative bodies had been created by, or were operating pursuant to a "consensus" which was contrary to Gitxsan law. He explained that the existence of every Gitxsan person is based on spiritual beliefs which are connected to their traditional land. He said that it was the duty of each hereditary chief to protect these spiritual beliefs and the traditional lands and resources on which they are based, and that the individual interests of every Gitxsan person had to be respected. Mr. Jackson asserted that the defendants were jeopardizing these essential traditional rights of the Gitxsan people, by purporting to act on the basis of a simple majority. He said that the position of the plaintiffs was that Gitxsan law should prevail over any other laws relied on by these defendants to justify their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was further alleged on behalf of the plaintiffs that the defendants have acted dishonestly and fraudulently for personal gain, rather than in the best interests of the whole of the Gitxsan people, which means every individual Gitxsan person. Their actions also constituted breach of the fiduciary duty which they owed to the Gitxsan people, with respect to the spending of trust funds received from the federal and provincial governments. In outlining the position of the plaintiffs, Mr. Jackson seemed to say that each of the individual Houses represented by the plaintiffs may be advancing a separate claim. His submissions left me in no doubt that Mr. Jackson passionately believes in the merits, and the justice, of the claims being made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On behalf of the defendants the Minister of Forests and the Attorney General, Mr. Yearwood challenged the merits of the plaintiffs' claim that the Interim Forestry Agreement should be declared invalid and of no force or effect. Counsel pointed out that the said agreement had expired on December 1, 2003, and that litigation concerning its validity would be moot. He further argued that, in any event, the agreement had no adverse effect on the aboriginal rights of the Gitxsan people, or on their rights to be consulted and their interests accommodated. He also referred me to evidence indicating that the Minister of Forests respected Gitxsan law, and would not presume that the Gitxsan people had given their authority to make an agreement "without direct evidence that a very substantial majority of the House chiefs" have assented to the agreement. Mr. Yearwood was critical of any attempt by the plaintiffs to assert separate claims for individual Houses, which he said would be contrary to the position taken by the Gitxsan in Delgamuuku </w:t>
      </w:r>
      <w:hyperlink r:id="rId146" w:history="1">
        <w:r>
          <w:rPr>
            <w:rFonts w:ascii="arial" w:eastAsia="arial" w:hAnsi="arial" w:cs="arial"/>
            <w:i/>
            <w:color w:val="0077CC"/>
            <w:sz w:val="20"/>
            <w:u w:val="single"/>
            <w:shd w:val="clear" w:color="auto" w:fill="FFFFFF"/>
            <w:lang w:val="en-US" w:eastAsia="en-US" w:bidi="ar-SA"/>
          </w:rPr>
          <w:t>[1997] 3 S.C.R. 1010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Mr. Yearwood contended that the claims against his clients which were based on breach of fiduciary duty, were without merit because no fiduciary duty yet existed in connection with the Crown's duty to consult. In support of this submission, I was referred to Haida Nation v. British Columbia (Minister of Forests) </w:t>
      </w:r>
      <w:hyperlink r:id="rId147" w:history="1">
        <w:r>
          <w:rPr>
            <w:rFonts w:ascii="arial" w:eastAsia="arial" w:hAnsi="arial" w:cs="arial"/>
            <w:i/>
            <w:color w:val="0077CC"/>
            <w:sz w:val="20"/>
            <w:u w:val="single"/>
            <w:shd w:val="clear" w:color="auto" w:fill="FFFFFF"/>
            <w:lang w:val="en-US" w:eastAsia="en-US" w:bidi="ar-SA"/>
          </w:rPr>
          <w:t>[2004] 3 S.C.R. 511</w:t>
        </w:r>
      </w:hyperlink>
      <w:r>
        <w:rPr>
          <w:rFonts w:ascii="arial" w:eastAsia="arial" w:hAnsi="arial" w:cs="arial"/>
          <w:color w:val="000000"/>
          <w:sz w:val="20"/>
          <w:lang w:val="en-US" w:eastAsia="en-US" w:bidi="ar-SA"/>
        </w:rPr>
        <w:t xml:space="preserve"> at para. 18. This argument is clearly well 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Finally, Mr. Yearwood referred to defects and irregularities in the various pleadings of the plaintiffs, and said that these matters should be taken into account in assessing the merits of the plaintiffs' claims and the principles upon which the court's discretion should be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Nouvet adopted Mr. Yearwood's submissions and made further submissions of her own with respect to the merits of the claims made by the plaintiffs. She questioned the authority of the plaintiffs to represent the people they claimed to represent, and said that this would be a major issue at any trial. As to the plaintiffs' attack on the authority of the Gitxsan defendants, she referred me to a body of evidence which tended to establish that these defendants had acted with lawful authority, even under Gitxsan law. Counsel also referred me to evidence presented by the defendants which contradicted the allegations of fraud and dishonesty, and she pointed to the lack of admissible evidence from the plaintiffs to support their allegations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Hanuse acknowledged that the issue of authority under Gitxsan law, is complex. She argued that it would be improper for the plaintiffs to attempt to assert claims on behalf of individual Gitxsan Houses, as that would be tantamount to re-trying Delgamuuku in these proceedings. Ms. Hanuse said that the duties owed by directors of the Gitxsan Health Society are set out in s. 25 of the Society Act, and that there is no evidence that any of the plaintiffs are members of the society. She agreed with the submissions made on behalf of the other defendants. It was her further position that all proceedings should be stayed until the plaintiffs had retained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my opinion, the plaintiffs' claims against the Minister of Forests and the Attorney General have insufficient merit to satisfy the second element of the required legal criteria. I think the evidence presented by the other defendants also demonstrates that there are significant weaknesses in some of the allegations of lack of authority, and the allegations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With respect to the claims based on breach of fiduciary duty, I think that the plaintiffs have shown that their case is not "certain to fail". Many of the facts on which these claims are based have been admitted by the defendants, so that the main issues will be whether the alleged fiduciary duty existed, and if so, whether the scope of the duty was such that it was breached. But I am not satisfied that there is "a prima facie case of sufficient merit to warrant pursuit".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ELEMENT OF PUBLIC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Ronald Jackson argued that these cases are "unique", and that their "impact on the public could be immense". He seemed to suggest that the serious internal dispute over the content and application of traditional Gitxsan law should be considered as a matter of public importance, because it raised the question of whether Gitxsan law could prevail over the public law (such as the Indian Act and the Society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All counsel for the defendants argued that none of the issues in these proceedings raise a question of public importance which transcends the individual interests of the litigants.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my view, the question of whether the Crown was in breach of its duty to consult with, and to accommodate the interests of the Gitxsan Nation, before consenting to the transfer of control of Skeena Cellulose Inc. to another company, was a matter of public importance. However, that question has already been decided by Tysoe, J. in proceedings pursuant to petition 12437.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If there had been evidence to establish that numerous Indian nations had similar laws governing the way in which authority is given by First Nation peoples to their leaders or elected officials, that would likely raise a matter of public importance. But that is not the case. Nor is the issue of traditional Gitxsan law formally pleaded by the plaintiffs. I agree with counsel for the defendants that the plaintiffs have also failed to establish the third essential element required by law on an application for interim costs in a case of this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It follows that the application of the plaintiffs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 FOR A STAY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Petition 12437 has already been stayed. Petition 13306 and petition 13155 have been set aside, and cannot be the subject of a stay order beyond the date that these reasons are filed. That leaves only action 13184 and action 13305.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second ground of Mr. Janes' stay application in September 2004 is based on Rule 5(11) and the decided cases which have interpreted that Rule. Rule 5(11) reads, in relevant part, as follows: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numerous persons have the same interests in a proceeding .... , the proceeding may be commenced and, unless the court otherwise orders, continued by ... one or more of them as representing all or ... one or more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Western Canadian Shopping Centres Inc. v. Dutton </w:t>
      </w:r>
      <w:hyperlink r:id="rId148"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the Supreme Court of Canada defined the four criteria that must be established before the court will permit a class action to proceed. Those four criteria are set out in paras. 38 to 41, and I would summarize them as follows:</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of plaintiffs must be capable of clear definition;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issues of fact or law common to all class members;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Success for one class member on the common issues, must mean success for all;</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"Fourth, the class representative must adequately represent the class .... the court should be satisfied ... that the proposed representative will vigorously and capably prosecute the interests of the class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Janes' main argument in support of this ground was that the fourth criterion had not been met. His alternative argument, ground 3, was that the court should exercise its discretion against allowing the plaintiffs to proceed by way of representative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At the time Mr. Janes argued these applications, Mr. Cram was in the process of applying for leave of the court to appear as advocate for the plaintiffs. Mr. Janes was opposing Mr. Cram's application, on grounds that were similar to the underpinnings of grounds two and three of his stay applications. In essence, Mr. Janes had submitted that Mr. Cram was not competent to adequately pursue the interests of the plaintiffs, and that his personality and character made him unsuitable to represent the plaintiffs in court. Since Mr. Cram has withdrawn his application for leave, his competence and suitability are no longer in issue. However, I will consider Mr. Janes' position on the stay applications to be that no person who is not a practicing lawyer could "adequately represent the class" or "capably prosecute the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may be some lay persons who would be competent to adequately and capably represent the interests of a small group of plaintiffs, in court. But I doubt whether any lay person could adequately or competently conduct proceedings on behalf of a group of 50 or 60 plaintiffs. Even if such a lay person existed, there are other reasons why no lay person, regardless of ability, should be permitted to represent a large group of plaintiffs. Some of the reasons advanced by counsel on the hearing of the stay applications were these:</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practicing lawyer would be subject to all the rules of the Law Society, which include rules governing a lawyer's conduct when acting for more than one party in a proceeding, where conflict of interest issues may arise.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practicing lawyer would have an enforceable obligation to ensure that all of the plaintiffs continued to have "the same interests" and to ensure that they are all notified promptly of all developments in the litigation.</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practicing lawyer would be insured against claims that might be made against him or her,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conduct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this case, I would add the additional reason that the proceedings involve complex issues of fact and law, and will require considerable legal ability to identify the true issues, gather the necessary evidence and marshal the evidence to the issues, if the litigation continues.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Of necessity, and in the interest of justice, I have granted leave to various lay persons to represent the plaintiffs on interlocutory applications. In my opinion, absent extreme emergency, no further leave should be granted to any lay person or persons to represent the plaintiffs as a group, in any aspect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order that all further proceedings in action 13305 and action 13184 be stayed until such time as a lawyer authorized to practice law in British Columbia is appointed by the plaintiffs to represent them. I also order that the plaintiffs in the two said actions be restrained from commencing any new proceeding against the defendants, or against the respondents named in petition 13155 and petition 13306, without leave of the court. Next, I order that the defendants in actions 13184 and 13305, and the respondents named in petitions 13155 and 13306, be restrained from commencing any new proceedings against the plaintiffs (or against any additional persons who are named as petitioners in petition 13155 and petition 13306), without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Neither action 13184, nor action 13305 was the subject of any application by the defendants (except for stays of proceedings). However, because I see serious defects in both actions, I wish to comment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First, in action 13305 (as is well known), Ron Jackson signed both the writ and the statement claim "for YAL (Aubrey Jackson)". If my reasoning with respect to petition 13306 is correct, this action should also be struck out. It is unclear to me whether Rule 2(4) would prevent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Next, to the extent that these two actions raise issues and claim remedies that are already the subject of litigation in petition 12437, I think they are open to the objection that they are an abuse of process. Most of the allegations being made in these two actions amount to or relate to the complaint that the Minister of Forests failed to consult in good faith with the Gitxsan people, after December 10,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Justice Tysoe found (in reasons filed December 10, 2002) that the Minister of Forests had a duty to consult the Gitxsan before consenting to a change of control of Skeena Cellulose Inc., and that he had failed to fulfil that duty (see paras. 86, 87 and 92). Tysoe, J. refused to quash the Minister's decision to give his consent to the change in control. He made orders designed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allow the parties to undertake a proper process of consultation and accommodation. If the process does not succeed, the matter can be brought back before the court for further directions or further declarations." (para. 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There is evidence that the Gitxsan appeared before Tysoe, J. on May 15, 2003. It seems clear that he is seized of the proceedings pursuant to petition 12437.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statement of claim in action 13305 is open to the further criticism that it contains a mass of evidence rather than material facts. In addition, it appears that some of the allegations (which include commentary and opinions) are irrelevant, and some may be scandalous.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end, it seems to me that the plaintiffs presently have no suitable legal proceeding in which to advance their claims. The complaints made by the plaintiffs against Gitxsan agencies and individuals indicate the existence of a serious internal dispute. If it cannot be settled by negotiation, further litigation will no doubt be necessary. The decisions I have made are not decisions on the merits of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defendants/respondents seek their costs of all of these applications, and will no doubt seek costs of the two petitions (13155 and 13306) that have been set aside. I am not prepared to make any order as to costs in any of the proceedings, at this time. The plaintiffs may be able to retain counsel, and may seek leave to commence new actions by way of writ of summons, to re-institute some of the claims made in action 13305 and in petition 13306. The plaintiffs may decide that one of them should apply for leave to bring a new lawsuit against the Gitxsan defendants. If the plaintiffs do nothing for a reasonably lengthy period of time, the defendants may decide to apply to have the remaining proceedings struck out for want of prosecution. It may be that, on the occasion of any of the events I have described, it would be appropriate to hear and decide the issue of costs. Some other circumstance may occur which would make it proper to consider costs. But in the meantime, there will be no order as to costs, and the defendants/respondents shall refrain from taking any steps to tax or recover costs in any of these five proceedings. The issue of costs will remain open and undecided.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am going to impose on Mr. Yearwood, and ask him to prepare orders that will reflect what I have said in these reasons. All counsel shall approve the form of order in writing. I direct that the orders need not be approved by Aubrey Jackson, Robert Jackson or Ronald Jackson, on behalf of the plaintiffs/petitioners. The orders should be submitted to me, before being presented for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4"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Houweling v. Imperial Equestrian Centre Ltd., [2001] B.C.J. No. 2424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22 - 26,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S0009367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2424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1551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47 R.P.R. (3d) 151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998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Paul Houweling, Elsa Houweling and Amethyst Farms Ltd., plaintiffs, and Imperial Equestrian Centre Ltd., Moezeddin Mahallati, Sareh Mahallati also known as Sareh Bashier, Peter Iwasiuk and Country Squire Realty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5"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1" w:name="Keywords_5"/>
      <w:bookmarkEnd w:id="41"/>
      <w:r>
        <w:rPr>
          <w:rFonts w:ascii="arial" w:eastAsia="arial" w:hAnsi="arial" w:cs="arial"/>
          <w:b/>
          <w:color w:val="000000"/>
          <w:sz w:val="20"/>
          <w:lang w:val="en-US" w:eastAsia="en-US" w:bidi="ar-SA"/>
        </w:rPr>
        <w:t xml:space="preserve">Sale of land — The contract — Duties of seller — To disclose quality defects — Fraud and misrepresentation — Fraudulent misrepresentation — Reliance and alteration of position — Remedies — Damages — Brokers — Duties of broker to principal — Real estate brokers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duty of care — Misrepresentation.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2" w:name="Case Summary_5"/>
            <w:bookmarkEnd w:id="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Houwelings and their greenhouse corporation against the Mahallatis, their horse farm, and their real estate representatives, for damages related to the Houwelings' purchase of a farm property. The Houwelings wanted to buy a property to use for greenhouses. Through the real estate brokerage, the Mahallatis advertised their property as a horse farm with good gravel drainage. The property was listed for more than three times what the Houwelings wanted to pay, but they were very interested, subject to the property's suitability. It was important that the drainage be good and that the ground be level. To determine these factors, they had the subsoil tested and were advised by a geologist that the ground could be levelled where necessary. The Houwelings entered into a dual listing agreement with the real estate brokerage and agent, such that the real estate defendants represented both the Houwelings and Mahallatis, and promised in writing to disclose any known defects to the Houwelings. The Houwelings contended that the soil turned out to be mostly clay and that the Mahallatis and the real estate defendants misrepresented this, as well as the fact that there was sufficient water. They also complained that they had to make expensive repairs to the house and arena roof, although they admitted that the Mahallatis warned the Houwelings that the roof was 17 years old. The Houwelings further claimed that Mr. Mahallati misrepresented that he had removed an odour from one of the rooms in the main house, and that Mrs. Mahallati misstated that there were no infestations by vermin. The Houwelings also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brokerage defendants on the grounds of inadequate advice and assistance. After the sale, the Mahallatis horse farm was wound up.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3" w:name="Holdings of Court_5"/>
            <w:bookmarkEnd w:id="4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Mahallati was liable to the Houwelings for $2,000 for misrepresentations about the odour. All other claims were dismissed. The horse farm having been wound up, it could not be vicariously liable for the actions of the Mahallatis. Mr. Houweling, an experienced greenhouse keeper, relied on others and his own opinion in assessing the drainage and related problems. The Houwelings fully appreciated the age and state of the roof and buildings, and there were no material misrepresentations about the water, vermin, or the state of repairs generally. There was no evidence that the Houwelings would have hired another brokerage had they been apprised of the full effect of the dual agency agreement. In all respects except as to the odour, the broker and agent fulfilled their duty of care in acting for the Houwelings. Regarding the odour, the agent relied on the same misrepresentation from Mr. Mahallati that the Houwelings relied upon.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4" w:name="Counsel_5"/>
      <w:bookmarkEnd w:id="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6"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Paul Houweling appeared in person. G.H. Dabbs, for the defendants, Moezeddin Mahallati and Sareh Mahallati. K.A. Murray, for the defendants, Peter Iwasiuk and Country Square Realty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5" w:name="Judgment_5"/>
      <w:bookmarkEnd w:id="45"/>
      <w:r>
        <w:pict>
          <v:line id="_x0000_s1057" style="position:absolute;z-index:2517667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6" w:name="A.F. WILSON J."/>
            <w:bookmarkEnd w:id="46"/>
            <w:r>
              <w:rPr>
                <w:rFonts w:ascii="arial" w:eastAsia="arial" w:hAnsi="arial" w:cs="arial"/>
                <w:b/>
                <w:color w:val="000000"/>
                <w:sz w:val="30"/>
                <w:lang w:val="en-US" w:eastAsia="en-US" w:bidi="ar-SA"/>
              </w:rPr>
              <w:t>A.F.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February, 1998, the plaintiffs, Paul Houweling, Elsa Houweling and Amethyst Farms Ltd., completed the purchase of a 24 acre farm property in Aldergrove from the defendant, Imperial Equestrian Centre Ltd. Although it was the favourite of a number of properties the Houwelings had looked at, all did not go well; there were a number of complaints about the buildings on the property and the land itself. Those complaints were not resolved, and as a result the plaintiffs bring this litigation against Imperial, as the vendor of the property, Mr. and Mrs. Mahallati, the principles of the vendor company, Mr. Iwasiuk, the real estate agent who acted for both parties with respect to the sale, and Country Squire Realty Ltd., the company by whom he was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Paul and Elsa Houweling, are husband and wife. Mr. Houweling is a businessman, and Mrs. Houweling a homemaker. Although I heard no evidence about it, the statement of claim alleges that the plaintiff, Amethyst Farms Ltd. is a company, of which Mrs. Houweling is the sole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were represented at trial by Mr. Houweling. That put them at a serious disadvantage, both with respect to practice at trial, particularly with respect to expert evidence, and in knowing and proving the elements of the various claims put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Imperial Equestrian Centre Ltd. ("Imperial"), was the owner of the property in question, a 24 acre farm property located at 1034-264th Street, Langley, B.C. (the "Property"). The defendants, Moezeddin Mahallati and Sareh Mahallati, also known as Sareh Bashier, are husband and wife, and were the officers and directors of Imperial at the time of the sale of the Property to the plaintiffs. The Property was not the Mahallatis' primary home, and they lived on it only part-time in the seven years it was owned by Imperial. After the property was sold, Imperial was wound up, and voluntarily dissolved on October 26th, 1998. That was before this action was commenced. Imperial has thus not been represented, or taken any part in this action. It is not in issue that, as it was dissolved on October 26th, 1998, no relief can be granted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Property was purchased by Imperial from George Culley in 1991. At that time, the defendant Peter Iwasiuk, a real estate salesperson employed by the defendant Country Squire Realty Ltd. ("Country Squire") acted as the listing agent. Prior to its purchase by Imperial, the Property had been used as a horse farm. Mr. Iwasiuk had been a real estate salesperson since 1975, with considerable experience in farm properties. When the Mahallatis decided to list the Property for sale in 1997, they employed Mr. Iwasiuk due to his previous experience with the Property. The Property was listed for sale with Country Squire on July 12th, 1997, at a listing price of $2,100,000.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Houweling had an extensive background in the greenhouse business. His father had started the business of Houweling Nurseries, and he was involved in it since his early childhood. In 1979, he and his brother took over the business from their father. From then until 1997, it grew from one greenhouse on a 4-acre location, to greenhouses on over 100 acres, in five locations. Mr. Houweling was involved in looking at properties to determine their suitability for greenhouses. Until August 31st, 1997, Mr. Houweling and his brother were equal partners, and he and his family lived on the Houweling Nurseries property. However, there was a dispute between them, which is still the subject of litigation. As a result, the equal ownership of the business ended as of August 31st, 1997. It was thus necessary for Mr. Houweling and his family to leave the Houweling Nurseries property. It was also a term of the break-up of the business that Mr. Houweling not operate greenhouses with more than ten employees before September, 2001. Mr. Houweling thus considered it urgent to find another property, to enable him to move his family from the Houweling Nurseries property, and so went on a vigorous search. In doing so, he had five criteria: that the property have three-phase hydro electric power, natural gas, good drainage, be roughly square, and level. He felt that he was able to assess properties for those criteria. Although Mr. Houweling had those criteria in his own mind, there is no evidence that he advised either Mr. Iwasiuk or the Mahallatis of those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Houweling did look at a number of properties, mostly in the range of $300,000 to $500,000 in price. He had a realtor, Judith Urquhart, looking into properties for him. He made an offer on a property at 240th Street, but that was not accepted. Mrs. Houweling then saw an advertisement for the Property in a real estate newspaper. That advertisement described the Property as, among other things, "fabulous horse farm", "one of the most coveted farms in the Fraser Valley", and, of particular significance in this lawsuit, "gravel based land provides the best possible drainage". The advertisement also showed the listing price of $2,100,000. Although the Property was considerably beyond the price range of other properties the Houwelings had looked at, they did go to look at the Property with Mr. Iwasiuk near the end of October, or early in November, 1997. Mrs. Houweling, in particular, fell in love with the house and the landscaping. Although Mr. Houweling intended to build greenhouses on the Property, there is no evidence that he told Mr. Iwasiuk of that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Houweling initially contacted Mr. Iwasiuk by telephone to arrange to view the Property. There was no discussion about the Property in that telephone call. Subsequently, the Houwelings visited the Property on a number of occasions, some with Mr. Iwasiuk, and at least once without him, when Mr. Houweling dug test holes. Not surprisingly, after this number of years, the evidence is not clear about when the various visits, and discussions, took place, or precisely what was said. In that regard, I find that each of the witnesses attempted to give their best recollections of those discussions, but that, due to the passage of time, and the fact that no one made notes of any of the conversations, none of that evidence is particularly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Some things, however, are agreed, or not disputed. During one visit, Mr. Houweling and Mr. Iwasiuk both noted that the arena roof was leaking, and that it appeared that repairs were being done. Mr. Houweling said he asked Mr. Iwasiuk about the leaking, and that Mr. Iwasiuk said that it would be fixed. Mr. Iwasiuk's recollection of this discussion is that he told Mr. Houweling that he would follow up on it with the vendors. He said that he did talk to either Ms. Dubash, the secretary and personal assistant for the Mahallatis, or Mr. Mahallati, and was informed that repairs were being done, and advised Mr. Houweling of that. I accept that evidence, which is consistent with the evidence of Mr. Prokopetz, that he did work on the arena roof in the fall, 1997, and was requested to come back on a number of occasions as a result of continuing problems with leaking. It is also consistent with the evidence of Ms. Dubash that she had a discussion with Mr. Iwasiuk about the leaking, which she said was the reason Mr. Prokopetz was requested to return to do more work. She agreed she may have told Mr. Iwasiuk that she would get Mr. Prokopetz to go back and do more repairs. However, Mr. Iwasiuk says that he also advised Mr. Houweling that the arena roof was 17 years old, that patching might not be worth it, and that the roof would need to be replaced soon. Mr. Houweling denies that, and says Mr. Iwasiuk advised him that the arena roof would be fixed. I find that neither of those versions has been established. It makes no sense that Mr. Iwasiuk would say that the roof would be fixed, when it had obvious problems with leaking, and was near the end of its life. It is also contrary to the evidence of Ms. Dubash, that she said nothing more than that she would have the roofer return to work on the leaks. It is also consistent with Mr. Houweling's initial offer, of November 7th, 1997, which noted the offer was less than the $1.75 million which the Mahallatis were then adamant about with respect to the price "because of the extensive repairs coming up". However, I also do not accept Mr. Iwasiuk's evidence that he told Mr. Houweling that the roof would need to be replaced soon; that is also inconsistent with what he told Mr. Houweling about the continuing attempts to repair the roof, done by Mr. Prokopetz.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Houweling and Mr. Iwasiuk are also in agreement that, on one inspection of the main house, they noted an odour in one of the rooms. Mr. Iwasiuk remembers discussing it with Mr. Houweling, wondering what the smell could be, and suggesting that the room had formerly been the studio of Mr. Culley, who was an artist, and it could be a paint smell. Mr. Houweling remembers Mr. Iwasiuk saying that it was oil based paint. Mr. Iwasiuk says he mentioned the smell to Mr. Mahallati or Ms. Dubash, and "they were going to look into it". He said that around the end of the year, he went there with Mr. and Mrs. Houweling, that Mr. and Mrs. Mahallati were there, and that Mr. Mahallati said that the smell was gone, or had been corrected, or something to that effect. He said Mr. Houweling was there when that statement was made by Mr. Mahallati. Mr. Houweling did not say he had heard the statement by Mr. Mahallati in his evidence. He said that after the inspection when the Mahallatis were present, he (Mr. Houweling) was told by Mr. Iwasiuk that Mr. Mahallati had told him (Mr. Iwasiuk) that they had solved the odour problem. That discussion, and the date when Mr. and Mrs. Houweling came to the Property when the Mahallatis were there, is disputed by Mrs. Mahallati and Ms. Dubash. Mrs. Mahallati says she does not recall her husband saying that. Mr. Houweling and Mr. Iwasiuk both say the meeting occurred after Mr. Mahallati had a stroke; Mrs. Mahallati and Ms. Dubash say that, if that was the case, it could not have taken place until the latter part of January, because his stroke was on January 3rd, 1998, and he was hospitalized for some time after that. The significance of that would be that, if correct, that discussion would have taken place after the final offer from Mr. Houweling was made and accepted. I consider it more likely that the meeting did take place in the latter part of December, as suggested by Mr. Iwasiuk and Mr. Houweling, although that would indicate they were mistaken about it taking place after Mr. Mahallati had had his stroke. I also accept that Mr. Mahallati did say something to Mr. Iwasiuk to the effect that the odour had been remedied, and that Mr. Iwasiuk then communicated that to Mr. Houweling.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were also discussions between Mr. Iwasiuk and Mr. Houweling regarding the supply of water. It is agreed that Mr. Iwasiuk said that there was a good supply of water, that it had supplied a 60 horse farm in the time when Mr. Culley was the owner. Mr. Houweling checked with Mr. Culley, who confirmed that. Mr. Houweling says that he also requested Mr. Iwasiuk to provide the well log, which was not produced until after the litigation commenced. Mr. Iwasiuk admits that he had the well log, from the previous listing by Mr. Culley, but notes that the gallons per minute produced by the well had not been filled in on the log, so it was of no assistance in determining the amount of the flow. He thus says that he did not provide it to Mr. Houweling, but suggested that Mr. Houweling have it tested, and gave him the name of a number of companies who do such testing, including Nor West Drilling. Mr. Houweling denies that, saying only that Mr. Iwasiuk did not produce the well log, and gave him the names of a number of companies which he said might have it, and that, as a result, he went on a wild goose chase. I accept Mr. Iwasiuk's version of that conversation: it makes more sense that he would recommend that Mr. Houweling have the water tested, rather than give him names of a number of well drilling companies on the off chance that they may have the log for a well which had been dug many years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Although the real estate advertisement was for a horse farm, Mr. Houweling wanted to check that it would be suitable for greenhouses. His particular concern was with respect to the drainage. In that regard, he talked to a contractor who had built greenhouses on the property next door, and was told that the land in the area was all gravel. He also dug two or three holes on various parts of the Property himself, which he said showed gravel. He also drove around the area, and noted that there were no ditches, and the presence of fir trees, both of which he considered to be indications that the Property drained well. The Property did have a slope on it, down to the northeast corner, but he felt he would be able to level the land, assuming it was gravel. Mr. Houweling knew that he could have the well flow tested, but decided not to do this. He noted that there was a greenhouse on the neighbouring property, and assumed that it must have sufficient water, so this Property would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November 7th, 1997, without discussing the amount or the terms of the offer with Mr. Iwasiuk, Mr. Houweling sent him an offer by telefax, in the amount of $1,400,000.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IS OUR OFFER - It is $300,000. - lower than $1,700,000. - because of the extensive repairs coming up. (Newest buildings are 17 years old) As well, extensive leveling must be done before any greenhouses could be built.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OFFER $1,400,000. -</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down payment $400,000. -</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possession date July 1-98.</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includes all machinery, tools, and everything in the main house except the T.V.'s and antenna.</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include any livestock.</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only subjects are:</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checking water damage on main house.</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viewing the caretaker's house interior.</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checking septic fields.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checking water well-quality and quantity.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offer was rejected by the Mahallatis, without making any counter-offer, as they were still firm in their price of $1.75 million. Mr. Houweling looked for other property, but was not able to make a successful offer. On December 19th, 1997, he made a further offer to purchase the property, for $1,600,000. This time he did involve Mr. Iwasiuk, and the offer was prepared by Mr. Iwasiuk on the standard form of contract of purchase and sale used by the Fraser Valley Real Estate Board. At the time, Mr. Iwasiuk provided Mr. Houweling with a pamphlet published by the British Columbia Real Estate Association entitled, "Working with a Real Estate Agent", which provided, under the heading, "Dual Agency":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Agent will disclose to the Buyer defects about the physical condition of the Property known to the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Houweling signed, acknowledging receipt of a copy of the brochure, and also signed a Limited Dual Agency Agreement acknowledging that Mr. Iwasiuk and Country Squire would be the agents for both the buyer and the seller, which also noted that the agent would disclose to the buyer defects about the physical condition of the property known to the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offer of December 19th was made subject to the buyer satisfying himself as to the quantity and quality of the existing water supply for greenhouse purposes, and receiving a building inspection report satisfactory to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That offer was not accepted, but a counter-offer was made in the amount of $1,750,000, with the purchaser to have the option to purchase either the property, or the shares of Imperial. Attached to the counter-offer was a Property Condition Disclosure Statement signed by Mrs. Mahallati which, after the heading, "Structural", had the words, "Main House &amp; Small House" added. Under that heading, Mrs. Mahallati initialled indicating, among other things, that she was not aware "of any structural problems with the premises or other buildings on the property", that she was not aware of any moisture or water problems in the basement or crawl area, that she was not aware of any infestation by insects or rodents, and that she was not aware of any roof leakage or unrepaired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Dubash testified that she was involved in the preparation of the Property Condition Disclosure Statement. She said that, as Mrs. Mahallati's knowledge of technical terms in English was not good, she explained each of the items to Mrs. Mahallati, who then initialled the appropriate reply. She said she wrote in the words, "Main House &amp; Small House" specifically because they were aware of the leaking in the roof of the arena, and, more generally, because they did not wish to make representations about the condition of the other buildings on the Property. Mrs. Mahallati confirmed that evidence. In any event, however, Mr. Houweling agreed, in cross-examination, that he did not consider the Disclosure Statement to any extent until after the litigation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Houweling did accept the counter-offer in the amount of $1,750,000, but subject to his accountant reviewing and approving the books of Imperial on or before January 15th, 1998. It is not in dispute that the acceptance of the offer was as a result of the suggestion of Mr. Iwasiuk that tax advantages might be gained by Mr. Houweling, by purchase of the shares of Imperial, rather than the Property itself, such that his actual cost would not be more than the amount of his earlier offer. However, following investigation by Mr. Houweling's accountant, that apparently turned out not to be the case, and that agreement thus fell through. Before it did, however, Mr. Houweling did arrange for the building inspection to be done. That clause in the offer was made as a result of a recommendation by Mr. Iwasiuk, with which Mr. Houweling agreed. He arranged for a friend, Mr. John Floris, a contractor, to attend and do the inspection. Mr. Houweling said that he and Mr. Floris went through each of the buildings, but that he instructed Mr. Floris not to look at the arena roof because that was "being taken care of". Mr. Houweling said that he relied on the opinions of Mr. Floris who had only minor concerns about the property, which were not sufficient for Mr. Houweling to withdraw his offer. Mr. Floris was not called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the December agreement collapsed, there is some dispute between Mr. Iwasiuk and Mr. Houweling as to which contacted the other about making a further offer. Mr. Iwasiuk says Mr. Houweling contacted him, and advised him that he wished to make a further offer, without any conditions. He said he went to Mr. Houweling's residence and drafted the offer. He said Mr. Houweling told him that he wanted to offer $1,600,000, as it would cost him $100,000 to replace the arena roof, and the water supply was inadequate for his needs. Mr. Houweling says that it was Mr. Iwasiuk who suggested that he make another offer in the amount of $1,600,000. In any event, such an offer was made, and accepted by Mrs. Mahallati on behalf of Imperial. The closing date was February 10th, 1998. Under the terms of that agreement, the sale was completed, and the Houwelings took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Since the sale closing, Mr. Houweling has had a number of complaints with respect to the Property. The most significant is that the underlying soil is largely clay rather than gravel. He estimates the cost of removing that soil and replacing it with satisfactory soil to be in excess of $1,000,000. He also says there was not a sufficient quantity of water for the greenhouse operation, as a result of which he had to put in a second well at a cost of $30,296. He also claims the cost of re-roofing the arena, at a cost of $66,527.25. Claims were also made with respect to defects in the roofs of other buildings, based on a report which I determined not to be admissible. There were also claims for repairs to the main house in the amount of $78,692. Those are made up of $1,000 for replacing a sliding window; an estimate of $7,000 to replace other windows; an estimate of $20,000 for a drainage system to prevent seepage into the basement; $2,000 incurred to get rid of the problem of the odour in one of the rooms (determined to be a dead opossum, and opossum feces in the crawlspace), and an estimate of $40,000 to replace the joists and framing to get rid of the smell completely; $400 to replace drywall ceiling where a bees nest was concealed by Kleenex; and $8,292 incurred to replace the furnace.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 NATURE OF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claim set out in the statement of claim can be put into two broad categories, allegations of misrepresentation, and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first allegation of misrepresentation relates to the advertisement for the land showing it as "gravel based land provides the best possible drainage". That claim is made against Mr. Iwasiuk, and, vicariously, against Country Squire, in paragraphs 9 and 22 of the statement of claim. There is no allegation that either Imperial or the Mahallatis had any knowledge of that advertisement, or gave instructions with respect to its preparation, and there is no direct claim against them. There might have been a claim against Imperial, on the basis of vicarious liability, in that Mr. Iwasiuk acted as its agent. However, as it is no longer in existence, no relief can be granted against it. There is no basis for any claim of vicarious liability against Mr. and Mrs. Mahalatti.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second alleged misrepresentation relates to the odour in one end of the main house. That claim is primarily against Mr. Mahalatti, as alleged in paragraph 23 of the statement of claim. That paragraph, and paragraph 25, allege fraudulent attempts to conceal the odour, but do not allege that Mr. Iwasiuk was party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third area of alleged misrepresentations relates to whether the leaks in the arena, and other buildings, were to be repaired. Allegations of misrepresentations by Mr. Iwasiuk are set out in paragraphs 11, 18 and 22 of the statement of claim. Country Squire and Imperial could be vicariously liable, but there is no basis for claims against Mr. and Mrs. Mahalatti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next alleged misrepresentation relates to the sufficiency of the supply of water. That claim is made against Mr. Iwasiuk in paragraph 22 of the statement of claim. Again, presumably Country Squire or Imperial could be vicariously liable, but there is no basis for personal liability of the Mahalattis.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final alleged misrepresentation relates to an infestation by insects or rodents. This claim is made against Mrs. Mahalatti personally, in paragraph 26 of the statement of claim, based on the Property Condition Disclosure Statement. No claim is made against any of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against Mr. Iwasiuk, and, vicariously, Country Squire. They relate to an alleged failure to advise with respect to the effect of signing the Limited Dual Agency Agreement (statement of claim, paragraph 15), and failing to assist in evaluating the property and in the preparation of the necessary documents (statement of claim, paragraphs 16 to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IV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elements required to establish a claim of negligent misrepresentation were set out Iacobucci J. in Queen v. Cognos Inc. </w:t>
      </w:r>
      <w:hyperlink r:id="rId156" w:history="1">
        <w:r>
          <w:rPr>
            <w:rFonts w:ascii="arial" w:eastAsia="arial" w:hAnsi="arial" w:cs="arial"/>
            <w:i/>
            <w:color w:val="0077CC"/>
            <w:sz w:val="20"/>
            <w:u w:val="single"/>
            <w:shd w:val="clear" w:color="auto" w:fill="FFFFFF"/>
            <w:lang w:val="en-US" w:eastAsia="en-US" w:bidi="ar-SA"/>
          </w:rPr>
          <w:t>(1993), 99 D.L.R. (4th) 626</w:t>
        </w:r>
      </w:hyperlink>
      <w:r>
        <w:rPr>
          <w:rFonts w:ascii="arial" w:eastAsia="arial" w:hAnsi="arial" w:cs="arial"/>
          <w:color w:val="000000"/>
          <w:sz w:val="20"/>
          <w:lang w:val="en-US" w:eastAsia="en-US" w:bidi="ar-SA"/>
        </w:rPr>
        <w:t xml:space="preserve"> (S.C.C.) at 643: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decisions of this court cited above suggest five general requirements: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Kingu v. Walmar Ventures Ltd. </w:t>
      </w:r>
      <w:hyperlink r:id="rId157"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(C.A.) at 23, McLachlin J.A., as she then was, also dealt with the requirements of tort liability on the basis of negligent misrepresentation. One of the requirements set out was "a duty of care on the person making the statement to the recipient". However, she said that duty of care does not arise unless: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making the statement is possessed of special skill or knowledge on the matter in question,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establish that a reasonable person making that statement would know that the recipient is relying upon his skill or judgments...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previous paragraph,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question of whether a duty of care in tort arises must be carefully scrutinized in the light of all the surrounding circumstances, including the rights and obligations which the parties have themselves established by their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 24, in dealing with the liability of vendors of a hotel for representations made by them as to the clientele and financial status of the hotel,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before a duty of care arises with respect to a gratuitous statement, it must be established that the maker is possessed of special skill or knowledge and that a reasonable person in his position would have realized that the recipient of the statement was relying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For fraudulent misrepresentation, there is the additional requirement that the false representation was made knowingly, without belief in its truth, or recklessly, careless whether it be true or false: Derry v. Peek (1889), 14 App. Cas. 337 (H.L.); Curtin v. Blewett </w:t>
      </w:r>
      <w:hyperlink r:id="rId158" w:history="1">
        <w:r>
          <w:rPr>
            <w:rFonts w:ascii="arial" w:eastAsia="arial" w:hAnsi="arial" w:cs="arial"/>
            <w:i/>
            <w:color w:val="0077CC"/>
            <w:sz w:val="20"/>
            <w:u w:val="single"/>
            <w:shd w:val="clear" w:color="auto" w:fill="FFFFFF"/>
            <w:lang w:val="en-US" w:eastAsia="en-US" w:bidi="ar-SA"/>
          </w:rPr>
          <w:t>(1999), 28 R.P.R. (3d) 115</w:t>
        </w:r>
      </w:hyperlink>
      <w:r>
        <w:rPr>
          <w:rFonts w:ascii="arial" w:eastAsia="arial" w:hAnsi="arial" w:cs="arial"/>
          <w:color w:val="000000"/>
          <w:sz w:val="20"/>
          <w:lang w:val="en-US" w:eastAsia="en-US" w:bidi="ar-SA"/>
        </w:rPr>
        <w:t xml:space="preserve"> (B.C.S.C.) at p. 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To establish liability on the part of a person such as a real estate agent,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must show: the defendant real estate agent was possessed of a special skill; irrespective of contract, the agent undertook to apply that skill for the assistance of the plaintiffs; the plaintiffs relied upon that skill; the agent negligently failed to apply that skill; and the plaintiffs suffered damage as a result of that failure: Chand v. Sabo Bros. Realty Ltd., </w:t>
      </w:r>
      <w:hyperlink r:id="rId159" w:history="1">
        <w:r>
          <w:rPr>
            <w:rFonts w:ascii="arial" w:eastAsia="arial" w:hAnsi="arial" w:cs="arial"/>
            <w:i/>
            <w:color w:val="0077CC"/>
            <w:sz w:val="20"/>
            <w:u w:val="single"/>
            <w:shd w:val="clear" w:color="auto" w:fill="FFFFFF"/>
            <w:lang w:val="en-US" w:eastAsia="en-US" w:bidi="ar-SA"/>
          </w:rPr>
          <w:t>[1979] 2 W.W.R. 248</w:t>
        </w:r>
      </w:hyperlink>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96 D.L.R. (3d) 445</w:t>
        </w:r>
      </w:hyperlink>
      <w:r>
        <w:rPr>
          <w:rFonts w:ascii="arial" w:eastAsia="arial" w:hAnsi="arial" w:cs="arial"/>
          <w:color w:val="000000"/>
          <w:sz w:val="20"/>
          <w:lang w:val="en-US" w:eastAsia="en-US" w:bidi="ar-SA"/>
        </w:rPr>
        <w:t xml:space="preserve"> (Alta. C.A.), cited in Longshaw v. Houghton </w:t>
      </w:r>
      <w:hyperlink r:id="rId160" w:history="1">
        <w:r>
          <w:rPr>
            <w:rFonts w:ascii="arial" w:eastAsia="arial" w:hAnsi="arial" w:cs="arial"/>
            <w:i/>
            <w:color w:val="0077CC"/>
            <w:sz w:val="20"/>
            <w:u w:val="single"/>
            <w:shd w:val="clear" w:color="auto" w:fill="FFFFFF"/>
            <w:lang w:val="en-US" w:eastAsia="en-US" w:bidi="ar-SA"/>
          </w:rPr>
          <w:t>(1993), 29 R.P.R. (2d) 190</w:t>
        </w:r>
      </w:hyperlink>
      <w:r>
        <w:rPr>
          <w:rFonts w:ascii="arial" w:eastAsia="arial" w:hAnsi="arial" w:cs="arial"/>
          <w:color w:val="000000"/>
          <w:sz w:val="20"/>
          <w:lang w:val="en-US" w:eastAsia="en-US" w:bidi="ar-SA"/>
        </w:rPr>
        <w:t xml:space="preserve"> at pp. 198-199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888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w:t>
            </w:r>
          </w:p>
        </w:tc>
        <w:tc>
          <w:tcPr>
            <w:tcW w:w="870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satisfied that there was a duty of care between Mr. and Mrs. Mahallati, as vendors, and the plaintiffs, as purchasers, of the Property, in that the Malahattis had special knowledge of the Property. It is reasonable that a prospective purchaser would rely on statements made by either of them with respect to the condition of the Property. I also find there was a duty of care on Mr. Iwasiuk, particularly when he took on the role of the agent for both of the parties under the terms of the Limited Dual Agency Agreement, and it was reasonable for the plaintiffs to rely on statements made by him regarding the Property. The real issues with respect to each of the alleged misrepresentations are whether the statements were false, whether they were relied on by the plaintiffs, and whether the plaintiffs suffered any loss as a consequence of that reliance.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Gravel and Drainage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alleged by the plaintiffs that the statement in the advertisement prepared by Mr. Iwasiuk "gravel based land provides the best possible drainage" was false. I am not satisfied that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relied primarily on the opinion of Matt Kokan, a geological engineer, as set out in his report dated July 5th, 2001. Mr. Kokan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majority of the site is underlain by weathered surficial silty sand to sandy silt and then well consolidated silt or silt and sand till. In my opinion these soils have a low permeability and thus a low infiltration capacity. As a result the ground surface on the property is likely saturated most of the winter and spring months. In my opinion the seasonally variable perched groundwater level noted at the contact between the weathered surficial soils (silty fine sand to fine sandy silt) and the underlying low plastic to non-plastic stony silt or silt and sand till is evidence of the poor drainage of the subsurface soils.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However, there are weaknesses in his opinions as to both the nature of the underlying soil and the drainage of the land. First, the opinion he was requested to provide was limited to evaluating the subsurface conditions of the Property, in order to provide an opinion as to the likely drainage properties of the near-surface soils. In his report, under the heading "Criteria for Determination of Site Drainage", he notes that the assessment of site drainage is dependent upon a number of factors unrelated to the nature of the soil, such as climate, slope gradient of the land, and direction of the groundwater flow. However, he admitted that his report dealt only with soil composition. That is particularly relevant with this Property, which the evidence establishes sloped towards the northeast corner. Mr. Kokan agreed that there was good drainage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Second, the description of the soil in the test holes was done by a technician, rather than Mr. Kokan himself. Although he checked samples of soil taken from the test holes, he was not able to explain discrepancies in descriptions of the test holes. He also concluded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Perched groundwater was noted at the contact between the weathered silty find sand to fine sandy silt and the underlying stiff silt or dense sand and silt till which underlies much of the subject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However, on cross-examination, he admitted that was noted in only 3 of the 13 test holes.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Finally, Mr. Kokan concluded that, due to the poor subsurface drainage, much of the subject property would be unusable by motorized vehicles for four to six months of the year. That was contrary to the evidence of Carol Marshall, the maintenance manager of the Property from 1989 until 1991, that she was able to drive vehicles, including a three quarter ton truck and a water truck, all over the Property, throughout the year, without any problems. Although she worked on the Property more than ten years ago, there is no reason to think that the soil, particularly the subsurface soil, would have changed in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Kokan's report was critiqued by Mr. Hawkes, also a geotechnical engineer, in a report dated October 3rd, 2001. His opinions are summarized as follows:</w:t>
      </w:r>
      <w:r>
        <w:rPr>
          <w:rFonts w:ascii="arial" w:eastAsia="arial" w:hAnsi="arial" w:cs="arial"/>
          <w:sz w:val="20"/>
          <w:lang w:val="en-US" w:eastAsia="en-US" w:bidi="ar-SA"/>
        </w:rPr>
        <w:cr/>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soil information provided in the Geopacific Report suggests the soil over much of the site in the upper 2 metres consists of sandy material. This type of soil will permit infiltration (drainage).</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natural slope of the land combined with the presence of gravel soil deposits in the lower portion of the site will prevent the occurrence of significant quantities of free standing water collecting on the subject land.</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significant quantities of surface water are prevented from pooling on the site, I would classify the site as "well-drained".</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applicable use of the land with respect to transportation of equipment and vehicles is, for the most part, controlled by the nature of the ground surface (i.e. pavement, hog-fuel track, landscaped areas, presence of buildings). The composition of the native soil below the ground surface and the drainage characteristics of the soil are not a significant factor when considering the ability of the land to permit vehicle transport.</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phrase "gravel-base" in engineering terminology does not provide a representation of the nature of the native soil at-depth.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accept those opinions in preference to those of Mr. Kokan.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find that the impugned statement in the advertisement was not false. With the slope to the northeast corner, and the good drainage in that area, the property was well drained for the purpose for which it was advertised, that of a horse farm. I find that problems with drainage would likely arise only if the slope was levelled, such as may have been required for greenhouses; but it was not advertised for that purpose. Insofar as the advertisement refers to "best possible" drainage, I consider that to be sales puffery rather than a representation of fact (see Topnotch Developments Ltd. v. Well Done Ventures Canada Inc., </w:t>
      </w:r>
      <w:hyperlink r:id="rId161" w:history="1">
        <w:r>
          <w:rPr>
            <w:rFonts w:ascii="arial" w:eastAsia="arial" w:hAnsi="arial" w:cs="arial"/>
            <w:i/>
            <w:color w:val="0077CC"/>
            <w:sz w:val="20"/>
            <w:u w:val="single"/>
            <w:shd w:val="clear" w:color="auto" w:fill="FFFFFF"/>
            <w:lang w:val="en-US" w:eastAsia="en-US" w:bidi="ar-SA"/>
          </w:rPr>
          <w:t>[1991] B.C.J. No. 3407</w:t>
        </w:r>
      </w:hyperlink>
      <w:r>
        <w:rPr>
          <w:rFonts w:ascii="arial" w:eastAsia="arial" w:hAnsi="arial" w:cs="arial"/>
          <w:color w:val="000000"/>
          <w:sz w:val="20"/>
          <w:lang w:val="en-US" w:eastAsia="en-US" w:bidi="ar-SA"/>
        </w:rPr>
        <w:t xml:space="preserve">, November 21, 1991, Vancouver Registry No. C902964, B.C.S.C.; Andronyk v. Williams, </w:t>
      </w:r>
      <w:hyperlink r:id="rId162" w:history="1">
        <w:r>
          <w:rPr>
            <w:rFonts w:ascii="arial" w:eastAsia="arial" w:hAnsi="arial" w:cs="arial"/>
            <w:i/>
            <w:color w:val="0077CC"/>
            <w:sz w:val="20"/>
            <w:u w:val="single"/>
            <w:shd w:val="clear" w:color="auto" w:fill="FFFFFF"/>
            <w:lang w:val="en-US" w:eastAsia="en-US" w:bidi="ar-SA"/>
          </w:rPr>
          <w:t>[1986] 1 W.W.R. 225</w:t>
        </w:r>
      </w:hyperlink>
      <w:r>
        <w:rPr>
          <w:rFonts w:ascii="arial" w:eastAsia="arial" w:hAnsi="arial" w:cs="arial"/>
          <w:color w:val="000000"/>
          <w:sz w:val="20"/>
          <w:lang w:val="en-US" w:eastAsia="en-US" w:bidi="ar-SA"/>
        </w:rPr>
        <w:t xml:space="preserve"> (Man.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also not satisfied that the plaintiffs, Mr. Houweling in particular, relied on that representation. He made investigations of his own: talking to the contractor who built the greenhouses on the neighbouring property; digging holes himself on the Property, and observing the absence of ditches and the presence of fir trees on the Property. He had considerable experience regarding the type of property needed for greenhouses, and knew that Mr. Iwasiuk did not. He sought to give evidence at trial as an expert regarding the drainage, and the removal of the soil, and obviously considered himself as such. I thus find that he did not rely on the statement in the advertisement with respect to the gravel base or the drainage.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claims based on that alleged misrepresentation are thus dismissed.</w:t>
      </w:r>
      <w:r>
        <w:rPr>
          <w:rFonts w:ascii="arial" w:eastAsia="arial" w:hAnsi="arial" w:cs="arial"/>
          <w:sz w:val="20"/>
          <w:lang w:val="en-US" w:eastAsia="en-US" w:bidi="ar-SA"/>
        </w:rPr>
        <w:cr/>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Odour in Room in Main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misrepresentation alleged is that of Mr. Mahalatti, in saying that the odour problem had been solved. Although Mrs. Mahalatti did not recall him saying that, I accept the evidence of Mr. Iwasiuk that he brought the concern to the attention of the Mahalattis, and that, during an inspection tour when the Mahalattis were present, Mr. Mahalatti made a statement that the odour problem had been resolved. That is consistent with the evidence of Mr. Houweling, who, although he did not hear the statement by Mr. Mahalatti, says that he was told by Mr. Iwasiuk that Mr. Mahalatti had told him that the problem was solved. I find that statement was not true, and that Mr. Mahalatti acted negligently in making it. I accept that Mr. Houweling relied on that statement. Although he did arrange to have the Property inspected by Mr. Floris, there is no evidence that he instructed Mr. Floris to investigate the source of the odour, which I find it most probable he would have done if he was still concerned about the odour. I also accept the evidence of Mr. Houweling that work had to be done after he and his family took possession of the house to get rid of the smell. I thus find that liability for that misrepresentation by Mr. Mahalatti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do not, however, find that it has been established that any deliberate attempts were made by Mr. or Mrs. Mahalatti, or anyone else on their behalf, to conceal the odour. Specifically, I accept the evidence of Mrs. Mahalatti and Ms. Dubash that the floor had not been lifted, in the area where Mr. Houweling said a piece had been removed and renailed, since renovations done after the purchase of the property in 1991. I also accept their evidence that they had no knowledge of the insulation and plastic bag in the cabinet in the bathroom covering a hole in the wall. The allegation that the misrepresentation was fraudulent has thus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also accept that the plaintiffs sustained damages as a result of that misrepresentation, in that they incurred expenses to remedy the cause of the odour, which would not have been required if the representation was true. In that regard, Mr. Houweling claims $2,000 as a portion of the invoice he paid for work done by Mr. Floris after he and his family moved in. That has not been challenged, and is reasonable for removing the opossum and feces in the insulation. However, the plaintiffs also claim $40,000 for replacing the floor joists and framing, which Mr. Houweling says would be necessary to get rid of the smell completely. The need to replace the joists and framing has not been established, nor has it been established that doing so would get rid of any residual problems. There is also no evidence of how the $40,000 estimated cost was arrived at. I thus do not allow that part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no basis for liability on the part of Mr. Iwasiuk, or Country Squire, with respect to this misrepresentation. All Mr. Iwasiuk did was communicate the information provided by Mr. Mahalatti, and he had no reason to believe it was not true.</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Arena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Houweling's complaint with respect to the arena roof is that it had to be replaced by him shortly after he and his family took possession of the Property. However, I find the condition of the roof was known to him, and that there was no misrepresentation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an early stage, leaks in the roof were apparent to both Mr. Houweling and Mr. Iwasiuk, and were discussed by them. As noted above, I find that Mr. Iwasiuk checked with Ms. Dubash, was advised that efforts were being made to fix them, and informed Mr. Houweling of that. That was true, in that repairs were made, or at least attempted, by Mr. Prokopetz, and he was requested to return when there were continuing problems of leaks. There was never any representation, nor is one alleged, that the roof would be replaced, or made "as if new". I find that was known by Mr. Houweling. In his initial offer he notes that it was $300,000 lower than $1,700,000 "because of the extensive repairs coming up". The only repairs known to be needed at that time were to the roof of the arena. I also accept Mr. Iwasiuk's evidence that one of the justifications given by Mr. Houweling for the reduction in the price in the third offer in January was because it would cost $100,000 to replace the arena roof, as well as the fact that the water supply was inadequate for his needs for greenhouses. I also accept the evidence of Mrs. Mahalatti and Ms. Dubash that the reason that the paragraph dealing with structural details was limited to "main house and small house" was because of the knowledge that the arena roof was leaking. It is also significant that the final offer was made without conditions, which one would not expect if Mr. Houweling, knowing of the existence of leaks in the roof, expected it to be leak-free. I thus find that there was no misrepresentation with respect to the arena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note, also, that after he and his family did move in, Mr. Houweling complained to Mr. Iwasiuk about the leaks in the arena roof. As a result, there was a telephone discussion between Ms. Dubash and Mr. Houweling, in which Ms. Dubash gave Mr. Houweling the name of Mr. Prokopetz, the person who had attempted to repair the roof. Although Mr. Houweling contacted Mr. Prokopetz, he did not request him to fix the repairs. The reason for that is likely that he had decided to replace the arena roof, which was done by July 28th,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thus find there is no basis for claims of misrepresentation regarding the arena roof.</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Quantity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misrepresentation alleged is that of Mr. Iwasiuk in saying that there was "enough water", or "plenty of water". Again, I find that it has not been established that that statement was false, nor that the plaintiffs relied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With respect to the statement, it is alleged that Mr. Iwasiuk said that there was "enough water", that it had been a 60 horse farm. There is no evidence that there was insufficient water for that purpose. To the contrary, Ms. Marshall gave evidence that there was never any water shortage, that there was always sufficient water for the 60 horse farm and the residences. Again, I conclude that any problems regarding a shortage of water arose only because of Mr. Houweling's proposed use of the Property for greenhouses. However, there is no evidence that he relied on Mr. Iwasiuk regarding the need for additional water for greenhouses. He was the person with the knowledge of the greenhouse business; it would not have been reasonable for him to rely upon Mr. Iwasiuk with respect to the water requirements of the Property to sustain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also find that Mr. Houweling did not rely on that representation by Mr. Iwasiuk. He checked with Mr. Culley, who also told him there was lots of water, that he had a 60-horse operation, and had never had any problem. He also made assumptions that there was sufficient water, based on information he did have: that there was a greenhouse next door; that the area was fed by the Mount Baker aquifer; and that the land in the area was generally gravel based. As noted above, I also find that Mr. Iwasiuk did recommend that Mr. Houweling have the well flow tested, and gave him the names of well drillers for that purpose, rather than for the purpose as understood by Mr. Houweling, to attempt to find the well log. Mr. Houweling knew that he could have the water flow tested, but chose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am thus not satisfied that there was any misrepresentation with respect to the supply of water.</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Infestation by Insects or Rodents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claim is against Mrs. Mahalatti, based on her initials in the line of the Property Condition Disclosure Statement indicating that she was not aware of any infestation by insects or rodents. I am not satisfied that the alleged misrepresentation has been established. The only evidence of such an infestation was a dead opossum, and opossum feces in the crawlspace; carpenter ants falling on the Houwelings' daughter on one occasion after they moved in; and rat poison on top of the kitchen cupboards. Ms. Dubash gave evidence that she arranged to have the property disinfected after it was purchased by the Mahalattis in 1991, and that they had had no problems with insects or rodents since that time. I accept that evidence. It has thus not been established that there was any infestation by insects or rodents, or that there was any misrepresentation with respect to such an infestation.</w:t>
      </w:r>
      <w:r>
        <w:rPr>
          <w:rFonts w:ascii="arial" w:eastAsia="arial" w:hAnsi="arial" w:cs="arial"/>
          <w:sz w:val="20"/>
          <w:lang w:val="en-US" w:eastAsia="en-US" w:bidi="ar-SA"/>
        </w:rPr>
        <w:cr/>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Claims have also been made by the plaintiffs for the cost of replacing wood framed windows in the main house, installing a drainage system to prevent seepage into the basement, replacing a portion of the ceiling where there was a bees nest, and replacing the furnace. However, there is no evidence that the need for any of those items was known to any of the defendants. There were no representations with respect to any of those items, and thus no basis for the claims with respect to them. The Property Condition Disclosure Statement, in itself, does not provide such a basis. As stated by Boyle J. in Arsenault v. Pedersen, </w:t>
      </w:r>
      <w:hyperlink r:id="rId163" w:history="1">
        <w:r>
          <w:rPr>
            <w:rFonts w:ascii="arial" w:eastAsia="arial" w:hAnsi="arial" w:cs="arial"/>
            <w:i/>
            <w:color w:val="0077CC"/>
            <w:sz w:val="20"/>
            <w:u w:val="single"/>
            <w:shd w:val="clear" w:color="auto" w:fill="FFFFFF"/>
            <w:lang w:val="en-US" w:eastAsia="en-US" w:bidi="ar-SA"/>
          </w:rPr>
          <w:t>[1996] B.C.J. No. 1026</w:t>
        </w:r>
      </w:hyperlink>
      <w:r>
        <w:rPr>
          <w:rFonts w:ascii="arial" w:eastAsia="arial" w:hAnsi="arial" w:cs="arial"/>
          <w:color w:val="000000"/>
          <w:sz w:val="20"/>
          <w:lang w:val="en-US" w:eastAsia="en-US" w:bidi="ar-SA"/>
        </w:rPr>
        <w:t>, 26 April 1996, New Westminster Registry No. S021575, B.C.S.C.,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disclosure statement does not call upon a vendor to warrant a certain state of affairs. It requires the vendor to say no more than that she or he is or is not aware of problems.</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Alleged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am not satisfied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Iwasiuk, or against Country Squire on a vicarious basis, has been established, based on the criteria as set out in Chand v. Sabo Bros. Realty Ltd.,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first allegation, in paragraph 15 of the statement of claim, is that Mr. Iwasiuk failed to advise with respect to the effect of signing the Limited Dual Agency Agreement. However, there was no evidence of Mr. Houweling with respect to any damage sustained as a result of that alleged failure. He did not suggest, for example, that if he had been fully advised by Mr. Iwasiuk of the effect of signing that agreement, that he would have retained another agent to act on his behalf, or, at the least, not have Mr. Iwasiuk act for him. No loss has thus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next, and more significant allegations, are that Mr. Iwasiuk failed to assist Mr. Houweling in evaluating the Property, and in the preparation of the necessary documents. Again, however, I am not satisfied that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Iwasiuk has been shown. With respect to evaluating the Property, I find that Mr. Houweling did not rely upon Mr. Iwasiuk. With respect to such things as the drainage and the supply of water, he relied upon his own expertise. With respect to the condition of the buildings, he had them inspected by Mr. Floris, and relied on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to preparation of the documents, the first offer was prepared and presented by Mr. Houweling without any input from Mr. Iwasiuk. The second offer was prepared by Mr. Iwasiuk on the standard form of the Fraser Valley Real Estate Board. By then, two of the four concerns set out in the initial offer had been resolved, those of viewing the interior of the caretaker's house, and checking the septic fields. Mr. Iwasiuk made the offer subject to Mr. Houweling satisfying himself as to the quality and quantity of the existing water supply for greenhouse purposes, and to him receiving a building inspection report satisfactory to himself. That offer was not accepted, but those conditions were carried through in the counter-offer which was accepted by Mr. Houweling. In addition, another clause was added, that the sale was subject to the approval of the books of Imperial by Mr. Houweling's accountant, which enabled Mr. Houweling to withdraw from the offer when the hoped-for tax benefits did not materialize. Mr. Iwasiuk says that Mr. Houweling specifically instructed him that the third offer, dated January 17th, 1998, the one which was accepted and resulted in the sale of the Property, was to be without condition. I accept his evidence in that regard, in that Mr. Houweling had included conditions in the initial offer which he drafted; he was aware of the conditions put in the second offer; and he had made his own investigation of the water supply and had the buildings inspected by Mr. Floris since that time. I find that the only statement of facts by Mr. Iwasiuk which was not true, and which was relied upon by Mr. Houweling to his detriment, was that by Mr. Mahalatti that the cause of the odour had been taken care of. I consider it reasonable for Mr. Iwasiuk to rely on that statement. It would not have been reasonable, in those circumstances, to include a provision in the contract that it was subject to getting rid of the odour.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claims against Mr. Iwasiuk, and vicariously against Country Squire, are thus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conclusion, I find that the only negligent misrepresentation was that of Mr. Mahalatti that the odour had been remedied. I find that representation has been established, that it was false, and made negligently, but not fraudulently, and that it was relied upon by Mr. Houweling to his detriment. However, I find the only damages which have been proved as a result of that misrepresentation is the $2,000 incurred to remedy the odour problem. I find the claims of misrepresentation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Iwasiuk not to have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the result, the claims against Sareh Mahallati, Peter Iwasiuk and Country Squire Realty Ltd. are dismissed. The claim against Mr. Mahallati is allowed, and judgment awarded against him in the amount of $2,000. The defendants, Sareh Mahallati, Peter Iwasiuk and Country Squire Realty Ltd. will be entitled to their costs incurred in defending the claims against them. Although the plaintiffs have been successful against Mr. Mahallati, in view of the fact that the amount recovered is within the jurisdiction of the Provincial Court under the Small Claims Act,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the plaintiffs will not be entitled to costs against Mr. Mahallati, other than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8" style="position:absolute;z-index:2518179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Johnson (Litigation guardian of) v. Eyre, [2009] B.C.J. No. 2496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M053227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2496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67 M.P.L.R. (4th) 244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3398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1711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183 A.C.W.S. (3d) 870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Justin Johnson, an Infant, by his Litigation Guardian, Gary Carriere and Ardith Kale, Plaintiffs, and Leonard Marcel Eyre and The District of Kitimat, Defendants, and Ardith Kale and The District of Kitimat,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9"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7" w:name="Keywords_6"/>
      <w:bookmarkEnd w:id="47"/>
      <w:r>
        <w:rPr>
          <w:rFonts w:ascii="arial" w:eastAsia="arial" w:hAnsi="arial" w:cs="arial"/>
          <w:b/>
          <w:color w:val="000000"/>
          <w:sz w:val="20"/>
          <w:lang w:val="en-US" w:eastAsia="en-US" w:bidi="ar-SA"/>
        </w:rPr>
        <w:t xml:space="preserve">Municipal law — Liabilities of municipality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Action by the plaintiff for damages for personal injuries suffered in a motor vehicle accident dismissed — Plaintiff was riding his bicycle onto the road from a pathway when he was struck by defendant Eyre's motor vehicle — Plaintiff argued District was negligent for not placing a barrier or posting a warning sign at walkway — Prior to accident, plaintiff was chasing his brother on the bicycle — District not negligent — A barrier or warning sign would not have changed the manner in which plaintiff entered the road and the cause of the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Action by the plaintiff for damages for personal injuries suffered in a motor vehicle accident dismissed — Plaintiff was riding his bicycle onto the road from a pathway when he was struck by defendant Eyre's motor vehicle — Plaintiff argued Eyre should have anticipated children in the area as he was familiar with the area — Had the plaintiff proceeded in a straight path across the crosswalk, Eyre would have had sufficient time to react and avoid hitting him — Collision occurred because of the manner in which plaintiff emerged from the walkway and into the path of the Eyre vehicle.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8" w:name="Case Summary_6"/>
            <w:bookmarkEnd w:id="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personal injuries suffered in a motor vehicle accident. The seven-year-old plaintiff was riding his bicycle on a walkway. He was struck by struck by the defendant Eyre's motor vehicle when the plaintiff suddenly emerged from the walkway onto the street. The plaintiff and his brother were chasing one another as they emerged from the pathway onto the street. The plaintiff argued Eyre was negligent because he was familiar with the residential nature of the area in which the accident occurred and knew young children used the walkways and might be in the vicinity. The plaintiff argued that had Eyre been driving more cautiously through this residential neighbourhood, the accident would not have occurred. Eyre claimed that immediately prior to seeing the plaintiff on the roadway, he thought he was traveling less than the posted speed limit. He said he had his foot off the accelerator in anticipation of stopping at an approaching stop sign. Eyre brought his vehicle to a stop prior to entering a crosswalk. The plaintiff argued the defendant district knew or ought to have known that the layout of the walkway constituted a hazard to users and it should have taken reasonable and necessary steps to protect those using its walkways. The plaintiff also argued the District was negligent for failing to install signs on the walkway warning users they were approaching a busy road.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9" w:name="Holdings of Court_6"/>
            <w:bookmarkEnd w:id="4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were not negligent. Eyre was traveling at or below the speed limit and could not have avoided striking the plaintiff. He could not have seen the plaintiff earlier than he did. Had the plaintiff proceeded in a straight path across the crosswalk, Eyre would have had sufficient time to react and avoid hitting him. The collision occurred because the youths turned to their left after emerging from the walkway and into the path of the Eyre vehicle. The District did not breach its duty of care to take reasonable steps to prevent the injury to the infant plaintiff. Posting signs on the walkway warning users of the proximity of the road would have had no effect of the manner in which the youths approached the roadway. The motor vehicle accident and resulting injuries would likely have occurred even had a barrier been in place. While a barrier might have slowed the infant plaintiff's progress, it was likely the chase would have continued and it was likely the infant plaintiff would have emerged onto the road in the same manner and with the same lack of attention to the potential of traffic being on the roadway.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0" w:name="Legislation Cited_4"/>
      <w:bookmarkEnd w:id="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0"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r>
        <w:rPr>
          <w:rFonts w:ascii="arial" w:eastAsia="arial" w:hAnsi="arial" w:cs="arial"/>
          <w:i/>
          <w:color w:val="000000"/>
          <w:sz w:val="20"/>
          <w:lang w:val="en-US" w:eastAsia="en-US" w:bidi="ar-SA"/>
        </w:rPr>
        <w:t>RSBC 1996, CHAPTER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1" w:name="Counsel_6"/>
      <w:bookmarkEnd w:id="5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C. McTavish.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Leonard Eyre: L.A.J. Dunn.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The District of Kitimat: D.J. Smith.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2" w:name="Judgment_6"/>
      <w:bookmarkEnd w:id="52"/>
      <w:r>
        <w:pict>
          <v:line id="_x0000_s1062"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3" w:name="B.M. GREYELL J."/>
            <w:bookmarkEnd w:id="53"/>
            <w:r>
              <w:rPr>
                <w:rFonts w:ascii="arial" w:eastAsia="arial" w:hAnsi="arial" w:cs="arial"/>
                <w:b/>
                <w:color w:val="000000"/>
                <w:sz w:val="30"/>
                <w:lang w:val="en-US" w:eastAsia="en-US" w:bidi="ar-SA"/>
              </w:rPr>
              <w:t>B.M. GREYELL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April 27, 2005, the infant plaintiff, Justin Johnson ("Justin"), while riding his bicycle, was struck and injured by a motor vehicle operated by the defendant, Leonard Eyre ("Eyre"). The plaintiff, by his litigation guardian, seeks orders pursuant to Rule 18A that the defendant Eyre and the District of Kitimat ("Kitimat") are each negligent and caused or contributed to his injuries. The plaintiff also seeks an order apportioning liability between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argue this matter is not appropriate for determination under Rule 18A. Alternatively, if the matter is appropriate to proceed under Rule 18A, both defendants seek to have the plaintiff's case dismissed on the basis that the plaintiff is solely responsible for the accident and his injuries. Further in the alternative, if Justin was only partially responsible for the accident, each defendant denies liability and says the other should bear a portion of the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Following submissions by counsel, I gave oral reasons directing that this case proceed under Rule 18A with liberty to any party to apply to cross-examine any affiant to assist in resolving a conflict in the evidence. There were no applications to do so and this case proceeded on the affidavit materials filed in support of the respective 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I have concluded neither defendant has breached its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Kitimat is a planned community which has, as described by its Director of Engineering Services, a "garden-city layout". That layout, which dates from the mid-1950s, includes an extensive network of paved walkways throughout the community used by pedestrians, cyclists and others. The walkways are identified by numbers. Many school-age children use the walkways to get to and from school and for recreational purposes such as cycling, skateboarding, and rollerblading. Kitimat permits cyclists to use the walkways because such use is perceived to be safer than travelling on the roadways. The walkways interconnect throughout the community and in doing so cross many of Kitimat's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day of the accident Justin, who was 7 years old, was riding his bicycle with his brother, Malcolm (aged 10), on walkway #44. The accident occurred on Gyrfalcon Avenue where that street intersects with walkway #44. The infant plaintiff was struck by Eyre's vehicle when he and his brother suddenly emerged from the walkway onto Gyrfalcon.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Gyrfalcon runs in a predominantly east-west direction. It is a regularly travelled two-directional paved road running through a residential neighbourhood. The posted speed limit is 50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Walkway #44 provides access to Nechako Elementary School and to a skateboard park, both of which are located some 300 yards from the intersection with Gyrfalcon via other connecting walkways. A number of families with young children live in the vicinity of the intersection and there are often young children playing on or near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walkway crosses Gyrfalcon at right angles. There is a marked crosswalk where the walkway intersects with Gyrfalcon with signs on the street warning drivers to be alert for pedestrians who may be crossing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walkway slopes downhill at about a 2% grade before it intersects with Gyrfalcon. It continues in a northerly direction on the other side of Gyrfalcon. It is approximately 2.5 metres wide and is constructed of asphalt.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is a stepped wood picket fence along one side of the walkway which, under certain circumstances, might obstruct the view of a person using the walkway to traffic approaching on the road from the west. The fence would also, under certain circumstances, restrict the view of a driver approaching from the west to those using the walkway. The fence ends 5 metres from the south road edge and is 1.25 metres high for a length of 2.30 metres and 1.86 metres high for the rest of its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accident occurred at approximately 6:30 p.m. on April 27, 2005. It was a clear, sunny afternoon. The infant plaintiff and his brother emerged from the walkway on the south side of Gyrfalcon and turned in the direction of Eyre's vehicle which was proceeding in an easterly direction along the street. That is, they did not cross Gyrfalcon using the crosswalk but, rather, veered to their left as they emerged from the walkway into the travelled portion of the roadway upon which Eyre's vehicle was approaching. Justin was struck by the right front of the vehicle. He was thrown from his bicycle some 7 to 9 metres by the force of the impact, landing on the east side of the crosswalk. His bicycle remained on the west side of the crosswalk. The force of impact broke the right front headlight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evidence suggests the boys were racing or chasing one another and that the infant plaintiff was looking back over his shoulder at his brother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OF LIABILITY AGAINST THE DEFENDANT EYRE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argues Eyre was negligent because he was familiar with the residential nature of the area in which the accident occurred; he knew of the network of walkways which cross Gyrfalcon in the area of the accident scene; and he knew young children (who he acknowledged to behave at times unpredictably) used the walkways and may be in the vicinity. Given these circumstances, the plaintiff argues, Eyre ought to have taken special precautions by travelling at a lower speed than he was. The plaintiff argues that had Eyre been driving more cautiously through this residential neighbourhood the accident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relies on the following passage in </w:t>
      </w:r>
      <w:r>
        <w:rPr>
          <w:rFonts w:ascii="arial" w:eastAsia="arial" w:hAnsi="arial" w:cs="arial"/>
          <w:i/>
          <w:color w:val="000000"/>
          <w:sz w:val="20"/>
          <w:lang w:val="en-US" w:eastAsia="en-US" w:bidi="ar-SA"/>
        </w:rPr>
        <w:t>Bourne v. Anderson,</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27 M.V.R. (3d) 63</w:t>
        </w:r>
      </w:hyperlink>
      <w:r>
        <w:rPr>
          <w:rFonts w:ascii="arial" w:eastAsia="arial" w:hAnsi="arial" w:cs="arial"/>
          <w:color w:val="000000"/>
          <w:sz w:val="20"/>
          <w:lang w:val="en-US" w:eastAsia="en-US" w:bidi="ar-SA"/>
        </w:rPr>
        <w:t xml:space="preserve"> where Hood J. said at para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In my opinion, once the presence of a child or children on a road is known, or should have been known, to the driver of a vehicle proceeding through a residential area where children live, that driver must take special precautions for the safety of the child or children seen, and any other child or children yet unseen whose possible appearance or entrance onto the road is reasonably foreseeable. The precautions include keeping a sharp look out, perhaps sounding the horn, but more importantly, immediately reducing the speed of the vehicle so as to be able to take evasive actions if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passage was cited with approval by the Court of Appeal in </w:t>
      </w:r>
      <w:r>
        <w:rPr>
          <w:rFonts w:ascii="arial" w:eastAsia="arial" w:hAnsi="arial" w:cs="arial"/>
          <w:i/>
          <w:color w:val="000000"/>
          <w:sz w:val="20"/>
          <w:lang w:val="en-US" w:eastAsia="en-US" w:bidi="ar-SA"/>
        </w:rPr>
        <w:t>Hixon v. Roberts</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2004 BCCA 335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Bourne</w:t>
      </w:r>
      <w:r>
        <w:rPr>
          <w:rFonts w:ascii="arial" w:eastAsia="arial" w:hAnsi="arial" w:cs="arial"/>
          <w:color w:val="000000"/>
          <w:sz w:val="20"/>
          <w:lang w:val="en-US" w:eastAsia="en-US" w:bidi="ar-SA"/>
        </w:rPr>
        <w:t>, the infant plaintiff, aged 7 years and 4 months, and a friend, aged 9, were hiding from and sneaking up on the plaintiff's sister who was cycling. The two boys had hidden behind a vehicle on one side of the street. The 9-year-old ran diagonally across the street to take up a position behind another vehicle. The infant plaintiff then began his run to follow his friend when he was struck by the defendant driver. The trial judge concluded the driver had seen at least the 9-year-old cross the street. He stated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the case at bar, the defendant saw the two boys on the south sidewalk, east of the Latta intersection, and probably in the area of the red vehicle, as her vehicle approached the intersection. Shortly thereafter she saw Brandon run from in front of that parked red vehicle, and across the avenue. In my opinion in the circumstances, she should have been warned of the possibility of at least one other child following the first, that is running out from in front of the red vehicle and across the avenue. In my view the possibility of that occurring was reasonably foreseeable. The defendant should have kept a sharp look out, particularly in relation to the front area of the red vehicle. This was the only obstruction of her view on the south side of the street. Brandon had appeared from the front of that vehicle, and she had observed the two boys a bit to the west of it earlier. She should have sounded her horn to warn any child there of the approach of her vehicle, and she should have immediately reduced the speed of her vehicle so as to avoid what actually occurred viz striking another child running out from in front of the parked red vehicle. The defendant did not take the special precautions required, and was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caused or contributed to the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my view, the facts of the present case are quite distinguishable from those in </w:t>
      </w:r>
      <w:r>
        <w:rPr>
          <w:rFonts w:ascii="arial" w:eastAsia="arial" w:hAnsi="arial" w:cs="arial"/>
          <w:i/>
          <w:color w:val="000000"/>
          <w:sz w:val="20"/>
          <w:lang w:val="en-US" w:eastAsia="en-US" w:bidi="ar-SA"/>
        </w:rPr>
        <w:t>Bourne</w:t>
      </w:r>
      <w:r>
        <w:rPr>
          <w:rFonts w:ascii="arial" w:eastAsia="arial" w:hAnsi="arial" w:cs="arial"/>
          <w:color w:val="000000"/>
          <w:sz w:val="20"/>
          <w:lang w:val="en-US" w:eastAsia="en-US" w:bidi="ar-SA"/>
        </w:rPr>
        <w:t>. In that case the facts were sufficient to reasonably put the defendant driver on notice of the presence of the plaintiff. Eyre was driving a 1997 GMC 4x4 pickup truck and was returning from work in Kitimat to his home in Terrace. He was travelling east on Gyrfalcon. He had two passengers with him in his vehicle who also lived in Terrace and were co-workers. They regularly travelled together, sharing the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Eyre had grown up in Kitimat, was familiar with Gyrfalcon and was aware there were several crosswalks with adjacent walkways throughout the community. He knew it was a residential area in which "many times" you would see children playing in their driveways which were "really quite close" to the road (as stated in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Eyre deposed that immediately prior to seeing Justin on the roadway he thought he was travelling less than 50 km/h. He said he had his foot off the accelerator in anticipation of stopping at an approaching stop sign to the east of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Eyre deposed that as he was driving in an easterly direction along Gyrfalcon and approaching the crosswalk he "saw a glimpse of movement to my right side". He said he "immediately realized the movement was someone on a bicycle approaching Gyrfalcon, so I stepped on the brakes and swerved to the left away from them". He deposed the infant plaintiff and his bicycle struck the right front corner of his vehicle. He stated:</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observed the following in the short period of time leading up to the Accident between when I first observed Justin Johnson and when he came into contact with the Truck:</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Two children were riding on their bicycles on the path leading to the crosswalk.</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Justin Johnson was in the front.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children came out of the pathway from behind the fence, onto Gyrfalcon in the Eastbound lane and the Plaintiff collided with the Truck.</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children were riding fast on their bicycles and I had very little time to react.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not in the crosswalk when he collided with the Truck.</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able to reduce the speed of the Truck by brake before the Plaintiff collided with it.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stopped as quickly as I could once I saw the movement to my right, but there was a fence blocking my view of any traffic on the pathway leading up to the crosswalk, until the traffic is 15 or 20 feet from Gyrfalcon. This fence prevented me from seeing Justin Johnson in time to stop the Truck before Justin Johnson collided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Eyre brought his vehicle to a stop prior to entering the crosswalk. He immediately left his vehicle to give first aid assistance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were two passengers in Eyre's vehicle, Mr. Roger Fehr and Mr. Regan Kardas, both co-workers with the defendant and returning from work to Terrace.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Kardas, who was sitting in the right front passenger seat, deposed:</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 before the Accident, as we proceeded east on Gyrfalcon;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Leonard Eyre and I were both looking forward and talking;</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nice day and we were not in a hurry; and</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estimate that we were travelling between 40 and 50 kilometres per hour, but it was probably closer to 40 kilometres per hour because we were approaching a stop sign and I could feel the vehicle slowing down.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when two kids on junior sized mountain bikes came out of the pathway to our right.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Leonard Eyre and I both saw the two kids at about the same time.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area where the two kids came from is a pathway that leads up to the crosswalk across Gyrfalcon Avenue.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fence, which is about three feet tall, that runs parallel with the pathway and the fence blocks traffic's view of anything travelling on the pathway until it is approximately ten feet back from the edge of Gyrfalcon Avenue.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when I first glimpsed the two kids riding bicycles on the pathway to when the Truck stopped, I observed that: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not wearing a helmet;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kids were travelling very quickly because they were travelling down a bit of a hill on the pathway;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kids cut the corner to their left in order to go down the hill on Gyrfalcon Avenue in the lane we were travelling up;</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kids appeared to be chasing each other;</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the kid in front and he was looking back at the kid behind him as he turned onto Gyrfalcon Avenue into the lane we were travelling up;</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to realize we were there because he saw the reaction on the face of the kid behind him;</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kid in the rear swerved away once he saw the Truck and the Plaintiff, looked forward just as he collided with the right front bumper of the Truck in the headlight area;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Truck stopped at least five feet from the crosswalk;</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of the angle at which the two kids cut the corner as they came out of the pathway and turned onto Gyrfalcon, they never touched the crosswalk;</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Leonard Eyre reacted quickly, said "Oh my God," braked and swerved to his left as soon as we saw the two kids coming out of the pathway to our right;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time we first glimpsed the two kids to the time the Truck completely stopped, the Truck would have travelled a maximum of 40 to 50 feet;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Truck was nearly stopped when it collided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Fehr was looking down at the time and did not see the events unfold. He did hear Eyre yell "oh my God" and felt him apply the brakes and swerve the vehicle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Several witnesses provided affidavit evidence describing the accident scene. Mr. Gary Carriere, Justin's stepfather had lived on Gyrfalcon Avenue for many years and deposed that it was a busy street with a bus route and had through traffic on it day and night. He said the pathways were not used during the winter months but when they were clear of snow they were used by children and many other members of the community for walking, cycling, skateboarding and generally getting around to various locations in the community, including by children travelling to and from the elementary school. He deposed the fence "obstructs the view of drivers headed eastbound. Similarly the fence obstructs the view of the people using the pathway of traffic to their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Cst. McCoombs, one of the police officers who attended the accident scene described the accident location as a "high traffic, high pedestrian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Several residents who live in the vicinity of the accident provided evidence of the nature of the accident scene. Ms. Sandra Allaway, who had lived on Gyrfalcon Avenue for some 16 years, deposed that children of all ages travelled the pathways on foot, by bicycle, as well as on skateboards and rollerblades. She said that she had seen children ride onto the roadway very quickly, not paying attention. She also deposed that as a result of these experiences and due to her observations that visibility is obstructed due to the fence, she approaches the intersections where there are pathways at about 10 miles per hour "to avoid striking inattentive pedestrians that could emerge suddenly".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Another long-term resident on Gyrfalcon, Ms. Carol Perry deposed that because the street "has many children on it" she typically drives along it at 40 km/h. She further deposed that there had been a previous accident at the same location in 1991 or 1992 in which two young girls had been struck by a vehicle. She said she called emergency services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Hugh Storey, a long-term resident on Gyrfalcon also deposed to the previous accident at the intersection and said that all emergency services, including the fire department, ambulance and RCMP attended the scene. He testified that after the accident he spoke to various representatives from Kitimat about it, including the Mayor, Ms. Monaghan. He deposed that Gyrfalcon had many children on it and as a result, he typically drove at 40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Monaghan deposed she had no awareness or recollection of any other motor vehicle accident at the intersection of walkway #44 and Gyrfalcon, nor did she recall any conversation with Mr. Storey as referred to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Tim Gleig, Director of Engineering Services for Kitimat, deposed he had searched Kitimat's records and had found no record of any other accident in the area where the infant plaintiff was struck. He further deposed he had contacted the Kitimat RCMP and had been advised the RCMP had no record indicating there had been any other motor vehicle accidents on Gyrfalcon involving pedestrians or cyclists being struck by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infant plaintiff's brother, Malcolm, was interviewed by Cst. Schmidt of the Kitimat RCMP detachment on June 10, 2005. Portions of the transcript of the interview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SCHMID:</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 so what kind, what hit him?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JOHNSON:</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truck. A white truck.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SCHMID: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did you see him ride out onto the road and get hit?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JOHNSON:</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Yup.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SCHMID:</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fast was he going? Was was your brother..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JOHNSON:</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Really fast, because because he couldn't use his brakes because his brakes couldn't make him stop.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SCHMID:</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your brother was riding really fast?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JOHNSON:</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Yup.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SCHMID:</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he didn't stop at the crosswalk, he..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JOHNSON:</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Nope.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SCHMID:</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 And then you were at the circle and then what happened?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JOHNSON:</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I caught up to him, but um he got went really fast and then um, he he got hit. ("The circle referred to is a spot in the walkway system well preceding the accident scene where the walkway diverges in three separate directions.")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SCHMID: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when you say Justin was, when you say Justin is going fast, was he really peddling hard and then did he slow down or stop before he went on the road.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JOHNSON:</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Nope.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SCHMID:</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Nope, just went right 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SCHMID: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as soon as you caught up to him at the circle that's when he went really fast?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JOHNSON:</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SCHMID: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 And then he rode really fast onto the road or into the crosswalk.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JOHNSON:</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SCHMID: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you saw the white truck come and hit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JOHNSON:</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SCHMID: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 Could you tell Malcolm where your brother hit the truck? Was it at the front of the truck, or was it at the side? Could you tell?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JOHNSON:</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ah in the front front of the truck.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SCHMID:</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front of the truck, OK. And the truck, did it stop right away?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JOHNSON:</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tried to and then, um, it he stopped when he hit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SCHMID:</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JOHNSON:</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somebody went to go ask for a phone to go call for 911.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SCHMID: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 what did you hear before the truck hit your brother? Did you hear anything?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JOHNSON:</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heard a squeak sound from the truck.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SCHMID: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squeak sound from the truck? Was it a really loud squeak 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JOHNSON:</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Yup.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SCHMID:</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and then it hit your brother.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JOHNSON:</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Justin attended an examination for discovery. The defendants read portions of his examination into the record. He said he had started riding a bike when he was four years old and he acknowledged he had been told by his mother it was important to stop and look both ways before crossing the street. He said he had been told by both his mother and his father to dismount and walk his bike across the crosswalk. He said he was well familiar with the crosswalk at the intersection of the walkway and Gyrfalcon Avenue. He was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before the accident, you knew that you had to stop at Gyrfalcon?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Look both ways?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said he simply forgot to stop and walk his bike across the crosswalk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produced an accident reconstruction report from Mr. Mike Ellis, a professional engineer, which offered an opinion of the speed of Eyre's vehicle at the time Eyre saw the plaintiff emerge from walkway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Ellis drew the following conclusions: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distance which Justin travelled from the time he would have been visible to Eyre when he emerged from behind the fence to the point of impact was between 7 and 9 meters;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Utilizing three different methodologies, Eyre was likely travelling between 23 and 33 km/hr at the moment of impact. The three methods used by Mr. Ellis each put the estimated speed within approximate agreement;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Utilizing data contained in a study referenced in his report (Thompson et al.) Justin was likely travelling at about 4.8 meters per second as he traveled in the direction of Eyre's vehicle;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these findings, it was his opinion Justin was visible for 1.5 to 1.9 seconds from the time he emerged from behind the fence and came into Eyre's view and the time he was struck;</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concluded that based on the assumption (using a DRIVE3 computer program, a compilation of various studies of driver response times in real life and research situations) Eyre had a perception-response time of 1.5 seconds which he concluded "is equal to or near the length of time that Justin would have been visible to Eyre and suggests that Justin afforded Eyre little to no time to avoid the collision";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concluding there was "insufficient evidence" to determine the pre-braking velocity of the Eyre vehicle, he did opine that "it is likely Mr. Eyre was travelling no faster that 44 km/h" at the moment Justin emerged from behind the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have found Mr. Ellis's opinion as to time, distance and speed helpful in establishing the speed at which Eyre's vehicle was travelling immediately prior to Eyre seeing Justin. I have viewed his opinion with caution as it is based on at least one assumption which may be debatable - the study relating to the speed at which young children can travel while cycling. I accept the assumption he has made as to where Justin was when Eyre first saw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Ellis's opinion as to the speed of Eyre's vehicle is consistent with the evidence of Mr. Kardas who thought Eyre was travelling between 40 and 50 km/h but probably closer to 40. Although Eyre was not clear what speed he was travelling he did acknowledge at his examination for discovery it was possible he was going 50 km/h. Accordingly, Eyre was travelling at, or more likely below, the posted speed limit at the time he first observed Justin.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a review of all the evidence I am not satisfied the plaintiff has met the onus of proof upon him of demonstrating on the balance of probabilities that Eyre's conduct caused or contributed to Justin's injuries. In my view, Eyre simply could not have avoided striking Justin. Although he was driving through a residential neighbourhood, there was no evidence there were children actually on the road or in the vicinity which would have put Eyre on the alert that he should proceed at a slower speed or take other precautionary action. This is not a case where the defendant driver should have seen Justin earlier than he did but was not paying attention or where the defendant saw Justin but assumed he would act in a safe manner, ignoring the fact that young children can act in an unpredictable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Even so, had the boys proceeded in a straight path across the crosswalk Eyre would have had sufficient time to react and avoid hitting them. He was able to bring his vehicle to a stop about five feet to the west of the crosswalk. The collision occurred because the youths turned to their left after emerging from the walkway and into the path of the Eyre vehicle. Justin was looking back at Malcolm and was not able to manoeuvre out of the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the evidence, Justin was likely visible to Eyre for somewhere between 1.5 to 1.9 seconds before impact. Eyre took appropriate evasive action in the little time he had to react. Taking all the evidence into consideration it cannot be said that Eyre, once having observed Justin, could have, in the exercise of due care, avoided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OF LIABILITY ON KITIMAT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 also seeks an order that the defendant Kitimat's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its breach of statutory duty caused or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claim against Kitimat arises from the fact that in 1991 Kitimat passed Bylaw No. 1471 permitting bicycles to be used on its sidewalks (walkways).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prohibits the riding of bicycles on sidewalks unless provided for in a municipal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argues Kitimat knew or ought to have known that the layout of walkway #44 constituted a hazard to users - particularly young children - and it should have taken reasonable and necessary steps to protect those using its walkways. The plaintiff says Kitimat's responsibility in the circumstances of this case was heightened because of the hazard created by the declining grade of the walkway as it approaches Gyrfalcon and the fence adjacent to one side of the walkway which had the potential to impair the vision of both drivers and users of the walkway. The plaintiff places emphasis on the fact the walkway connects a residential neighbourhood, where many young children live, to an elementary school and other community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says the erection of a bike dismount barrier would have been easy and inexpensive and could have accommodated access by Kitimat employees for the purpose of snow removal in the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Kitimat does use barriers to slow cyclists and other users on some 16 of its walkways. According to its municipal engineer, the decision where to install the barriers is made on a case by case basis depending on a number of factors including traffic volume, traffic speed, the proximity of schools and playgrounds, downgrades on the paths, pedestrian volume, and for the purpose of denying vehicular use. One walkway with a barrier has a 7% downgrade and is 100 meters from an elementary school. Six barriers are used where the walkways cross major roads, five are for the purpose of keeping out vehicular traffic and the balance are at site specific locations - that is, near schools or playgrounds.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Of some 100 painted crosswalks which are within the walkway system, 28 are located mid-block similar to the crosswalk where the accident occurred. Of the 28, only six have barriers for the purposes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barriers which are in place are no post longitudinal concrete blocks. The blocks were evidently at one time spaced fairly close together but have more recently been placed apart to allow wheelchairs and scooters access to the walkways; the result being that cyclists can ride through without dismounting.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barriers are taken out over the winter to enable municipal equipment to access the walkways for snow clearing purposes. Mr. Gleig deposed they are not reinstalled until May due to Kitimat's extended winter season and the need to sweep the walkways when the snow has gone in the spring.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argues that a bicycle dismount barrier such as those in place in many areas of the Lower Mainland should have been in place on walkway #44 where it intersects with Gyrfalcon. Such barriers are generally posted metal gates which require cyclists to dismount in order to negotiate several right angle turns to pass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also argues Kitimat was negligent for failing to install signs on the walkway warning users they were approaching a busy road. The plaintiff says such signs would have warned the infant plaintiff to slow down and stop before entering onto the roadway in the manner he did, thus avoiding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onus rests with the plaintiff to prove on the balance of probabilities that Kitimat has breached a duty of care to him and that such breach caused or contributed to his injuries. The law on the duty of care imposed on a municipality such as Kitimat was discussed in </w:t>
      </w:r>
      <w:r>
        <w:rPr>
          <w:rFonts w:ascii="arial" w:eastAsia="arial" w:hAnsi="arial" w:cs="arial"/>
          <w:i/>
          <w:color w:val="000000"/>
          <w:sz w:val="20"/>
          <w:lang w:val="en-US" w:eastAsia="en-US" w:bidi="ar-SA"/>
        </w:rPr>
        <w:t>Friedrich v. Shea</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2008 BCSC 1243</w:t>
        </w:r>
      </w:hyperlink>
      <w:r>
        <w:rPr>
          <w:rFonts w:ascii="arial" w:eastAsia="arial" w:hAnsi="arial" w:cs="arial"/>
          <w:color w:val="000000"/>
          <w:sz w:val="20"/>
          <w:lang w:val="en-US" w:eastAsia="en-US" w:bidi="ar-SA"/>
        </w:rPr>
        <w:t>, where Barrow J. stated at paras. 63-65: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The duty on a municipality does not render it an insurer of those that use its roads. The duty was expressed in </w:t>
      </w:r>
      <w:r>
        <w:rPr>
          <w:rFonts w:ascii="arial" w:eastAsia="arial" w:hAnsi="arial" w:cs="arial"/>
          <w:i/>
          <w:color w:val="000000"/>
          <w:sz w:val="20"/>
          <w:lang w:val="en-US" w:eastAsia="en-US" w:bidi="ar-SA"/>
        </w:rPr>
        <w:t>Fafard v. Quebec (City)</w:t>
      </w:r>
      <w:r>
        <w:rPr>
          <w:rFonts w:ascii="arial" w:eastAsia="arial" w:hAnsi="arial" w:cs="arial"/>
          <w:color w:val="000000"/>
          <w:sz w:val="20"/>
          <w:lang w:val="en-US" w:eastAsia="en-US" w:bidi="ar-SA"/>
        </w:rPr>
        <w:t xml:space="preserve"> (1918), 39 D.L.R. 717 at p. 718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municipal corporation is not an insurer of travellers using its streets; its duty is to use reasonable care to keep its streets in a reasonably safe condition for ordinary travel </w:t>
      </w:r>
      <w:r>
        <w:rPr>
          <w:rFonts w:ascii="arial" w:eastAsia="arial" w:hAnsi="arial" w:cs="arial"/>
          <w:color w:val="000000"/>
          <w:sz w:val="20"/>
          <w:u w:val="single"/>
          <w:lang w:val="en-US" w:eastAsia="en-US" w:bidi="ar-SA"/>
        </w:rPr>
        <w:t>by persons exercising ordinary care for their own safety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This proposition was recently adopted by Bastarache J. (albeit in dissent but not in relation to this issue) in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[2002] 2 S.C.R. 235</w:t>
        </w:r>
      </w:hyperlink>
      <w:r>
        <w:rPr>
          <w:rFonts w:ascii="arial" w:eastAsia="arial" w:hAnsi="arial" w:cs="arial"/>
          <w:color w:val="000000"/>
          <w:sz w:val="20"/>
          <w:lang w:val="en-US" w:eastAsia="en-US" w:bidi="ar-SA"/>
        </w:rPr>
        <w:t xml:space="preserve"> at para. 115 (see also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(1994), 21 M.P.L.R. (2d) 148</w:t>
        </w:r>
      </w:hyperlink>
      <w:r>
        <w:rPr>
          <w:rFonts w:ascii="arial" w:eastAsia="arial" w:hAnsi="arial" w:cs="arial"/>
          <w:color w:val="000000"/>
          <w:sz w:val="20"/>
          <w:lang w:val="en-US" w:eastAsia="en-US" w:bidi="ar-SA"/>
        </w:rPr>
        <w:t xml:space="preserve"> (B.C.S.C.) at paras. 153 and 154). The majority in </w:t>
      </w:r>
      <w:r>
        <w:rPr>
          <w:rFonts w:ascii="arial" w:eastAsia="arial" w:hAnsi="arial" w:cs="arial"/>
          <w:i/>
          <w:color w:val="000000"/>
          <w:sz w:val="20"/>
          <w:lang w:val="en-US" w:eastAsia="en-US" w:bidi="ar-SA"/>
        </w:rPr>
        <w:t>Housen</w:t>
      </w:r>
      <w:r>
        <w:rPr>
          <w:rFonts w:ascii="arial" w:eastAsia="arial" w:hAnsi="arial" w:cs="arial"/>
          <w:color w:val="000000"/>
          <w:sz w:val="20"/>
          <w:lang w:val="en-US" w:eastAsia="en-US" w:bidi="ar-SA"/>
        </w:rPr>
        <w:t xml:space="preserve"> adopted a similar test where at para. 38 they quoted with approval the following statement of the law from </w:t>
      </w:r>
      <w:r>
        <w:rPr>
          <w:rFonts w:ascii="arial" w:eastAsia="arial" w:hAnsi="arial" w:cs="arial"/>
          <w:i/>
          <w:color w:val="000000"/>
          <w:sz w:val="20"/>
          <w:lang w:val="en-US" w:eastAsia="en-US" w:bidi="ar-SA"/>
        </w:rPr>
        <w:t>Partridge v. Rural Municipality of Langenburg</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[1929] 3 W.W.R. 555</w:t>
        </w:r>
      </w:hyperlink>
      <w:r>
        <w:rPr>
          <w:rFonts w:ascii="arial" w:eastAsia="arial" w:hAnsi="arial" w:cs="arial"/>
          <w:color w:val="000000"/>
          <w:sz w:val="20"/>
          <w:lang w:val="en-US" w:eastAsia="en-US" w:bidi="ar-SA"/>
        </w:rPr>
        <w:t xml:space="preserve"> (Sask. C.A.) where at pp. 558-559, Martin J.A.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extent of the statutory obligation placed upon municipal corporations to keep in repair the highways under their jurisdiction, has been variously stated in numerous reported cases. There is, however, a general rule which may be gathered from the decisions, and that is, that the road must be kept in such a reasonable state of repair that those requiring to use it may, </w:t>
      </w:r>
      <w:r>
        <w:rPr>
          <w:rFonts w:ascii="arial" w:eastAsia="arial" w:hAnsi="arial" w:cs="arial"/>
          <w:color w:val="000000"/>
          <w:sz w:val="20"/>
          <w:u w:val="single"/>
          <w:lang w:val="en-US" w:eastAsia="en-US" w:bidi="ar-SA"/>
        </w:rPr>
        <w:t>exercising ordinary care</w:t>
      </w:r>
      <w:r>
        <w:rPr>
          <w:rFonts w:ascii="arial" w:eastAsia="arial" w:hAnsi="arial" w:cs="arial"/>
          <w:color w:val="000000"/>
          <w:sz w:val="20"/>
          <w:lang w:val="en-US" w:eastAsia="en-US" w:bidi="ar-SA"/>
        </w:rPr>
        <w:t>, travel upon it with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Although expressed in terms of the statutory framework that governed the municipality in that case, the proposition applies generally as a matter of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Accordingly, the question which this Court must answer is whether Kitimat has breached its duty of care to keep walkway #44 in a reasonably safe condition - that is, whether it has taken reasonable care to prevent injury to users of walkway #44 such as the infant plaintiff and, if it has not, whether such lack of care caused or contributed to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the Supreme Court of Canada discussed the "but for" test. The Court stated at paras. 20-21: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Much judicial and academic ink has been spilled over the proper test for causation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neither necessary nor helpful to catalogue the various debates. It suffices at this juncture to simply assert the general principles that emerge from the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For the reasons that follow, I cannot conclude Kitimat failed in its duty of care to take reasonable steps to prevent the injury to the infant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relies on the evidence of several residents who lived in the vicinity of the accident that there had been a prior accident at the intersection a number of years ago involving two young girls and that accident had been reported to both municipal officials and to the police. Accordingly, the plaintiff argues Kitimat ought to have been aware the intersection of walkway #44 and Gyrfalcon posed a hazard another such accident would occur, particularly given that area has many residents with small children playing on the streets and using the walkway. However, neither the Mayor nor the city engineer had any memory of such an accident, and the RCMP had no record of it. If such an accident did occur, there was no evidence how it occurred. It is not known whether the girls emerged from the walkway onto Gyrfalcon or whether they were in or out of the crosswalk. There are simply no particulars to enable the Court to draw any conclusion about the nature of the accident or whether it bears any resemblance to the circumstances of this case. Accordingly, I do not find the evidence useful in determining whether Kitimat failed in its duty of care to Justine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Did Kitimat fail in its duty of care by not posting signs on the walkway warning users of the proximity of Gyrfalcon? In my view, even had such a sign or signs been posted, signage would have had no effect of the manner in which Justin and Malcolm approached the roadway. Both knew it was there. They had travelled the route many times. Justin had been warned to stop before crossing the crosswalk. The boys were too caught up in their chase to have paid attention to a warning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Did Kitimat fail in its duty of care to the plaintiff in failing to install a bike dismount barrier, similar to those found in Vancouver, at the intersection of walkway #44 and Gyrfalcon?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must be recalled the legal test for liability requires the municipality take reasonable care to protect users of its roads and pathways. The standard is one of reasonableness, not perfection. As stated above, a municipality is not required to act as an insurer. In my view, it would not be reasonable to import the standards which a large metropolitan region such as Vancouver has chosen to adopt in certain areas to the much smaller town of Kitimat. Further, I have no evidence as to the criteria (such as vehicular and cyclist traffic volume) on which decisions to erect such gates are made in the area where gates are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As stated, Kitimat does use concrete barriers across certain of its walkways. These barriers appear to have been effective for the purpose they were intended. I heard no evidence they were not. Many are near schools or park facilities and one is on a 7% down grade. While prior safe use is not determinative of the issue, it is a factor which can be considered: see </w:t>
      </w:r>
      <w:r>
        <w:rPr>
          <w:rFonts w:ascii="arial" w:eastAsia="arial" w:hAnsi="arial" w:cs="arial"/>
          <w:i/>
          <w:color w:val="000000"/>
          <w:sz w:val="20"/>
          <w:lang w:val="en-US" w:eastAsia="en-US" w:bidi="ar-SA"/>
        </w:rPr>
        <w:t>Jolly v. PNE,</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[1986] B.C.J. No. 2284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However, even had a barrier been installed at the intersection where the accident occurred, the question is whether, but for the lack of the barrier, the accident would have occurred in the manner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After a full consideration of the evidence, I am of the view the motor vehicle accident and resulting injuries would likely have occurred even had a barrier been in place. The legal responsibility of the municipality to keep its roadways, and in this case, its walkways, safe for users is premised on a corresponding duty of users of those walkways to use them in a reasonable manner having regard to their own safety. In this case, it is clear the infant plaintiff and his brother were chasing one another as they emerged from the pathway onto Gyrfalcon. While a barrier may have slowed the infant plaintiff's progress, it is likely the chase would have continued and it is likely the infant plaintiff would have emerged onto Gyrfalcon in the same manner and with the same lack of attention to the potential of traffic being on the roadway. I am unable to conclude that, but for a barrier being in place, the accident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conclude neither Eyre nor the District of Kitimat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injuries suffered by the infant plaintiff. Accordingly, the plaintiff's case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have not found it necessary to address whether the infant plaintiff is capable of being negligent as there is, in this case, no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I been required to address this issue I would have found Justin was of such age and intelligence and had such experience and training that he was capable of being negligent, and that in fact he was negligent in riding onto the road in the manner he did: </w:t>
      </w:r>
      <w:r>
        <w:rPr>
          <w:rFonts w:ascii="arial" w:eastAsia="arial" w:hAnsi="arial" w:cs="arial"/>
          <w:i/>
          <w:color w:val="000000"/>
          <w:sz w:val="20"/>
          <w:lang w:val="en-US" w:eastAsia="en-US" w:bidi="ar-SA"/>
        </w:rPr>
        <w:t>Carson v. Pruden</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[1990] B.C.J. No. 1226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Heisler et al. v. Moke et al.</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[1972] 2 O.R. 446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Kahl v. Jakobsson, [2006] B.C.J. No. 1722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14 - 17 and 20 - 24, 2006 (Kelowna)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March 30 - 31 (Vancouver).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 S31377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1722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1163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741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Bob Kahl, plaintiff, and Ben Jakobsson,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4"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4" w:name="Keywords_7"/>
      <w:bookmarkEnd w:id="5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 plaintiff for damages for injuries suffered in a snowmobiling accident allowed — The plaintiff claimed that he was struck by the defendant's snowmobile following an aborted jump — The defendant contended that the plaintiff's injuries were caused when he disembarked — The court found that statements by the defendant to witnesses and medical evidence established that the plaintiff's injuries were caused by the defendant's snowmobile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rejected because the accident was not reasonably foreseeable.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General damages — Categories of — Loss of income — For personal injuries — Cost of future care — Loss of earning capacity — Action by the plaintiff for damages for injuries suffered in a snowmobiling accident allowed — The plaintiff, age 49, sustained serious fractures to his leg and back, that caused ongoing pain, and prevented him from engaging in his normal recreation activities — He returned to work in a decreased capacity after two years — He was awarded damages of $785,400 comprised of general damages of $125,000, past income loss of $150,000, loss of earning capacity of $450,000, cost of future care of $50,000, and special damages of $10,400.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5" w:name="Case Summary_7"/>
            <w:bookmarkEnd w:id="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Kahl, against the defendant, Jakobsson, for damages for injuries suffered in a snowmobiling accident -- The parties were snowmobiling together when the plaintiff drove over an unmarked jump, lost control of his snowmobile, and jumped in the snow -- Seconds later, he saw the ski and cowling of the defendant's snowmobile coming toward him -- The plaintiff, age 49, sustained serious fractures to his leg and back, that caused ongoing pain, and prevented him from engaging in his normal recreation activities -- He returned to work in a decreased capacity after two years -- The defendant contended that the plaintiff's injuries were caused when the plaintiff disembarked after the aborted jump -- Several witnesses testified that the defendant commented about running over the plaintiff -- The defendant denied making such statements -- The defendant conceded that if he struck the plaintiff, he was negligent -- He raised the alternative argument that the plaintiff was contributorily negligent -- HELD: Action allowed -- The evidence of the defendant was evasive and inconsistent and was rejected where it conflicted with the evidence of the plaintiff -- Based on the testimony of the witnesses and medical findings, it was established that the defendant's snowmobile struck the plaintiff -- The plaintiff's injuries were caused by the impact -- The fracture pattern suffered by the plaintiff was more consistent with a high energy impact from a motorized device than jumping from a snowmobile and landing in snow -- The plaintiff was not contributorily negligent because there was no evidence that the jump was foreseeable -- The plaintiff was awarded damages of $785,400 comprised of general damages of $125,000, past income loss of $150,000, loss of earning capacity of $450,000, cost of future care of $50,000, and special damages of $10,400.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6" w:name="Counsel_7"/>
      <w:bookmarkEnd w:id="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5"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M.G. Temple, T.L. Napora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H.C. Hayden, C.R. Thomson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7" w:name="Judgment_7"/>
      <w:bookmarkEnd w:id="57"/>
      <w:r>
        <w:pict>
          <v:line id="_x0000_s1066" style="position:absolute;z-index:2517688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8" w:name="LOO J."/>
            <w:bookmarkEnd w:id="58"/>
            <w:r>
              <w:rPr>
                <w:rFonts w:ascii="arial" w:eastAsia="arial" w:hAnsi="arial" w:cs="arial"/>
                <w:b/>
                <w:color w:val="000000"/>
                <w:sz w:val="30"/>
                <w:lang w:val="en-US" w:eastAsia="en-US" w:bidi="ar-SA"/>
              </w:rPr>
              <w:t>LOO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Bob Kahl and Ben Jakobsson used to be best friends. They were snowmobiling together when Mr. Kahl, who was in the lead, suddenly drove over an unmarked jump, lost control of his snowmobile and jumped into the snow. Seconds later, he saw the right ski and the cowling of Mr. Jakobsson's snowmobile coming towards him. Mr. Kahl sustained a serious compound left shin bone fracture, a burst fracture in his low back, and suffers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When Mr. Kahl commenced this action against Mr. Jakobsson, their friendship came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Kahl claims that Mr. Jakobsson's snowmobile struck him. Mr. Jakobsson claims that the injuries were caused when Mr. Kahl's snowmobile bounced or when he jumped into the snow. However, witnesses testified that after the accident Mr. Jakobsson either told or indicated to them that he ran over Mr. Kahl. Mr. Jakobsson denies making any such statements and says that the witnesses are mistaken. Credibility is therefore in issue, as are liability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Kahl is 49 years old. He has owned and ridden snowmobiles since the 1970's. Snowmobiles have a brake lever on the left handlebar and a throttle on the right handlebar. Depress the throttle: the snowmobile goes faster; depress the brake lever: the snowmobile slows down. The engine is contained in the engine cowl or the body of the snowmobile. The handle bars control the direction of the skis that extend out the front of the snowmobile. A rubber track 15 to 16 inches wide at the rear and underneath the snowmobile is for traction and braking. Lugs on the track dig into the snow and throw up a rooster tail of snow and ice crystals depending on the snowmobile's speed and the snow depth.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early 2002, Mr. Kahl bought Mr. Jakobsson's 1997 Summit 583 Ski-doo when Mr. Jakobsson bought a new Summit 800 Ski-doo. The 583 had 100 horsepower but it was not as powerful as Mr. Jakobsson's 800 that weighed between 525 and 530 pounds, and at three-quarters throttle could travel at speeds up to 65 miles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Around noon on Saturday, March 2, 2002, the parties left Mr. Jakobsson's cabin at Lost Dog to go snowmobiling. It was a nice sunny day. They headed up a logging road leading into the hills around Kimberley. They took turns being in the lead, and followed one another by about 100 to 150 yards depending on their speed and the rooster 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stopping for lunch the parties followed a deactivated logging road that generally ran in the centre of a clear cut area. The road was about one kilometre in length, straight, and generally flat. There was about two inches of fresh snow but it was generally hard packed. Underneath the "untracked" snow you could see the tracks of snowmobiles that had been there before. The tracked portion of the road was about fifteen feet wide. On both sides of the tracked portion there was approximately two feet of powder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accident occurred about three-quarters of the way down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Kahl was travelling around 30 to 35 miles per hour, when he suddenly went over a "jump" or what Mr. Jakobsson called a "launch pad". Mr. Kahl did not see the jump before he went over it because everything was white. The jump was about two to three feet high and took up most of the road. It appeared to have been built by other snowmobilers.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he went over the jump Mr. Kahl applied his brakes, slowed down, and his Ski-doo bounced a couple of times. He started losing his grip on the handle bars and slipping off of the back of the Ski-doo. He jumped off to his right into two or three feet of powder snow. His right side and shoulder hit the snow and he began rolling to his left. The sensation of rolling in the snow reminded him of being a kid in a snow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Kahl sat up and wiped the snow off his goggles. His knees were bent up, his feet were about 12 inches apart, and his boots were just on the edge of the trail. He felt no pain or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looked to his left and saw Mr. Jakobsson coming towards him "going pretty fast". He thought Mr. Jakobsson could see him because he wore a bright red helmet. He tried to get out of the way but could not get any traction in the powder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Kahl said that he saw the right ski and the cowling of the 800 Ski-doo and then he was hit. Mr. Kahl claims that he was struck on the left side of his torso, spun to the right, and thrown face down and forward into the snow. He was in excruciating pain "everywhere", could not catch his breath, and thought he was going to 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Kahl eventually sat up and found that his glasses and goggles were missing. He put snow on his forehead to prevent himself from passing out. He knew that he had to get back onto the snowmobile and go for help because an ambulance could not get to where they were. He saw that the tips and toes of his boots were flattened and turned to the right. He turned his left leg, but his boot did not move. His leg was 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Jakobsson is 53 years old and has been riding snowmobiles for close to 15 years. He did not see the jump until "it was pretty much right in front of me". He quickly stood up and accelerated so that the snowmobile's suspension would absorb as much shock from the unexpected jump as possible. In the process, he smacked both of his knees against the cowling. He saw Mr. Kahl sitting in the snow either just before he went over the jump or just as he was going over the jump. On his examination for discovery,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as I understand it, you have described the accident scene as being on a section of trail that was straight for about one kilometre?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least.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More or less flat?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Flat.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there was nothing to obscure your vision of the accident scene, in terms of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as I understand your statement, you're approaching the jump at, what was it, 40 to 50 miles an hour?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Possibly,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see Mr. Kahl on the other side of the jump, sitting in the snow,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want to insult you, sir. I just want to know what you did. You did not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 not brake.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decided to, in the words given to Mr. Graw, "pin it",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Accelerate.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 you gave it as much gas as you could?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Exactly.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many horsepower does that machine have? I'm going to suggest about 130 horsepower.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didn't attempt to brake?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gave it gas,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much as you could?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bet.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previous sentence in the statement says, and I'll quote it, "I don't believe my right ski ever went down".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right ski went down.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Jakobsson became airborne going over the jump. He lost control of his snowmobile and fell off. His snowmobile landed about 20 feet past Mr. Kahl who was screaming that his leg was 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Jakobsson could not move Mr. Kahl's snowmobile close enough to him, so he backed his own snowmobile up and Mr. Kahl crawled on. They drove each other's snowmobile. It was a slow painful ride for Mr. Kahl but after about 30 minutes they recognized where they were when they saw the old Highways Department maintenance building along the highway that runs through Kimberley. They telephoned home and then waited for help to arrive.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Kahl was taken by ambulance to the hospital in Kimberley where he was initially treated, and then later that day to the hospital in Cranbrook. He had multiple bruises and abrasions across his face, the bridge of his nose, and his chest. He had tenderness on his left ribs and collarbone area. He complained of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Kahl sustained a compound fracture of his left tibia (shinbone) and fibula, which are the two bones between the knee and the ankle. Dr. Charles Buckley, the orthopaedic surgeon who treated Mr. Kahl in the emergency department at Cranbrook Hospital, found the leg wound to be approximately two centimetres or almost an inch long. The bone had broken into multiple parts or fragments. Some bones drove through the skin. Mr. Kahl also sustained a burst fracture of the L5 vertebra in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Mr. Jakobsson's Snowmobile Strike Mr. Kahl?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first issue is whether Mr. Jakobsson's snowmobile struck Mr. Kahl.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Kahl's wife and his son Cody were the first to arrive. Mrs. Kahl saw Mr, Jakobsson sitting on Mr. Kahl's snowmobile and Mr. Kahl slumped on Mr. Jakobsson's snowmobile. He looked very pale and was shaking. The snowmobiles were parked parallel to each other about 10 to 15 feet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Mrs. Kahl got out of her car and walked towards Mr. Jakobsson because he was the closest. She asked him what happened, and said that he replied, "I'm sorry. I ran him over". Mr. Jakobsson says that he does not recall having a conversation with Mrs. Kahl and denies he made any such statement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Mrs. Kahl states that Rosie Albitini, Mr. Jakobsson's wife, then arrived and waited on the highway with Cody for the ambulance to arrive.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Dennis Hunt is a paramedic who arrived in an ambulance shortly after 5:00 p.m. He saw five people at the scene, including Mr. Kahl who was sitting on a snowmobile trying to support his leg. When Mr. Hunt asked Mr. Kahl what happened, he replied that he fell off his machine and was run over by another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Hunt said that others were within 10 to 15 feet of Mr. Kahl when he made that statement, and no one disagreed with the statement. Mr. Jakobsson says that he never heard Mr. Kahl say that he was run over by another machine or snowmobile.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Cody Kahl was 17 years old at the time of the accident. After his father had been taken away by the ambulance, he and Mr. Jakobsson took the snowmobiles down the road less than a kilometre away to Mr. Jakobsson's friend's place. Ms. Albitini then picked them up and drove them back to Mr. Jakobsson's cabin about 45 minutes away so that Cody could pick up his father's truck and drive it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Jakobsson drove Ms. Albitini's truck, while Ms. Albitini sat in the front seat, and Cody sat in the back seat. Cody said that he heard Mr. Jakobsson and Ms. Albitini discussing the accident in "a worried atmosphere". He recalls two sentences. At some point during their conversation Ms. Albitini asked Mr. Jakobsson how he felt, and he replied angrily to her, "What do you think? I just hit my best friend!" Cody said that he distinctly recalls that part of the conversation because Mr. Jakobsson "</w:t>
      </w:r>
      <w:r>
        <w:rPr>
          <w:rFonts w:ascii="arial" w:eastAsia="arial" w:hAnsi="arial" w:cs="arial"/>
          <w:i/>
          <w:color w:val="000000"/>
          <w:sz w:val="20"/>
          <w:lang w:val="en-US" w:eastAsia="en-US" w:bidi="ar-SA"/>
        </w:rPr>
        <w:t>yelled</w:t>
      </w:r>
      <w:r>
        <w:rPr>
          <w:rFonts w:ascii="arial" w:eastAsia="arial" w:hAnsi="arial" w:cs="arial"/>
          <w:color w:val="000000"/>
          <w:sz w:val="20"/>
          <w:lang w:val="en-US" w:eastAsia="en-US" w:bidi="ar-SA"/>
        </w:rPr>
        <w:t>"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Jakobsson agrees that he and Cody drove the machines to his friend's place and then got into Ms. Albitini's truck, but he denies that he made any such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Albitini says that she does not recall Cody being in her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Charles Buckley, an orthopaedic surgeon, saw Mr. Kahl in the emergency ward in Cranbrook Hospital on March 2, 2002. Mr. Kahl told Dr. Buckley that after he had gone over a small jump he fell off his skidoo and was struck by the skidooer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Chris Weitzel ("Chris") is a millwright who works at the Tembec Pulp Mill where both Mr. Kahl and Mr. Jakobsson worked. He had two conversations with Mr. Jakobsson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Jakobsson asked Chris to bring his tools from the heavy duty mechanic shop at the Mill to his shop at home. When Mr. Weitzel brought the tools to Mr. Jakobsson's, the subject of Mr. Kahl's accident came up. Chris testified that Mr. Jakobsson seemed remorseful and told him that he "felt bad about hitting him". He tried to comfort Mr. Jakobsson and told him "don't worry too much" and "accidents do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Jakobsson denies that he made such a statement to Chris Weitzel.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second conversation took place a couple of months later when Chris and Mr. Jakobsson met for several minutes at the front entrance of the Canadian Tire store in Cranbrook. Mr. Jakobsson's tone had changed from sounding remorseful and sympathetic towards Mr. Kahl, to being angry at Mr. Kahl. According to Chris, Mr. Jakobsson was fairly agitated and called Mr. Kahl "a fucking asshole" several times and said "yeah, I ran over him, but he didn't have to sue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Jakobsson says that Chris is "mistaken" and "incorrect". He says that Chris was the first person he spoke to after learning from an insurance adjuster that he was being sued. In direct examination he said that Chris's only response was "you can't trust those insurance companies" and that Chris quickly changed the subject. In cross-examination Mr. Jakobsson said that he only asked Chris "what's the story behind Bob suing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George Weitzel ("George"), a heavy equipment operator at the Tembec Pulp Mill, has known both parties for about 10 years. A couple of days after Mr. Kahl had been discharged from the hospital, George went to his house to help get his snowmobile track off the ground. Mr. Kahl was on the couch with his leg severely bandaged or in a cast. Mr. Jakobsson was also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George was curious about the accident. Mr. Kahl explained that he was lying on the trail trying to scramble out of the way because Ben was coming at him with his snowmobile and before he knew it, Ben hit him. Mr. Jakobsson told him that "when he came down the trail and first saw Bob" he "thought he was a fucking animal lying on the trail" and "ran over him" before he had a chance to react; he felt bad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Jakobsson denies that he made such a statement to George Weitzel. He also claims that if he told George that he felt bad about the accident, it was because he felt sorry for Mr. Kahl.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Bob Eccleston works at the Tembec Pulp Mill as a labourer/heavy equipment operator and has known both parties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Eccleston testified that he was sitting in the Sullivan Pub in Kimberley when the two men walked in and sat down with him. Mr. Kahl was in a cast and Mr. Jakobsson had a sling on his arm from his rotator cuff surgery. Mr. Eccleston recalls the day because he had had a rotator cuff operation. Also, there had been a protest at City Hall that day in which Mr. Jakobsson had participated, and the three of them discussed the protest. Mr. Eccleston said that he started joking about sitting with two cripples and the two began talking about the accident. They talked about how Bob had gone over a jump, fell off, and Ben came up behind him and ran him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Eccleston said that Mr. Jakobsson appeared remorseful when he explained about going out with his friend, the accident, loading him onto the snowmobile and waiting for the ambulance. According to Mr. Eccleston, Mr. Jakobsson stated that "he ran him over and he felt terrible about running over a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Jakobsson says that he hardly knows Mr. Eccleston and denies that he made any such statements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Mrs. Kahl testified that Mr. Jakobsson made a similar comment during a turkey dinner. She said that Mr. Jakobsson and Ms. Albitini invited them to their house for a turkey dinner. Mrs. Kahl asked them if they would bring the turkey to the Kahl's house because Mr. Kahl was unable to move. Mrs. Kahl cooked the turkey at her house. The four of them were eating when the subject of the accident came up. According to Mrs. Kahl, Mr. Jakobsson said that he was sorry that he ran over her husband but he didn't see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Albitini learned about the accident when Mr. Jakobsson called and said that Bob had broken his leg and they needed an ambulance. She recalls nothing more about the telephone call. She denies Mr. Jakobsson giving her any explanation about how Mr. Kahl broke his leg, and denies asking him how it happened. She drove her truck to meet the men at the pullover on Highway 95A by the Highways Department maintenance office. She denies hearing any conversation about how the accident occurred when she arrived there. She does not recall Cody getting into her Dodge so that he could pick up his father's truck at their place in Lost Dog, and she cannot recall any conversation with Mr. Jakobsson in the Dodge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Albitini denies having a turkey dinner at the Kahls' house after the accident, and denies that the topic of the accident ever came up when the two couples met, except once when Mr. Kahl was laughing and made it sound like a big joke. The only discussion she says that she has had with Mr. Jakobsson about the accident was that he told her that "they had hit a manmade mound ramp type of thing and that's basically what he told me, and that Bob had broken his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do not find Ms. Albitini's evidence to be credible. She struck me as knowing more than she was willing to let on. A reasonable person who received a telephone call from her spouse saying that his best friend had broken his leg while they were snowmobiling together and requesting an ambulance would have asked "what happened?" if she had not already been told.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it highly implausible that Mr. Jakobsson would not have told her how the accident had happened either when he telephoned her, at the Highway pullout where they waited for the ambulance, or in the truck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Dwight LaFrenier has known Mr. Jakobsson for about 20 years because they live down the road from each other. Mr. LaFrenier became aware of the accident when Mr. Kahl came over to his house to help him set up his television receiver. Mr. LaFrenier saw Mr. Kahl on crutches and in "rough shape". His leg was about the size of two legs. It was "pretty gory looking". Mr. Kahl told Mr. LaFrenier that he and Ben had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About three weeks later, Mr LaFrenier was at Mr. Jakobsson's place having cocktails when Mr. Jakobsson said that his snowmobile had "run over Bob". Mr. LaFrenier responded, "you did a helluva job on him". Mr. Jakobsson replied in the affirmative, "yes, he was hurt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Jakobsson denies that he made any such statements to Mr. LaFrenier. He claims that Mr. LaFrenier told him that "you two should get your stories straight", and his response was, "there is no story to get straight".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When Mr. Jakobsson was asked whether he made the statements that Sylvia Kahl, Dennis Hunt, Cody Kahl, Chris Weitzel, George Weitzel, Bob Eccleston, and Dwight LaFrenier testified that he had made, his response was, "no I did not". He says that they were mistaken about what they heard him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None of the witnesses were even slightly shaken on cross-examination. Indeed, all of the witnesses were firm in their conviction as to what Mr. Jakobsson told them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Jakobsson argues that the witnesses were friends of Mr. Kahl and those who worked at Tembec were also members of the same union as Mr. Kahl. However, there is no doubt that the witnesses were also friends or acquaintances of Mr. Jakobsson who is also a member of the same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From the long pauses between the questions Mr. Jakobsson was asked in direct and cross-examination relating to the circumstances of the accident and his answers, I could not help but form the impression that Mr. Jakobsson carefully tried to tailor his answers so that it would appear his snowmobile was to the </w:t>
      </w:r>
      <w:r>
        <w:rPr>
          <w:rFonts w:ascii="arial" w:eastAsia="arial" w:hAnsi="arial" w:cs="arial"/>
          <w:i/>
          <w:color w:val="000000"/>
          <w:sz w:val="20"/>
          <w:lang w:val="en-US" w:eastAsia="en-US" w:bidi="ar-SA"/>
        </w:rPr>
        <w:t>left</w:t>
      </w:r>
      <w:r>
        <w:rPr>
          <w:rFonts w:ascii="arial" w:eastAsia="arial" w:hAnsi="arial" w:cs="arial"/>
          <w:color w:val="000000"/>
          <w:sz w:val="20"/>
          <w:lang w:val="en-US" w:eastAsia="en-US" w:bidi="ar-SA"/>
        </w:rPr>
        <w:t xml:space="preserve"> side of the jump and where Mr. Kahl was in the snow. It is with regret that I find Mr. Jakobsson consistently attempted to deny any conduct, action, or statement that in any way suggested his snowmobile hit Mr. Kahl. His answers were evasive and inconsistent. Wherever Mr. Jakobsson's evidence conflicts with Mr. Kahl's, I prefer Mr. Kahl's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therefore conclude, based on what Mr. Jakobsson told others and the medical findings, that Mr. Jakobsson's snowmobile struck Mr. Kahl. Mr. Jakobsson concedes that he was negligent if his snowmobile struck Mr. Kahl. He argues, however, that Mr. Kahl was contributorily negligent. He further argues that Mr. Kahl's burst fracture occurred when Mr. Kahl's snowmobile bounced, or when Mr. Kahl jumped off his own machine, not when his snowmobile struck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Mr. Kahl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Mr. Jakobsson argues that both parties are equally at fault by failing to exercise extreme caution and failing to travel at a slow enough speed to be able to see and avoid hitting obstructions like the jump. He points to the following extracts from the </w:t>
      </w:r>
      <w:r>
        <w:rPr>
          <w:rFonts w:ascii="arial" w:eastAsia="arial" w:hAnsi="arial" w:cs="arial"/>
          <w:b/>
          <w:i/>
          <w:color w:val="000000"/>
          <w:sz w:val="20"/>
          <w:lang w:val="en-US" w:eastAsia="en-US" w:bidi="ar-SA"/>
        </w:rPr>
        <w:t>2002 Ski-Doo Safety Handbook</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UNFAMILIAR TERRITORY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Whenever you enter an area that is new to you, drive with extreme caution.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UNSEEN OBSTRUCTION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may be obstructions hidden beneath the snow. Driving off established trails and in the woods requires reduced speed and increased vigilance. Driving too fast in an area can make even minor obstacles very hazardous. Even hitting a small rock or stump could throw your snowmobile out of control and cause injury to its riders. Stay on established trails to reduce your exposure to hazards. Be safe, slow down and enjoy the scenery.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OBSTACLES AND JUMPING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Unplanned jumps of snowdrifts, snowplow ridges, culverts or indistinguishable objects can be dangerous. You can avoid them by wearing the proper colour lenses or face shields and by operating at a lower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parties may not have snowmobiled over the road before, but it was a long, flat, straight stretch of road that was used by snowmobilers. There is nothing in the evidence before me that the jump or obstacle was foreseeable in the eyes of a reasonably prudent snowmobiler. There is nothing in the evidence indicating what speed the parties ought to have operated at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If I am wrong, I find that a clear line can be drawn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parties. As Mr. Jakobsson approached the jump, he saw Mr. Kahl sitting about 20 feet past the jump. According to Mr. Jakobsson, about one and a half seconds passed between when he first saw Mr. Kahl sitting in the snow and when he reached the jump. He made no attempt to turn or avoid hitting Mr. Kahl. Instead, he "pinned" the accelerator and launched his machine off the jump. His right ski came down and the snowmobile struck Mr. Kahl.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find therefore that Mr. Kahl was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Mr. Jakobsson's Snowmobile Cause Mr. Kahl's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Kahl was first taken to Kimberley Hospital, and then to Cranbrook Hospital where he was examined by Dr. Buckley, an orthopaedic surgeon. Mr. Kahl had multiple bruises and abrasions on his chest and face, including the bridge of his nose, tenderness around his left ribs and collarbone area, and complaints of back pain, or a "stiffening up" of his back. The most serious injury at the time was a compound fracture of his left tibia and fibula.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Buckley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spent a bit of time examining the soft tissues. And I noted that the muscle of his tibia, the muscles that basically control your foot and your ankles, there is a covering, sort of a second skin, that attaches to the bone and surrounds the muscle. Sort of acts like a glove to increase the strength of the muscle, its efficiency, and this had a significant rent in it, and we refer to that as a hernia, and it was quite large. And what that told me was not only did the bone break and go through the skin but the two pieces of bone scissored by each other. We refer to it as bayoneting and that actually is visible in the x-rays. But the deformity on the x-rays is static so at the time of the accident, the two pieces of bone slid significantly farther beyond each other than what is represented on the x-rays. And that was demonstrated by the hernia and the fascia and the shearing of the muscles that could be seen in the wound.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According to Dr. Buckley, the fracture pattern was more consistent with a high energy impact from a motorized device than with jumping from a snowmobile at 30 to 35 miles and hour and landing in a snowbank.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Allan Richardson, an orthopaedic surgeon, similarly opined that the fracture of the tibia is "a high velocity impact type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medical evidence is consistent with Mr. Kahl's evidence that he felt no pain or discomfort after jumping off his snowmobile and that he tried to crawl out of the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vertebral body consists of three columns: anterior, middle, and posterior. A burst fracture is the fracture of two of the three columns. Mr. Kahl sustained a burst fracture of his lower lumbar vertebra involving the anterior and middle column. A piece of bone from the anterior column was retropulsed or pushed back into the spinal canal where various nerves are located. The L4 and L5 nerves that are immediately adjacent to the fractured bone affect the big toe, foot and ankle areas of the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consensus of the plaintiff's experts and theory of the plaintiff's case is that Mr. Kahl's burst fracture was caused by a maximum forward flexion motion. The theory of the defence is that the burst fracture occurred when Mr. Kahl's snowmobile bounced a couple of times causing Mr. Kahl to land on his buttocks.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experts agree that in order for a burst fracture to occur, there must be an axial compressive load and flexion. An axial compressive load is a vertical force acting from above or below. Flexion is a forward bending motion. The experts also appear to agree that without a videotape of the accident, it is difficult to determine the forces that were involved. What is important is not so much the direction of force on the body, but the energy and direction of force within the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Shaun Van Zyl is Mr. Kahl's family physician. Dr. Charles Buckley, Dr. Alan Richardson, and Dr. Richard Hu are orthopaedic surgeons who have either treated or seen Mr. Kahl. The consensus of these physicians is that the burst fracture was caused by a high velocity impact and an extreme forward flexion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Generally, immediate pain is a hallmark of a spine fracture. I accept that Mr. Kahl felt no pain as he sat in the snow watching Mr. Jakobsson's snowmobile coming towards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According to Dr. Hu, who works primarily on traumatic injuries to the spine, and whose evidence I found very impressive, the axial compressive force that caused the burst fracture was "a lot" of forward bending that exceeded the normal physiology. The force had to be fairly significant in order to compress a bone fragment from the anterior column into the spinal canal.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Falls from a height onto one's buttocks or feet may cause a burst fracture, but the majority of spinal injuries from that mechanism of injury occur in the upper spinal column. Burst fractures in the lumbar spine are much less frequent because of the arch in the lower spine which acts as a kind of shock absorber.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Dennis Chimich is a senior biomechanical engineer with MEA Forensic Engineers &amp; Scientists who testified for the defence. He concludes that the burst fracture injury likely occurred when Mr. Kahl went over the jump and the snowmobile hit the ground with such force that it bounced a second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However, the primary basis for Mr. Chimich's conclusion is five studies conducted on snowmobile accidents that occurred more than 30 years ago. Those accidents resulted in injuries higher up the spine rather than in the lumbar area. Snowmobiles are now designed with thicker seats and improved suspension, and the incidence compression fractures has been reduced. There are no reported studies of compression fractures to the lower vertebrae caused by snowmobile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Chimich's report did not address the compound fracture of Mr. Kahl's left tibia and fibula.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Joe Fairbanks, an orthopaedic surgeon, testified for the defence. His conclusion regarding the burst fracture is similar to Mr. Chimich's. Both Mr. Chimich and Dr. Fairbanks are also of the view that a forward flexion motion did not cause the burst fracture because there is no evidence that the facet joints were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facet joints are at the back and on either side of the spine. There are two sets of facet joints for each vertebra. One pair faces upwards and the other pair faces downwards. The facet joints connect each vertebra to the ones directly above and below it. Viewed from the side, the facet joints look like a set of hinges that open and close in order to allow the spine to bend forward (flexion) and backward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defence experts contend that if Mr. Kahl sustained the burst fracture from extreme flexion, the facet joints would have opened and been damaged, torn, or dislocated. Mr. Kahl's facet joints do not appear to have been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this point I accept Dr. Hu's evidence that the facet joints are not readily seen either visually or even on X-rays or CAT scans. The ability to identify damage to facet joints on current medical imaging, is, at best,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my view, the weakness of the defence theory is that it considers the burst fracture in isolation and fails to explain the open wound and the bayoneting of the shinbone fragments. Dr. Fairbanks reported that the compound fracture indicated direct contact with a foreign object. Yet in testimony, even though he agreed that both injuries were caused by a similar mechanism of high impact contact, he did not agree they occurred at the same time. I do not accept his conclusion. Nor do I accept the argument that Mr. Kahl was run over by his own machine. That would be highly unlikely since he jumped off the rear of his snowmobile and to the side as it travelled forwards.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conclude that the burst fracture were caused by Mr. Jakobsson's snowmobile striking Mr. Kahl.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Injuries Sustained By Mr. Kahl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After the accident Mr. Kahl underwent open reduction and internal fixation of his lower leg fractures; a metal plate and eight screws were fixed to his left tibia. He remained in the hospital for five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For more than two months he had to sleep sitting up with his leg elevated on a pillow. He had difficulty sleeping because of his sore ribs, low back, and left leg. His cast was removed after about seven weeks. However, his leg and foot remained swollen and he had to wear open-toed shoes until November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December 2003, Mr. Kahl had surgery to remove the hardware in his leg because it caused him severe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burst fracture and bony protrusion into the spinal canal has resulted in spinal stenosis (a narrowing of the space in the canal). This affects the nerves and flow of blood in the low back area. Mr. Kahl suffers constant low back pain that radiates through his left buttock into his leg, cramps, numbness in his left thigh, numbness in both feet, and the occasional burning sensation in his right foot. The spinal stenosis is worsening and Mr. Kahl's pain symptoms and ability to function are also worsening.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pain worsens with walking, bending, lifting, or crouching, especially on hard surfaces, or sitting or standing for any length of time. The pain prevents him from sleeping through the night. Mr. Kahl cannot sit for longer than 30 minutes, walk slowly for more than 45 minutes, bend, stoop, crouch, or lift anything, without aggravating his pain symptoms. He has persistently tried physiotherapy, working out at the gym under the supervision of a kinesiologist, and a regular exercise program at home. He has done everything he can to improve his symptoms. Dr. Hu and Dr. Richardson recommend that Mr. Kahl undergo a further MRI scan because his increasing leg and nerve dysfunction suggest continued pressure on the nerves in his low back area. Depending on the results of the MRI he may require surgery, but he will likely continue to have pain even with surgery. According to Dr. Shawn McCann, Mr. Kahl's best case scenario is to avoid surgery by staying physically fit as best he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Kahl's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Kahl was born and raised in Kimberley. In 1995 he married Sylvia Kahl. They have no children, but Mr. Kahl has two sons from a previous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Kahl was the consummate outdoorsman. He is an avid hunter and began hunting when he was seven years old. As he grew older he began to "range" and hunt sheep, moose, elk, and deer. He took hunting trips to Toad River near Fort Nelson and Blue River near Kamloops where he would hike strenuously for many hours for several days. He once shot a 700-pound bull moose that he and his friend dragged to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To get into shape for the hunting season, after work and during the weekends from May to October he regularly walked to the top of Mount Kimberley ski hill at least 60 times. It took him about 35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 carried up to 70 pounds hiking and camping. He went jogging. He fished in creeks, rivers, and lakes. He has a 12-foot aluminium boat he used for fishing. He went cross-country skiing, snowshoeing, and riding on his all-terrain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Kahl's former recreational activities are a thing of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He can now only hunt from his truck on the backroads and on flat ground. He tried climbing Mount Kimberley but it caused so much pain in his back and legs that he had to quit. He tried snowshoeing in his five acre backyard but had to quit. He tried snowmobiling in his backyard but he has developed a phobia of people coming up behind him in vehicles and the snowmobile was too painful for his back. He sold his snowmobile. He can no longer enjoy the thrill of exploring in an all-terrain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can go for a slow walk with his wife along roads to and from their house, but he has to use poles and at the end of the walk he is in more discomfort than he was at the beginning. It is about as close as he can get to what used to be hiking in the wilderness. He can not hike into the hills, ridges, and mountains around Kimberley.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can no longer cross-country ski. He sold his Nordic Track that he used to get into shape for cross-country skiing. He cannot use his boat to go fishing because he cannot load and unload the boat onto the trailer. He cannot even bend over to do up his shoelaces. His wife ties up his shoelaces.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has a difficult time backing up when he is driving because he cannot turn his head around. Before the accident he purchased a "quad" so that he could attach a shovel to it and plough the snow in the winter. Because he cannot turn his head in order to back up, he now stands up with his knee on the banana seat so that he faces backwards when the quad is in reverse. However, he cannot plough the snow because he is no longer able to attach the shovel to the quad.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Kahl's Work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high school Mr. Kahl worked part-time as a helper/labourer at the Crestbrook Pulp Mill. In 1979 he obtained his DPW 2 welding ticket and began work at Cominco until October 1995 when he returned to work at Crestbrook, which is now known as Tembec. By all accounts he was a highly skilled and respected welder.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Based on his doctors' recommendations and a functional capacity evaluation Mr. Kahl began a gradual return to work in August 2004, more than two years after the accident. His welding tickets had lapsed so that he had to re-qualify by attending welding school from May to July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His regular shift was ten hours a day, four days a week from Tuesday to Friday. He returned to work four hours a day with light duties. In January 2005 he increased to six hours a day, but had to give that up at the end of February 2005 because of increased pain in his low back, both legs and feet. Dr. Van Zyl recommended he return to working four hours a day, but Mr. Kahl insisted on trying five hours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Kahl has been working five hours a day since March 2005 and his condition is getting worse. He has continued to work when others in his position would have given up long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Functional testing demonstrates that Mr. Kahl can no longer perform the physically demanding work of a welder. The work demands include crawling, climbing, kneeling or crouching, bending, lifting, overhead reaching, and working in awkward positions and confined spaces.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Kahl can no longer crawl, climb, kneel, crouch, lift weights greater than 30 to 40 pounds from floor to waist level, work in awkward positions, sit for more than 30 minutes, or stand for any length of time. Standing on the hard surface at work aggravates his pain symptoms. Sitting and walking aggravates the numbness.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Tembec has accommodated Mr. Kahl's disability by giving him light duties in the shop, providing a scissor-lift table, and a sit-stand chair. The light duties consist of making little brackets from two pieces of flat steel bar. He has made hundreds of them. It is menial work. Even so, he needs help from others lifting the steel bar. He has had to learn how to weld while sitting in a chair. It is not something he had to do before the accident. He was once proud of his work, but now feels he is "in a bubble looking out". He no longer feels he is part of the crew, but just "the guy in the shop doing the jobs nobody wants". He now works 20 hours a week even though under the terms of the collective agreement there is no provision for a part-time welder.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Tembec employees can ride a co-op shuttle bus between Kimberley and the pulp mill in Skookumchuk at a cost of $60 a month. Because Mr. Kahl works a short work day, he has to drive himself approximately 77 kilometres to and from work. Sitting in the car for the length of the drive aggravates his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Kahl takes days off work because of the pain. At least once a week he attends the first aid room and lies down with heat packs. He is in great discomfort at the end of a work day. When he returns home he must lie down for at least an hour. The level of pain increases towards the end of the week. The more he does, the worse his pain. He is never without pain. He takes 400 mg Ibuprofen tablets three to six times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Because of his forced reduced work week, Mr. Kahl's entitlement to weekly indemnity and long-term disability has been likewise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defence does not take issue with the opinion of Dr. Shawn McCann, a physical medicine and rehabilitation specialist: Mr. Kahl will never be able to return to his former position as a welder and he will have pain for the rest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Needless to say, he is depressed as a result of the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conclude that there is a real possibility that Mr. Kahl will not be able to continue working in his current job. I also conclude that before the accident, Mr. Kahl planned to work at Tembec until he was 65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his written argument, counsel for Mr. Kahl contends that as a trier of fact, this court should put itself in the position of a jury and disabuse itself of "all knowledge of the cap and specific details of catastrophic injuries suffered in the trilogy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 cannot agree. This Court remains bound by the trilogy and the rough upper limit is to be applied as a rule of law: </w:t>
      </w:r>
      <w:r>
        <w:rPr>
          <w:rFonts w:ascii="arial" w:eastAsia="arial" w:hAnsi="arial" w:cs="arial"/>
          <w:b/>
          <w:i/>
          <w:color w:val="000000"/>
          <w:sz w:val="20"/>
          <w:lang w:val="en-US" w:eastAsia="en-US" w:bidi="ar-SA"/>
        </w:rPr>
        <w:t>Lee v. Dawson</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[2006] B.C.J. No. 679</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2006 BCCA 159</w:t>
        </w:r>
      </w:hyperlink>
      <w:r>
        <w:rPr>
          <w:rFonts w:ascii="arial" w:eastAsia="arial" w:hAnsi="arial" w:cs="arial"/>
          <w:color w:val="000000"/>
          <w:sz w:val="20"/>
          <w:lang w:val="en-US" w:eastAsia="en-US" w:bidi="ar-SA"/>
        </w:rPr>
        <w:t xml:space="preserve"> at paras. 18 to 20 and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Kahl seeks general damages in the range of $160,000 to $200,000. For Mr. Jakobbson, it is argued that it should be in the range of $80,000 to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Counsel for the defendant referred to a number of cases dealing with fractures of the vertebrae; however what I consider significant is that Mr. Kahl will suffer pain for the rest of his life. I consider an award of general damages of $125,000 to be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Past income loss is agreed at $150,000.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at 399-400, the Court endorsed the oft-quoted passage of Mr. Justice Finch, as he then was, describing some of the factors to be considered in assessing damages under this head:</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(S.C.)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 concedes that Mr. Kahl's prognosis is guarded and he has a "meritorious claim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Walter Hartzell, a specialist in occupational health, opines that Mr. Kahl has a profound permanent functional impairment as a result of the chronic pain in his left lower leg and ankle condition that limits him to essentially sedentary work. His functional capacity cannot be substantially improved by further physical rehabilitation. The prognosis for further impairment due to his progressive degenerative spinal condition is significant, as will be the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Hartzell recommends that a kinesiologist supervise Mr. Kahl's exercise program and that he be assessed by a multi-disciplinary pain management team to learn how to manage his pain symptoms. Dr. Hartzell also recommends vocational assessment and assistance. The cost is between $750 and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Gordon Wallace, a registered Rehabilitation Professional, opines that Mr. Kahl's range of occupational options is extremely limited. Vocational Test Battery results disclose that Mr. Kahl is intelligent, with good academic skills, and a strong potential to learn new labour market skills. Dr. Wallace also recommends vocational counselling to identify occupations that could accommodate Mr. Kahl's residual physical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There is no doubt that Mr. Kahl would prefer to continue working at Tembec as long as he is able to do so. If his symptoms are such that he cannot continue working at Tembec, he is faced with two alternatives: working at low-skilled and low-paying positions (e.g., as a self-service gas bar attendant or car rental clerk); or taking an academic upgrading program followed by a formal training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Wallace gave examples of available training programs ranging from ten months to two years in fields such as industrial automation and electronic technician. The costs range from $4,250 to $8,000 at B.C.I.T. in Burnaby, Vancouver Community College, and Thompson Rivers University in Kamloops. Dr. Wallace recommends an ergonomic assessment because Mr. Kahl will have to be accommodated so that he could alternately sit and stand throughout the day not only during the course, but in any future occupation. Even then, if Mr. Kahl should eventually qualify for another occupation, his ability to work full-time will depend on his ability to deal with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At present, Mr. Kahl does not have the financial resources to move to Vancouver or elsewhere in order to pursue the necessary qualifications for an alternate career. Even if he were able to do so, he would be in his early 50's by the time he completed his qualifications. An older disabled worker returning to the work force is doubly disadvantaged by the preference for younger, non-disabled employees, assuming similar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Jutta Heinrichs, an economist with Associated Economic Consultants Ltd., prepared two reports for Mr. Kahl on the issue of loss of earning capacity. She presented three scenarios. First, assuming Mr. Kahl continues with his present work schedule at Tembec to age 65, his estimated loss of future earnings, assessed at $30,365 a year plus non-wage benefits, is $420,598. Assuming that Mr. Kahl is forced to leave Tembec, and does not retrain but continues to work six hours a day, five days a week at a low-paying job with annual earnings of around $17,200, his estimated loss of future earnings and non-wage benefits is $675,663. Finally, assuming Mr. Kahl leaves the work force to retrain as an electronic technician or similar occupation, working eight hours a day, earning a starting salary of $29,536, increasing to $37,440 for five years, and thereafter to $44,720, his loss of future earnings and non-wage benefits is $501,004.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Darren Benning of PETA Consultants Ltd. prepared a report for the defence in response. One of his criticisms is that only non-statutory, non-wage benefits should be considered; and therefore a factor of 7.5% of wages, rather than 15.5 % should be used. However, the defendant wisely contends that the variation in the total calculations is relatively modest in the scheme of things, and little useful purpose is served by analyzing the variations. For example, assuming Mr. Kahl continues to work half-time to age 65, Ms. Heinrichs calculates a loss of approximately $420,000, while Mr. Benning's calculation works out to $325,000.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claims $700,000 for loss of future earning capacity and non-wage benefits, less alternate employment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defendant argues that the average age for retirement, currently 61.5 years, should be used, and damages in the range of $150,000 to $200,000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An assessment of damages, particularly loss of earning capacity which is a capital asset, is not an exercise of mathematical precision. An award for loss of earning capacity is not based solely on an economic analysis, although the analysis may be used as a guide: see </w:t>
      </w:r>
      <w:r>
        <w:rPr>
          <w:rFonts w:ascii="arial" w:eastAsia="arial" w:hAnsi="arial" w:cs="arial"/>
          <w:b/>
          <w:i/>
          <w:color w:val="000000"/>
          <w:sz w:val="20"/>
          <w:lang w:val="en-US" w:eastAsia="en-US" w:bidi="ar-SA"/>
        </w:rPr>
        <w:t>Erickson-Louie v. Berland,</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[1999] B.C.J. No. 3093</w:t>
        </w:r>
      </w:hyperlink>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1999 BCCA 685</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I have indicated earlier, I find that Mr. Kahl had no plans for early retirement. I accept Mrs. Kahl's evidence that she and her husband never discussed the prospect of early retirement. They had a mortgage that still had to be paid off, they enjoyed working, and they both have a strong work ethic.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Given Mr. Kahl's functional impairment and the real possibility that it will deteriorate and he cannot continue working at his current level, I consider an award of $450,000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Kahl claims $35,000 for cost of future care based on: (a) loss of household services and handyman capacity including household chores, cutting the grass, removing the snow, and other work he used to do in and around the house, but can no longer do; (b) fitness fees of $900 a year; and (c) cost of care associated with further treatments and surgery at $2,000 a year. He claims a further $35,000 based on: (d) the $5,623.04 annual difference between the cost of driving his vehicle and the cost of taking the shuttle bus to and from Tembec, to the age of 65; and (e) medication at a cost of $233.60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 submits that an appropriate assessment would be in the range of $20,000 to $25,000. The defendant properly contends that surgery and most of the treatments will be covered by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Kahl has to travel for some of his medical treatments, such as his last MRI which took place in Idaho; he used to share the housework with his wife; he will have to hire others to carry out work he used to do himself; there is a real possibility he will undergo a vocational assessment and perhaps retraining; and he requires intensive treatment or therapy to learn how to deal with or manage his pain. He can no longer reasonably take the shuttle bus to work, but there is a real likelihood he cannot continue working at Tembec to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consider an award of $50,000 for cost of future care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Kahl seeks special damages totalling $10,403.22 for medication totalling $991.54 and the balance for mileage at $0.40 per km. The mileage includes travelling to welding school in Cranbrook, travelling to the pulp mill because Mr. Kahl can no longer take the shuttle bus because of the hours he works, and travel to various medical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defendant's only argument is that the rate of $0.30 should apply because that is the amount allowed under Schedule 3, Appendix C of the </w:t>
      </w:r>
      <w:r>
        <w:rPr>
          <w:rFonts w:ascii="arial" w:eastAsia="arial" w:hAnsi="arial" w:cs="arial"/>
          <w:i/>
          <w:color w:val="000000"/>
          <w:sz w:val="20"/>
          <w:lang w:val="en-US" w:eastAsia="en-US" w:bidi="ar-SA"/>
        </w:rPr>
        <w:t>Rule of Court</w:t>
      </w:r>
      <w:r>
        <w:rPr>
          <w:rFonts w:ascii="arial" w:eastAsia="arial" w:hAnsi="arial" w:cs="arial"/>
          <w:color w:val="000000"/>
          <w:sz w:val="20"/>
          <w:lang w:val="en-US" w:eastAsia="en-US" w:bidi="ar-SA"/>
        </w:rPr>
        <w:t xml:space="preserve"> and it would be useful if there was certainty and uniformity on mileage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Special damages are out-of-pocket expenses incurred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Seldom is the plaintiff questioned in detail on his or her mileage claim. That is likely because the plaintiff will have difficulty answering questions such as the miles or kilometres per gallon he or she gets from a vehicle, the cost of fuel on any particular day, and the amount of wear and tear. Mileage is generally treated more in the way of an allowance.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1990, Schedule 3 to Appendix C provided that travelling expenses for witnesses were not to exceed $0.20 a mile. That was changed in 1991 to $0.30 and the distance changed to kilometres. The rate has not changed in 15 years and on that basis alone likely does not reflect a witnesses' actual out-of-pocket expenses. On that basis I consider the mileage claim reasonable and award $10,403.22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summary, the plaintiff is awarded damages totalling $785,403.22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823"/>
        <w:gridCol w:w="2510"/>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928"/>
        <w:gridCol w:w="2405"/>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451"/>
        <w:gridCol w:w="188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732"/>
        <w:gridCol w:w="3241"/>
        <w:gridCol w:w="209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764"/>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10,403.22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1987"/>
        <w:gridCol w:w="2718"/>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$785.403.22</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parties made no submissions with respect to costs. If they cannot agree, they may make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7" style="position:absolute;z-index:2518200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8" w:history="1">
        <w:r>
          <w:rPr>
            <w:rFonts w:ascii="arial" w:eastAsia="arial" w:hAnsi="arial" w:cs="arial"/>
            <w:b/>
            <w:bCs/>
            <w:i/>
            <w:color w:val="0077CC"/>
            <w:kern w:val="32"/>
            <w:sz w:val="28"/>
            <w:szCs w:val="32"/>
            <w:u w:val="single"/>
            <w:shd w:val="clear" w:color="auto" w:fill="FFFFFF"/>
            <w:lang w:val="en-US" w:eastAsia="en-US" w:bidi="ar-SA"/>
          </w:rPr>
          <w:t>Kordyban v. Windmill Orchards Ltd., [2000] B.C.J. No. 407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Penticton,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Tysoe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4 - 8, 1999 and January 4 - 7,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submissisions: January 21 and 28,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Video-conference submissions: February 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Penticton Registry No. 15111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407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348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J. Kordyban, plaintiff, and Windmill Orchards Ltd. and Wilhelmus J.B. Boerboom,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8"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9" w:name="Keywords_8"/>
      <w:bookmarkEnd w:id="59"/>
      <w:r>
        <w:rPr>
          <w:rFonts w:ascii="arial" w:eastAsia="arial" w:hAnsi="arial" w:cs="arial"/>
          <w:b/>
          <w:color w:val="000000"/>
          <w:sz w:val="20"/>
          <w:lang w:val="en-US" w:eastAsia="en-US" w:bidi="ar-SA"/>
        </w:rPr>
        <w:t xml:space="preserve">Sale of goods — Conditions and warranties — Implied or statutory terms as to quality or fitness — Fitness or suitability of goods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Effect of customary trade practice — Contracts — Express terms — Representations.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0" w:name="Case Summary_8"/>
            <w:bookmarkEnd w:id="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Kordyban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breaches of an implied condition in connection with the supply, planting and maintenance of trees for an apple orchard. Kordyban arranged for the defendant Boerboom, an orchardist, to replant an apple orchard on Kordyban's property. Boerboom replanted the orchard and maintained it for several years. He also acted as agent for the defendant Windmill Orchards, the supplier of the trees. Kordyban claimed that Boerboom breached an oral contract respecting the orchard. He alleged that there were warranties that the orchard would be superior, commercially viable, and produce 56 bins of apples per acre by the fifth year. Kordyban alleged that Boerboom was negligent in the replanting and maintenance of the orchard. He stated that Boerboom did not test the pH level of the soil, that he should have limed the soil, that he should have tested for replant disease, that the trees supplied were diseased, that some trees were planted too deeply, that the support posts for the trees and irrigation system were not deep enough into the ground, that Boerboom planted an inferior variety of apple, that the irrigation system was installed inadequately, and that the fertilization was inadequate. He stated that Boerboom negligently misrepresented the potential of the orchard. Kordyban also alleged that neither the trees nor the support posts were reasonably fit for the purpose.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1" w:name="Holdings of Court_7"/>
            <w:bookmarkEnd w:id="6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breach of contract. The orchard was planted in the same fashion as Boerboom's orchard, using the same varieties of apples. The warranties alleged by Kordyban were not part of the contract, but rather qualified discussions about the potential of the orchard. Boerboom met the necessary standard of care with respect to the planting and maintenance of the orchard with one exception. The support posts for the irrigation system were installed negligently, as they were not dug deep enough into the ground. The cost of replacing the posts was assessed at $350. No evidence as to the labour costs was adduced, so labour was not awarded. There was no negligent misrepresentation. Windmill Orchards breached the implied condition of fitness with respect to the diseased trees. It was estimated that 250 trees were affected and the replacement cost was assessed at $1,750. There was no evidence respecting the labour costs or lost productivity from the diseased trees, so there were no awards for those items.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2" w:name="Legislation Cited_5"/>
      <w:bookmarkEnd w:id="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9"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Sale of Goods Act, </w:t>
      </w:r>
      <w:hyperlink r:id="rId199" w:history="1">
        <w:r>
          <w:rPr>
            <w:rFonts w:ascii="arial" w:eastAsia="arial" w:hAnsi="arial" w:cs="arial"/>
            <w:i/>
            <w:color w:val="0077CC"/>
            <w:sz w:val="20"/>
            <w:u w:val="single"/>
            <w:shd w:val="clear" w:color="auto" w:fill="FFFFFF"/>
            <w:lang w:val="en-US" w:eastAsia="en-US" w:bidi="ar-SA"/>
          </w:rPr>
          <w:t>R.S.B.C. 1996, c. 410, s. 18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June 9, 2000 ( </w:t>
            </w:r>
            <w:hyperlink r:id="rId200" w:history="1">
              <w:r>
                <w:rPr>
                  <w:rFonts w:ascii="arial" w:eastAsia="arial" w:hAnsi="arial" w:cs="arial"/>
                  <w:i/>
                  <w:color w:val="0077CC"/>
                  <w:sz w:val="18"/>
                  <w:u w:val="single"/>
                  <w:shd w:val="clear" w:color="auto" w:fill="FFFFFF"/>
                  <w:lang w:val="en-US" w:eastAsia="en-US" w:bidi="ar-SA"/>
                </w:rPr>
                <w:t>[2000] B.C.J. No. 1098</w:t>
              </w:r>
            </w:hyperlink>
            <w:r>
              <w:rPr>
                <w:rFonts w:ascii="arial" w:eastAsia="arial" w:hAnsi="arial" w:cs="arial"/>
                <w:color w:val="000000"/>
                <w:sz w:val="18"/>
                <w:lang w:val="en-US" w:eastAsia="en-US" w:bidi="ar-SA"/>
              </w:rPr>
              <w:t xml:space="preserve">) and August 18, 2000 ( </w:t>
            </w:r>
            <w:hyperlink r:id="rId201" w:history="1">
              <w:r>
                <w:rPr>
                  <w:rFonts w:ascii="arial" w:eastAsia="arial" w:hAnsi="arial" w:cs="arial"/>
                  <w:i/>
                  <w:color w:val="0077CC"/>
                  <w:sz w:val="18"/>
                  <w:u w:val="single"/>
                  <w:shd w:val="clear" w:color="auto" w:fill="FFFFFF"/>
                  <w:lang w:val="en-US" w:eastAsia="en-US" w:bidi="ar-SA"/>
                </w:rPr>
                <w:t>[2000] B.C.J. No. 1680</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3" w:name="Counsel_8"/>
      <w:bookmarkEnd w:id="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Douglas M. King, Tyrone A. Duerr and T. Richard Brooke, Q.C., for the plaintiff. C. Mark Ferguson-Davie,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4" w:name="Judgment_8"/>
      <w:bookmarkEnd w:id="64"/>
      <w:r>
        <w:pict>
          <v:line id="_x0000_s1071" style="position:absolute;z-index:2518210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5" w:name="TYSOE J."/>
            <w:bookmarkEnd w:id="65"/>
            <w:r>
              <w:rPr>
                <w:rFonts w:ascii="arial" w:eastAsia="arial" w:hAnsi="arial" w:cs="arial"/>
                <w:b/>
                <w:color w:val="000000"/>
                <w:sz w:val="30"/>
                <w:lang w:val="en-US" w:eastAsia="en-US" w:bidi="ar-SA"/>
              </w:rPr>
              <w:t>TYSOE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claims against the Defendants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breaches of a condition implied by the Sale of Goods Act</w:t>
      </w:r>
      <w:bookmarkStart w:id="66"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66"/>
      <w:r>
        <w:rPr>
          <w:rFonts w:ascii="arial" w:eastAsia="arial" w:hAnsi="arial" w:cs="arial"/>
          <w:color w:val="000000"/>
          <w:sz w:val="20"/>
          <w:lang w:val="en-US" w:eastAsia="en-US" w:bidi="ar-SA"/>
        </w:rPr>
        <w:t xml:space="preserve"> in connection with the supply, planting and maintenance of trees for an apple orchard in Summerland,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Kordyban's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a medical doctor who was practicing medicine in Alberta when he decided in 1993 that he wanted to undergo a life style change and that he would investigate the possibility of becoming a part-time doctor and a part-time orchardist. Although he had grown up on a farm, Dr. Kordyban had no experience in the orcharding business. He travelled to Summerland in the summer of 1993 at the suggestion of a friend who had moved from Alberta and established an organic farm in Summerland. Dr. Kordyban's friend introduced him to the Defendant, Wilhelmus Boerboom, whom the friend considered to be an expert on apple orchards.</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Mr. Boerboom's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Boerboom has spent his working career in the orchard business. He was born in Holland, where his father had a fruit farm. He learned the orchard business in Holland and received a certificate as a professional orchardist. He moved to Canada, where he settled in Summerland, in 1976.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Boerboom worked at the Research Station in Summerland from 1978 to 1984, during which time he planted a couple of acres of orchard. During this period he also planted apple and cherry orchards at his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Mr. Boerboom left the Research Station, he entered the nursery business and purchased an orchard near the hospital in Summerland, which was called the Hospital Orchard during the course of the trial. Mr. Boerboom replanted the Hospital Orchard with apple trees in three phases during 1985, 1986 and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Boerboom subsequently purchased two adjacent apple orchards in the Jones Flat Road area in Summerland. He replanted the first orchard in 1987 or 1988 and he replanted the second one in 1993.</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Replantings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being introduced by Dr. Kordyban's friend, Mr. Boerboom gave Dr. Kordyban a tour of his orchards. Dr. Kordyban was impressed by the orchards, particularly the Hospital Orchard, and he told Mr. Boerboom that he wanted an orchard just like the Hospital Orchard.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fall of 1993 Dr. Kordyban completed the purchase of a 5.5 acre parcel of an existing apple orchard across the street from Mr. Boerboom's Jones Flat orchards. An arrangement was made between Dr. Kordyban and Mr. Boerboom that Mr. Boerboom would remove the existing apple trees and replant the orchard with new apples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Kordyban returned to his medical practice in Alberta for the winter of 1993-94 and came back to Summerland in the spring of 1994. During his absence, in the fall of 1993 and the spring of 1994, Mr. Boerboom caused the 5.5 acre parcel to be cleared of the old trees and replanted with new apple trees. Dr. Kordyban was pleased with the replanting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the summer of 1994, the person who sold the 5.5 parcel to Dr. Kordyban agreed to sell him a further 3.65 acres of adjoining orchard. An arrangement was made between Dr. Kordyban and Mr. Boerboom that Mr. Boerboom would cause the additional 3.65 acres to be replanted in the same fashion as the 5.5 acre parcel had been replanted. The clearing and replanting took place prior to the 1995 growing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is a dispute on the evidence as to what arrangement, if any, was made between Dr. Kordyban and Mr. Boerboom with respect to the husbandry of Dr. Kordyban's orchard (the "Kordyban Orchard" or the "Orchard") after it was replanted. Dr. Kordyban testified that Mr. Boerboom agreed to look after the Kordyban Orchard for the first two years after the replanting. Mr. Boerboom testified that the agreements between the parties were restricted to the replanting of the two phases of the Kordyban Orchard and that he simply had his right hand man look after the Kordyban Orchard when Dr. Kordyban was in Alberta. In any event, Mr. Boerboom's right hand man died in May 1995, at which time Mr. Boerboom told Dr. Kordyban that he could not look after the Kordyban Orchard any longer but was willing to give him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Thereafter, Mr. Boerboom had no further involvement with the Kordyban Orchard except (i) he arranged for the person spraying his orchards in 1995 to also spray the Kordyban Orchard, and (ii) in 1995 and 1996 he attended to trees in the Kordyban Orchard which were affected by a condition called European Canker. The relationship between the two men had deteriorated significantly by the time this action was commenced in 1997.</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Dr. Kordyban alleges that the replanting and maintenance of the Kordyban Orchard by Mr. Boerboom was deficient in numerous respects. I will summarize the alleged deficiencies under headings which I will repeat when discussing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later in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13a</w:t>
      </w:r>
      <w:r>
        <w:rPr>
          <w:rFonts w:ascii="arial" w:eastAsia="arial" w:hAnsi="arial" w:cs="arial"/>
          <w:color w:val="000000"/>
          <w:sz w:val="20"/>
          <w:lang w:val="en-US" w:eastAsia="en-US" w:bidi="ar-SA"/>
        </w:rPr>
        <w:t>  1. Lack of Soil Testing - it is alleged that Mr. Boerboom did not test the pH level of the soil prior to the replanting and that he should have limed the soil at the time of the replanting to increase its pH level towards the optimum level of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13b</w:t>
      </w:r>
      <w:r>
        <w:rPr>
          <w:rFonts w:ascii="arial" w:eastAsia="arial" w:hAnsi="arial" w:cs="arial"/>
          <w:color w:val="000000"/>
          <w:sz w:val="20"/>
          <w:lang w:val="en-US" w:eastAsia="en-US" w:bidi="ar-SA"/>
        </w:rPr>
        <w:t>  2. Lack of Replant Testing - it is alleged that Mr. Boerboom did not test the soil for a condition known as replant disease and that he should have fumigated the soil to sterilize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13c</w:t>
      </w:r>
      <w:r>
        <w:rPr>
          <w:rFonts w:ascii="arial" w:eastAsia="arial" w:hAnsi="arial" w:cs="arial"/>
          <w:color w:val="000000"/>
          <w:sz w:val="20"/>
          <w:lang w:val="en-US" w:eastAsia="en-US" w:bidi="ar-SA"/>
        </w:rPr>
        <w:t>  3. European Canker - some of the trees supplied by Mr. Boerboom had European Canker and it is alleged that he did not deal with the condition properly, with the result that the canker has spread in the Kordyban Orchard.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13d</w:t>
      </w:r>
      <w:r>
        <w:rPr>
          <w:rFonts w:ascii="arial" w:eastAsia="arial" w:hAnsi="arial" w:cs="arial"/>
          <w:color w:val="000000"/>
          <w:sz w:val="20"/>
          <w:lang w:val="en-US" w:eastAsia="en-US" w:bidi="ar-SA"/>
        </w:rPr>
        <w:t>  4. Scion Rooting - it is alleged that some of the trees were planted too deeply by Mr. Boerboom and that they lost their dwarf nature as a result of such deep planting and do not bear fruit at a high density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13e</w:t>
      </w:r>
      <w:r>
        <w:rPr>
          <w:rFonts w:ascii="arial" w:eastAsia="arial" w:hAnsi="arial" w:cs="arial"/>
          <w:color w:val="000000"/>
          <w:sz w:val="20"/>
          <w:lang w:val="en-US" w:eastAsia="en-US" w:bidi="ar-SA"/>
        </w:rPr>
        <w:t>  5. Spindles - it is alleged that the spindles, which are the support posts for the trees and irrigation system, were not pounded deep enough into the ground and that some of the spindles are not adequately supporting 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13f</w:t>
      </w:r>
      <w:r>
        <w:rPr>
          <w:rFonts w:ascii="arial" w:eastAsia="arial" w:hAnsi="arial" w:cs="arial"/>
          <w:color w:val="000000"/>
          <w:sz w:val="20"/>
          <w:lang w:val="en-US" w:eastAsia="en-US" w:bidi="ar-SA"/>
        </w:rPr>
        <w:t>  6. Varieties - Mr. Boerboom planted five varieties of apple trees and Dr. Kordyban is critical of his choice of the Elstar variety.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13g</w:t>
      </w:r>
      <w:r>
        <w:rPr>
          <w:rFonts w:ascii="arial" w:eastAsia="arial" w:hAnsi="arial" w:cs="arial"/>
          <w:color w:val="000000"/>
          <w:sz w:val="20"/>
          <w:lang w:val="en-US" w:eastAsia="en-US" w:bidi="ar-SA"/>
        </w:rPr>
        <w:t>  7. Irrigation System - it is alleged that the irrigation system is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13h</w:t>
      </w:r>
      <w:r>
        <w:rPr>
          <w:rFonts w:ascii="arial" w:eastAsia="arial" w:hAnsi="arial" w:cs="arial"/>
          <w:color w:val="000000"/>
          <w:sz w:val="20"/>
          <w:lang w:val="en-US" w:eastAsia="en-US" w:bidi="ar-SA"/>
        </w:rPr>
        <w:t>  8. Nutrition Program - it is alleged that the foliar and soil nutrition programs used by Mr. Boerboom during the first year following the replanting were inappropriate.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Court did not number these paragraphs. Quicklaw has assigned numbers 13a - 13h.]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issues raised by the pleadings and counsels' submissions are as follows: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contract between the Plaintiff and the Defendants in connection with the replanting of the Kordyban Orchard?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a contract, were its terms breached by the Defendants?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negligent in connection with the replanting of the Kordyban Orchard?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make negligent misrepresentations to the Plaintiff?</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a condition implied by the Sales of Goods Act?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Defendants are liable to the Plaintiff, what damages are payable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find that there was a contract between Dr. Kordyban and Mr. Boerboom with respect to the replanting of the two phases of the Kordyban Orchard. I find that the terms of the contract were as follows: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Boerboom would replant the two phases of the Kordyban Orchard in the same fashion as he had replanted the Hospital Orchard except that the Kordyban Orchard was to have an overhead irrigation system;</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Boerboom would pass on to Dr. Kordyban the costs of the replanting the two phases of the Kordyban Orchard with a markup on the trees supplied by Mr. Boerboom.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were actually two separate contracts, one dealing with the first phase and the other dealing with the second phase. The terms of the two contracts were identical.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that the contracts did not include a term with respect to the varieties of trees to be planted by Mr. Boerboom other than that the same varieties as existed in the Hospital Orchard were to be planted in the Kordyban Orchard. I also find that it was not a term of the contracts that Mr. Boerboom would manage the Kordyban Orchard.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further find that the two contracts were entered into between Dr. Kordyban and Mr. Boerboom. Counsel for the Defendants acknowledge that Dr. Kordyban was unaware of any involvement of Windmill Orchards Ltd. until well after the replanting project was underway and concedes that any judgment in relation to the contract ought to go against Mr. Boerboom.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Dr. Kordyban submits that Mr. Boerboom made certain representations to Dr. Kordyban about the Kordyban Orchard. He says that these representations constituted warranties and, in addition, that they constituted negligent misrepresentations. I will deal at this point with the issue of whether any warranties were given by Mr. Boerboom and I will deal with the allegation of negligent misrepresentations under a separate heading later in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alleged warranties were that the Kordyban Orchard would (i) be a commercially viable orchard, (ii) be a superior orchard and (iii) produce 56 bins of apples per acre by the fifth year of the replanted orchard.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find that Mr. Boerboom did not make unqualified representations on these topics. While he acknowledged that it was the intention for the Kordyban Orchard to be commercially viable and that he estimated to Dr. Kordyban that the Kordyban Orchard could produce a minimum of 50 bins per acre by the sixth year, Mr. Boerboom denied that he guaranteed any production numbers because the success of the Kordyban Orchard would depend on the horticultural practices of the person managing it. In his cross-examination Dr. Kordyban acknowledged that Mr. Boerboom had explained to him that his production yield could vary greatly depending on his husbandry techniques.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find that the conversations between Mr. Boerboom and Dr. Kordyban in connection with the commercial viability and production level of the proposed Kordyban Orchard were qualified discussions about the potential of the Kordyban Orchard and that the two contracts did not contain any warranties.</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Contract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find that none of the terms of the two identical contracts were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Boerboom testified that he replanted the two phases of the Kordyban Orchard in the same fashion as he had replanted the Hospital Orchard with the exception of adding the overhead irrigation system to the Kordyban Orchard. There is no evidence to the contrary. There is no allegation that Mr. Boerboom overcharged Dr. Kordyban.</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correspond to the complaints which I outlined above. I will use the same headings in discussing them.</w:t>
      </w:r>
      <w:r>
        <w:rPr>
          <w:rFonts w:ascii="arial" w:eastAsia="arial" w:hAnsi="arial" w:cs="arial"/>
          <w:sz w:val="20"/>
          <w:lang w:val="en-US" w:eastAsia="en-US" w:bidi="ar-SA"/>
        </w:rPr>
        <w:cr/>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Soil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is no doubt that Mr. Boerboom would have been negligent if he had not conducted a soil test prior to the planting.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accept the evidence of Mr. Boerboom that he did submit a properly collected soil sample in respect of both phases of the Kordyban Orchard in January 1994 and that the analysis of the sample showed a pH level of 6.6. This pH level was sufficiently close to the optimum level of 7.0 that liming was not necessary to increase the pH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One of the documents introduced into evidence at trial was the analysis of soil testing apparently conducted by a third party on the Kordyban Orchard in August 1994 and it showed a pH level of 5.4. I accept Mr. Boerboom's denial of knowledge of this soil test prior to the commencement of this litigation. In addition, although the document was entered as an exhibit by agreement of counsel, there was no evidence about the taking of the soil test, and I decline to rely on it to conclude that the average pH level for the entire Kordyban Orchard was 5.4 in August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was also a complaint made against Mr. Boerboom that he did not add lime to the planting holes for the trees to counteract the low pH level of the peat inserted in the holes. Mr. Boerboom testified that he did not add lime to the planting holes because it would burn the roots, and he was apparently unaware of a type of lime (i.e., dolomite lime) which does not burn vegetation. Mr. Boerboom was also of the mistaken impression that the pH level of the peat was higher than its actual level. However, there is no evidence that it is a standard procedure of orchardists to add lime to peat used in planting holes or that the use of the peat in the planting holes significantly lowered the pH level of the Kordyban Orchard to the extent that additional lime should have been applied.</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Replant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that Mr. Boerboom exercised the requisite standard of care in connection with soil testing of, and application of lime to, the Kordyban Orchard.</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Replant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evidence is clear that Mr. Boerboom did not conduct a replant test and that he did not fumigate the soil prior to the replantings. Mr. Boerboom testified that he used the procedure of inserting peat and the fertilizer known as 11-55-0 in each planting hole and that this procedure, coupled with proper ongoing horticultural practices, will deal with any replant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expert who gave opinions at trial on behalf of Dr. Kordyban was Mr. Stathers, who holds a Masters of Science in the fields of micrometeorology and soil physics. Mr. Stathers has worked primarily in the forestry industry but he has owned and operated an apple orchard in Penticton since 1994. He has also assisted other orchardists.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Although it is not stated clearly in his report, it appears that Mr. Stathers is of the opinion that the poor tree vigor and low crop yields in the Kordyban Orchard have been caused by the existence of replant disease. Mr. Stathers is of the opinion that a replant test should have been undertaken by Mr. Boerboom prior to the replantings. Mr. Stathers does not have the required training or experience to give an opinion with respect to the standard of care applicable to the replanting of apple orchards.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Such an opinion was given by Mr. Campbell, the expert who provided a report on behalf of Mr. Boerboom. Mr. Campbell holds a Bachelor of Science in Agriculture and has 25 years experience in tree fruits in his capacities as consultant, employee and operator of his own orchard. Mr. Campbell was the program manager of the replant program sponsored by the Okanagan Valley Tree Fruit Authority at its inception in 1991 and continues to be involved in the program in his current capacity as tree fruit specialist with the Ministry of Agriculture and Foods.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Campbell said the following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prefer growers to test for replant disease or fumigate to mitigate the replant disease potential, but because of logistic problems in getting these jobs done, many growers (75%) are successfully replanting without the replant bioassay test or fumigating. (See Replanting for the Future, Tree Fruit Yield and Price Survey June 1999). The proven practice of peat and 11-55-0 in the planting hole was (as reported by Wim Boerboom) done and should have, with on going, well managed nutrition, other cultural and irrigation practices, resulted in good growth and subsequent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his testimony Mr. Campbell stated it is a normal practice of orchardists to use the method employed by Mr. Boerboom even when there had been no replant test. Mr. Campbell expressed the opinion in his report that Mr. Boerboom completed the two replant projects for Dr. Kordyban with acceptable horticultural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for Dr. Kordyban submits that the minimum standard of care applicable to the replanting was represented by the literature issued by the Okanagan Valley Tree Fruit Authority, which encouraged testing for replant disease and which stated that fumigation was one method to deal with replant disease. However, Mr. Campbell, who was the author of some of this literature, testified that the planting method utilized by Mr. Boerboom was an acceptable alternative. In addition, Mr. Campbell testified that he and other experts now agree with the following paragraph from an article about replant disease by Dr. Utkhede of the Summerland Research Station: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chemical control of replant disease with soil fumigation is a popular means with growers, it is not an attractive approach. The effectiveness of volatile fumigants is influenced by temperature and moisture. Also, the application of fumigants is difficult, expensive, and hazardous to the applicator. Moreover, soil fumigation is believed to destroy the natural equilibrium between pathogens and antagonistic microorganisms in soil (Baker 1957, Munnecke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the whole of the evidence, it has not been proven that Mr. Boerboom breached the standard of care by using his planting method rather than testing for replant disease and/or fumigating the soil.</w:t>
      </w:r>
      <w:r>
        <w:rPr>
          <w:rFonts w:ascii="arial" w:eastAsia="arial" w:hAnsi="arial" w:cs="arial"/>
          <w:sz w:val="20"/>
          <w:lang w:val="en-US" w:eastAsia="en-US" w:bidi="ar-SA"/>
        </w:rPr>
        <w:cr/>
      </w:r>
    </w:p>
    <w:p>
      <w:pPr>
        <w:numPr>
          <w:numId w:val="1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European Canker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connection with the trees afflicted with European Canker is that Mr. Boerboom should have removed all of the afflicted trees rather than scrape off the fungus from some of the trees and that the European Canker has spread in the Kordyban Orchard.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will return to the topic of European Canker when I am discussing the claim based on the Sale of Goods Act. At this stage I will deal with the allegation that the European Canker has spread in the Kordyban Orchard.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his report Mr. Stathers stated that the failure of Mr. Boerboom to remove the afflicted trees resulted in a further spread of the disease to adjacent trees. However, Mr. Stathers is not an expert on European Canker and I find that he based his conclusion on Dr. Kordyban's advice that it was spreading.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1997 Dr. Kordyban did contact an acknowledged expert on European Canker, Dr. Rahe of Simon Fraser University. Dr. Rahe was not called as an expert witness. At the time his advice was sought, Dr. Rahe recommended that the location of all affected trees be mapped, with the view that the locations of any new cankers might assist in determining whether the disease was spreading to adjacent healthy trees. This was not done by Dr. Kordyban.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Campbell expressed the belief that European Canker is not a significant problem in the Okanagan Valley because it is too dry for the disease to spread.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there is no evidence from a plant pathologist that the European Canker is spreading in the Kordyban Orchard and as Dr. Kordyban did not take the recommended step to attempt to determine whether there was any spreading, I find that it has not been proven on a balance of probabilities that the European Canker has spread in the Kordyban Orchard.</w:t>
      </w:r>
      <w:r>
        <w:rPr>
          <w:rFonts w:ascii="arial" w:eastAsia="arial" w:hAnsi="arial" w:cs="arial"/>
          <w:sz w:val="20"/>
          <w:lang w:val="en-US" w:eastAsia="en-US" w:bidi="ar-SA"/>
        </w:rPr>
        <w:cr/>
      </w:r>
    </w:p>
    <w:p>
      <w:pPr>
        <w:numPr>
          <w:numId w:val="1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Scion Rooting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Kordyban complained to Mr. Stathers that Mr. Boerboom planted some trees too deeply. Mr. Stathers commented in his report that these trees should be monitored to ensure that they do become too vigorous and he stated that they may have to be replaced if they do become too vigorous.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Campbell noted Mr. Boerboom's acknowledgment that it was necessary to plant some low budding trees deeply in order to cover their roots but Mr. Campbell did not consider it to be a contributing factor to the Kordyban Orchard's productivity.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my view, it has not been proven that any trees in the Kordyban Orchard need to be replaced as a result of scion rooting or that the productivity of the Kordyban Orchard has been adversely affected as a result of scion rooting.</w:t>
      </w:r>
      <w:r>
        <w:rPr>
          <w:rFonts w:ascii="arial" w:eastAsia="arial" w:hAnsi="arial" w:cs="arial"/>
          <w:sz w:val="20"/>
          <w:lang w:val="en-US" w:eastAsia="en-US" w:bidi="ar-SA"/>
        </w:rPr>
        <w:cr/>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Spindles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Kordyban testified that the spindles, which are the posts used to support the apple trees and overhead irrigation system, were pounded only 8 to 12 inches into the ground by Mr. Boerboom's worker and that some of them have blown over and others are leaning. In his opinion, there are approximately 1,000 affected posts which should be pounded two feet into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his report Mr. Stathers commented that the support posts had only been installed to approximately 30 cm. into the ground and expressed the view that many of the trees may collapse when fully loaded with a crop. Mr. Stathers did not disclose whether he obtained his information from Dr. Kordyban or from his own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Boerboom testified that the spindles were pounded into the ground to the recommended level of 50 cm. He admitted that he made a mistake in connection with approximately 185 posts which supported the overhead irrigation system as well as the apple trees. He should have used longer posts and pounded them another foot into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Campbell inspected the Kordyban Orchard in November 1999 and gave the opinion that the support system had been installed according to the guidelines of the Okanagan Valley Tree Fruit Authority. One of the witnesses called by Dr. Kordyban, Mr. Runzer of Bylands Nursery, testified that when he walked the Kordyban Orchard in September 1998, he noticed that a few posts were leaning but he expressed the view that this occurs in most orchards and is not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with the exception of the posts supporting the overhead irrigation system, it has not been proven on a balance of probabilities that Mr. Boerboom did not exercise the requisite standard of care when installing the spindles. I find that Mr. Boerboom's testimony of his mistake with respect to the posts supporting the overhead irrigation system constitutes an admission that he did not exercise the requisite standard of care in installing these posts.</w:t>
      </w:r>
      <w:r>
        <w:rPr>
          <w:rFonts w:ascii="arial" w:eastAsia="arial" w:hAnsi="arial" w:cs="arial"/>
          <w:sz w:val="20"/>
          <w:lang w:val="en-US" w:eastAsia="en-US" w:bidi="ar-SA"/>
        </w:rPr>
        <w:cr/>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Varieties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Kordyban testified that the Elstar variety of apple tree planted by Mr. Boerboom, which accounts for approximately 13% of the Kordyban Orchard, is not commercially viable. He testified that Elstar apples are at the very bottom of the price scale and that last year he was only paid 13 cents a pound by the packing house for his Elstar apples. Mr. Stathers stated in his report that it may be advisable to replace the Elstar variety with newer varieties that provide better economic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Boerboom testified that he planted Elstar trees in the Kordyban Orchard because he had them in the Hospital Orchard and he had agreed to replant the Kordyban Orchard in the same fashion as he had replanted the Hospital Orchard. He also testified that he believed that each of the replanted varieties had good commercial value and that he has a good market for the Elstar apples grown on his orchards.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While the benefit of hindsight may suggest that the Elstar variety was not a good choice of variety, it has not been proven that Mr. Boerboom breached the applicable standard of care at the time of the replantings by planting Elstar trees. Dr. Kordyban contracted for the same varieties as existed in the Hospital Orchard to be planted in his orchard. Mr. Boerboom planted those varieties and he had no reason to believe that the Elstar variety would not be commercially viable. Mr. Boerboom says that the Elstar apples are commercially viable. There is no evidence that Mr. Boerboom planted Elstar trees in the Kordyban Orchard after it became known that the Elstar variety would not be commercially viable. At most, Mr. Boerboom's decision to grow Elstar apples in the Hospital Orchard and the Kordyban Orchard was an error in judgment. It was not proven that the making of his decision fell short of the applicable standard of care.</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Irrigation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alleged that Mr. Boerboom was negligent because he did not follow the recommendation of the supplier of the irrigation system to hook up the system to two water mains and that inadequate water is available at the hottest times of the growing system. Mr. Stathers stated in his report that the irrigation system may need to be modified to meet the water demand in each of the watering zones.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Boerboom testified that he only hooked up the irrigation system to one water main because he thought that it would be sufficient and that it would achieve a saving for Dr. Kordyban.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written submissions, counsel for Dr. Kordyban stated that in order to for a defendant to be found negligent, it is trite law that the following must be proven:</w:t>
      </w:r>
      <w:r>
        <w:rPr>
          <w:rFonts w:ascii="arial" w:eastAsia="arial" w:hAnsi="arial" w:cs="arial"/>
          <w:sz w:val="20"/>
          <w:lang w:val="en-US" w:eastAsia="en-US" w:bidi="ar-SA"/>
        </w:rPr>
        <w:cr/>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owed a duty of care to the plaintiff;</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take sufficient care to discharge his duty to the plaintiff;</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actual damages;</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the cause in fact of the damage; and</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damages were not too remote for the defendant to foresee.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Counsel for the Defendants concurs that this correctly reflects the test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difficulty with Dr. Kordyban's claim in connection with the irrigation system is that he has not proved that he suffered any damages. No evidence was introduced that the alleged defect in the irrigation system adversely affected the production of apples from the Kordyban Orchard. If it had been alleged that the production of apples was adversely affected, one would wonder why Dr. Kordyban had not remedied the situation by making the second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If the irrigation system had been hooked up to the two mains in 1994 or 1995, as Dr. Kordyban alleges it should have been, the extra cost would have been passed on to Dr. Kordyban. There is no evidence that the second hookup at this time would be more expensive than it was in 1994 and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conclude that it has not been proven that Dr. Kordyban suffered actual damage as a result of Mr. Boerboom's decision to connect the irrigation system to one water main only. Accordingly, it has not been proven that Mr. Boerboom was negligent in this regard.</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Nutrition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allegations with respect to the application of nutrients by Mr. Boerboom are as follows: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Boerboom did not apply phosphorous, either directly to the soil in the planting hole or through fertigation in the drip irrigation lines in order to stimulate the growth of a healthy root system;</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Boerboom did apply phosphorous to the planting hole, he failed to mix it and the peat with the soil;</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Boerboom did not utilize a foliar nutrition program during the summer with the use of fertilizers such as 20-20-20;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excessive amounts of nitrogen fertilizer (34-0-0 and urea) were applied to 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my view, these allegations are met by the testimony of Mr. Boerboom. His testimony on these points, which I accept, was as follows:</w:t>
      </w:r>
      <w:r>
        <w:rPr>
          <w:rFonts w:ascii="arial" w:eastAsia="arial" w:hAnsi="arial" w:cs="arial"/>
          <w:sz w:val="20"/>
          <w:lang w:val="en-US" w:eastAsia="en-US" w:bidi="ar-SA"/>
        </w:rPr>
        <w:cr/>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use a phosphate fertilizer, 11-55-0, in the planting holes and he neglected to invoice Dr. Kordyban for it because he had the fertilizer left over from one of his own plantings and he did not make a fresh expenditure;</w:t>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mix phosphate fertilizer with the soil and peat in the planting holes because the 11-55-0 fertilizer also contains nitrogen and it would burn the roots if it was mixed in with the soil and peat;</w:t>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apply 20-20-20 in a foliar nutrition program and, contrary to the apparent belief of Mr. Stathers, he did bill Dr. Kordyban for 10 bags of 20-20-20 fertilizer; and</w:t>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34-0-0 nitrogen was not all applied to the trees and it was used mainly to establish the grass panels between the rows of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view of the testimony which I accept, I find that Mr. Boerboom was not negligent in the application of nutrients to the Kordyban Orchard.</w:t>
      </w:r>
      <w:r>
        <w:rPr>
          <w:rFonts w:ascii="arial" w:eastAsia="arial" w:hAnsi="arial" w:cs="arial"/>
          <w:sz w:val="20"/>
          <w:lang w:val="en-US" w:eastAsia="en-US" w:bidi="ar-SA"/>
        </w:rPr>
        <w:cr/>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addition to asserting that the conversations between Dr. Kordyban and Mr. Boerboom regarding the potential of the Kordyban Orchard were warranties, counsel for Dr. Kordyban submits that they constitute negligent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order to be negligent misrepresentations, the statements must be proven to be untrue, inaccurate or misleading. The statements which I have found to have been made by Mr. Boerboom were to the effect that, if proper horticultural practices were utilized, the Kordyban Orchard had the potential of being a commercially viable orchard with a production of at least 50 bins of apples per acre by the fifth or sixth year after the replanting.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evidence of Mr. Boerboom is that it was the intention to replant the Kordyban Orchard in the same fashion as the Hospital Orchard (with the addition of an overhead irrigation system) and that he did replant the Kordyban Orchard in this fashion. Mr. Boerboom replanted the Hospital Orchard over a three year period from 1985 to 1987. The testimony of Mr. Boerboom, which was not contradicted, was that the Hospital Orchard averaged production of between 50 and 60 bins of apples per acre from 1993 to 1998 (it fell in 1999 due to weather conditions). I find that the Hospital Orchard is a commercially viable orchard with a production capability of 50 bins of apples per acre and that the Kordyban Orchard had the same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conclude that Mr. Boerboom's statements were not untrue, inaccurate or misleading. Hence, they did not constitute negligent misrepresentations.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Sale of Goods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Kordyban relies upon s. 18 of the Sale of Goods Act with respect to the posts supplied by the Defendants and the trees supplied by the Defendants which were afflicted with European Canker. The relevant portion of s. 18 is clause (a)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buyer or lessee, expressly or by implication, makes known to the seller or lessor the particular purpose for which the goods are required, so as to show that the buyer or lessee relies on the seller's or lessor's skill or judgment, and the goods are of a description that it is in the course of the seller's or lessor's business to supply, whether the seller or lessor is the manufacturer or not, there is an implied condition that the goods are reasonably fit for that purpose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are three prerequisites for the existence of this implied condition of fitness within the context of this action:</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goods were of a type which were sold in the course of the Defendants' business;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Kordyban made it known to the Defendants the purpose for which the goods were required;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knew that Dr. Kordyban was relying on their skill 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Kordyban's claim of an implied condition of fitness with respect to the posts fails because there is no evidence that the Defendants were ever in the business of selling posts. In addition, with the exception of the posts which support the overhead irrigation system, there is no complaint that the posts were not reasonably fit for the purpose of supporting the trees. The complaint is that they were not pounded far enough into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the other hand, Dr. Kordyban's claim of an implied condition of fitness with respect to the trees afflicted by European Canker should succeed against Windmill Orchards Ltd. I find that the three prerequisites were satisfied for the following reasons:</w:t>
      </w:r>
      <w:r>
        <w:rPr>
          <w:rFonts w:ascii="arial" w:eastAsia="arial" w:hAnsi="arial" w:cs="arial"/>
          <w:sz w:val="20"/>
          <w:lang w:val="en-US" w:eastAsia="en-US" w:bidi="ar-SA"/>
        </w:rPr>
        <w:cr/>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Dr. Kordyban's contract was with Mr. Boerboom, the trees were sold in the course of the business of Windmill Orchards Ltd. Despite the fact that Windmill Orchards Ltd. had sold its nursery business, it retained an inventory of trees and it sold these trees, as well as trees supplied from other nurseries priced with a markup, to Dr. Kordyban. In his examination for discovery, Mr. Boerboom agreed that although he sold the name of the nursery business, he continued to do business under Windmill Orchards Ltd. on a smaller scale. I find that at the time of the sale of trees to Dr. Kordyban, Windmill Orchards Ltd. was in the business of selling apple trees;</w:t>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Kordyban made the purpose of the trees known to Mr. Boerboom, the agent of Windmill Orchards Ltd.; and</w:t>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Mr. Boerboom, as agent for Windmill Orchards Ltd., knew that Dr. Kordyban was relying on his skill to provide suitable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the prerequisites have been satisfied, there was an implied condition that the trees supplied by Windmill Orchards Ltd. were reasonably fit for the purpose of growing apples.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preponderance of the evidence was that nurseries will replace trees afflicted with European Canker as a matter of course. The obvious inference is that such trees are not reasonably fit for the purpose of growing apples. I find that the implied condition of fitness was breached by Windmill Orchards Ltd. with respect to the trees afflicted with European Canker. I will discuss the extent of this breach when I deal with damages under the next heading.</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found that the Defendants are liable to Dr. Kordyban in the following two respects: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Boerboom was negligent in selecting and installing the posts which support the overhead irrigation system;</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Windmill Orchards Ltd. breached the implied condition of fitness with respect to the trees afflicted by European Canker.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position taken by Dr. Kordyban with respect to damages creates some difficulties with respect to the assessment of his losses. It was his position that he should receive damages in an amount equal to the cost of removing and replanting the entire Kordyban Orchard. He did not specifically introduce evidence of damages with respect to each area of his complaints, although some of the relevant information was introduced as part of his overall damage claim. Counsel only made submissions with respect to the cost of replanting the entire Kordyban Orchard and they did not make any submissions with respect to damages for each area of Dr. Kordyban's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evidence in relation to the posts is that approximately 185 nine foot posts are required to support the overhead irrigation system and that the cost of an eight foot post is $1.67. There is no evidence of the cost of a nine foot post or the cost of the labour required to remove the existing posts and install new posts. It may be that Dr. Kordyban would perform the labour on his own. I award Dr. Kordyban damages against Mr. Boerboom in the amount of $350 as my estimate of the cost of 185 nine foot posts.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One of the difficulties with respect to the calculation of damages with respect to the trees afflicted by European Canker relates to the determination of the number of such trees. There was evidence that the average cost of a tree at the time of the replantings was $7 and I will proceed on the basis that the cost remains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evidence of Dr. Kordyban was that the number of trees affected by European Canker kept growing until it reached 20% of the approximate 9,000 trees in the Kordyban Orchard. In cross-examination Dr. Kordyban said the following:</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Boerboom removed cankered trees in 1995 and some cankered trees in 1996;</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Kordyban removed cankered trees in 1996, 1997 and 1998 but he could not recall how many trees he removed other than there were lots of them;</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Boerboom (and his relatives) replaced the removed trees in 1996 and 1997;</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Kordyban did not replace the trees removed in 1998 in view of the unremedied soil problem;</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Kordyban has been advised to remove all cankered trees but he has intentionally left five cankered trees as a controlled experiment because Mr. Boerboom was saying that removed cankered trees were not coming from the Kordyban Orchard;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Kordyban disagreed that only five cankered trees remained in the Kordyban Orchard but did not say how many cankered trees remained in the Orchard.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his examination for discovery, Dr. Kordyban said that he had shown Mr. Stathers a bunch of cankered trees in the Orchard, that he still had a lot of them which had to be removed and that he was told to leave some of them in case the judge wanted a tour of the Orchard. When this testimony was put to him at the trial, Dr. Kordyban responded that those were the five trees in his controlled experiment to see if there was any spread in the diseased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Mrs. Kordyban testified that between 10 and 20% of the trees in the Orchard were affected by cankers.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his written reply submissions, counsel for Dr. Kordyban stated that the Kordybans had testified that they had removed trees and tree branches infected with European Canker, with the exception of approximately half a dozen trees which remained for demonstration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his report, Mr. Stathers stated that European Canker affected 10 to 20% of the trees in the Orchard but that an exact census was not available. In his cross-examination, Mr. Stathers said that this estimate was based on his walk in the Orchard. It is unclear whether this includes trees previously replaced, trees which were removed and not replaced or trees remaining in the Orchard.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Young, the field man for the packing house to which Dr. Kordyban sells his apples, has visited the Orchard numerous times since August 1996 but he was unable to give an estimate of the number of trees affected by European Canker. In cross-examination, Mr. Young said that there was the odd missing tree from the Orchard and while he could not give an estimate, his impression was that it was a small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Runzer, who walked the Orchard in September 1998, testified that he saw 3 or 4 trees with European Canker during his tour of the Orchard.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 fall of 1996, Dr. and Mrs. Kordyban went through the Orchard and prepared a list to be given to Mr. Boerbloom so that he could fix or replace trees which had European Canker. This list showed that 86 trees with cankers had been fixed, 41 trees with cankers had been replaced, 62 trees still had cankers and 15 trees had been removed but not replaced. Mr. Boerbloom testified that he removed and replaced 40 trees after he was given this list. At trial Dr. Kordyban endeavoured to disassociate himself from this list by testifying that it was his wife's best effort and that the list was not complete because they still trusted Mr. Boerbloom to repair or replace all affected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November 1999, Mr. Boerbloom and Mr. Campbell attended at the Kordyban Orchard so that Mr. Campbell could inspect the Orchard for the purpose of his expert report. While at the Orchard, Mr. Boerbloom prepared a list of all of the trees which still had canker problems and the trees which had been removed but not replaced. He testified that the aggregate number of such trees was 157 and that approximately two-thirds of this number had already been removed and that the other one-third of this number needed to be removed and replaced. It is not clear how many trees Mr. Boerbloom believes that he has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his report, Mr. Campbell stated his observation that the problem with European Canker existed in 1 to 2% of the total trees in the Kordyban Orchard and he commented that the normal nursery tree loss was in the 3%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the result, the evidence regarding the extent of the European Canker is not very satisfactory and is conflicting. As Dr. Kordyban was able to produce a list to give to Mr. Boerbloom in 1996, I infer that his failure to provide detailed evidence about the extent of the European Canker at trial was deliberate. Accordingly, I am not prepared to accept the evidence of Dr. and Mrs. Kordyban with respect to the extent of the European Canker. I am also unprepared to accept Mr. Strathers' estimate because I believe that his estimate was influenced by what he was told by Dr. Kordyban.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evidence of Mr. Campbell is that a normal nursery loss is in the 3% range, which amounts to approximately 270 trees for the size of the Kordyban Orchard. The evidence of Mr. Boerbloom is that he replaced 60 trees in the spring of 1996 and 40 trees in the spring of 1997. If the number of these 100 replaced trees are added to the number of 157 trees included in Mr. Boerbloom's recent count, the 257 total is fairly close to the 270 figure representing normal nursery loss. However, the trees which Mr. Boerbloom believes he fixed must also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the basis of this unsatisfactory and conflicting evidence, I find that the aggregate of (i) the trees afflicted by European Canker which have been removed but not replaced, and (ii) the trees afflicted by European Canker which have yet to be removed, is 250 trees. When added to the 100 trees already replaced by Mr. Boerboom, this represents approximately 4% of the total number of trees in the Ochard. At an average cost of $7 a tree, the cost of purchasing 250 replacement trees is $1,750. Accordingly, I award Dr. Kordyban damages against Windmill Orchards Ltd. in the amount of $1,750 for the cost of purchasing 250 replacement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with the posts, there is no evidence with respect to the labour cost of removing and/or replacing the diseased trees. Also, there were no submissions with respect to any productivity loss arising from the diseased state of these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award the following judgments in favour of Dr. Kordyban:</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in the amount of $350 against Mr. Boerbloom;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in the amount of $1,750 against Windmill Orchards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these funds have not yet been expended, there will not be any pre-judgment interest on these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is a question whether there is adequate evidence to support any awards of damages with respect to the labour costs and productivity losses relating to the inappropriate poles and the diseased trees, but no submissions were made to me on those topics. In addition, no submissions were made on the topic of costs. I will entertain submissions on these topics if the parties are unable to agree on them. If both counsel agree, the submissions may be made in writing. If either counsel wishes to make oral submissions, arrangements should be made through the Penticton and Vancouver Registries for the submissions to be made by way of a video-conference.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TYSOE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72" style="position:absolute;z-index:25186816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67"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67"/>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Sale of Goods Act, </w:t>
      </w:r>
      <w:r>
        <w:rPr>
          <w:rFonts w:ascii="arial" w:eastAsia="arial" w:hAnsi="arial" w:cs="arial"/>
          <w:i/>
          <w:color w:val="6D6E71"/>
          <w:sz w:val="18"/>
          <w:lang w:val="en-US" w:eastAsia="en-US" w:bidi="ar-SA"/>
        </w:rPr>
        <w:t>R.S.B.C. 1996, c. 410</w:t>
      </w:r>
      <w:r>
        <w:rPr>
          <w:rFonts w:ascii="arial" w:eastAsia="arial" w:hAnsi="arial" w:cs="arial"/>
          <w:color w:val="6D6E71"/>
          <w:sz w:val="18"/>
          <w:lang w:val="en-US" w:eastAsia="en-US" w:bidi="ar-SA"/>
        </w:rPr>
        <w: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3" style="position:absolute;z-index:251898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Larsen v. Wilson, [2007] B.C.J. No. 1422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Maczko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4 - 6,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M024412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1422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943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C.C.L.T. (3d) 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158 A.C.W.S. (3d) 677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1512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Corinne Janett Larsen, Plaintiff, and Sharon L. Wilson and Craig Harold Wilson,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4"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8" w:name="Keywords_9"/>
      <w:bookmarkEnd w:id="6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Foreseeability and remoteness — Determination of liability and damages for an injury incurred during rehabilitation subsequent to a motor vehicle accident — The plaintiff Larsen suffered neck, shoulder and low back soft tissue injuries in the motor vehicle accident with the defendants — Following the accident she utilized a rehabilitation program and suffered a knee injury as a result — The motor vehicle accident neither caused nor contributed to the knee injury — However, the court determined the defendants were liable for the knee injury — The rehabilitation injury was a foreseeable consequence of the motor vehicle accident — The plaintiff would not have been at the rehabilitation centre if it had not been for the accident — Plaintiff awarded $41,793, including $25,000 non-pecuniary damages for pain and suffering.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Leg injuries — Knee — Non-pecuniary award — $20,001 to $40,000 — Determination of liability and damages for an injury incurred during rehabilitation subsequent to a motor vehicle accident — The plaintiff Larsen suffered neck, shoulder and low back soft tissue injuries in the motor vehicle accident with the defendants — Following the accident she utilized a rehabilitation program and suffered a knee injury as a result — The court determined the defendants were liable for the knee injury as a foreseeable consequence of the motor vehicle accident — The court was not convinced the injury was permanent or would affect the plaintiff's ability to earn future income — Plaintiff awarded $41,793, including $25,000 non-pecuniary damages for pain and suffering.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9" w:name="Case Summary_9"/>
            <w:bookmarkEnd w:id="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and damages for an injury incurred during rehabilitation subsequent to a motor vehicle accident -- The plaintiff Larsen suffered neck, shoulder and low back soft tissue injuries in the motor vehicle accident with the defendants, the Wilsons -- Following the accident she utilized a rehabilitation program that was provided as a workers' compensation benefit -- When attempting the elliptical machine she felt a 'pop' in her knee and felt pain -- The pain had persisted to the time of the hearing, almost six years after the date of the injury -- The motor vehicle accident neither caused nor contributed to the knee injury -- HELD: The defendants were liable for the knee injury -- The plaintiff was at the rehabilitation centre in order to recover from the injuries sustained in the motor vehicle accident -- There was no evidence that she did anything wrong or carelessly, and was acting at the direction of a physiotherapist -- She would not have been at the rehabilitation centre if it had not been for the motor vehicle accident and the injuries she sustained in it -- The rehabilitation injury was a foreseeable consequence of the motor vehicle accident -- Regarding damages, the court was not convinced the injury was permanent -- The pain limited certain activities but the plaintiff, now 29 years of age, was able to work full-time and raise a family of three children -- The court did not feel that the injury would in any way affect her ability to earn future income -- Plaintiff was awarded $41,793, including $25,000 non-pecuniary damages for pain and suffering, past wage loss of $8,200, and special damages of $8,593.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0" w:name="Counsel_9"/>
      <w:bookmarkEnd w:id="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5"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W.H. Bucci and R. Woodland.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M.C. Killas.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1" w:name="Judgment_9"/>
      <w:bookmarkEnd w:id="71"/>
      <w:r>
        <w:pict>
          <v:line id="_x0000_s1076" style="position:absolute;z-index:25177088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July 4, 2007.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2" w:name="MACZKO J."/>
            <w:bookmarkEnd w:id="72"/>
            <w:r>
              <w:rPr>
                <w:rFonts w:ascii="arial" w:eastAsia="arial" w:hAnsi="arial" w:cs="arial"/>
                <w:b/>
                <w:color w:val="000000"/>
                <w:sz w:val="30"/>
                <w:lang w:val="en-US" w:eastAsia="en-US" w:bidi="ar-SA"/>
              </w:rPr>
              <w:t>MACZKO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injured in a motor vehicle accident on September 4, 2001. She suffered neck, shoulder and low back soft tissue injuries that cleared up in approximately 9-12 months. At the time of the accident, the plaintiff was employed by an auto parts company and she delivered auto parts to various places in the Lower Mainland. At times, this required the loading and unloading of heavy objects such as axles and rotors.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Because the plaintiff was employed at the time of the accident, she received workers compensation benefits which included a rehabilitation program. The program included a series of exercises in a gym. The plaintiff was instructed to warm up on one of three devices: a treadmill, a stationary bicycle or an elliptical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program commenced on October 12, 2001 and she attended every day. She used the treadmill and the bicycle until October 24, 2001 when, for the first time, she attempted the elliptical machine. Within a few minutes she felt a "pop" in her knee. She stopped and spoke to the physiotherapist. She had pain in her knee and that pain continues to this day. There are no objective symptoms of the injury. The x-rays and MRI are normal, but the plaintiff says she continues to suffer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 is whether the defendant is liable for the injury that the plaintiff suffered to her knee. The medical evidence is clear and both counsel agree that the motor vehicle accident of September 4, 2001 was not the cause, nor did it contribute to the knee injury. It is separate and distinct from the neck and back injuries that the plaintiff suffered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find that the defendant is liable for the knee injury. The plaintiff was at a rehabilitation centre for the purpose of recovering from her neck and back injuries. She was doing exercises at the direction of a physiotherapist. She was directed to warm up on one of three devices, which she did. There is no evidence that she did anything carelessly or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would not have been in the gym and would not have been on the elliptical machine had it not been for the neck and back injuries she suffered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starting point for analysis is the Supreme Court of Canada's decision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in which Major J. said for the Court at [paragraph] 17 and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 ... As long as a defendant is part of the cause of the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does not excuse a defendant from liability merely because other causal factors for which he is not responsible also helped produce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Defence counsel argued that the defendant's conduct was not a materially contributing cause of the plaintiff's knee injury; instead, the knee injury resulted from an unrelated intervening event. The knee injury was, thus, unforeseeable and too remote to hold the defendant liable for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Defence counsel relied on the decision of Macdonald J. in </w:t>
      </w:r>
      <w:r>
        <w:rPr>
          <w:rFonts w:ascii="arial" w:eastAsia="arial" w:hAnsi="arial" w:cs="arial"/>
          <w:b/>
          <w:i/>
          <w:color w:val="000000"/>
          <w:sz w:val="20"/>
          <w:lang w:val="en-US" w:eastAsia="en-US" w:bidi="ar-SA"/>
        </w:rPr>
        <w:t>Timmins v. Dean</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[1997] B.C.J. No. 1500</w:t>
        </w:r>
      </w:hyperlink>
      <w:r>
        <w:rPr>
          <w:rFonts w:ascii="arial" w:eastAsia="arial" w:hAnsi="arial" w:cs="arial"/>
          <w:color w:val="000000"/>
          <w:sz w:val="20"/>
          <w:lang w:val="en-US" w:eastAsia="en-US" w:bidi="ar-SA"/>
        </w:rPr>
        <w:t xml:space="preserve"> (S.C.), a case in which the plaintiff suffered soft tissue injuries to her neck and shoulders, a minimal compression fracture of one of her vertebrae and dizziness, after a motor vehicle accident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was advised to take walks as part of her therapy. She was on one of her walks when she fell and fractured her kneecap. She alleged that the fall occurred when a sudden and severe headache, attributable to the injuries she had suffered in the accident, caused her to lose her balance and fall. However, Macdonald J. rejected her contention that the fall resulted from her injuries, finding instead that she had simply slipped and fallen while walking. He said (at [paragraph]7):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 that the plaintiff was walking on that day at the urging of her doctor and her physiotherapist as part of her rehabilitation from the soft tissue injuries which she suffered to her neck and shoulder areas some five months earlier, is not sufficient to bring this case within the test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Here, the May 5, 1994 motor vehicle accident was merely one of the "myriad of other background events". The plaintiff broke her kneecap because she slipped and fell. The defendants'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neither a cause of the harm nor part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my view, this case is distinguishable from the facts of the case at bar. It is significant that Macdonald J. rejected the plaintiff's evidence that a sudden headache, attributable to the accident, had caused her to fall. It was his rejection of this evidence, "the only evidence which link[ed] the October 15, 1994 fall to the injuries suffered in the May 5, 1994 accident", that took the case out of the principle expressed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([paragraph] 8). Presumably, Macdonald J. attributed the fall to the plaintiff's own carelessness and, therefore, held that the defendant could not be held liable. There is no evidence in the case at bar that the plaintiff was careless in using the elliptical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Several other cases in which a plaintiff was injured due to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suffered a subsequent injury and was denied compensation, are similarly distinguishable. In </w:t>
      </w:r>
      <w:r>
        <w:rPr>
          <w:rFonts w:ascii="arial" w:eastAsia="arial" w:hAnsi="arial" w:cs="arial"/>
          <w:b/>
          <w:i/>
          <w:color w:val="000000"/>
          <w:sz w:val="20"/>
          <w:lang w:val="en-US" w:eastAsia="en-US" w:bidi="ar-SA"/>
        </w:rPr>
        <w:t>McKew v. Holland et al.</w:t>
      </w:r>
      <w:r>
        <w:rPr>
          <w:rFonts w:ascii="arial" w:eastAsia="arial" w:hAnsi="arial" w:cs="arial"/>
          <w:color w:val="000000"/>
          <w:sz w:val="20"/>
          <w:lang w:val="en-US" w:eastAsia="en-US" w:bidi="ar-SA"/>
        </w:rPr>
        <w:t xml:space="preserve">, [1969] 3 All E.R. 1621 (H.L.), the plaintiff's leg was injured in an accident and gave way beneath him from time to time. He was descending some stairs, unassisted and without holding on, when his leg collapsed and he began to fall. He tried to jump so as to land on his feet and he broke his ankle, a much more serious injury than the original one. Lord Reid held that, if the plaintiff had been acting </w:t>
      </w:r>
      <w:r>
        <w:rPr>
          <w:rFonts w:ascii="arial" w:eastAsia="arial" w:hAnsi="arial" w:cs="arial"/>
          <w:color w:val="000000"/>
          <w:sz w:val="20"/>
          <w:u w:val="single"/>
          <w:lang w:val="en-US" w:eastAsia="en-US" w:bidi="ar-SA"/>
        </w:rPr>
        <w:t>reasonably</w:t>
      </w:r>
      <w:r>
        <w:rPr>
          <w:rFonts w:ascii="arial" w:eastAsia="arial" w:hAnsi="arial" w:cs="arial"/>
          <w:color w:val="000000"/>
          <w:sz w:val="20"/>
          <w:lang w:val="en-US" w:eastAsia="en-US" w:bidi="ar-SA"/>
        </w:rPr>
        <w:t>, he could have recovered, as the second injury would have been "caused" by the first. However, if he "acts unreasonably, he cannot hold the defender liable for injury caused by his own unreasonable conduct," which was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His Lordship held that what happened was "caused by his own conduct and not by the defender's fault or the disability caused by it" (at [paragraph]1623).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Similarly, the Ontario Court of Appeal in </w:t>
      </w:r>
      <w:r>
        <w:rPr>
          <w:rFonts w:ascii="arial" w:eastAsia="arial" w:hAnsi="arial" w:cs="arial"/>
          <w:b/>
          <w:i/>
          <w:color w:val="000000"/>
          <w:sz w:val="20"/>
          <w:lang w:val="en-US" w:eastAsia="en-US" w:bidi="ar-SA"/>
        </w:rPr>
        <w:t>Priestley v. Gilbert</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(1973), 1 O.R. (2d) 365</w:t>
        </w:r>
      </w:hyperlink>
      <w:r>
        <w:rPr>
          <w:rFonts w:ascii="arial" w:eastAsia="arial" w:hAnsi="arial" w:cs="arial"/>
          <w:color w:val="000000"/>
          <w:sz w:val="20"/>
          <w:lang w:val="en-US" w:eastAsia="en-US" w:bidi="ar-SA"/>
        </w:rPr>
        <w:t>, held that a plaintiff who became intoxicated and got up to dance at a Christmas party, re-breaking his leg which was still weak from the accident, could not recover damages arising from the second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no suggestion that Ms. Larsen acted unreasonably in using the elliptical machine. Indeed, she attempted this exercise at the instruction of her physiotherapist. These cases do not assist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relied on </w:t>
      </w:r>
      <w:r>
        <w:rPr>
          <w:rFonts w:ascii="arial" w:eastAsia="arial" w:hAnsi="arial" w:cs="arial"/>
          <w:b/>
          <w:i/>
          <w:color w:val="000000"/>
          <w:sz w:val="20"/>
          <w:lang w:val="en-US" w:eastAsia="en-US" w:bidi="ar-SA"/>
        </w:rPr>
        <w:t>Papp v. Leclerc</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(1977), 77 D.L.R. (3d) 536</w:t>
        </w:r>
      </w:hyperlink>
      <w:r>
        <w:rPr>
          <w:rFonts w:ascii="arial" w:eastAsia="arial" w:hAnsi="arial" w:cs="arial"/>
          <w:color w:val="000000"/>
          <w:sz w:val="20"/>
          <w:lang w:val="en-US" w:eastAsia="en-US" w:bidi="ar-SA"/>
        </w:rPr>
        <w:t xml:space="preserve">, a unanimous decision of the Ontario Court of Appeal. In that case, the plaintiff was injured in a motor vehicle accident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Following an operation for his injuries, the plaintiff suffered an injury to his right ulnar nerve which, from a medical standpoint, was totally unrelated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Court of Appeal affirmed the trial judge's ruling that the ulnar nerve injury flowed naturally from the original accident, and the defendant was thus liable for damages, including damages from the additional injury. Lacourcière J.A. said at p. 539 (citations omitted):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Every tortfeasor causing injury to a person placing him in the position of seeking medical or hospital help, must assume the inherent risks of complications,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medical error or misadventure, and they are reasonably foreseeable and not too remote. It is for the defendant to prove that some new act rendering another person liable has broken the chain of causation. This was not done in the present case. I must, therefore, rule against the appellant on this first contention based on lack of foreseeability and </w:t>
      </w:r>
      <w:r>
        <w:rPr>
          <w:rFonts w:ascii="arial" w:eastAsia="arial" w:hAnsi="arial" w:cs="arial"/>
          <w:i/>
          <w:color w:val="000000"/>
          <w:sz w:val="20"/>
          <w:lang w:val="en-US" w:eastAsia="en-US" w:bidi="ar-SA"/>
        </w:rPr>
        <w:t>novus actus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interveniens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decision in </w:t>
      </w:r>
      <w:r>
        <w:rPr>
          <w:rFonts w:ascii="arial" w:eastAsia="arial" w:hAnsi="arial" w:cs="arial"/>
          <w:b/>
          <w:i/>
          <w:color w:val="000000"/>
          <w:sz w:val="20"/>
          <w:lang w:val="en-US" w:eastAsia="en-US" w:bidi="ar-SA"/>
        </w:rPr>
        <w:t>Papp v. Leclerc</w:t>
      </w:r>
      <w:r>
        <w:rPr>
          <w:rFonts w:ascii="arial" w:eastAsia="arial" w:hAnsi="arial" w:cs="arial"/>
          <w:color w:val="000000"/>
          <w:sz w:val="20"/>
          <w:lang w:val="en-US" w:eastAsia="en-US" w:bidi="ar-SA"/>
        </w:rPr>
        <w:t xml:space="preserve">was followed in </w:t>
      </w:r>
      <w:r>
        <w:rPr>
          <w:rFonts w:ascii="arial" w:eastAsia="arial" w:hAnsi="arial" w:cs="arial"/>
          <w:b/>
          <w:i/>
          <w:color w:val="000000"/>
          <w:sz w:val="20"/>
          <w:lang w:val="en-US" w:eastAsia="en-US" w:bidi="ar-SA"/>
        </w:rPr>
        <w:t>Deibert v. Giddings</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2003 SKQB 533</w:t>
        </w:r>
      </w:hyperlink>
      <w:r>
        <w:rPr>
          <w:rFonts w:ascii="arial" w:eastAsia="arial" w:hAnsi="arial" w:cs="arial"/>
          <w:color w:val="000000"/>
          <w:sz w:val="20"/>
          <w:lang w:val="en-US" w:eastAsia="en-US" w:bidi="ar-SA"/>
        </w:rPr>
        <w:t>. The plaintiff suffered a back injury in a motor vehicle accident with the defendant, who admitted liability. During treatment, one of the manipulations performed by the physiotherapist caused the plaintiff extreme pain and a subsequent tingling sensation in his arm. The judge rejected the defendant's contention that this constituted a separate and distinct contributory cause of the plaintiff's damages, such that the defendant should only be liable for losses suffered up to that point. Instead, Pritchard J. held that the type of injury suffered by the plaintiff while receiving treatment for his injuries was a reasonably foreseeable consequence of accepted treatment for the type of injuries he had suffered in the accident. The judge said at [paragraph] 29-30: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Mr. Deibert's injuries were significantly exacerbated by the physiotherapist at the Back Institute there is no evidence suggesting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physiotherapist. It is a well established principle that where a first tortfeasor causes injury which requires the victim to seek medical attention, that tortfeasor also assumes the risks of medical error or misadventure provided these are reasonably foreseeable and not too remote. (See </w:t>
      </w:r>
      <w:r>
        <w:rPr>
          <w:rFonts w:ascii="arial" w:eastAsia="arial" w:hAnsi="arial" w:cs="arial"/>
          <w:b/>
          <w:i/>
          <w:color w:val="000000"/>
          <w:sz w:val="20"/>
          <w:lang w:val="en-US" w:eastAsia="en-US" w:bidi="ar-SA"/>
        </w:rPr>
        <w:t>Papp v. Leclerc</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(1977), 77 D.L.R. (3d) 536</w:t>
        </w:r>
      </w:hyperlink>
      <w:r>
        <w:rPr>
          <w:rFonts w:ascii="arial" w:eastAsia="arial" w:hAnsi="arial" w:cs="arial"/>
          <w:color w:val="000000"/>
          <w:sz w:val="20"/>
          <w:lang w:val="en-US" w:eastAsia="en-US" w:bidi="ar-SA"/>
        </w:rPr>
        <w:t xml:space="preserve"> (Ontario C.A.). And, even if the physiotherapist was negligent, the defendant would still remain fully liable if such subsequent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consequential damage were reasonably foreseeable as a possible result of rehabilitation from the injuries sustained by her initial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b/>
          <w:i/>
          <w:color w:val="000000"/>
          <w:sz w:val="20"/>
          <w:lang w:val="en-US" w:eastAsia="en-US" w:bidi="ar-SA"/>
        </w:rPr>
        <w:t>Price v. Milawski</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(1977), 82 D.L.R. (3d) 130</w:t>
        </w:r>
      </w:hyperlink>
      <w:r>
        <w:rPr>
          <w:rFonts w:ascii="arial" w:eastAsia="arial" w:hAnsi="arial" w:cs="arial"/>
          <w:color w:val="000000"/>
          <w:sz w:val="20"/>
          <w:lang w:val="en-US" w:eastAsia="en-US" w:bidi="ar-SA"/>
        </w:rPr>
        <w:t xml:space="preserve"> (Ontario C.A.). The defence led no evidence suggesting it was not reasonably foreseeable that Mr. Deibert's neck pain and thoracic back pain might be exacerbated by medically recommended physiotherapy or exercise therapy and/or work hardening. Although these programs are designed to assist the accident victim in regaining his pre-injury physical condition they are also known, in some circumstances, to be counterproductive.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the primary cause of the injuries sustained by Mr. Deibert. I further find that she is entirely responsible for the consequential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 seeks to distinguish </w:t>
      </w:r>
      <w:r>
        <w:rPr>
          <w:rFonts w:ascii="arial" w:eastAsia="arial" w:hAnsi="arial" w:cs="arial"/>
          <w:b/>
          <w:i/>
          <w:color w:val="000000"/>
          <w:sz w:val="20"/>
          <w:lang w:val="en-US" w:eastAsia="en-US" w:bidi="ar-SA"/>
        </w:rPr>
        <w:t>Papp v. Leclerc</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Deibert v. Giddings</w:t>
      </w:r>
      <w:r>
        <w:rPr>
          <w:rFonts w:ascii="arial" w:eastAsia="arial" w:hAnsi="arial" w:cs="arial"/>
          <w:color w:val="000000"/>
          <w:sz w:val="20"/>
          <w:lang w:val="en-US" w:eastAsia="en-US" w:bidi="ar-SA"/>
        </w:rPr>
        <w:t xml:space="preserve"> from the case at bar on the basis that, in </w:t>
      </w:r>
      <w:r>
        <w:rPr>
          <w:rFonts w:ascii="arial" w:eastAsia="arial" w:hAnsi="arial" w:cs="arial"/>
          <w:b/>
          <w:i/>
          <w:color w:val="000000"/>
          <w:sz w:val="20"/>
          <w:lang w:val="en-US" w:eastAsia="en-US" w:bidi="ar-SA"/>
        </w:rPr>
        <w:t>Papp</w:t>
      </w:r>
      <w:r>
        <w:rPr>
          <w:rFonts w:ascii="arial" w:eastAsia="arial" w:hAnsi="arial" w:cs="arial"/>
          <w:color w:val="000000"/>
          <w:sz w:val="20"/>
          <w:lang w:val="en-US" w:eastAsia="en-US" w:bidi="ar-SA"/>
        </w:rPr>
        <w:t xml:space="preserve">, the plaintiff was in the hospital being operated on for the injury caused by the accident, and the subsequent damage was found to be "not an infrequent" complication following surgery while, in </w:t>
      </w:r>
      <w:r>
        <w:rPr>
          <w:rFonts w:ascii="arial" w:eastAsia="arial" w:hAnsi="arial" w:cs="arial"/>
          <w:b/>
          <w:i/>
          <w:color w:val="000000"/>
          <w:sz w:val="20"/>
          <w:lang w:val="en-US" w:eastAsia="en-US" w:bidi="ar-SA"/>
        </w:rPr>
        <w:t>Deibert</w:t>
      </w:r>
      <w:r>
        <w:rPr>
          <w:rFonts w:ascii="arial" w:eastAsia="arial" w:hAnsi="arial" w:cs="arial"/>
          <w:color w:val="000000"/>
          <w:sz w:val="20"/>
          <w:lang w:val="en-US" w:eastAsia="en-US" w:bidi="ar-SA"/>
        </w:rPr>
        <w:t>, the plaintiff's injury was aggravated by the physiotherapists's treatment, which the judge found to be entirely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true that none of the cases cited to me by counsel is directly on point, nor provides a clear answer to the issue in this case. While the decisions above offer some guidance, the process of determining what is and is not foreseeable "is something like having to draw a line between night and day; there is a great duration of twilight" (</w:t>
      </w:r>
      <w:r>
        <w:rPr>
          <w:rFonts w:ascii="arial" w:eastAsia="arial" w:hAnsi="arial" w:cs="arial"/>
          <w:b/>
          <w:i/>
          <w:color w:val="000000"/>
          <w:sz w:val="20"/>
          <w:lang w:val="en-US" w:eastAsia="en-US" w:bidi="ar-SA"/>
        </w:rPr>
        <w:t>Hobbs v. London and South Western Railway Co.</w:t>
      </w:r>
      <w:r>
        <w:rPr>
          <w:rFonts w:ascii="arial" w:eastAsia="arial" w:hAnsi="arial" w:cs="arial"/>
          <w:color w:val="000000"/>
          <w:sz w:val="20"/>
          <w:lang w:val="en-US" w:eastAsia="en-US" w:bidi="ar-SA"/>
        </w:rPr>
        <w:t xml:space="preserve"> (1875), 10 L.R. Q.B. 111 at 121, per Blackburn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conclude that the plaintiff's injury was a foreseeable consequence of the motor vehicle accident. The plaintiff undertook a treatment regimen that was entirely reasonable, and she conducted herself reasonably in following her physiotherapist's instructions. She was not careless, and the injury cannot be attributed to her own blameworthy conduct. In my view, it is not unforeseeable that someone could be injured in the course of physiotherapy treatments, even where that injury is not directly related to the original injury. As the </w:t>
      </w:r>
      <w:r>
        <w:rPr>
          <w:rFonts w:ascii="arial" w:eastAsia="arial" w:hAnsi="arial" w:cs="arial"/>
          <w:b/>
          <w:i/>
          <w:color w:val="000000"/>
          <w:sz w:val="20"/>
          <w:lang w:val="en-US" w:eastAsia="en-US" w:bidi="ar-SA"/>
        </w:rPr>
        <w:t>Papp</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Deibert</w:t>
      </w:r>
      <w:r>
        <w:rPr>
          <w:rFonts w:ascii="arial" w:eastAsia="arial" w:hAnsi="arial" w:cs="arial"/>
          <w:color w:val="000000"/>
          <w:sz w:val="20"/>
          <w:lang w:val="en-US" w:eastAsia="en-US" w:bidi="ar-SA"/>
        </w:rPr>
        <w:t xml:space="preserve"> decisions make clear, there are inherent dangers and risks in any medical treatment. Sustaining a knee injury, while attending physiotherapy for a back injury, is one such danger. I find that the defendant is liable for the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is now 29 years of age and was 23 at the time of the accident. She was active and athletic. Her activities included rollerblading, snowboarding and competitive baseball. She is no longer able to do these activities because of her knee pain. Since the accident, the plaintiff married and acquired two stepchildren and has had a child of her own. The children are aged 13, 11 and 21/2. The knee problem prevents the plaintiff from engaging in athletic activities with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difficulty is in assessing the extent of the plaintiff's knee injury. The plaintiff says she feels pain, but there is no objective evidence at this time to identify the source of her problem. The x-rays and MRI show that the plaintiff's knee is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was assessed by Dr. Barron on October 24, 2001 and he found swelling in her knee, "marked tenderness along the medial aspect of the Knee, and significant limitation of acute flexion and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was again examined by Dr. Barron on May 27 and June 24, 2002. On those dates he assessed her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and examined the patient's Left Knee May 27, 2002. There was marked swelling of the Left Knee. Tenderness to palpation over the medial patellar facet and over the patella and patello-femoral joint. Compression of the patella was very painful. There was tenderness to palpation in the infra-patellar fossa. Crepitus was felt and very audible with movements of the Left Knee. There was full active flexion and extension of the Left Knee but it was very painful. I indicated strongly in my report to the WCB of May 27, 2002, that it would be unconscionable, reprehensible and totally unfair if the WCB were to conclude that this patient was fit for regular work with no restrictions. She is fit only for suitable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the patient most recently June 24, 2002, and the clinical findings are the same as described May 27, 2002. The patient on my advice and support, is appealing to the Review Board its unjust cruel decision that she is fit for regular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has recovered from her Cervical strain, strain of the Upper Back and R. TMJ strain, associated with the MVA of September 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Later in his report he assesses the patient's knee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has never had any problems with her Left Knee before the WCP incident. She was able to participate in all kinds of sports and do any kind of work. Now she cannot; not only can she not work, but she cannot take part in any recreational activities, because she will always have pain, swelling in Left Knee, that will never disappear, and will be worse at intervals. She is fit only for suitable work, a job that does not entail kneeling, crouching, heavy lifting, prolonged walking, standing, climbing. She has a Permanent Functional Impairment. At this time, the treatment for Patello-Femoral Arthralgia is conservative, that is, heat, analgesic anti-inflammatory medications, but in later life, if osteoarthritis develops of a significant incapacitating degree in the Left Knee, surgical intervention may be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Dr. Barron's findings and comments to be those of an advocate, rather than a professional, giving an unbiased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Barron referred the plaintiff to an orthopaedic specialist, Dr. Caines, for an orthopaedic consultation report. The assessment was done on December 17, 2001 and Dr. Caines' findings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PHYSICAL EXAMINATION</w:t>
      </w:r>
      <w:r>
        <w:rPr>
          <w:rFonts w:ascii="arial" w:eastAsia="arial" w:hAnsi="arial" w:cs="arial"/>
          <w:color w:val="000000"/>
          <w:sz w:val="20"/>
          <w:lang w:val="en-US" w:eastAsia="en-US" w:bidi="ar-SA"/>
        </w:rPr>
        <w:t>: Examination of the left knee revealed: Gait revealed limping on the left lower limb, mild genu valgum, no varus, flat feet. Lower limb lengths were equal, 1/2 cm wasting of the left thigh muscles. There was no swelling, no effusion, no redness, no increased local temperature. There was a full range of motion of the left knee, retropatellar tenderness. Test of the ligaments revealed no abnormality of the collateral ligaments. The cruciates revealed no abnormality. Lachman's, Slocum's and pivot shift tests were normal. Patella apprehension test was negative. There was no significant crepitus. McMurray's test was negative. Apley's test negative. Popliteal fossa was normal. Neurovascular status was satisfactory. Hip examination revealed no abnormality. Back examination revealed no tenderness. Straight-leg raising was negative. There was no obesity.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Hughes assessed the plaintiff on behalf of the defendant on November 1, 2005 and Dr. Hughes' findings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her left knee complaints are concerned, she is still having consistent complaints in this area. One with tenderness over the patellofemoral region. Secondly over the medial joint line suggesting a possible medial meniscal injury and over the medial border of the tibia medially. The tenderness medially may be a Pes bursitis and I think to try and sort out her symptoms she needs an MR scan at this stage because of her persistent complaints over the last couple of years. If the MR scan is positive, she would require arthroscopy to the left knee to correct an intra-articular lesion. If the arthroscopy was negative she would need further treatment related to the patellofemoral complaints and the possible Pes bursitis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am convinced the plaintiff was injured on the elliptical machine. I am not convinced that her injury is permanent. Her knee has obviously improved since the injury as neither Dr. Hughes, nor Dr. Caines, found significant crepitus and Dr. Hughes found no swelling. The plaintiff is working full-time and raising a family of three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give little credence to Dr. Barron's assessment of the plaintiff's knee. I find that it is improbable that the knee will never get better. Unfortunately, no doctor, apart from Dr. Barron, has given a prognosis. I conclude that the plaintiff suffered some kind of knee injury that has not been identified. It has improved and the evidence does not convince me that the injury will in any way affect her ability to earn income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assess the plaintiff's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423"/>
        <w:gridCol w:w="523"/>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Non-pecuniary damages for pain and suffering:</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25,000.00</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numPr>
          <w:numId w:val="2"/>
        </w:numPr>
        <w:tabs>
          <w:tab w:val="num" w:pos="760"/>
          <w:tab w:val="clear" w:pos="1480"/>
        </w:tabs>
        <w:spacing w:before="120" w:line="240" w:lineRule="atLeast"/>
        <w:ind w:left="760"/>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3. Special Damages: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8,593.00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TOTAL:</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$41,793.00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MACZKO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July 4, 2007.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Corrigendum to the Reasons for Judgment issued advising that on the first page, counsel for the plaintiff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 Bucci and R. Woodland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7" style="position:absolute;z-index:2518220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Lemieux (Guardian ad litem of) v. Evers, [2000] B.C.J. No. 2099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Martinson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B982700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2099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1464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100 A.C.W.S. (3d) 514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Joel Lemieux, an infant by his Guardian ad litem Susan Lemieux, plaintiff, and Shannon Wendy Evers and Patricia Ann Evers,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8"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3" w:name="Keywords_10"/>
      <w:bookmarkEnd w:id="73"/>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pedestrians and bicyclists — Street or highway crossing, non-intersection — Damages — Mitigation — Special damages — General damages — General damages for personal injury.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4" w:name="Case Summary_10"/>
            <w:bookmarkEnd w:id="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Lemieux for damages for personal injuries arising from a motor vehicle accident. Evers, who was driving a car at 59 kilometres per hour, hit the 11-year-old Lemieux as he walked across a residential street other than at an intersection. As a result of the accident, Lemieux suffered from headaches and panic attacks, and his ability to concentrate and to play sports suffered. Evers claimed that Lemieux was contributorily negligent and that his action of discontinuing counselling constituted a failure to mitigate his damages. Lemieux had stopped the counselling sessions because they had caused panic attacks.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5" w:name="Holdings of Court_8"/>
            <w:bookmarkEnd w:id="7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Lemieux was awarded general damages of $65,000, $15,000 for loss of opportunity to earn income, $2,500 for the cost of future care, and special damages of $5,221. Evers was negligent in that she was travelling too quickly given the residential location and the presence of children. Lemieux was not negligent, as there was no evidence that he had failed to look both ways before crossing the road. The accident caused Lemieux's headaches and panic attacks, as well as his diminished performance in school and in sports. It was not unreasonable for Lemieux to have tried the counselling and then to have discontinued it when it made his symptoms worse. His inability to continue with counselling was a consequence of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6" w:name="Legislation Cited_6"/>
      <w:bookmarkEnd w:id="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9"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Infants Act, </w:t>
      </w:r>
      <w:hyperlink r:id="rId222" w:history="1">
        <w:r>
          <w:rPr>
            <w:rFonts w:ascii="arial" w:eastAsia="arial" w:hAnsi="arial" w:cs="arial"/>
            <w:i/>
            <w:color w:val="0077CC"/>
            <w:sz w:val="20"/>
            <w:u w:val="single"/>
            <w:shd w:val="clear" w:color="auto" w:fill="FFFFFF"/>
            <w:lang w:val="en-US" w:eastAsia="en-US" w:bidi="ar-SA"/>
          </w:rPr>
          <w:t>R.S.B.C. 1996, c. 223, s. 17</w:t>
        </w:r>
      </w:hyperlink>
      <w:r>
        <w:rPr>
          <w:rFonts w:ascii="arial" w:eastAsia="arial" w:hAnsi="arial" w:cs="arial"/>
          <w:color w:val="000000"/>
          <w:sz w:val="20"/>
          <w:lang w:val="en-US" w:eastAsia="en-US" w:bidi="ar-SA"/>
        </w:rPr>
        <w:t>(2), 17(3).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223" w:history="1">
        <w:r>
          <w:rPr>
            <w:rFonts w:ascii="arial" w:eastAsia="arial" w:hAnsi="arial" w:cs="arial"/>
            <w:i/>
            <w:color w:val="0077CC"/>
            <w:sz w:val="20"/>
            <w:u w:val="single"/>
            <w:shd w:val="clear" w:color="auto" w:fill="FFFFFF"/>
            <w:lang w:val="en-US" w:eastAsia="en-US" w:bidi="ar-SA"/>
          </w:rPr>
          <w:t>R.S.B.C. 1996, c. 318, ss. 150</w:t>
        </w:r>
      </w:hyperlink>
      <w:r>
        <w:rPr>
          <w:rFonts w:ascii="arial" w:eastAsia="arial" w:hAnsi="arial" w:cs="arial"/>
          <w:color w:val="000000"/>
          <w:sz w:val="20"/>
          <w:lang w:val="en-US" w:eastAsia="en-US" w:bidi="ar-SA"/>
        </w:rPr>
        <w:t>, 179(2), 180,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7" w:name="Counsel_10"/>
      <w:bookmarkEnd w:id="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0"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Keith, for the plaintiff. R.A. ter Borg,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8" w:name="Judgment_10"/>
      <w:bookmarkEnd w:id="78"/>
      <w:r>
        <w:pict>
          <v:line id="_x0000_s1081"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9" w:name="MARTINSON J. (orally)"/>
            <w:bookmarkEnd w:id="79"/>
            <w:r>
              <w:rPr>
                <w:rFonts w:ascii="arial" w:eastAsia="arial" w:hAnsi="arial" w:cs="arial"/>
                <w:b/>
                <w:color w:val="000000"/>
                <w:sz w:val="30"/>
                <w:lang w:val="en-US" w:eastAsia="en-US" w:bidi="ar-SA"/>
              </w:rPr>
              <w:t>MARTINSON J. (orally)</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Is a child who is injured in a motor vehicle accident required to mitigate his damages by following the advice of medical professionals? This was one issue raised in this claim by the plaintiff, Joey Lemieux, for damages for injuries, both physical and psychological, that he suffered and says he continues to suffer as a result of a motor vehicle accident that happened on April 1, 1995 when he was 11 years old. A car driven by Ms. Evers, then 19 years old, hit him when he walked across a residential street, other than at an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He is now 17 and going into grade 12. He has, among other things, suffered and continues to suffer from panic attacks and headaches. Joey Lemieux says that headaches and panic attacks have affected his ability to concentrate at school and have caused him to miss school on many occasions. His grades are lower in spite of the efforts of his mother to tutor him. He says the accident contributed to the decrease in his grades and the fact that he will not graduate this year. He is a talented athlete and while he now plays golf and excels at it, he feels that the accident caused a marked decrease in his effectiveness in various other sports at which he excelled before the accident, especially hockey.</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will start by summarizing the questions in dispute. After that I will consider each issue in more detail.</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first issue is liability. Joey Lemieux says that the defendant, Shannon Evers, is 100% responsible for the accident. Ms. Evers says Joey Lemieux is contributorily negligent and is 25% responsible for the accident.</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Extent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second issue is the extent of the injuries. The defendant recognizes that Joey was injured but questions the severity of the psychological and physical injuries.</w:t>
      </w:r>
      <w:r>
        <w:rPr>
          <w:rFonts w:ascii="arial" w:eastAsia="arial" w:hAnsi="arial" w:cs="arial"/>
          <w:sz w:val="20"/>
          <w:lang w:val="en-US" w:eastAsia="en-US" w:bidi="ar-SA"/>
        </w:rPr>
        <w:cr/>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third issue is causation. The defendant questions whether Joey's difficulties at school are the normal difficulties one can expect in adolescence rather than difficulties caused as a result of the accident. She also argues that his poor athletic performance may be due to factors other than the accident, especially since he played hockey for three years after the accident.</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fourth issue is mitigation. That is, did Joey do what he should have done to keep at a minimum the consequences of his injuries? The defendant says that Joey Lemieux failed to mitigate his damages by twice not continuing with counselling that was recommended to him, once when he was 12, with a psychologist and once when he was 14, with a psychiatrist. The defendant says this should reduce any award by another 25%.</w:t>
      </w:r>
      <w:r>
        <w:rPr>
          <w:rFonts w:ascii="arial" w:eastAsia="arial" w:hAnsi="arial" w:cs="arial"/>
          <w:sz w:val="20"/>
          <w:lang w:val="en-US" w:eastAsia="en-US" w:bidi="ar-SA"/>
        </w:rPr>
        <w:cr/>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fifth issue is quantum, that is, the amount Joey should be awarded under each category of damage.</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first category is general damages. Joey Lemieux claims general damages of $75,000, relying on Anderson (Guardian ad litem of) v. Bicknell </w:t>
      </w:r>
      <w:hyperlink r:id="rId224" w:history="1">
        <w:r>
          <w:rPr>
            <w:rFonts w:ascii="arial" w:eastAsia="arial" w:hAnsi="arial" w:cs="arial"/>
            <w:i/>
            <w:color w:val="0077CC"/>
            <w:sz w:val="20"/>
            <w:u w:val="single"/>
            <w:shd w:val="clear" w:color="auto" w:fill="FFFFFF"/>
            <w:lang w:val="en-US" w:eastAsia="en-US" w:bidi="ar-SA"/>
          </w:rPr>
          <w:t>[1998] B.C.J. No. 1847</w:t>
        </w:r>
      </w:hyperlink>
      <w:r>
        <w:rPr>
          <w:rFonts w:ascii="arial" w:eastAsia="arial" w:hAnsi="arial" w:cs="arial"/>
          <w:color w:val="000000"/>
          <w:sz w:val="20"/>
          <w:lang w:val="en-US" w:eastAsia="en-US" w:bidi="ar-SA"/>
        </w:rPr>
        <w:t xml:space="preserve"> (B.C.S.C.) and Driscoll v. Thagard </w:t>
      </w:r>
      <w:hyperlink r:id="rId225" w:history="1">
        <w:r>
          <w:rPr>
            <w:rFonts w:ascii="arial" w:eastAsia="arial" w:hAnsi="arial" w:cs="arial"/>
            <w:i/>
            <w:color w:val="0077CC"/>
            <w:sz w:val="20"/>
            <w:u w:val="single"/>
            <w:shd w:val="clear" w:color="auto" w:fill="FFFFFF"/>
            <w:lang w:val="en-US" w:eastAsia="en-US" w:bidi="ar-SA"/>
          </w:rPr>
          <w:t>[1999] B.C.J. No. 283</w:t>
        </w:r>
      </w:hyperlink>
      <w:r>
        <w:rPr>
          <w:rFonts w:ascii="arial" w:eastAsia="arial" w:hAnsi="arial" w:cs="arial"/>
          <w:color w:val="000000"/>
          <w:sz w:val="20"/>
          <w:lang w:val="en-US" w:eastAsia="en-US" w:bidi="ar-SA"/>
        </w:rPr>
        <w:t xml:space="preserve"> (B.C.S.C.). The defendant says that non-pecuniary damages should be in the range of $40,000 before any discount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failure to mitigate. The defendant points to James (Guardian ad litem of) v. Gillespie </w:t>
      </w:r>
      <w:hyperlink r:id="rId226" w:history="1">
        <w:r>
          <w:rPr>
            <w:rFonts w:ascii="arial" w:eastAsia="arial" w:hAnsi="arial" w:cs="arial"/>
            <w:i/>
            <w:color w:val="0077CC"/>
            <w:sz w:val="20"/>
            <w:u w:val="single"/>
            <w:shd w:val="clear" w:color="auto" w:fill="FFFFFF"/>
            <w:lang w:val="en-US" w:eastAsia="en-US" w:bidi="ar-SA"/>
          </w:rPr>
          <w:t>[1995] B.C.J. No. 442</w:t>
        </w:r>
      </w:hyperlink>
      <w:r>
        <w:rPr>
          <w:rFonts w:ascii="arial" w:eastAsia="arial" w:hAnsi="arial" w:cs="arial"/>
          <w:color w:val="000000"/>
          <w:sz w:val="20"/>
          <w:lang w:val="en-US" w:eastAsia="en-US" w:bidi="ar-SA"/>
        </w:rPr>
        <w:t xml:space="preserve"> (B.C.S.C.) and Canfield v. Norum and Olson (08 December 1989), Kamloops Registry, No. 14060 (B.C.S.C.). Both lawyers agree that though those cases provide general guidance, each case must be decided based on its own facts.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Opportunity to Earn an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second category is loss of opportunity to earn an income. Joey Lemieux claims $25,000 for the loss of opportunity to earn an income as a result of the delay in his graduation. The defendant says that this is not an appropriate case for an award for the loss of opportunity to earn an income. There is no permanent injury and his poor performance and delayed graduation is not related to the accident.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third category is cost of future care. Joey claims $2,500, being 20 counselling sessions at $125 a session as recommended by a psychologist, Dr. Stone. The defendant says it should be $1,875, being 15 sessions, as recommended by the defence psychologist, Dr. Posthuma.</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fourth category is special damages. Joey Lemieux claims special damages of $5,221.86. The defendant agrees that the amount is appropriate but says it should be discounted because of the failure to mitigate and suggests $4,500.</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fifth category is what is known as an "In Trust" claim on behalf of Joey's mother, Susan Lemieux. The claim is for $5,000 to compensate her for sporadic time she took off work throughout each year to care for Joey and to take him to medical and other appointments. It also involves the substantial extra tutoring she did for Joey because of the difficulties he was having after the accident. The defendant says that Mrs. Lemieux is entitled to compensation for time off work, but only up to the time that Joey went to a psychiatrist when he was fourteen and then stopped going. The defendant does not agree that Mrs. Lemieux should be compensated for the time spent tutoring. Counsel for the defendant says that it is something she would do as his mother, and that in any case the tutoring does not appear to have been effective.</w:t>
      </w:r>
      <w:r>
        <w:rPr>
          <w:rFonts w:ascii="arial" w:eastAsia="arial" w:hAnsi="arial" w:cs="arial"/>
          <w:sz w:val="20"/>
          <w:lang w:val="en-US" w:eastAsia="en-US" w:bidi="ar-SA"/>
        </w:rPr>
        <w:cr/>
      </w:r>
    </w:p>
    <w:p>
      <w:pPr>
        <w:numPr>
          <w:numId w:val="1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will deal first with the question of who was responsible for the accident. I will review only some of the evidence though I have considered all of it in reaching my decision.</w:t>
      </w:r>
      <w:r>
        <w:rPr>
          <w:rFonts w:ascii="arial" w:eastAsia="arial" w:hAnsi="arial" w:cs="arial"/>
          <w:sz w:val="20"/>
          <w:lang w:val="en-US" w:eastAsia="en-US" w:bidi="ar-SA"/>
        </w:rPr>
        <w:cr/>
      </w:r>
    </w:p>
    <w:p>
      <w:pPr>
        <w:numPr>
          <w:numId w:val="1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Matters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Certain matters were not in dispute. The accident happened on 118th Street at approximately 77B Avenue in North Delta. Ms. Evers was driving a 1984 Ford Tempo, her mother's vehicle, southbound on 118th Street. She was 19 at the time. 118th Street, for approximately five blocks surrounding 77B Avenue, is a residential street with a lane of travel running north and south. It is paved with a wide gravel shoulder on each side, wide enough for vehicles to be parked on both sides and to still allow both a north and southbound vehicle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was a bright sunny Saturday morning. Joey was on a bottle drive with his hockey team. He, along with his friend Richard Molenaar, his mother and a young girl, were collecting bottles along 118th Street in the area around 77B Avenue. The central meeting point was Richard Molenaar's home on 77B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their canvassing was complete in this area, Joey was on the west side of the street and Richard was on the east side of the street. Mrs. Lemieux was walking north on the westbound side toward her vehicle which was parked just past a large white van parked on the gravel on the west side of the road. The vehicle and the van were about 50 metres north of the impact location. There were children playing in the yards along 118th Street.</w:t>
      </w:r>
      <w:r>
        <w:rPr>
          <w:rFonts w:ascii="arial" w:eastAsia="arial" w:hAnsi="arial" w:cs="arial"/>
          <w:sz w:val="20"/>
          <w:lang w:val="en-US" w:eastAsia="en-US" w:bidi="ar-SA"/>
        </w:rPr>
        <w:cr/>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Joey testified that he looked both ways before beginning to cross 118th Street from west to east. He said that his friend Richard called him to go to his house. He turned left, then right, then stopped. He went out another foot or two, turned left, but the van was blocking the view. He did not see anything as he looked right, as he turned back left, he saw a car about to hit him. At that point he was a foot or two into the east, or northbound lane. Then he blacked out. He does not know if he stopped before he was hit or not. He said he saw a picture of his grandmother's face, and she looked healthy, though she had died of cancer two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agreed in cross-examination that he knew about crossing the street at crosswalks and knew generally traffic rules. He learned them at home and at school. He had ridden a bike from a young age and knew about staying on the right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His friend Richard Molenaar testified. He saw Joey just as he entered the road and Mrs. Lemieux walking towards her car, and then he (Richard) looked away. He looked back because he heard screeching tires as the car was braking. He was asked if he had seen any cars north or south before he turned around and he said no. When he first saw Joey he was airborne. He was just on the line or just over the line division in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Mrs. Lemieux was walking toward her vehicle, she said that she saw a car proceeding alongside the van, which turned out to be the one driven by Ms. Evers. Mrs. Lemieux said that it seemed like it was going too fast as it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said she reached that conclusion because when she looked at the car, it looked like it was moving too fast just by the way it was travelling. She thought to herself, "my gosh, slow down, there are kids out there". She said she was turning her body and was about to yell at the driver when she saw Joey. He was standing dead centre or a step or two into the northbound lane. He was looking the other way. He turned around and he was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Joey, once hit, did a somersault and hit the hood, almost bounced up, then bounced again and fell head first onto the pavement on the right side of the vehicle with nothing to break his fall. He ended up by the right front tire. In cross-examination Mrs. Lemieux said that the car was not completely stopped when he was bouncing.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Ms. Evers' examination for discovery she said that she was "doing the speed limit, and to my right there was a white van which would have been blocking seeing the gentlemen there. And as I was driving he - like within two seconds I saw him and hit him with my car." She also said that she did not see him until almost the time of impact. She said she had a chance to "just yank the wheel of my car and slam on my brakes and try and avoid him, but unfortunately I didn't, and he went up on the car and onto the road." She agreed that her memory of the events leading up to the accident is quite spotty. She could not say why she went left and not right. She agreed that she just sort of panicked.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her testimony at the trial, Ms. Evers said she had Cora Baker with her in the front passenger seat and they picked up Terrence Evans who lived on 118th Street. Ms. Evers said she was going approximately 50 kilometres per hour and said she knew this because she looked at her speedometer. She was taught in her Young Driver's training to look at her speedometer frequently. She said that it had taken her approximately 20 seconds to travel from Mr. Evan's house to the accident scene, so she had looked at it more than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said she saw people much further down the road, and was taught to look down the road. She was about three car lengths away when she first saw Joey Lemieux and also said she saw him "pretty much on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Evers said that she had no problem with the brakes and further said that her father was very particular and a little obsessive about keeping the vehicle in good shape as both his daughters were driving. After the accident they took the car to a mechanic to check it over and nothing was wrong. Neither the father nor the mechanic testified. She also said that she was not able to locate her two passengers so that they could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cross-examination Ms. Evers agreed that she knew that there was a good chance that there were kids outside playing in yards adjacent to the road. She agreed that she learned to be extra careful when you are in an area where there could be children. She did not see Richard Molenaar or Mrs. Lemieux or the girl who was with them. She agreed that the skidmark from her vehicle was in the northbound lane and that the right front tire made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An accident reconstruction expert, Craig Luker, was called on behalf of Joey Lemieux. He attended at the accident scene. He concluded that the Evers vehicle was travelling in the northbound lane before the collision. He concluded that one of two things happened. The first was that the vehicle had faulty brakes and if the brakes were fully functioning, Ms. Evers would have been able to stop in time. The second was that if the brakes were fully functioning, Ms. Evers must have been travelling about 59 kilometres per hour. Mr. Luker testified that if Ms. Evers had been travelling the speed limit, she could have stopped in time. It was also his opinion that Joey was not running when he was struck.</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that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will now consider the law that applies. I will first mention the legal principle and then discuss the section of the Motor Vehicle Act or the case or textbook that sets out that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driver of a vehicle must confine the course of the vehicle to the right-hand half of the roadway if the roadway is of sufficient width and it is practicable to do so: s. 150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 pedestrian must not leave a curb or other place of safety and walk or run into the path of a vehicle that is so close it is impracticable for the driver to yield the right of way: s. 179(2) of the Act. When a pedestrian is crossing a highway at a point not in a crosswalk, the pedestrian must yield the right of way to a vehicle: s. 180 of the Act. Despite these two sections, a driver of a vehicle must, according to s. 181:</w:t>
      </w:r>
      <w:r>
        <w:rPr>
          <w:rFonts w:ascii="arial" w:eastAsia="arial" w:hAnsi="arial" w:cs="arial"/>
          <w:sz w:val="20"/>
          <w:lang w:val="en-US" w:eastAsia="en-US" w:bidi="ar-SA"/>
        </w:rPr>
        <w:cr/>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Once the presence of a child or children on a road is known, or should have been known to the driver of a vehicle proceeding through a residential area where children live, that driver must take special precautions for the safety of the child or children seen, and any other child or children yet unseen whose possible appearance or entrance onto the road is reasonably foreseeable: Chohan v. Wayenberg </w:t>
      </w:r>
      <w:hyperlink r:id="rId227" w:history="1">
        <w:r>
          <w:rPr>
            <w:rFonts w:ascii="arial" w:eastAsia="arial" w:hAnsi="arial" w:cs="arial"/>
            <w:i/>
            <w:color w:val="0077CC"/>
            <w:sz w:val="20"/>
            <w:u w:val="single"/>
            <w:shd w:val="clear" w:color="auto" w:fill="FFFFFF"/>
            <w:lang w:val="en-US" w:eastAsia="en-US" w:bidi="ar-SA"/>
          </w:rPr>
          <w:t>(1990), 67 D.L.R. (4th) 318</w:t>
        </w:r>
      </w:hyperlink>
      <w:r>
        <w:rPr>
          <w:rFonts w:ascii="arial" w:eastAsia="arial" w:hAnsi="arial" w:cs="arial"/>
          <w:color w:val="000000"/>
          <w:sz w:val="20"/>
          <w:lang w:val="en-US" w:eastAsia="en-US" w:bidi="ar-SA"/>
        </w:rPr>
        <w:t xml:space="preserve"> (B.C.C.A.) at 319; Bourne (Guardian ad litem of) v. Anderson </w:t>
      </w:r>
      <w:hyperlink r:id="rId171" w:history="1">
        <w:r>
          <w:rPr>
            <w:rFonts w:ascii="arial" w:eastAsia="arial" w:hAnsi="arial" w:cs="arial"/>
            <w:i/>
            <w:color w:val="0077CC"/>
            <w:sz w:val="20"/>
            <w:u w:val="single"/>
            <w:shd w:val="clear" w:color="auto" w:fill="FFFFFF"/>
            <w:lang w:val="en-US" w:eastAsia="en-US" w:bidi="ar-SA"/>
          </w:rPr>
          <w:t>[1997] B.C.J. No. 915</w:t>
        </w:r>
      </w:hyperlink>
      <w:r>
        <w:rPr>
          <w:rFonts w:ascii="arial" w:eastAsia="arial" w:hAnsi="arial" w:cs="arial"/>
          <w:color w:val="000000"/>
          <w:sz w:val="20"/>
          <w:lang w:val="en-US" w:eastAsia="en-US" w:bidi="ar-SA"/>
        </w:rPr>
        <w:t xml:space="preserve"> (B.C.S.C.) at para. 55; Clint (Guardian ad litem of) v. McKeigan </w:t>
      </w:r>
      <w:hyperlink r:id="rId228" w:history="1">
        <w:r>
          <w:rPr>
            <w:rFonts w:ascii="arial" w:eastAsia="arial" w:hAnsi="arial" w:cs="arial"/>
            <w:i/>
            <w:color w:val="0077CC"/>
            <w:sz w:val="20"/>
            <w:u w:val="single"/>
            <w:shd w:val="clear" w:color="auto" w:fill="FFFFFF"/>
            <w:lang w:val="en-US" w:eastAsia="en-US" w:bidi="ar-SA"/>
          </w:rPr>
          <w:t>(1998), 55 B.C.L.R. (3d) 238</w:t>
        </w:r>
      </w:hyperlink>
      <w:r>
        <w:rPr>
          <w:rFonts w:ascii="arial" w:eastAsia="arial" w:hAnsi="arial" w:cs="arial"/>
          <w:color w:val="000000"/>
          <w:sz w:val="20"/>
          <w:lang w:val="en-US" w:eastAsia="en-US" w:bidi="ar-SA"/>
        </w:rPr>
        <w:t xml:space="preserve"> (S.C.) at para 15.</w:t>
      </w:r>
      <w:r>
        <w:rPr>
          <w:rFonts w:ascii="arial" w:eastAsia="arial" w:hAnsi="arial" w:cs="arial"/>
          <w:sz w:val="20"/>
          <w:lang w:val="en-US" w:eastAsia="en-US" w:bidi="ar-SA"/>
        </w:rPr>
        <w:cr/>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must decide whether the Defendant Ms. Evers was negligent. I conclude that she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was impressed with both the qualifications of and the evidence of Mr. Luker, the accident reconstruction engineer. His analysis was sound and I accept his opinion that Ms. Evers was either speeding or operating a vehicle with defective brakes. I accept the evidence of Mrs. Lemieux that Ms. Evers was travelling too quickly given the residential location and the fact that there were children there to be seen, including Joey. Other children could reasonably be expected to be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more likely than not that Ms. Evers was travelling faster than the speed limit in spite of the evidence of Ms. Evers that she checked her speedometer shortly before the collision. She did not confine the course of the vehicle to the right-hand half of the roadway though the roadway was of sufficient width and it was practicable to do so. To the contrary, her vehicle was travelling in the centre of the roadway and swerved to the right so that the vehicle was in the northbound lane when it struck Joey.</w:t>
      </w:r>
      <w:r>
        <w:rPr>
          <w:rFonts w:ascii="arial" w:eastAsia="arial" w:hAnsi="arial" w:cs="arial"/>
          <w:sz w:val="20"/>
          <w:lang w:val="en-US" w:eastAsia="en-US" w:bidi="ar-SA"/>
        </w:rPr>
        <w:cr/>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next question is whether Joey was contributorily negligent. A plaintiff can be found to have contributed to an accident by his or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will not happen though, unless it can be said that "but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accident would not have happened: L.N. Klar et al, Remedies in Tort Vol. 2 (Toronto: Carswell, 1987), at 16.II-23.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What then is the effect of the fact that Joey was 11 years old at the time of the accident on the question of whether or not he was negligent? A two-part test must be applied. The first part is to decide whether he is capable of being found negligent under the circumstances. This is a subjective test, having regard to his age, intelligence, experience and general circumstances. If he is capable of being found negligent, then the test to be applied is whether he exercised the care to be expected from a child of like age, intelligence and experience: McEllistrum v. Etches </w:t>
      </w:r>
      <w:hyperlink r:id="rId229" w:history="1">
        <w:r>
          <w:rPr>
            <w:rFonts w:ascii="arial" w:eastAsia="arial" w:hAnsi="arial" w:cs="arial"/>
            <w:i/>
            <w:color w:val="0077CC"/>
            <w:sz w:val="20"/>
            <w:u w:val="single"/>
            <w:shd w:val="clear" w:color="auto" w:fill="FFFFFF"/>
            <w:lang w:val="en-US" w:eastAsia="en-US" w:bidi="ar-SA"/>
          </w:rPr>
          <w:t>(1956), 6 D.L.R. (2d) 1</w:t>
        </w:r>
      </w:hyperlink>
      <w:r>
        <w:rPr>
          <w:rFonts w:ascii="arial" w:eastAsia="arial" w:hAnsi="arial" w:cs="arial"/>
          <w:color w:val="000000"/>
          <w:sz w:val="20"/>
          <w:lang w:val="en-US" w:eastAsia="en-US" w:bidi="ar-SA"/>
        </w:rPr>
        <w:t xml:space="preserve"> (S.C.C.); Carson v. Pruden </w:t>
      </w:r>
      <w:hyperlink r:id="rId179" w:history="1">
        <w:r>
          <w:rPr>
            <w:rFonts w:ascii="arial" w:eastAsia="arial" w:hAnsi="arial" w:cs="arial"/>
            <w:i/>
            <w:color w:val="0077CC"/>
            <w:sz w:val="20"/>
            <w:u w:val="single"/>
            <w:shd w:val="clear" w:color="auto" w:fill="FFFFFF"/>
            <w:lang w:val="en-US" w:eastAsia="en-US" w:bidi="ar-SA"/>
          </w:rPr>
          <w:t>[1990] B.C.J. No. 1226</w:t>
        </w:r>
      </w:hyperlink>
      <w:r>
        <w:rPr>
          <w:rFonts w:ascii="arial" w:eastAsia="arial" w:hAnsi="arial" w:cs="arial"/>
          <w:color w:val="000000"/>
          <w:sz w:val="20"/>
          <w:lang w:val="en-US" w:eastAsia="en-US" w:bidi="ar-SA"/>
        </w:rPr>
        <w:t xml:space="preserve"> (B.C.C.A.); Remedies in Tort, at 16.II-28.13-14.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One of the acknowledged characteristics of children is that they will be more prone to distraction than the reasonably prudent adult. Children commit more and greater errors of judgment than adults and a momentary lapse in awareness is to be tolerated and does not result in a finding of legal responsibility: Gonzalez (Guardian ad litem of) v. Stewart </w:t>
      </w:r>
      <w:hyperlink r:id="rId230" w:history="1">
        <w:r>
          <w:rPr>
            <w:rFonts w:ascii="arial" w:eastAsia="arial" w:hAnsi="arial" w:cs="arial"/>
            <w:i/>
            <w:color w:val="0077CC"/>
            <w:sz w:val="20"/>
            <w:u w:val="single"/>
            <w:shd w:val="clear" w:color="auto" w:fill="FFFFFF"/>
            <w:lang w:val="en-US" w:eastAsia="en-US" w:bidi="ar-SA"/>
          </w:rPr>
          <w:t>(1997), 43 B.C.L.R. (3d) 286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Joey was an intelligent 11 year old with some experience as to the rules of the road. He was capable of being negligent. I conclude, however, that he was not negligent. He acted like any 11 year old of similar intelligence and experience would be expected to act. He did not dart out into traffic. Rather, he looked left then right before entering upon the roadway. He stopped to check for traffic once he could see past the van. It was safe to proceed at that point. He was walking, not running.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If I am wrong in finding that he was not negligent, it cannot be said that "but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accident would not have happened. That is because Joey was in the northbound lane when hit. Had Ms. Evers remained in the southbound lane, she would have missed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EXTENT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Next, I will consider the extent of the injuries. I will refer to only some of the evidence though I have considered all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Joey was briefly unconscious after the accident. His immediately apparent physical injuries included severely bruised legs, making it impossible for him to walk for a period of two days and then requiring the use of crutches for approximately two weeks. He suffered scrapes and a large bump on his head. Later, soft tissue pain in his neck and back developed which has largely healed. At times he had flashbacks. For a period of time after the accident he thought that Ms. Evers drove in the way she did because she was trying to kill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most significant consequences have been the severe headaches he has suffered and to some extent continues to experience; the development of panic attacks where he would have great difficulty getting his breath; and his inability to sleep properly. These panic attacks first happened approximately two weeks following the accident and continue today, though to a much lesser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heard substantial evidence from Joey, his mother, his father Dave Lemieux, his brother Jeff, and his former hockey team mate Richard Molenaar about the effect of the injuries on his activities, and in particular his sporting activities. This evidence showed that he excelled at hockey before the accident. It is true, as the defendant points out, that Joey continued to participate in sports, especially hockey, for some three years after the accident. It showed that while he continued to participate, his calibre of play decreased significantly, as did his enjoyment of the game. He slowed down, could not concentrate and experienced panic attacks. He spent less time with his friends. No evidence was called to the contrary. I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heard substantial evidence about the impact of his injuries on his progress in school from Joey and Mrs. Lemieux, Joey's brother Jeff, and Judy Miloglav, the person responsible for child care while Mrs. Lemieux was at work. All of that evidence was called on behalf of the plaintiff. That evidence showed that his panic attacks and headaches significantly affected his ability to properly do his school work. He frequently had to leave during the school day with severe headaches. He was often unable to concentrate on his schoolwork. The difficulties had a cumulative effect. I was also provided with report cards which show that his grades steadily declined. No evidence was called to the contrary. I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was also evidence brought out in cross-examination that Joey could have obtained some extra help from his teachers and did not pursue that. They however preferred to have Mrs. Lemieux tutor him at home. Joey agreed that lately he has had a part time job and that this cuts into the time he has to attend to his school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Joey first saw his family doctor, Dr. Ng. I had the benefit of two reports from Dr. Ng and various medical legal reports and/or clinical records from practitioners to whom Joey was referred by Dr. Ng, including Dr. White, a paediatrician, Dr. Bennett a psychologist, Dr. Singh, a paediatric allergy specialist, Dr. Connolly, a paediatric neurologist, and Dr. Maskell, a child psychiatrist. Dr. Hepburn, an orthopaedic surgeon conducted an independent medical examination in April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White diagnosed a closed head injury. Dr. Connolly ruled out any neurological cause for the headaches. Dr. Singh could not find any allergy related causes. Dr. Hepburn said that Joey did not have serious orthopaedic injuries. His back and neck symptoms are likely related to tightness or tension in the back and neck rather than reflecting any significant damage to the vertebrae or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Maskell, the psychiatrist, said that Joey's symptoms are consistent with a panic disorder. Dr. Stone and Joey's family physician, Dr. Ng, have diagnosed him with Post Traumatic Stress Disorder. Dr. Posthuma, the defence psychologist, did not examine Joey but questions the diagnosis and the methodology used by Dr. Stone. However, both counsel agree that whether the label of Post Traumatic Stress Disorder applies is not as significant as what the nature of the symptoms are and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Joey's primary treatment has been massage therapy, which he has found to be of great assistance with his headaches. He takes medication for his headaches. He tried counselling twice. The first attempt was in February 1996, with Dr. Bennett, when he was 12, which was discontinued after two sessions. The second attempt was in September 1997, when he was 14, with Dr. Maskell, which was discontinued after two sessions. I will say more about their involvement when I discuss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notes that the last time Joey went to see a doctor was in October 1998 and the time before that was February 1998. This, the defendant argues, means that the injuries were more tolerable than is being suggested. Joey and his mother say in response that there was no change in his condition and they were hopeful that he would get better. They said "it was up and down." They would think he was getting better and then there would be a change for the worse. In any case, they agree that he was a lot better by December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Causation is established where the plaintiff proves to the civil standard on a balance of probabilities that the defendant caused or contributed to the injury.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Athey v. Leonati, </w:t>
      </w:r>
      <w:hyperlink r:id="rId20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the case of psychological injuries, causation is shown when the psychological problems result from the defendant's unlawful act, rather than from any desire on the plaintiff's part for such things as care, sympathy, relaxation or compensation. In addition, the plaintiff must show that s/he could not have been expected to overcome them by his or her own inherent resources or "will power": Maslen v. Rubenstein </w:t>
      </w:r>
      <w:hyperlink r:id="rId231"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Maskell says it may be that "Joey's car accident acted as the initial triggering event for the panic attacks, in that it acutely sensitized him to the experience of anxiety." As noted earlier, in this case the defendant questions whether Joey's difficulties at school are the normal difficulties one can expect in adolescence or whether the difficulties are caused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Posthuma read the medical legal reports and clinical records and a memorandum reporting on the Examinations for Discovery of Joey and his mother. He did not interview anyone. He notes that determining the causal link for psychological problems is very complex and difficult. He questions whether the difficulties in school were related to the accident and observed that "he appears to have become a rather indifferent student over time as he progressed into his secondary schooling." He suggests that this is not an unusual phenomenon to the chagrin of many parents in normal situations where there has not been an accident involved. He did agree that school achievement can be hampered by absences, severe headaches and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Posthuma was only in a position to speak in general terms. I had the benefit of hearing about the impact of the accident upon his school work from Joey, members of his family and friends. I am satisfied that both the accident contributed to his difficulties, and that the effect was cumulative.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am also satisfied that the accident contributed to Joey's relatively poor athletic performance. It is not obvious that this was just a case where a child had initial potential but then fell behind. The only evidence that I have was that he was a very talented athlete with high potential and that after the accident, he began experiencing difficulties that affected his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next issue is mitigation. I will first consider the legal principles that apply and then I will discuss how they relate to this case.</w:t>
      </w:r>
      <w:r>
        <w:rPr>
          <w:rFonts w:ascii="arial" w:eastAsia="arial" w:hAnsi="arial" w:cs="arial"/>
          <w:sz w:val="20"/>
          <w:lang w:val="en-US" w:eastAsia="en-US" w:bidi="ar-SA"/>
        </w:rPr>
        <w:cr/>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legal principles that apply say that a plaintiff cannot unreasonably refuse to undergo recommended medical treatment. This duty to mitigate comes from the general proposition that a plaintiff cannot recover damages from the defendant which he or she could have avoided by the taking of reasonable steps: Janiak v. Ippolito </w:t>
      </w:r>
      <w:hyperlink r:id="rId232" w:history="1">
        <w:r>
          <w:rPr>
            <w:rFonts w:ascii="arial" w:eastAsia="arial" w:hAnsi="arial" w:cs="arial"/>
            <w:i/>
            <w:color w:val="0077CC"/>
            <w:sz w:val="20"/>
            <w:u w:val="single"/>
            <w:shd w:val="clear" w:color="auto" w:fill="FFFFFF"/>
            <w:lang w:val="en-US" w:eastAsia="en-US" w:bidi="ar-SA"/>
          </w:rPr>
          <w:t>(1985), 16 D.L.R. (4th) 1</w:t>
        </w:r>
      </w:hyperlink>
      <w:r>
        <w:rPr>
          <w:rFonts w:ascii="arial" w:eastAsia="arial" w:hAnsi="arial" w:cs="arial"/>
          <w:color w:val="000000"/>
          <w:sz w:val="20"/>
          <w:lang w:val="en-US" w:eastAsia="en-US" w:bidi="ar-SA"/>
        </w:rPr>
        <w:t xml:space="preserve"> at 17. The obligation of the plaintiff is to act like a reasonable and prudent person: Cooper-Stevenson, Kenneth D. and Susan B. Saunders, Personal Injury Damages in Canada, (2d), (Toronto: Carswell, 1996) at 872. This involves determining (a) the standard required of the plaintiff in measuring his or her conduct; and (b) whether, in light of that standard, the conduct of the plaintiff was in fact unreasonable.</w:t>
      </w:r>
      <w:r>
        <w:rPr>
          <w:rFonts w:ascii="arial" w:eastAsia="arial" w:hAnsi="arial" w:cs="arial"/>
          <w:sz w:val="20"/>
          <w:lang w:val="en-US" w:eastAsia="en-US" w:bidi="ar-SA"/>
        </w:rPr>
        <w:cr/>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Standard Required of Joey Lemieux?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That standard of conduct is not onerous: Personal Injury Damages in Canada, at 872. The onus of proving a failure to mitigate lies with the defendant. Discharge of this onus requires the defendant to establish on a balance of probabilities the following: (1) the steps a plaintiff could have taken in mitigation (e.g. taking doctor recommended treatment); (2) the reasonableness of pursuing those steps; and (3) the extent to which the plaintiff's loss would thereby have been avoided: Janiak, at 14 to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the case of psychological injury, once causation is proven (as discussed above) the court must decide whether the defendant has established that by following advice which the plaintiff received or ought to have obtained, the plaintiff could have overcome the problem or could in the future overcome it: Maslen v. Rubenstein,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How should the "reasonable person" standard be defined when the plaintiff is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personal injury context, a child's parents, rather than the child, are responsible for medical decisions made for the child. This is the general rule, unless certain requirements for the consent of an infant to medical treatment are met. Therefore, in the absence of consent, a child cannot lawfully receive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Section 17(2) of the Infants Act, </w:t>
      </w:r>
      <w:r>
        <w:rPr>
          <w:rFonts w:ascii="arial" w:eastAsia="arial" w:hAnsi="arial" w:cs="arial"/>
          <w:i/>
          <w:color w:val="000000"/>
          <w:sz w:val="20"/>
          <w:lang w:val="en-US" w:eastAsia="en-US" w:bidi="ar-SA"/>
        </w:rPr>
        <w:t>R.S.B.C. 1996, c. 223</w:t>
      </w:r>
      <w:r>
        <w:rPr>
          <w:rFonts w:ascii="arial" w:eastAsia="arial" w:hAnsi="arial" w:cs="arial"/>
          <w:color w:val="000000"/>
          <w:sz w:val="20"/>
          <w:lang w:val="en-US" w:eastAsia="en-US" w:bidi="ar-SA"/>
        </w:rPr>
        <w:t xml:space="preserve"> says that a child may consent to health care. Health care is defined to include psychological or psychiatric counselling. The Infants Act says that a request for, or consent, agreement or acquiescence to counselling is not a valid consent unless the person providing the counselling has done two things. The first is to explain to the infant and be satisfied that the child understands the nature and consequences of counselling and the reasonably foreseeable benefits and risks. The second is to make reasonable efforts to determine and then conclude that the counselling is in the child's best interests: see s. 17(3) of the Infants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issue of mitigation should also be considered in the context of the responsibility of children for tortious conduct generally. Professor Fleming reminds us that there is no arbitrary minimum age for civil responsibility, as there is for criminal responsibility. Each case is handled individually, having regard to the particular child's capacity to cope with the relevant risk involved: J.G. Fleming, The Law of Torts, (2d) (Sydney: LBC Information Services, 1998) at 321. As noted above, the test to be applied when determining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whether a child exercised the care to be expected from a child of like age, intelligence and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standard to be applied in the mitigation test, as it applies to children, can therefore be expanded to include a reasonable and prudent child of like age, intelligence and experience, who can understand the nature and consequences of the treatment and the reasonably foreseeable benefits and risks of the treatment, and who consents, agrees or acquiesces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This approach is consistent with Professor Cooper-Stevenson's suggestion that there are "significant components of subjectivity or individuation in the reasonable person standard." He suggests the test accommodates, among other things, the plaintiff's youth: Personal Injury Damages in Canada, at 873.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 similar result could be reached by drawing an analogy to the pre-existing psychological thin skull causing an unreasonable decision not to take medical treatment, discussed by the Supreme Court of Canada in Janiak. The court concluded that in such a case a plaintiff may not be held to an objective standard of reasonableness which it is beyond his capacity to change. As Wilson J. put it at p. 13, "the analytic focus in each case is on the capacity of the plaintiff to make a reasonable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capacity approach is broad enough to encompass a plaintiff's status as a child. That is, the idea of a pre-existing psychological condition is flexible enough to take into account the fact that childhood is a period when a child's capacity for rational choice gradually emerges over time as the child matures.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Is it significant that the main reason for the failure to take medical treatment was that the visits to the counsellors caused panic attacks and the panic attacks happened because of the accident. In Janiak, Wilson J. concluded that if the plaintiff's incapacity may have been itself a consequence of the trauma induced by the accident, it would appear manifestly unjust to cut off his recovery for failure to mitigate his damages through a rational decision as to treatment. (at p.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Professor Cooper-Stevenson notes that "it is quite clear that if the injury itself caused an inability to mitigate, subjective characteristics will be taken into account": Personal Injury Damages in Canada, at 873. See also Elloway v. Langner </w:t>
      </w:r>
      <w:hyperlink r:id="rId233" w:history="1">
        <w:r>
          <w:rPr>
            <w:rFonts w:ascii="arial" w:eastAsia="arial" w:hAnsi="arial" w:cs="arial"/>
            <w:i/>
            <w:color w:val="0077CC"/>
            <w:sz w:val="20"/>
            <w:u w:val="single"/>
            <w:shd w:val="clear" w:color="auto" w:fill="FFFFFF"/>
            <w:lang w:val="en-US" w:eastAsia="en-US" w:bidi="ar-SA"/>
          </w:rPr>
          <w:t>[1995] B.C.J. No. 779</w:t>
        </w:r>
      </w:hyperlink>
      <w:r>
        <w:rPr>
          <w:rFonts w:ascii="arial" w:eastAsia="arial" w:hAnsi="arial" w:cs="arial"/>
          <w:color w:val="000000"/>
          <w:sz w:val="20"/>
          <w:lang w:val="en-US" w:eastAsia="en-US" w:bidi="ar-SA"/>
        </w:rPr>
        <w:t xml:space="preserve"> (B.C.S.C.); McCallum v. Waito </w:t>
      </w:r>
      <w:hyperlink r:id="rId234" w:history="1">
        <w:r>
          <w:rPr>
            <w:rFonts w:ascii="arial" w:eastAsia="arial" w:hAnsi="arial" w:cs="arial"/>
            <w:i/>
            <w:color w:val="0077CC"/>
            <w:sz w:val="20"/>
            <w:u w:val="single"/>
            <w:shd w:val="clear" w:color="auto" w:fill="FFFFFF"/>
            <w:lang w:val="en-US" w:eastAsia="en-US" w:bidi="ar-SA"/>
          </w:rPr>
          <w:t>[1985] O.J. No. 8</w:t>
        </w:r>
      </w:hyperlink>
      <w:r>
        <w:rPr>
          <w:rFonts w:ascii="arial" w:eastAsia="arial" w:hAnsi="arial" w:cs="arial"/>
          <w:color w:val="000000"/>
          <w:sz w:val="20"/>
          <w:lang w:val="en-US" w:eastAsia="en-US" w:bidi="ar-SA"/>
        </w:rPr>
        <w:t xml:space="preserve"> (C.A.); and Paine v. Donovan </w:t>
      </w:r>
      <w:hyperlink r:id="rId235" w:history="1">
        <w:r>
          <w:rPr>
            <w:rFonts w:ascii="arial" w:eastAsia="arial" w:hAnsi="arial" w:cs="arial"/>
            <w:i/>
            <w:color w:val="0077CC"/>
            <w:sz w:val="20"/>
            <w:u w:val="single"/>
            <w:shd w:val="clear" w:color="auto" w:fill="FFFFFF"/>
            <w:lang w:val="en-US" w:eastAsia="en-US" w:bidi="ar-SA"/>
          </w:rPr>
          <w:t>(1994), 118 Nfld. &amp; P.E.I.R. 91</w:t>
        </w:r>
      </w:hyperlink>
      <w:r>
        <w:rPr>
          <w:rFonts w:ascii="arial" w:eastAsia="arial" w:hAnsi="arial" w:cs="arial"/>
          <w:color w:val="000000"/>
          <w:sz w:val="20"/>
          <w:lang w:val="en-US" w:eastAsia="en-US" w:bidi="ar-SA"/>
        </w:rPr>
        <w:t xml:space="preserve"> (P.E.I. S.C. [T.D.]). In fact, in Paine v. Donovan, the court went beyond the question of capacity and referred to "lack of will" caused by depression from the accidents in issue.</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Joey Lemieux's Conduct In Fact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will be recalled that the defendant says that Joey Lemieux failed to mitigate his damages by twice not continuing with counselling that was recommended to him, once when he was 12, with a psychologist, Dr. Bennett and once when he was 14, with a psychiatrist, Dr. Maskell.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Both Joey and Mrs. Lemieux said that no one told them specifically about the benefits and risks of the counselling. Mrs. Lemieux said that no one was pushing her to get Joey to go to counselling. Dr. Ng was trying to counsel Joey and said he would be better in a year or so. Mrs. Lemieux said that things would improve and then there would be a setback. They kept thinking he would get over it on his own. Mrs. Lemieux said that she heard that there was research going on at U.B.C. with respect to panic attacks but that the person had to be 18 years old.</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Attendance - Dr. Bennett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Joey saw Dr. Bennett twice in 1996 and then did not attend again. Dr. Bennett did not testify and did not provide a report. She did provide clinical records. There is a check list covering fees and medical coverage. There is no reference in the clinical records to discussions with respect to the requirements of the Infants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Joey testified that Dr. Bennett was teaching him breathing exercises and while there, he had more panic attacks than usual and did not feel comfortable. The whole point was to get rid of them. He said in cross-examination that it was nothing personal about Dr. Bennett.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Mrs. Lemieux was asked in direct examination whether anyone talked to them about the purpose of counselling or what they were hoping to accomplish. She said, "not that I can remember, they were supposed to help the panic attacks." She said she did not recall Dr. Bennett explaining the purpose or what they were hoping to achieve through the counselling sessions. She said she went with Joey and Dr. Bennett was trying to get Joey to do relaxation exercises. The doctor had Mrs. Lemieux involved. They would throw their arms up in the air and then bend down and go down to the ground. Joey would not do it. He was too embarrassed and did not want to do it. Mrs. Lemieux also said that Dr. Bennett told her Joey should not come if he was not ready.</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Attendance - Dr. Maskell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Joey saw Dr. Maskell, a child psychiatrist, in September 1997 when he was 14. Dr. Maskell is a former hockey player.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reviewed Dr. Maskell's thorough report to Dr. Singh, who made the referral. Dr. Maskell said that he would be working with Joey on cognitive behavioural techniques to further understand and manage his anxiety and panic symptoms. He asked Joey to keep a diary. There is no mention of explanations about the treatment or its benefits or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Joey said that Dr. Maskell did not talk about the accident, but about other things like abuse. He did not feel comfortable and again had more panic attacks. Dr. Maskell did not keep the sessions related to the accident. Joey said in cross-examination that he believes Dr. Maskell asked him to take a number of therapy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Mrs. Lemieux testified that Dr. Maskell started to get Joey's "stats". She did not remember him talking about cognitive behaviour techniques or about the purpose of the appointments and what they hoped to accomplish. She said that at the second appointment Joey went in on his own and when he came out he was experiencing panic attacks and did not want to go back. She said she encouraged him to go back. His father took him again and when he came home he was all upset. He was not happy about having to go there. She agreed that Dr. Maskell asked him to keep a panic attack diary and she said she remembered him doing that.</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Professional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evidence of various medical professionals is also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evidence and the reports of Dr. Ng indicate that he was counselling Joey. Dr. Ng was asked to comment in writing about his lack of attendance at therapy. He mistakenly thought Joey was 13 instead of 11 at the time of the accident and even then, he said "it would not be unexpected of him to comply with therapeutic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essence of Dr. Stone's evidence is that he does not think that Joey was ready for therapy when he was younger, that this is typical, and that he is ready for therapy now. The appropriate therapeutic relationship had not been established and Joey did not understand the significance of the process. To use Dr. Stone's words, "He came away from the sessions with no context." He thinks Joey wanted to "not feel bad" but did not understand what the therapy was, he did not feel comfortable and he just wanted to put it behind him and not dwell on it. Dr. Stone agreed that the sooner one gets treated the sooner one gets over the trauma. However, he said that the treatment has to be effective treatment for the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Posthuma disagrees with Dr. Ng and Dr. Stone. He readily acknowledges that he has never met Joey. He calls Dr. Stone's comments about why Joey has not participated in treatments speculative. He disagrees with the suggestion that there is consensus amongst mental health specialists with respect to treating trauma. He says there are a few golden rules. The main one is that the sooner you get the individual into treatment the sooner the person is able to get over their anxieties and return to "normal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says that the converse is also true. The longer one delays dealing with an issue that is anxiety provoking, the greater the complications. Based on those general rules, he concludes that Joey was much more ready to successfully respond to effective treatment shortly after his accident than he is now. Dr. Posthuma felt Joey's reaction to the therapy was understandable but that the therapist, often with the parents' support, could have dealt with it in a supportive way. He did agree that in treating children with panic attacks it is common to avoid situations that would make the attacks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Posthuma also reviewed the records and reports with respect to Dr. Bennett and Dr. Maskell and said that their approaches were appropriate. In particular, he was asked about the cognitive behavioural techniques that Dr. Maskell planned to use. He said that this is by far the treatment of choice in terms of main stream conventional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is noteworthy that the reason Joey did not continue the counselling was because it resulted in panic attacks, one of the consequences of the accident. Both he and his mother testified with respect to his adverse reaction to both attempts.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It is also worthy of note that Joey testified that his visits with Dr. Stone went really well. He was "all around more comfortable" with him. The panic attacks were not as bad and it was easier to talk to him. He would go to see him for counselling. Mrs. Lemieux said Joey's reaction to Dr. Stone was different. He talked about the accident. She said on the drive home Joey was silent and said he would like to go and see him again and that she was surprised by this.</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has not satisfied me that there has been a failure to mitigate. There will therefore not be any reduction in the award because of it. On both occasions when Joey went to counselling, he was a child. It has not been proven that he knew the nature and consequences of the treatment or the reasonably foreseeable benefits and risks of the treatment. In any case, I am not satisfied that he acted other than as a reasonable and prudent child of like age, intelligence and experience would act. The evidence showed that the nature of treatment for psychological injuries is often not as clearly defined as that for many physical injuries. It was not unreasonable for him to try the counselling and then discontinue it when it made his symptoms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Nor has it been proven that in Joey's case, taking the treatment would have made a difference. I have not overlooked the evidence of Dr. Posthuma, who is obviously a very well qualified psychologist. However, he did not meet or interview Joey and is only able to speak about this issue in general terms. Dr. Stone, on the other hand, did interview Joey and gained his trust. I accept Dr. Stone's evidence that Joey, while he is ready for treatment now, may well not have been ready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Though it is not necessary to decide the point, I conclude that Joey's inability to continue the counselling was itself a consequence of the accident. It would be manifestly unjust to cut off his recovery for failure to mitigate his damages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r>
        <w:rPr>
          <w:rFonts w:ascii="arial" w:eastAsia="arial" w:hAnsi="arial" w:cs="arial"/>
          <w:sz w:val="20"/>
          <w:lang w:val="en-US" w:eastAsia="en-US" w:bidi="ar-SA"/>
        </w:rPr>
        <w:cr/>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will start with general damages. I assess Joey's general damages at $65,000.</w:t>
      </w:r>
      <w:r>
        <w:rPr>
          <w:rFonts w:ascii="arial" w:eastAsia="arial" w:hAnsi="arial" w:cs="arial"/>
          <w:sz w:val="20"/>
          <w:lang w:val="en-US" w:eastAsia="en-US" w:bidi="ar-SA"/>
        </w:rPr>
        <w:cr/>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Opportunity to Earn an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conclude that Joey is entitled to an award of $15,000 for the loss of opportunity to earn an income. The accident contributed to the difficulties Joey has had with his schoolwork. The constant headaches affected his work at school and his ability to do homework. He got behind and frustrated. I agree with the suggestion that this is cumulative. It is true that he did not get help from the teachers at school but he did work with his mother at home.</w:t>
      </w:r>
      <w:r>
        <w:rPr>
          <w:rFonts w:ascii="arial" w:eastAsia="arial" w:hAnsi="arial" w:cs="arial"/>
          <w:sz w:val="20"/>
          <w:lang w:val="en-US" w:eastAsia="en-US" w:bidi="ar-SA"/>
        </w:rPr>
        <w:cr/>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Joey is entitled to $2,500 for the cost of future care. It is appropriate for Joey to attend counselling with Dr. Stone if that is what he chooses, in consultation with his parents.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Joey is entitled to special damages of $5,221.86.</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Mrs. Lemieux is entitled to $4,000. I conclude that Mrs. Lemieux would not have had to give up a week of holidays each year and would not have had to do extra tutoring had it not been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reaching my conclusions with respect to quantum I have taken into account the extent of the injuries as I have earlier described them and my conclusion on the issue of causation. The psychological injuries were significant and have had a major effect on Joey's life. I have also considered, as I must, the evidence brought out by Mr. ter Borg that Joey has not recently been seeing a doctor on a regular basis and that he continued to play hockey for three years. I have also considered the explanations provided as to why that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was very impressed with Joey. As Mr. ter Borg put it, he is an endearing young man. He has a lot of talent and he has shown that, in spite of all the difficulties he has been through, he has set some very worthwhile goals and he has what it takes to achieve them. I am sure that he will do just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That concludes my reasons for judgment. Are counsel in a position to speak to the question of costs now if it is necessary to speak to them? Or do you want a moment to consider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COURT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MARTINSON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2"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Little v. Einarsen, [2015] B.C.J. No. 2498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6-9 and 14-15,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M64650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2498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2127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6 W.W.R. 327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260 A.C.W.S. (3d) 646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3368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83 B.C.L.R. (5th) 173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Jason Little, Plaintiff, and Lisa Einarsen,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3"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0" w:name="Keywords_11"/>
      <w:bookmarkEnd w:id="8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Motor vehicles — Parking — Vehicle equipment — Action by plaintiff for damages for personal injuries suffered in motor vehicle accident in 2010 dismissed — Defendant's unoccupied vehicle rolled downhill from where it was parked and hit plaintiff — Vehicle's emergency brake was on — Vehicle had been inspected two months prior to accident — Emergency brake was repaired after accident — Accident would not have occurred but for failure of emergency brake to perform its intended function — By having vehicle inspected two months prior to accident, defendant had fulfilled her duty to be satisfied all components were in good working order — Motor Vehicle Act, s. 191(2).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Vehicle safety and equipment — Brakes — Defective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for damages for personal injuries suffered in motor vehicle accident in 2010 dismissed — Defendant's unoccupied vehicle rolled downhill from where it was parked and hit plaintiff — Vehicle's emergency brake was on — Vehicle had been inspected two months prior to accident — Emergency brake was repaired after accident — Accident would not have occurred but for failure of emergency brake to perform its intended function — By having vehicle inspected two months prior to accident, defendant had fulfilled her duty to be satisfied all components were in good working order — Motor Vehicle Act, s. 191(2).</w:t>
      </w:r>
    </w:p>
    <w:p>
      <w:pPr>
        <w:jc w:val="both"/>
        <w:rPr>
          <w:rFonts w:ascii="arial" w:eastAsia="arial" w:hAnsi="arial" w:cs="arial"/>
          <w:sz w:val="20"/>
          <w:lang w:val="en-US" w:eastAsia="en-US" w:bidi="ar-SA"/>
        </w:rPr>
      </w:pPr>
      <w:bookmarkStart w:id="81" w:name="Legislation Cited_7"/>
      <w:bookmarkEnd w:id="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4"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43" w:history="1">
        <w:r>
          <w:rPr>
            <w:rFonts w:ascii="arial" w:eastAsia="arial" w:hAnsi="arial" w:cs="arial"/>
            <w:i/>
            <w:color w:val="0077CC"/>
            <w:sz w:val="20"/>
            <w:u w:val="single"/>
            <w:shd w:val="clear" w:color="auto" w:fill="FFFFFF"/>
            <w:lang w:val="en-US" w:eastAsia="en-US" w:bidi="ar-SA"/>
          </w:rPr>
          <w:t>RSBC 1996, CHAPTER 318, s. 191</w:t>
        </w:r>
      </w:hyperlink>
      <w:r>
        <w:rPr>
          <w:rFonts w:ascii="arial" w:eastAsia="arial" w:hAnsi="arial" w:cs="arial"/>
          <w:color w:val="000000"/>
          <w:sz w:val="20"/>
          <w:lang w:val="en-US" w:eastAsia="en-US" w:bidi="ar-SA"/>
        </w:rPr>
        <w:t>(2), s. 191(2) (b)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2" w:name="Counsel_11"/>
      <w:bookmarkEnd w:id="8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B.J. Kirkhope.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L.T. Kohlruss, C. Murphy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3" w:name="Judgment_11"/>
      <w:bookmarkEnd w:id="83"/>
      <w:r>
        <w:pict>
          <v:line id="_x0000_s1086"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4" w:name="N.H. SMITH J."/>
            <w:bookmarkEnd w:id="84"/>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is about an unusual motor vehicle accident in which the plaintiff, Jason Little, was hit by an unoccupied car. The car of the defendant, Lisa Einarsen, rolled downhill from where it had been parked and hit Mr. Little as he was walking across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Almost six years later, Mr. Little says he still suffers from severe back spasms, headaches, and nightmares and that he is unable to return to his former work as a hardwood floor installer. The defence disputes both the severity of Mr. Little's injury and its relationship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But the first issue is whether the accident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Einarsen. No matter how severe Mr. Little's injuries may be, Ms. Einarsen is not required to compensate him unless she is found to be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occurred on January 8, 2010, in the parking lot of a pub in Nanaimo, B.C. Like much of Nanaimo, the parking lot was on a slope. Ms. Einarsen parked her car at the top of the slope and, at some point while she was in the building, the car rolled backwards down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Little and his friends Rodney Cooper and Gurdvev Dhamia had just arrived and were walking across the parking lot toward the pub. None of them saw Ms. Einarsen's car until after it had hit both Mr. Little and Mr. Dhamia from behind. The car continued rolling downhill and hit at least one other vehicle before hitting and coming to rest against a car owned by Roger Stoddart. Neither Mr. Dhamia, who rolled off the back of the car, nor Mr. Cooper, who was walking in front of the other two, actually saw the car hit Mr. Little.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Stoddart testified that he was inside the pub but came out when alerted by an announcement and saw Ms. Einarsen's car still resting against his. The emergency brake in Ms. Einarsen's car was operated by pulling up a hand lever. Mr. Stoddart said he looked into the car and could see that the emergency brake was on. That is consistent with the evidence of Ms. Einarsen, who testified that she had pulled up the emergency brake lever when she parked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Einarsen did not recall what gear she had left the car in, but said it was her practice to leave it in first gear. She also did not recall if she locked the car, but said she usually did. She said she had been inside the pub for about 10 minutes when she learned what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car was a 1992 model that Ms. Einarsen said she acquired from her sister no more than two years earlier. She said it was serviced regularly and she was unaware of any mechanical problems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Einarsen produced a service history from a car dealership indicating that a "semi-annual inspection" had taken place on November 13, 2009--less than two months before the accident. Later that month, the car had been towed into the dealership after the engine overheated. A different repair shop replaced a fuel filter on December 15,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Einarsen also produced two invoices from that second repair shop dated after the accident--January 15 and February 20, 2010. The February invoice indicates that the emergency brake was adjusted. Ms. Einarsen believed the February invoice reflects work done immediately after the accident that she was not able to pay for until February 20,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It is trite law that Mr. Little must show on a balance of probabilities that the accident and resulting injuries were caused by a failure of Ms. Einarsen to meet an applicable standard of care. As the authors Allen Linden and Bruce Feldthusen succinctly state in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9th ed (Markham, ON: LexisNexis, 2011) at 254: "If the evidence shows only that the defendant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have been at fault, the plaintiff will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 plaintiff who has no direct or positive evidence of how an accident occurred may rely on circumstantial evidence. The kind of circumstantial evidence capable of raising at least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at one time encompassed by the maxim </w:t>
      </w:r>
      <w:r>
        <w:rPr>
          <w:rFonts w:ascii="arial" w:eastAsia="arial" w:hAnsi="arial" w:cs="arial"/>
          <w:i/>
          <w:color w:val="000000"/>
          <w:sz w:val="20"/>
          <w:lang w:val="en-US" w:eastAsia="en-US" w:bidi="ar-SA"/>
        </w:rPr>
        <w:t>res ipsa loquiter</w:t>
      </w:r>
      <w:r>
        <w:rPr>
          <w:rFonts w:ascii="arial" w:eastAsia="arial" w:hAnsi="arial" w:cs="arial"/>
          <w:color w:val="000000"/>
          <w:sz w:val="20"/>
          <w:lang w:val="en-US" w:eastAsia="en-US" w:bidi="ar-SA"/>
        </w:rPr>
        <w:t xml:space="preserve"> (the thing speaks for itself). In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the Supreme Court of Canada said that phrase was not a distinct principle of law and should no longer be referred to. The court stated at page 435: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would appear that the law would be better served if the maxim was treated as expired and no longer used as a separate component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After all, it was nothing more than an attempt to deal with circumstantial evidence. That evidence is more sensibly dealt with by the trier of fact, who should weigh the circumstantial evidence with the direct evidence, if any, to determine whether the plaintiff has established on a balance of probabilities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Once the plaintiff has done so, the defendant must present evidence negating that of the plaintiff or necessarily the plaintiff will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Mr. Little relies on </w:t>
      </w:r>
      <w:r>
        <w:rPr>
          <w:rFonts w:ascii="arial" w:eastAsia="arial" w:hAnsi="arial" w:cs="arial"/>
          <w:i/>
          <w:color w:val="000000"/>
          <w:sz w:val="20"/>
          <w:lang w:val="en-US" w:eastAsia="en-US" w:bidi="ar-SA"/>
        </w:rPr>
        <w:t>Noble v. Bhumber</w:t>
      </w:r>
      <w:r>
        <w:rPr>
          <w:rFonts w:ascii="arial" w:eastAsia="arial" w:hAnsi="arial" w:cs="arial"/>
          <w:color w:val="000000"/>
          <w:sz w:val="20"/>
          <w:lang w:val="en-US" w:eastAsia="en-US" w:bidi="ar-SA"/>
        </w:rPr>
        <w:t xml:space="preserve"> (16 January 1996), </w:t>
      </w:r>
      <w:hyperlink r:id="rId245" w:history="1">
        <w:r>
          <w:rPr>
            <w:rFonts w:ascii="arial" w:eastAsia="arial" w:hAnsi="arial" w:cs="arial"/>
            <w:i/>
            <w:color w:val="0077CC"/>
            <w:sz w:val="20"/>
            <w:u w:val="single"/>
            <w:shd w:val="clear" w:color="auto" w:fill="FFFFFF"/>
            <w:lang w:val="en-US" w:eastAsia="en-US" w:bidi="ar-SA"/>
          </w:rPr>
          <w:t>[1996] B.C.J. No. 315</w:t>
        </w:r>
      </w:hyperlink>
      <w:r>
        <w:rPr>
          <w:rFonts w:ascii="arial" w:eastAsia="arial" w:hAnsi="arial" w:cs="arial"/>
          <w:color w:val="000000"/>
          <w:sz w:val="20"/>
          <w:lang w:val="en-US" w:eastAsia="en-US" w:bidi="ar-SA"/>
        </w:rPr>
        <w:t xml:space="preserve"> Victoria VI101918 (B.C.C.A.), a decision of the Court of Appeal that predates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In that case, a car that had been parked on a street rolled downhill and struck the plaintiff's vehicle. The defendant testified that he had placed the car in first gear, angled the front wheels to the curb, engaged the parking brake, and locked the car. The trial judge found that the defendant must have done at least one of those things and accepted a theory that some unknown person must have tampered with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Court of Appeal noted that the car had been found to be unlocked after the accident and there was no evidence of a break-in. It also found the defendant must have been mistaken about the wheels having been turned into the curb because the car had a system that locked the wheels in place when the ignition key was removed. The court referred to what is now s. 191(2)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reads:</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driver must not permit a motor vehicle to stand unattended or parked unless the driver has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locked it or made it secure in a manner that prevents its unauthorized use,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motor vehicle is standing on a grade, turned the front wheels of the vehicle to the curb or side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that basis, the Court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Was it reasonably foreseeable that if the defendant did not secure the vehicle in the way described in s. 192(2), someone would enter the vehicle, take it out of gear, release the brake and let it roll down the hill and that the vehicle would strike someone or something on the way? In my opinion, the defendant is caught by the very explanation offered in answer to the res ipsa loquitur inference and which the learned trial judge accepted, namely, that it is plausible that an unknown person could have caused this mischief. The legislature thought a risk of unauthorized use was sufficient to enact the requirement to lock the vehicle: s.192(2)(a). When the defendant testified that he took all the usual precautions he displayed an awareness of the peril that occurred. In my opinion, these factors compel a reversal of the judgment below and lead to a finding of liability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this case, there is no evidence that the vehicle was unlocked. At its highest, the evidence is only that Ms. Einarsen cannot recall whether she locked it or not. Even if it was unlocked, there is no evidence of a causal relationship between that and what happened. As for s. 191(2)(b), there is no evidence there was a curb and no evidence of what may have been on either side of Ms. Einarsen's car. In my view, that is not the circumstance to which s. 191(2)(b) was meant to apply, and the section is not evidence of any standard of care applicable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this case there is both direct and circumstantial evidence that permits the court to draw the necessary inferences about what caused the accident. It is not necessary to speculate about tampering or other possible causes for which there is no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uncontradicted evidence is that Ms. Einarsen's car rolled downhill from where it was parked while its emergency brake was engaged. The fact that the emergency brake failed to perform its principle function leads to the obvious inference that it was in some way defective. The inference is further supported by admissible business records from the repair shop that indicate the emergency brake was repaired or adjusted within days or, at most, a few weeks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absence of any direct or circumstantial evidence pointing to any other cause, it must be concluded that the accident would not likely have occurred if the emergency brake had been functioning properly. Putting it in slightly different terms, the accident, on the balance of probabilities, would not have occurred but for the failure of the emergency brake to perform its intended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Whether Ms. Einarsen can be held at fault for that failure depends on whether it was foreseeable--whether she knew or ought to have known about a defect or inadequacy that might cause the emergency brake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An owner of a vehicle owes a duty not to use it or permit it to be used if he or she knows or ought to have known that it is defective in any way that might cause an accident. The court will find that an owner ought to have known about a defect that would have been detected by the exercise of ordinary care, caution, and skill: </w:t>
      </w:r>
      <w:r>
        <w:rPr>
          <w:rFonts w:ascii="arial" w:eastAsia="arial" w:hAnsi="arial" w:cs="arial"/>
          <w:i/>
          <w:color w:val="000000"/>
          <w:sz w:val="20"/>
          <w:lang w:val="en-US" w:eastAsia="en-US" w:bidi="ar-SA"/>
        </w:rPr>
        <w:t>Dyk v. Protec Automotive Repairs Ltd.</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1998 CarswellBC 3834</w:t>
        </w:r>
      </w:hyperlink>
      <w:r>
        <w:rPr>
          <w:rFonts w:ascii="arial" w:eastAsia="arial" w:hAnsi="arial" w:cs="arial"/>
          <w:color w:val="000000"/>
          <w:sz w:val="20"/>
          <w:lang w:val="en-US" w:eastAsia="en-US" w:bidi="ar-SA"/>
        </w:rPr>
        <w:t xml:space="preserve"> (S.C.) at para.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Newell v. Towns</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2008 NSSC 174</w:t>
        </w:r>
      </w:hyperlink>
      <w:r>
        <w:rPr>
          <w:rFonts w:ascii="arial" w:eastAsia="arial" w:hAnsi="arial" w:cs="arial"/>
          <w:color w:val="000000"/>
          <w:sz w:val="20"/>
          <w:lang w:val="en-US" w:eastAsia="en-US" w:bidi="ar-SA"/>
        </w:rPr>
        <w:t>, the court said at para. 175: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[175] ...However, an owner is not liable for all consequences that may flow from an accident that happens as a result of a mechanical defect in a vehicle. Liability only occurs for those defects that went uncorrected, when either the owner knew, or should have known by the exercise of reasonable care, of their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no evidence that the emergency brake had failed in the past or of any defect of which Ms. Einarsen knew or should have known. Arguably, the age of the car heightened Ms. Einarsen's duty to be satisfied that all components were in good working order. I find that, by having the vehicle inspected only two months before the accident, she had done what was reasonable to comply with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no evidence that the mechanics who performed that inspection failed to notice or repair a problem with the emergency brake or that Ms. Einarsen had any reason to believe they had. There is no evidence of any problem with the emergency brake that became apparent between the dates of the inspection and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short, while Mr. Little clearly suffered injuries, he has failed to meet the burden of proving that they were caused by anything Ms. Einarsen did or failed to do or by any mechanical defect she could have detected with ordinary care, caution, or skill. In view of that failure to prove liability and a resulting entitlement to damages, it is not necessary to comment upon or attempt to resolve the many issues about the nature and extent of Mr. Little's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action must be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Mackell v. Moulson, [2001] B.C.J. No. 2553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Cullen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17 - 21,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C993407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2553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1705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819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Marcel Mackell, plaintiff, and Dr. Brian C. Moulson,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8"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5" w:name="Keywords_12"/>
      <w:bookmarkEnd w:id="85"/>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Standard of care — Failure to diagnose an illness — Wrong diagnosis —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6" w:name="Case Summary_11"/>
            <w:bookmarkEnd w:id="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the patient against the doctor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providing medical care and advice in connection with the doctor's failure to diagnose and treat the patient for endocarditis. The patient visited the doctor to complain of various symptoms he had been experiencing for several weeks. Four months later the patient went to the emergency ward of his local hospital and was subsequently diagnosed as suffering from endocarditis. He underwent surgery and a treatment of antibiotics and was in the hospital for two months. It was determined that the patient was already suffering from endocarditis when he visited the doctor. Prior to his illness, the 34-year-old patient worked full-time as the business manager of a hearing clinic owned by him and his wife. Following the illness, the patient was only able to work part-time at the clinic and was advised not to accept employment that was stressful or where injuries were frequent. The doctor argued that even if he fell below the standard of care, there was no causal link between his failure to diagnose and the ultimate injury and damage suffered by the patient.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7" w:name="Holdings of Court_9"/>
            <w:bookmarkEnd w:id="87"/>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doctor fell below the standard of care expected of a reasonably prudent general practitioner. The specific purpose of the patient's attendance at the doctor's office was to obtain a diagnosis of and treatment for a combination of symptoms that were ongoing. There were sufficient indicia, on top of the patient's history, to have alerted a reasonably prudent general practitioner to the need for further investigation. Although it would have taken inordinate skill, knowledge and judgment to have diagnosed endocarditis on the basis of the symptoms presented, it would have taken no more than ordinary skill, knowledge and judgment to have prescribed further tests. Causation was proved. Surgery could have been avoided had the diagnosis been made in the fall of 1997. Non-pecuniary damages in the amount of $100,000 were awarded. $75,000 was awarded for loss of earning capacity. Given his limitations, certain employment opportunities were reduced or unavailable to the patient.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8" w:name="Counsel_12"/>
      <w:bookmarkEnd w:id="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9"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J.D. Vilvang, Q.C., for the plaintiff. D.W. Pilley,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9" w:name="Judgment_12"/>
      <w:bookmarkEnd w:id="89"/>
      <w:r>
        <w:pict>
          <v:line id="_x0000_s1090" style="position:absolute;z-index:2517739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0" w:name="CULLEN J."/>
            <w:bookmarkEnd w:id="90"/>
            <w:r>
              <w:rPr>
                <w:rFonts w:ascii="arial" w:eastAsia="arial" w:hAnsi="arial" w:cs="arial"/>
                <w:b/>
                <w:color w:val="000000"/>
                <w:sz w:val="30"/>
                <w:lang w:val="en-US" w:eastAsia="en-US" w:bidi="ar-SA"/>
              </w:rPr>
              <w:t>CULLEN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action for damages brought by the plaintiff against the defendant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providing medical care and advice in connection with the defendant's alleged failure to properly diagnose and treat the plaintiff for subacute bacterial endocarditis.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34 years old. He completed high school and completed a diploma course in business and marketing management from the University College of the Cariboo in Kamloops in 1996, after some years working in sawmills. He married Paula Broadhead in December of 1995. Ms. Broadhead is an Audiologist. In October of 1996 the plaintiff and his wife opened the Majestic Professional Hearing Clinic Ltd. in Nelson, British Columbia. The plaintiff is the Business Manager of the clinic while Ms. Broadhead performs the professional services which it offers. The plaintiff's role includes general management, marketing, bookkeeping, some customer services and some minor technical work in the lab.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Aside from Ms. Broadhead and Mr. Mackell, the clinic has one employee. When the clinic opened and through its formative period, the plaintiff worked eight to 10 hours a day, five to six days a week. At the outset, it was his plan to continue with his work at the clinic but also, as it progressed and became more self-sustaining, to offer his services as a consultant to other businesses starting up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his evidence, the plaintiff described his general health as being good; he never had any serious illnesses and rarely had colds or flu's. He related that when he was 17 years old he had an operation for scioliosis which involved the insertion of a Harrington rod in his spine and required him to be in a cast for a year. He testified that that operation improved his ability to work, and he was able to fulfil a variety of demanding physical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also testified that, prior to the onset of the endocarditis, he was active in several sports including ice hockey, roller hockey, volley ball and paint ball. He was not active in all of those sports after he and his wife moved to Nelson from Kamloops to open their clinic in 1996, as some of those sports were not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also aware he had a heart murmur, it having been diagnosed when he was 15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and his wife met Dr. Moulson, the defendant, while they were doing a feasibility study for their clinic prior to its opening. Dr. Moulson was and is the Chief of Medical Staff at the Kootenay Lake Regional Hospital in addition to conducting his family practice, and the plaintiff and his wife wished to discuss the potential for their clinic in the Nelson area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Subsequently, the plaintiff became a patient of the defendant seeing him initially on November 21, 1996 and thereafter on May 27, 1997, October 29, 1997, November 12, 1997, November 26, 1997, January 5, 1998 and January 14,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February 8, 1998, the plaintiff went to the emergency ward of Kootenay Lake Regional Hospital complaining of a number of symptoms including "being unwell for the past four months, ... symptoms had included intermittent fevers, chills, night sweats and malaise". It was also determined, on examination, that the plaintiff had a III/VI heart murmur most audible over the left precordium, a petechial rash covering both feet and lower legs and swelling to his ankles. His temperature on admission was 38 degrees Celsius.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treating physician made a "differential diagnosis" of "a chronic illness such as bacterial endocarditis" and ordered a variety of tests including blood cultures, to further investigate the symptoms and signs. The resulting tests confirmed the provisional diagnosis of endocarditis and the plaintiff was flown to St. Paul's Hospital in Vancouver where he came under the care of Dr. Ian MacDonald, a cardiologist.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had a significant infection from the endocarditis which required a treatment of antibiotics before the consequences of his illness could be treated. Ultimately, because of damage to the aortic valve associated with the infection, it had to be replaced by surgery, with a mechanical prosthetic aortic valve, on February 25,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Following his surgery, the plaintiff was discharged from St. Paul's on March 7, 1998 and returned to Kootenay Lake Regional Hospital where he remained for a further month. The plaintiff was on antibiotics throughout his stay in hospital and testified that "he could not believe how sick (he) was" before the antibiotics ameliorated the infection prior to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the evidence before me I am satisfied the plaintiff has proved on a balance of probabilities that he became ill with subacute bacterial endocarditis some time in the early fall of 1997 prior to his visit with Dr. Moulson on October 29, 1997. As I understand it, that is not a dominant issue in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respect to liability, there are two issues. The first is whether the defendant failed to meet the standard of care of a reasonably prudent general practitioner acting reasonably on October 29, 1997 when the plaintiff came to him with certain symptoms, by neglecting to investigate the possibility of infective endocarditis. The second issue is, even assuming a breach of the standard of care, whether the plaintiff has proved to the required degree that a failure to diagnose the plaintiff's condition by November of 1997 caused the consequences which he complains of, including the surgery and its immediate and long term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evidence before me I make the following findings:</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Subacute bacterial endocarditis is an infection of the heart valves which regulate the flow of blood through the inner chambers of the heart. Subacute refers to a form of the infection where the bacterium is not usually very infectious to human beings. The heart valve is vulnerable to infection if it has some deficiency of a mechanical or "architectural" nature. The form of infecting bacterium is indicative of the organ that is vulnerable to it. In the plaintiff's case the bacterium was Viradans Streptococcus which can progress over a period of months.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heart murmur is a sign of a leaky aortic valve, a condition which creates turbulence and back-eddies or jets around the valve and predisposes the valve to infection from bacterium by roughening the lining of the valve and making it hospitable to the adherence and development of the bacterium. Heart murmurs are identified by listening with a stethoscope (auscultating) and are measured by grades of intensity from one to six, with one being the mildest and six being the most intense. If a heart murmur is grade four or greater it can actually be felt by placing a hand on the patient's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the plaintiff initially visited the defendant on November 21, 1996, the defendant identified a "grade III/VI AI murmur" AI stands for aortic insufficiency. As a consequence of that finding, Dr. Moulson prescribed an echocardiogram for the plaintiff which is analogous to an ultrasound and permits visualisation of the questioned area. The echocardiogram was performed on December 16, 1997 and was reported on by the radiologist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Chamber volumes, wall motion, pericardium unremarkable.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valves, no 2-D or M-Mode morphological abnormality detected. By Doppler there is minimal aortic insufficiency between left and noncoronary cusps, and further trivial insufficiency at pulmonic valve. Otherwise cardiac valves unremarkable.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CONCLUSIONS:</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Minor aortic insufficiency as described.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Moulson testified that he ordered the echocardiogram because he wanted to further evaluate the pathology of the murmur, "to see if it was a benign murmur or if it was related to a structural abnormality".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Upon receiving and reviewing the report, Dr. Moulson interpreted it as establishing that the heart was structurally normal and had no underlying abnormalities and therefore he concluded the murmur was benign. There is no indication in Dr. Moulson's clinical notes or otherwise of having discussed the results of the echocardiogram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cross-examination Dr. Moulson testified that when the plaintiff presented with his symptoms on October 29, 1997 he had not forgotten the murmur that he detected the previous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Symptoms associated with infective endocarditis include fever, chills, fatigue, loss of appetite and petechial rashes. In a textbook which the expert witnesses called during the course of this trial agreed to be authoritative, Harrison's Principles and Practice of Internal Medicine, 12th Ed, at p. 973, it is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Endocarditis should be suspected when a heart murmur and unexplained fever are present for at least one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the essence of the plaintiff's case that the symptoms he presented with to Dr. Moulson on October 29, 1997 coupled with Dr. Moulson's knowledge of his heart murmur and minor aortic insufficiency should have alerted Dr. Moulson to the possibility that the plaintiff had contracted infective endocarditis and he should have explored that possibility by prescribing appropriate objective tests including blood cultures.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When the plaintiff attended his appointment with Dr. Moulson on October 29, he complained of a three week history of myalgias, fatigue, dry cough, fevers and chills, and anorexia. He indicated that he had earlier had gastrointestinal symptoms but they had abated. During his examination, Dr. Moulson attempted to listen to the plaintiff's heart and, although he could hear the heart beat, he could not hear the heart murmur because the plaintiff was coughing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Following the October 29th examination, Dr. Moulson diagnosed a "viral influenza-like infection" and prescribed follow-up as necessary, and medication for symptomatic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essential issue is whether, give the exigent circumstances, Dr. Moulson should have included infective endocarditis as a "differential diagnosis" when he saw the plaintiff on October 29, 1997. To address that issue the plaintiff called two expert witnesses, the first being Dr. Kenneth Arthur a licensed medical practitioner experienced in both general practice and in emergency medicine who was qualified as able to give opinion evidence with regard to family medicine. The second expert witness called by the plaintiff in relation to this issue was Dr. Grant Stiver who was a medical practitioner licensed to practice in British Columbia with a speciality in infective diseases. He was qualified as an expert and able to give opinion evidence with respect to infective diseases and with respect to the standard of care of general practitioners in the diagnosis and treatment of those diseases. The latter qualification was based on his teaching duties at the University of British Columbia medical school and his familiarity with the educational requirements of his field common to all graduate MD's.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addition, the plaintiff called Dr. Ian MacDonald who was the treating cardiologist after the plaintiff was diagnosed with infective endocarditis and sent to St. Paul's Hospital in Vancouver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To provide a different perspective, the defendant called Dr. Paul Sobkin and Dr. Helmut Mark both of whom were qualified and able to give opinion evidence in the area of the practice of general or family medicine. The defendant also testified as to his own observations, diagnosis and prescribed treatment for the plaintiff during the material time. Each of the witnesses referred to, except the defendant, produced medical/legal reports as evidence and were cross-examined on the contents of those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By way of summary, Dr. Arthur and Dr. Stiver both espoused the view that in all the circumstances, infective endocarditis should have been included as a differential diagnosis during the October 29, 1997 examination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the other side of the equation, both Dr. Sobkin and Dr. Mark after reviewing all the circumstances offered the opinion that a differential diagnosis of infective endocarditis was not indicated and Dr. Moulson's diagnosis of a flu-like illness satisfactorily explained the symptoms that were presented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common ground between the plaintiff and defendant that the critical examination of a plaintiff by the defendant occurred on October 29, 1997 when the former first presented with symptoms said to be indicative of infective endocarditis. The subsequent appointments and examinations focussed on symptoms and signs tending to obscure rather than illuminate any aetiology.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Sobkin and Dr. Mark each arrived at his opinion by a different route, and it is useful to distinguish between them as to do so helps delineate the initial issue of whether Dr. Moulson's failure to investigate the possibility of infective endocarditis was a breach of his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Mark, after a review of the statement of claim, statement of defence, clinical records of Dr. Moulson, Kootenay Lake Regional Hospital and St. Paul's Hospital records and Dr. Moulson's examination for discovery went on to analyze Dr. Moulson's examination and diagnosis of Mackell on each of the occasions when he saw him from October 29, 1997 to January 14, 1998, and rendered his opinion that the defendant did not fall below the standard of care of a treating general practitioner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One of the elements founding Dr. Mark's opinion was the preponderance of patients presenting, to him, flu-like symptoms between the months of October and February. His observations of that were set out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see a great number of patients who present with flu-like symptoms throughout the year and a greater number from October to February. The exact percentage is difficult to determine. During the peak of the flu season as many as a third of the patients I see on a given day might present with flu-like illnesses. During the fall and early spring, rarely a day would pass without seeing at least one person with what I feel is a viral related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regard to the ultimate issue of whether Dr. Moulson's treatment fell below the standard of care in failing to diagnose endocarditis or put it in the differential diagnosis category on the October 29th examination, Dr. Mark rendered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October 29, 1997 ... Mr. Mackell presented with a three-week history of myalgias, fatigue, dry cough, fevers, chills and a loss of appetite. Mr. Mackell also reported that he had experienced gastrointestinal symptoms, which were no longer present when seen. Dr. Moulson's examination appeared thorough and he found nothing specific to account for Mr. Mackell's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presentation is typical of a flu-like illness in my experience. The patient often had a wide range of symptoms and few if any findings on examination. In reviewing the symptoms and findings, nothing would prompt me to further investigate this patient or seek a consultant's opinion. As the physician, one is dependent on the patient reporting back if the symptoms persist or change. I would not have included subacute bacterial endocarditis in my differential diagnosis. This man had been investigated for pre-existing cardiac valvular disease by echocardiogram. With negative reported findings, Mr. Mackell's calculated risk of contracting subacute bacterial endocarditis must be negligible compared to all the other disorders he might have contracted that could have similar symptoms. I suspect that if one developed a differential diagnosis, which included subacute bacterial endocarditis that list would have to include hundreds of disorders that would be more likely to cause these symptoms. To diagnose subacute bacterial endocarditis from Mr. Mackell's symptoms of October 29, 1997 in the general practitioner setting would be near to impossible. The diagnosis of course was made even more difficult by the negative reported findings of the echocardiogram. In reviewing the records, it is not clear to me as to when in the course of Mr. Mackell's illness the symptoms of subacute bacterial endocarditis first presented. I found that Dr. Moulson's care did not fall below the standard that I would expect of a general practitioner with regards to this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his cross-examination on his medical/legal report Dr. Mark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Given those symptoms Mr. Mackell presented with and the history as known to Dr. Moulson, would you have agreed it would have been appropriate to order blood cultures on that October 29th, 1997 visit?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at all. That would have been the last thing I would have ordered.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furtherance of his characterisation of the echocardiogram as negative, Dr. Mark testified that he read the echocardiogram report as describing "trivial aortic insufficiency both at the pulmonic valve and between the left and right non-coronary cusps" despite the different language in the report to describe the insufficiency at those locations and despite the report's conclusion of the existence of "minor aortic insufficiency". In cross-examination Dr. Mark conceded if he read the report as describing two different levels of insufficiency at the two sites, he would then have "to take that report to the radiologist and discuss that report with the radiologist, because (he) need(s) to know what this report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Mark was asked to reconcile his opinion with the passage from Harrison's Principles and Practice of Internal Medicine that "endocarditis should be suspected when a heart murmur and unexplained fever are present for at least one week". He said he agreed with that statement with the qualification that where an echocardiogram revealed the heart and heart valves were healthy and the murmur "functional" it would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addition, Dr. Mark testified that the symptom of "fevers" reported by Mackell to Moulson on October 29th were distinguishable from a "fever" established as a sign by temperatures taken by a thermometer in a hospital or other clinical setting over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essence, Dr. Mark's opinion was that because, in his view, the echocardiogram had "negative findings" and Mackell's "fevers" were not established objectively as a protracted "fever" the precept in Harrison's textbook had no application and the defendant's failure to diagnose, differentially or otherwise, infective endocarditis did not fall below the standard of care of a reasonably prudent general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Mark also pointed out in his report that the incidence of subacute bacterial endocarditis is two to three cases per one hundred thousand person years and that in his 27 years of practice he had not seen one such case except in a hospital setting where it had previously been diagnosed.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Sobkin's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preparation of his opinion, Dr. Sobkin reviewed Dr. Moulson's chart notes, records from Kootenay Lake Regional Hospital and records from St. Paul's Hospital as well as the defendant's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Regarding Dr. Moulson's failure to diagnose or investigate the possibility of infective endocarditis given Mackell's history and his presentation of symptoms on October 29, 1997 Dr. Sobkin opined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Mr. Mackell's presentation on October 29, 1997: On this occasion Dr. Moulson took a history which elicited the typical symptom complex of a flu-like illness. He performed a physical examination, which was focused but appropriately inclusive, and which turned up no specific findings. In particular he did not hear a murmur, which is one of the common features of endocarditis. Considering that this history and physical exam took place in the late fall, a time when, as I have mentioned in question number one, there would be many patients presenting to the family doctor's office with similar complaints, I believe that Dr. Moulson's diagnosis was entirely appropriate.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Furthermore, a review of Dr. Moulson's chart notes indicates to me that he was thinking broadly at that time. He notes that the patient was anicteric or lacking jaundice, indicating that he considered hepatitis as a possible cause of the presentation. He commented on a normal thyroid indicating that he considered thyroiditis. He checked for and recorded clarity of the lungs thus ruling out the diagnosis of pneumonia.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light of the fact that he had no knowledge of Mr. Mackell's bicuspid aortic valve and considering that the duration of the illness had only been three weeks, I think that it is perfectly acceptable that Dr. Moulson did not consider the diagnosis of infective endocarditis. I think that it would have been extremely unusual for any general practitioner in a similar situation to have considered endocarditis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Sobkin also analysed and provided his opinion on the subsequent examinations of the plaintiff by the defendant on the question and concluded that generally the subsequent examinations were of less advantage in enabling a differential diagnosis of infective endocarditis than the October 29th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Sobkin noted that he had seen only one case of infective endocarditis since he began his practice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his cross-examination, Dr. Sobkin testified he was familiar with the quotation from Harrison's at p. 193 (referred to above) and agreed with the statement with some reservations, as it was his view the text was referring to the presence of a heart murmur in an as yet "uninvestigated patient" where there is no idea of the heart murmur's aetiology.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Sobkin agreed that a governing principle of a medical examination is the formulation of a differential diagnosis, and he also agreed that, in suspected cases of infective endocarditis, a definitive test for its presence or absence is by taking blood cultures - a process which is readily available to a general practitioner and creates no risk to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Sobkin viewed the echocardiogram report as positive for the presence of a heart murmur and agreed it was caused by a leaky valve of some sort - the one in question. He also agreed that a leaky valve creates turbulence and back-eddies around the valve and that turbulence can create damage to the heart valve. He expected that would be known to all general practitioners. He did not agree however that a heart murmur and aortic insufficiency necessarily put a patient at increased risk of developing endocarditis. Specifically he disagreed that a III/VI murmur would put a person at increased risk of endocarditis, but he testified he would defer to an infective disease expert or a cardiologist.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a separate but related issue, Dr. Sobkin testified that a person with a III/VI heart murmur shouldn't necessarily have antibacterial prophylaxis. He testified he would not base his decision on the murmur alone. If there was a recognised architectural abnormality, that put a patient at great risk, and then he would prescribe antibacterial prophylaxis.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testified that if he just had the murmur alone (without an echocardiogram) he would decide to treat with antibacterial prophylaxis, and he thought that was the standard of care of a reasonable prudent general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Sobkin also testified that, in his practice, he had investigated approximately six possible cases of endocarditis by referring the patients for blood cultures, echocardiograms, and to a cardiologist. He testified that if he had a patient with a three week history of fevers and chills and a known III/VI heart murmur, he would send the patient for blood cultures and an echocardiogram. It was Dr. Sobkin's opinion that a patient with an aortic insufficiency murmur was potentially at increased risk for infective endocarditis depending upon whether there was any "architectural abnormality" to the valve causing the murmur. It is not the sound of the murmur that puts the patient at risk, he testified: the concern is whether the murmur is from a structural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connection with Mackell's reported history of fevers and chills, Dr. Sobkin characterised it as sounding like a subjective complaint rather than a sign - an objective indication of some underlying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described a differential diagnosis as a tool in use in day to day practice existing mostly in the practitioner's mind; as he or she interviews or examines the patient, it guides questions and the course of the examination. He described it as an automatic and intuitive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Sobkin testified that his understanding of a functional or innocent murmur was one which was not associated with any structural abnormality and that in his experience such murmurs vary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was his view, although allowing there was aortic insufficiency with the turbulence and back-eddies that that entailed, that the apparent lack of "architectural abnormality" that the echocardiogram established, justified the defendant's failure to consider or investigate for infective endocarditis, given his diagnosis of viral-like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his clinical notes, Dr. Moulson recorded "zero murmur". In his examination for discovery he attributed that finding to the variability of heart murmurs and the fact that Mackell was coughing at the time that Dr. Moulson was attempting to listen to his heart. In his report, Dr. Sobkin appeared to rely on the fact that Dr. Moulson did not hear a murmur "which is one of the common features of endocarditis". Notwithstanding that, Dr. Sobkin testified, that in his opinion Dr. Moulson's failure to listen for the murmur in circumstances, where if it were present, he would be likely to hear it, was not remarkable as it would depend upon whether if hearing the murmur were a relevant factor to consider, and upon for how long the patient was coughing.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evidence, by contrast, Dr. Mark appeared to concede that it would have been prudent to take the necessary time and steps to listen for the heart murmur without interference from the patient's coughing.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Dr. Arthur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Arthur testified for the plaintiff. In his medical/legal report he set out his opinion as to Dr. Moulson's failure to investigate the infective endocarditis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Moulson should have included infective endocarditis in his differential diagnosis after seeing Mr. Mackell on October 29, 1997. In a patient with a known cardiac murmur, and with a history of fever and chills, you must consider and rule out infective endocarditis. This is standard of care. It would have been prudent for him to order a CBC, with a differential, and blood cultures. There are some scenarios about how patients present (history, and signs and symptoms) to physicians, that in medical school, in further post-graduate training, such as an internship, and in continuing medical education courses, are emphasized. We are instructed and advised to be aware of these presentations, and to always consider the certain applicable disease. One of these exemplar presentations is fever and chills with a known heart murmur, or a new heart murmur; in this scenario you must rule out endocarditis. Dr. Moulson was aware that Mr. Mackell had a heart murmur, as he had diagnosed it one year earlier, and it was confirmed by echocardiogram as Aortic Insufficiency. The radiologist that read the echocardiogram in December of 1996 made an error in stating "at the valves no morphological abnormality detected," since it turned out that Mr. Mackell had a bicuspid, instead of a tricuspid, aortic valve. This is a congenital abnormality, and antibiotic prophylaxis is required for surgical procedures, including dental. Even though the report stated that there was no morphological abnormality, antibiotic prophylaxis and the vigilance for possible endocarditis are still required, because it is the insufficiency, and the flow and turbulence generated at the valve, which causes the problems. In other words, even if it was a tricuspid valve, which Dr. Moulson was led to believe, antibiotic prophylaxis and vigilance for endocarditis are still required if Aortic Insufficiency is present.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Moulson states in his notes on October 29: CVS - normal, and he states in Discovery that he could not hear the murmur because Mr. Mackell was coughing. Standard of care would be to wait for the patient to stop coughing, and, also, it would have been prudent to have the patient lean forward when auscultating the aortic murmur. We are taught this technique in medical school, in further post-graduate training, and in some CME courses, about having the patient lean forward to be able to better hear the sound of an aortic murmur. Knowing that Mr. Mackell had a heart murmur, Dr. Moulson should have been more vigilant in trying to hear it since changes in the intensity of a heart murmur are important. A grade III/VI murmur is "well heard," and it is the loudest murmur you can hear before a thrill develops (a palpable buzz you can feel over the heart). An aortic insufficiency murmur can get quieter, but usually that is when the patient has a low blood pressure (BP), for example, in septic shock or any hypovolemic state. This is because there is not as high a pressure to propel the blood backward from the aorta though the aortic valve and back into the left ventricle. Mr. Mackell's BP was normal that day. Mr. Mackell's temperature was not recorded that day, but it is very common that a patient's temperature is not taken in a Family Physician's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cross-examination on his opinion, Dr. Arthur testified that it was unusual to have a murmur that was not associated with some morphological abnormality at that is generally what causes a murmur. He testified that there are murmurs that are "innocent", that is not the product of some underlying physiological cause, but they are generally found in children who grow out of them. He also testified that finely-tuned athletes can have them. He conceded that a 34 year man could have one, but it was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agreed flu-like symptoms included headaches, gastrointestinal complaints, coughs, fevers, chills (not common), myalgias and a general sense of malaise. He also agreed that in some cases of endocarditis signs included petechial rashes, "clubbing" of fingers and the presence of "oslers nodes" on fingers and toes. He testified that he never saw a case of infective endocarditis in his practice, although he saw two cases where he suspected its presence. Dr. Arthur was uncertain of the incidence of endocarditis in the general population but estimated two to three percent of the population had heart murmurs, and he placed significance on the connection between known heart murmurs and endocarditis. He testified the reason for the connection was that, if there was damage to the lining of the value from the turbulence associated with the murmur, it could become a "haven" for bacteria which would grow right on the valve itself. He agreed that to get to that phase there needed to be some initial damage to the lining wall caused by the jet or backeddies of blood hitting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Arthur was referred to the radiologist's comments in the echocardiogram and asked whether, as it reads, he would conclude Mackell's heart was "pretty near normal". Dr. Arthur did not agree. Dr. Arthur was referred to the assertion in his report that, despite the finding in the radiologist's report of no morphological abnormality, vigilance for endocarditis and antibiotic prophylaxis were still required. He was asked, on cross-examination, whether the radiologist's report revealed a heart sufficiently near normal that the use of antibacterial prophylaxis was a matter of judgement. His view was that, if there was any aortic regurgitation, there should be prophylaxis for any intended dental or surgical procedure. However, some are sufficiently minor so as to create no likelihood of bacterial infection and would not require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was cross-examined on the assertion in his report that, in circumstances of a patient presenting with a three week history of fevers and chills and a heart murmur, the treating physician must rule out infective endocarditis to meet the standard of care. He was asked whether he meant that all reasonable physicians do that as a matter of course; he responded that he "would hope they would do that," but that he could not say whether they actually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Arthur was questioned about the implications of the standard of care he was suggesting coupled with a patient base with two to three percent having heart murmurs and the probable numbers of patients presenting with flu-like symptoms particularly in the late fall or winter. Dr. Arthur testified that the presentation of patients with all the symptoms that the plaintiff had was not that common and that most people with fevers go to the emergency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re-examination Dr. Arthur testified he had referred two patients for blood cultures as a result of suspecting endocarditis. They presented with a history of fever, night sweats, fatigue and had heart murmurs. The tests were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Opinion and Evidence of Dr. Stiver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Stiver wrote two reports setting out his opinion with respect to the standard of care and with respect to the issue of causation. His reports were dated June 2, 1999 and October 6, 2000. In his former report in relation to the October 29, 1997 examination, Dr. Stiver expressed the following opinion on the issue of whether the standard of care was met: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 Your query of Possible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by Mr. Marcel Mackell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#1. "Knowing that Mr. Mackell had aortic insufficiency should Dr. Moulson, as a reasonably prudent general practitioner, have included endocarditis in the differential diagnosis on October 29, 1997?": Given the fact that his aortic valve insufficiency was known, and the fact that he presented with symptoms of fever and chills, according to Dr. Moulson's note even though it would certainly be possible that he had an influenza-like illness as Dr. Moulson had considered, it would be prudent to include endocarditis in the differential diagnosis, especially if the symptoms had gone on for three weeks as Dr. Moulson had noted. Fever of that long duration would be a major trigger to investigate endocarditis, as flu-like symptoms do not usually last this long with fever. However, I cannot comment further because the notes do not indicate what the temperature was at the time Dr. Moulson saw him on October 29, 1997, or whether the patient had indeed measured his temperature over the three weeks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his second report Dr. Stiver enlarged somewhat on his opinion, having considered additional materials which included the examinations for discovery of the plaintiff and defendant and the Harrison's textbook. Dr. Stiver's second opinion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#1. "Knowing that Mr. Mackell had aortic insufficiency should Dr. Moulson, as a reasonably prudent general practitioner, have included endocarditis in the differential diagnosis on October 29, 1997?": Given the fact that his aortic valve insufficiency was known, and the fact that he presented with symptoms of fever and chills, according to Dr. Moulson's note, even though it would certainly be possible that he had an influenza-like illness as Dr. Moulson had considered, it would be prudent to include endocarditis in the differential diagnosis, especially if the symptoms had gone on for three weeks as Dr. Moulson had noted. Harrison's textbook of Internal Medicine, a common reference for medical diseases, states "Endocarditis should be suspected when a heart murmur and unexplained fever are present for at least one week...". This is a concept we teach in medical school and to our residents. This adage is especially important if the patient has a murmur such as aortic regurgitation indicating a heart valve abnormality. Fever of that long duration would be a major trigger to investigate endocarditis, as influenza virus symptoms do not usually last this long with fever. It would have been appropriate to order blood cultures at that time. In my opinion, in all probability the blood cultures would have been positive for the viridans Streptococcus, and culturing this organism from the blood would likely have increased the likelihood of endocarditis being diagnosed. However, I cannot comment further because the notes do not indicate what the temperature was at the time Dr. Moulson saw him on October 29, 1997. From the information I read in the Examination for Discovery of Dr. Moulson, it appears as though he was dissuaded from considering a diagnosis of infective endocarditis because the patient had a normal while blood cell count. This was an error. The white blood cell count is actually not a reliable discriminator for many infectious disease. Quoting again from Harrison's Principles and Practice of Internal Medicine, 12" edition, p.510, a paragraph which relates to "subacute" (which means longer duration symptoms of several weeks) endocarditis: "A normocytic monochromic anaemia is usually in infective endocarditis. The white blood cell counts and differential counts are often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his testimony Dr. Stiver explained that a leak in the heart valve will increase a risk of infection to the heart valve and that, in his opinion, that fact would be known to medical students at the undergraduate level. He testified that if a patient with a III/VI murmur and an aortic insufficiency would lead him to believe that there was an increased risk of endocarditis.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Stiver was asked to state what answer he would expect if a medical student in an examination was asked to specify what investigation should be conducted where a patient presented suffering from a three week history of fevers and chills and a III/VI heart murmur. He responded that it would be appropriate to expect a third year undergraduate medical student to know that blood cultures should be taken in those circumstances. He explained that fever is often linked to infection, and blood cultures would show any type of infection present. Indeed a blood culture could determine the organ in which the infection was located because specific bacterium are associated with specific organs. A determination of the bacterium would identify the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 testified the common bacterium associated with infective endocarditis is the viradans streptococcus. This was the bacterium involved in the plaintiff's illness. Its identification through blood cultures would raise suspicion of endocarditis.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was asked whether a normal blood cell count would be helpful in diagnosing endocarditis, and he responded that it would not. In cross-examination he was asked whether gastrointestinal symptoms were associated with endocarditis and said that they can be, but generally are not a common symptom. He testified that fever of a certain duration and aortic insufficiency cause concern. He said there is a long list of things that can cause fever for more than a week, but, where the fever persists significantly beyond a week, endocarditis would not be at the bottom of the list. It was pointed out to him that the plaintiff's temperature was normal when he went to the emergency ward on February 8, 1998. Dr. Stiver said that that did not surprise him as fevers can go up and down, and one would want to see a consistent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Stiver agreed with counsel for the defendant that it would be difficult to make a diagnosis of infective endocarditis based on the presenting history and complaints. However, he stated that he would have recommended doing a blood culture, as it would be a good idea even without that diagnosis. He testified that it is unlikely for a fever caused by flu to last more than one week in adults. He testified that, in his view, the reference to "unexplained fever" in the Harrison's textbook quotation meant one which has not been diagnosed.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Stiver was asked to comment, in the context of the history and symptoms that the plaintiff presented to Dr. Moulson on October 29th, on the statement (made by Dr. Mark) in his evidence that "blood cultures would be the last thing" he would order. Dr. Stiver's response was that that would be a big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MacDonald's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MacDonald was the treating cardiologist who became engaged when the plaintiff was sent from the Kootenay Lake Regional Hospital to St. Paul's Hospital in Vancouver following the diagnosis of infective endocarditis. Dr. MacDonald provided two reports that are exhibits before the court. The first report is dated January 3, 2001, and the second is a supplemental report dated January 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MacDonald reported his findings following his assessment of the patient on February 10, 1998. These included review of an echocardiogram which showed a "congenital abnormality of the aortic valve in that it had two rather than three cusps and there was a mobile lesion or vegetation on the cusp of the aortic valve". Dr. MacDonald reported that the echocardiogram showed leaking or regurgitation of the aortic valve as well as some regurgitation of the mitro valve. It was Dr. MacDonald's evidence that the radiologist's report relied on by Dr. Moulson was inaccurate in reporting no morphological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cross-examination, Dr. MacDonald agreed that the radiologist's report relied on by Dr. Moulson suggested the heart was, "pretty near normal". He testified that the report indicated some insufficiency, and that means there was a mild abnormality.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was asked whether he could advise a general practitioner to consider prophylactic antibiotics to avoid possible endocarditis. He responded by saying that, if you talked to 10 experts, you would get at least two answers. Some experts would govern their decision by the fact that there is a risk of endocarditis, but not much risk associated with preventative antibiotics. He agreed, however, that there was no black and white answer as to whether antibiotic prophylaxis should be advised. He also agreed that it was not cut and dried as to whether general practitioners would use such a procedure in advance on medical or dental surgery. He agreed that to suggest it was cut and dried was an over simplification.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 was asked whether, given the echocardiogram report and the fact of the plaintiff's III/VI heart murmur, he would change his judgment about the use of preventative antibiotics. He responded that the presence of the III/VI murmur led towards using preventative antibiotics.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this context, he also testified that he did not know whether a general practitioner would, "stand up to" the echocardiogram report. He said that some would and some would not. I took this comment to mean that some practitioners would question the electrocardiogram report because it had an inconsistency between the assertion of no morphological abnormalities and the conclusion of minor aortic insufficiency.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Moulson's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relation to the October 29, 1997 examination, Dr. Moulson testified that he recalled the plaintiff telling him that he had experienced episodes of feeling warm and chills over the past three weeks. He did not recall taking his temperature and there was no note of that in his chart. He theorized that he would have taken a temperature if the patient was flushed or was warm to the touch. He testified that on listening to the plaintiff's heart he could hear the heart sounds but not the murmur because Mackell was coughing. He said he was not alarmed by not hearing the murmur because he had concluded from the echocardiogram taken the year previously that the murmur was benign. He was asked if the thought of endocarditis went through his mind, and he responded "not in the sense of writing it down." He explained that, after obtaining the history, he conducted a full physical to look for abnormalities which would help determine a diagnosis of the symptoms complained of. He said he did not make his diagnosis until after the examination was completed. He was asked whether the plaintiff reported night sweats to him, as the plaintiff had to the emergency staff at Kootenay Lake Regional Hospital on February 8, 1998. He said no, but if the plaintiff had he would have considered it significant in formulating his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his examination for discovery, Dr. Moulson explained why he did not pursue an investigation of infective endocarditis in the following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endocarditis included in your differential diagnosis on October 29, 1997?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 was not.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was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 not think he had symptoms that led me in -- to consideration of infective endocarditis.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provided a list of symptoms of endocarditis that more or less reflect the symptoms recorded here. You referred specifically to myalgias as a symptom of endocarditis, also a symptom presented by Mr. Mackell; fatigue, certainly a primary symptom of endocarditis, which you documented there; you noted fever and chills, also known symptoms of endocarditis; and you noted his anorexia, which I would take it would be also a symptom of -- well, you did refer to it as loss of appetite in your description of symptoms of endocarditis; and you also referred to malaise, which I take it would be similar to the fatigue symptom complained of; and you were also aware that Mr. Mackell had a heart murmur. Given those symptoms, why do you say that you did not form the impression that endocarditis would be something that you should have included in your differential diagnosis?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 not include it, as his symptoms complex and the timing of them strongly indicated a more likely diagnosis of influenza.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 did initially have gastrointestinal symptoms that had now revolved; that does not occur in infective endocarditis. He also had a cough. All of these symptoms are consistent with a diagnosis of influenza. Initial gastrointestinal symptoms and a cough are not consistent with a diagnosis of infective endocarditis.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is also apparent from Dr. Moulson's examination for discovery that he had some prior experience to and knowledge of this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it be fair for me to say that the catalogue of risk factors, symptoms, possible complications, would be known to most general practitioners?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would be my belief.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medical school you would get specific training in endocarditis, in other words, it wouldn't be such a rare phenomenon that it would be something that wouldn't be covered in a regular general practitioner's curriculum?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is included in our medical school training.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Had you previously encountered cases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endocarditis in your practice?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have.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Meet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applicable standard of care in the case at bar is derived from Wilson v. Swanson, </w:t>
      </w:r>
      <w:hyperlink r:id="rId255"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The test in Wilson was succinctly summarized by Riley J. in Challand v. Bell </w:t>
      </w:r>
      <w:hyperlink r:id="rId256" w:history="1">
        <w:r>
          <w:rPr>
            <w:rFonts w:ascii="arial" w:eastAsia="arial" w:hAnsi="arial" w:cs="arial"/>
            <w:i/>
            <w:color w:val="0077CC"/>
            <w:sz w:val="20"/>
            <w:u w:val="single"/>
            <w:shd w:val="clear" w:color="auto" w:fill="FFFFFF"/>
            <w:lang w:val="en-US" w:eastAsia="en-US" w:bidi="ar-SA"/>
          </w:rPr>
          <w:t>(1959), 18 D.L.R. (2d) 150</w:t>
        </w:r>
      </w:hyperlink>
      <w:r>
        <w:rPr>
          <w:rFonts w:ascii="arial" w:eastAsia="arial" w:hAnsi="arial" w:cs="arial"/>
          <w:color w:val="000000"/>
          <w:sz w:val="20"/>
          <w:lang w:val="en-US" w:eastAsia="en-US" w:bidi="ar-SA"/>
        </w:rPr>
        <w:t xml:space="preserve"> at 154: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laid down by the Supreme Court of Canada is a three-fold one: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surgeon undertakes that he possesses the skill, knowledge and judgement of the average.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judging that average, regard must be had to the special group to which he belongs. From a general practitioner at a rural point, a different standard is exacted from a specialist at an urban point.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decision was the result of exercising that average standard, there is no liability for error in judgement.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It is clear that any qualitative assessment of Dr. Moulson's decision not to investigate the possibility of infective endocarditis cannot be judged by the result, or from the promontory of hindsight. Rather, the court must assess the reasonableness of Dr. Moulson's decision prospectively, on the basis of what a reasonably prudent general practitioner would have done had he or she been presented with the history and symptoms which the plaintiff presented on October 29, 1997. See Tiesmaki et al. v. Wilson et al., </w:t>
      </w:r>
      <w:hyperlink r:id="rId257" w:history="1">
        <w:r>
          <w:rPr>
            <w:rFonts w:ascii="arial" w:eastAsia="arial" w:hAnsi="arial" w:cs="arial"/>
            <w:i/>
            <w:color w:val="0077CC"/>
            <w:sz w:val="20"/>
            <w:u w:val="single"/>
            <w:shd w:val="clear" w:color="auto" w:fill="FFFFFF"/>
            <w:lang w:val="en-US" w:eastAsia="en-US" w:bidi="ar-SA"/>
          </w:rPr>
          <w:t>[1974] 4 W.W.R. 19</w:t>
        </w:r>
      </w:hyperlink>
      <w:r>
        <w:rPr>
          <w:rFonts w:ascii="arial" w:eastAsia="arial" w:hAnsi="arial" w:cs="arial"/>
          <w:color w:val="000000"/>
          <w:sz w:val="20"/>
          <w:lang w:val="en-US" w:eastAsia="en-US" w:bidi="ar-SA"/>
        </w:rPr>
        <w:t xml:space="preserve"> (Alta. S.C.); University Appeal Board v. Lepine; Monkton v. Lepine, </w:t>
      </w:r>
      <w:hyperlink r:id="rId258" w:history="1">
        <w:r>
          <w:rPr>
            <w:rFonts w:ascii="arial" w:eastAsia="arial" w:hAnsi="arial" w:cs="arial"/>
            <w:i/>
            <w:color w:val="0077CC"/>
            <w:sz w:val="20"/>
            <w:u w:val="single"/>
            <w:shd w:val="clear" w:color="auto" w:fill="FFFFFF"/>
            <w:lang w:val="en-US" w:eastAsia="en-US" w:bidi="ar-SA"/>
          </w:rPr>
          <w:t>[1966] S.C.R. 561</w:t>
        </w:r>
      </w:hyperlink>
      <w:r>
        <w:rPr>
          <w:rFonts w:ascii="arial" w:eastAsia="arial" w:hAnsi="arial" w:cs="arial"/>
          <w:color w:val="000000"/>
          <w:sz w:val="20"/>
          <w:lang w:val="en-US" w:eastAsia="en-US" w:bidi="ar-SA"/>
        </w:rPr>
        <w:t>; and Glasgow Corporation v. Muir, [1943] A.C. 448.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Bearing these principles in mind, the task at hand is to determine whether Dr. Moulson's decision not to investigate for infective endocarditis in the context of what he was presented with on October 29 is proven, on a balance of probabilities, to represent an exercise of skill, knowledge and judgement less than the average general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is plain from the evidence of Drs. Arthur, Sobkin, Mark, and even Dr. Moulson that, although infective endocarditis is undeniably rare, it is not recondite. Each of the four doctors was aware of the condition, three of them had seen previously diagnosed cases of it, and were apparently aware of the dictum regarding it set out in Harrison's textbook. At least in the cases of Drs. Sobkin and Arthur they were sufficiently alert to its symptoms, signs, and the possibility of its presence to have included it as a differential diagnosis on several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Mark provided a very detailed analysis of the conditions in which, in his opinion, infective endocarditis should, or need not be investigated. Overall, although I was impressed with the vigour of Dr. Mark's defence of Dr. Moulson's decision to not investigate the possibility of infective endocarditis, I did not find his evidence of much assistance as an air of advocacy found its way into his interpretation of the echocardiogram report and infused his startling assertion that blood cultures "would be the last thing (he) would have ordered" on the October 29, 1997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my view, Dr. Sobkin's evidence was more helpful but nonetheless flawed. He clearly accepted the echocardiogram report as revealing some positive findings indicative of a heart murmur and leaky valve and accepted that the latter condition could create damage to the heart valve, but did not agree that those conditions, absent structural damage necessitated further investigation at the point when Dr. Moulson saw the plaintiff on October 29. In his view, the diagnosis made by Dr. Moulson explained the symptoms and precluded the need for further investigation, given the apparent lack of any structural abnormality.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To some extent, Dr. Sobkin based his opinion on the fact that Dr. Moulson "did not hear a murmur which is one of the common features of endocarditis". It is clear from the evidence that Dr. Moulson's ability to hear the murmur was interfered with by the patient coughing. Despite his reliance on no murmur being heard, Dr. Sobkin was reluctant to conclude that Dr. Moulson should have ensured that he had an unimpaired opportunity to listen for the murmur, and that his failure to do so impeded his ability to properly investigate what he was dealing with. In my view, Dr. Sobkin's evidence rests too heavily, as does that of Dr. Mark, on the echocardiogram report that there was no morphological abnormality.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report was generated from an echocardiogram conducted ten and a half months earlier that disclosed two leaky heart valves, one "trivial", one "minimal". Given the duration, description and combination of symptoms presented to Dr. Moulson on October 29 I do not see how, in the circumstances, a proper auscultation of the heart could be viewed as other than relevant either to a diagnosis, or to the decision to investigate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seems to me that Dr. Sobkin's opinion fails to fully take into account the significance of the heart murmur, the positive findings of the echocardiogram, the duration of the complex of symptoms, and Dr. Moulson's failure to properly listen to the plaintiff's heart.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It is significant in my mind that Dr. Sobkin, in his seven or eight years of practice has referred six patients for investigation of endocarditis. While none of them turned out to have the illness (and I have no evidence of what symptoms or signs they presented with that prompted Dr. Sobkin to refer them or how they might differ from the plaintiff's), it is nevertheless a general measure of how Dr. Sobkin views his duty of care in cases where there is some objective but not conclusive reason to suspect endocarditis. In my view, it is difficult to see how the circumstances of the case at bar differ from that admittedly general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My conclusion is buttressed by the evidence of Dr. Arthur and Dr. Stiver, and to a small extent Dr.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Arthur's evidence was premised on an understanding that the need for vigilance regarding endocarditis did not ultimately depend on the presence of a structural abnormality. The risk is created by the flow and turbulence of blood generated at the valve from the leak, not by a structural abnormality as such. This view was shared by Dr. Stiver. Dr. MacDonald, although characterising the heart condition described by the echocardiogram as, "pretty near normal," agreed that a heart murmur put a person at greater risk for endocarditis and he testified that at III/VI heart murmur was a loud one that would make it appear "more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Arthur's testimony was not without some controversy. His assertion that antibiotic prophylaxis was mandated in light of the minor insufficiency identified by the echocardiogram was viewed as somewhat rigid by Dr. MacDonald. Dr. MacDonald regarded the matter as a question of judgement and recognised there was no critical mass of agreement on this issue among experts. Dr. MacDonald did, however, testify that a III/VI murmur was sufficiently significant to tend towards the use of antibiotic prophylaxis.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my view, Dr. Arthur's view of the need for antibiotic prophylaxis may be a bit extreme. That being so, however, does not detract from his opinion on the appropriateness of an investigation for endocarditis, as those issues are separate. Dr. Arthur's increased tendency to use antibiotic prophylaxis is a matter of individual judgement in a general context. His opinion as to the need for further investigation of endocarditis in the specific context of the case at bar can be assessed by analysing the factors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What attracts me to Dr. Arthur's opinion is that it is related to the pathology that increases the risk of endocarditis and actually led to it in the case at bar - the turbulent blood flow caused by the leaking valve. Dr. Arthur accepted that turbulent blood flow is the predominant risk factor, not the existence of some discernible "morphological abnormality." He viewed the plaintiff's symptoms in light of the presence of that risk factor. By contrast, the analysis of Drs. Mark and Sobkin appears to discount the significance of the leaky valve, subordinating it to the apparent absence of a structural abnormality, and, in Dr. Sobkin's case, Dr. Moulson's inability to hear the plaintiff's heart murmur.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the basis of the evidence before me, Dr. Arthur's analysis is both more logical and reasonable in its approach to the investigation of the plaintiff's symptoms as of October 29, 1997. The question that remains, however, is whether a failure to adopt that approach is a mere "misadventure" or error in judgement or whether it represents an exercise of skill, knowledge and judgement less than the average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my view, on this occasion, Dr. Moulson fell below the standard of care expected of a reasonably prudent general practitioner. This was not a case where the plaintiff revealed some symptoms in passing at a regular examination or at an examination for some unrelated complaint. The specific purpose of Mackell's attendance at the defendant's office was to obtain a diagnosis of and treatment for a combination of symptoms that for the most part were suggestive of an entrenched condition of three weeks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Although it would have taken inordinate skill, knowledge and judgement to have diagnosed endocarditis on the basis of the symptoms presented, even with knowledge of the plaintiff's heart murmur and minor aortic insufficiency of ten and a half months previously, it would have taken no more than ordinary skill, knowledge and judgement to have prescribed a second echocardiogram and blood cultures in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presentation of the symptoms was not a complete text book example of infective endocarditis but, in my opinion, there was sufficient indicia, on top of the patient's history, to have alerted a reasonably prudent general practitioner to the need for further investigation. The bald assertion in the Harrison textbook that "endocarditis should be suspected when a heart murmur and unexplained fever are present for at least one week" is not supportive of a nuanced approach to the need for an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Thus, whether Mackell's ailments were reported as fever and chills or fevers and chills, and whether his III/VI heart murmur related to a minor aortic insufficiency without "morphological abnormality" are both subordinate to the principle that his symptoms and history manifestly required a careful assessment. This was not a case in which Dr. Moulson was facing symptoms relating to an illness that was so obscure as to require a specialist's expertise; nor was it a case in which he was compelled to decide a course of action from two or more possibilities, each of which carried risks to his patient. In such circumstances, a failure to diagnose or pursue one course of action as opposed to another might well be regarded as an error of judgement rather then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this case, Dr. Moulson elected to rely on an incomplete examination of the plaintiff and analysis of his symptoms when he could have, without any risk, followed the practice taught at medical school and implicitly urged by an authoritative text - i.e. he could have augmented his information about, and understanding of, what he was dealing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Thus, Dr. Moulson's failure to properly auscultate Mackell's heart, his inaccurate view that gastrointestinal complaints were inconsistent with, as opposed to an uncommon symptom of, endocarditis, and his decision not to seek objective tests for the source of Mackell's symptoms represent a divergence from the standard of care of the skill, knowledge and judgement of the average general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coming to my conclusion, it is important to note that I did not find Dr. Moulson to be other than an honest and upright witness and based on the evidence before me none of his prior or subsequent dealings with the plaintiff fell short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is the defendant's position that even if Dr. Moulson fell below the standard of care of a reasonably prudent general practitioner in failing to investigate or diagnose endocarditis, the plaintiff must still prove on a balance of probability that the infection could have been treated with antibiotics alone and that a heart valve replacement would have been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 submits that the evidence before the court does not sustain a finding of a causal link between the failure to diagnose and the ultimate injury and damage to the plaintiff. The defendant submits that there is a conflict in the evidence between Drs. MacDonald and Stiver on the issue of causation: it being Dr. MacDonald's experience that 95% of the cases of endocarditis he sees, of varying stages, have required valve replacement. The defendant acknowledges Dr. Stiver's contrary opinion as set out in his letter of October 6, 2000 that "it is likely that the infection would have responded to antibiotics alone and the probability would be greater than 80% for cure," but contrasts that with an earlier expression of Dr. Stiver's opinion in his letter dated June 2, 1999. I that letter he asserted. "It is possible that the infection would have responded to antibiotics alone and the probability would have been greater than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 submits that Doctor Stiver's evidence is compromised by what counsel refers to as a marked contrast between his opinions and with Dr. MacDonald's evidence; accordingly, he submits, Dr. MacDonald's evidence should be preferred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Counsel for the plaintiff submits the evidence from Dr. MacDonald is anecdotal and that he neither agreed nor disagreed with Dr. Stiver's opinion of an 80% chance of successful antibiotic treatment. He submitted there was really no evidence to contradict Dr. Stiver, and on his evidence causation is clearly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his evidence, Dr. MacDonald testified he has seen about six cases of endocarditis a year for the past five to ten years. He testified that in his experience it was unusual to cure those cases with anything other than surgery, estimating only about five percent of the cases he saw would not require surgery. He testified that he saw people at all stages but most of the people he saw were at the mid-stage or worse. He testified Mackell was in that category. He agreed with Mr. Vilvang's suggestion that there were people suffering from endocarditis treated with antibiotics who would not even see a cardiologist. When asked whether he could agree or disagree with Dr. Stiver's opinion on the likelihood of cure by antibiotics alone (before actual damage to the valve from the disease) he said he could neither agree nor disagree as he did not see many patients whose diagnosis is made at that early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my view, Dr. MacDonald's evidence on the point is limited to those cases falling within the scope of his experience and that experience did not generally incorporate cases of subacute endocarditis diagnosed at an early stage. I did not understand Dr. MacDonald to be saying necessarily that it was unusual to diagnose cases at such an early stage, but rather that cases that were diagnosed at that stage did not necessarily come to the attention of a cardiologist such as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Insofar as Dr. Stiver's two opinions are concerned, they are clearly different, but in my opinion, not different in the sense of being incongruent; rather they are different in the sense of being progressive. His first opinion regards a cure as being "possible" with a "probability" of greater than 50%. His second opinion refers to a "likelihood" of cure, greater than 80%. A statement that something is possible is an encompassing term and could comprehend a greater than 80% likelihood as well as a greater than 50% likelihood. In either case the possibility of cure is more probable than not. Although Dr. Stiver did not explain the reasons for expressing his second opinion in more definite terms than the first, he did testify that his opinion was based on his own experience and upon the medical literature. He did acknowledge that, once there was any damage to the heart valve, an operation was mandated. However, there was no evidence he was aware of that the plaintiff's heart was compromised in the fall of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balance, I am satisfied the plaintiff has proved causation to the required degree. Accepting the defendant's submission that legal proof is not equivalent to scientific proof, I am nonetheless satisfied on the evidence before me that it is more probable than not that antibiotic intervention in the fall of 1997 would have avoided the heart valve replacement made necessary by the progression of the disease for an additional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There is little doubt that the onset and progression of endocarditis and its consequences have had a significant impact on the plaintiff's life. The progress of the illness between November 1997 and February 1998 left him feeling seriously ill with no known cause or relief in sight. The operation involved pain, a period of recuperation, and resultant conditions placed on the plaintiff's activities that have been documented in the letters of Drs. Itcush and MacDonald and testified to by the plaintiff and his wife, Paula Broadhead.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While general damages are a function of the specific consequences faced by individual plaintiffs, some measure of their compensatory value can be found in cases of similar circumstances. In this case the plaintiff relies on Lawrence v. Bright, </w:t>
      </w:r>
      <w:hyperlink r:id="rId259" w:history="1">
        <w:r>
          <w:rPr>
            <w:rFonts w:ascii="arial" w:eastAsia="arial" w:hAnsi="arial" w:cs="arial"/>
            <w:i/>
            <w:color w:val="0077CC"/>
            <w:sz w:val="20"/>
            <w:u w:val="single"/>
            <w:shd w:val="clear" w:color="auto" w:fill="FFFFFF"/>
            <w:lang w:val="en-US" w:eastAsia="en-US" w:bidi="ar-SA"/>
          </w:rPr>
          <w:t>[1981] B.C.J. No. 349</w:t>
        </w:r>
      </w:hyperlink>
      <w:r>
        <w:rPr>
          <w:rFonts w:ascii="arial" w:eastAsia="arial" w:hAnsi="arial" w:cs="arial"/>
          <w:color w:val="000000"/>
          <w:sz w:val="20"/>
          <w:lang w:val="en-US" w:eastAsia="en-US" w:bidi="ar-SA"/>
        </w:rPr>
        <w:t xml:space="preserve"> (B.C.S.C.) and Dillon v. Leroux, </w:t>
      </w:r>
      <w:hyperlink r:id="rId260" w:history="1">
        <w:r>
          <w:rPr>
            <w:rFonts w:ascii="arial" w:eastAsia="arial" w:hAnsi="arial" w:cs="arial"/>
            <w:i/>
            <w:color w:val="0077CC"/>
            <w:sz w:val="20"/>
            <w:u w:val="single"/>
            <w:shd w:val="clear" w:color="auto" w:fill="FFFFFF"/>
            <w:lang w:val="en-US" w:eastAsia="en-US" w:bidi="ar-SA"/>
          </w:rPr>
          <w:t>[1992] B.C.J. No. 1971</w:t>
        </w:r>
      </w:hyperlink>
      <w:r>
        <w:rPr>
          <w:rFonts w:ascii="arial" w:eastAsia="arial" w:hAnsi="arial" w:cs="arial"/>
          <w:color w:val="000000"/>
          <w:sz w:val="20"/>
          <w:lang w:val="en-US" w:eastAsia="en-US" w:bidi="ar-SA"/>
        </w:rPr>
        <w:t xml:space="preserve"> (B.C.S.C.) and submits, adjusting for inflation and the differences between the case at bar and those cases, non-pecuniary damages in the amount of $130,000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defendant submits that, of the two cases relied on by the plaintiff, the more comparable is Lawrence, supra, which would, adjusting for inflation, permit an award of $60,000 for general damages. It was Mr. Pilley's submission that Dillon, supra, involved more serious injuries and consequences and hence is of substantially less utility in assessing the general damages in the present case. In Dillon, the plaintiff suffered permanent damage to his heart as a result of the tardy diagnosis of a myocardial infarction. As a result, the plaintiff in that case was severely restricted in his activities and enjoyment of life. In the present case, the plaintiff's impairment of lifestyle is not as profound as in Dillon, however his recreational activities and other lifestyle choices are circumscribed by the need to avoid bruising or injury. Additionally, he is tied to lifelong medication and requires regular blood-testing, which may place some further limitations on him. He is at somewhat greater risk for contracting endocarditis in the future. He also requires antibiotic prophylaxis for dental or medical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During his convalescence, Mr. Mackell was mistakenly told that he would have to keep his heart rate under 130 beats per minute. This has since been corrected. However, Mr. Mackell has described himself as being prone to fatigue and impaired in his activities, particularly occupational activities by the onset of stress. His work week has correspondingly diminished to part-time from full-time. He did testify, however, that in the past several months he has been exercising more regularly, and his feelings of fatigue have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my view, Mr. Mackell's circumstances place him somewhere between the cases cited by his counsel and I would award non-pecuniary damages in the amount of $100,000.</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It is the plaintiff's submission that,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has suffered a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It is clear that measuring the loss of earning capacity is not simply a mathematical calculation, but can involve a measured assessment of the loss of ability to attract, maintain, or progress with income earning opportunities because of a loss of function, competence or competitiveness. (See Brown v. Golaiy, [1986], B.C.W.L.D. 349 and Kwei v. Boisclair </w:t>
      </w:r>
      <w:hyperlink r:id="rId189"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Prior to his illness, it was the plaintiff's intention and plan to work with his wife in setting up and maintaining her hearing loss clinic and to act as a consultant for other small businesses in the area. Evidence was called by the plaintiff and his wife as to their expectations of their business and their view of the impact of the plaintiff's illness on their expectations. In particular, the two identified the loss of the plaintiff's full-time marketing and administrative involvement with the clinic as having a crippling effect on its development and establishment. It is clear the clinic is not operating as the plaintiff and his wife hoped and expected; however the impact of the plaintiff's illness does not emerge as the sole or determining cause of that because there is no baseline against which it can be measured or plainly demonstrated. There is no evidence before the court of business that has not been attracted or expansion that has been halted by the plaintiff's illness. At most, there is the loss of the plaintiff's full-time involvement in the office management side of the business. The marketing side involved, largely, periodic seminars and appearances at trade shows which the plaintiff is not prevented from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my view, any loss of earning capacity suffered by the plaintiff is only marginally related to the clinic. Given Dr. MacDonald's evidence that the plaintiff, "is now stable and should remain so indefinitely," but should avoid "hazardous employments that provide frequent injury or frequent cuts, loss of earning capacity" diminution of that asset is probably more accurately measured by limitations in other fields. There is no doubt given his limitations and current mindset, the plaintiff is less likely overall to attract and maintain employment. His avoidance of stress and long hours of work, his need to avoid the sort of physical jobs that may result in cuts or bleeding, and the possibility of future similar illnesses all serve to attenuate his earning capacity to some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On the other hand, the prospect that his subjectively held susceptibility to fatigue and stress may improve and reduce the restrictions on his ability to earn must be taken into account as a realistic and desirable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On balance, I am unable to conclude that there is any precise mathematical calculation to be had that will represent the plaintiff's loss of earning capacity. I agree in principle with counsel for the defendant's submission that the award for loss of capacity should be such as to compensate the plaintiff for his inability to work in occupations involving risks of injury or bleeding. While it is true there is no evidence the plaintiff planned to pursue "hazardous employment", given his circumstances, the loss of that ability represents a real loss of opportunity to seek and maintain employment during times and in circumstances when other opportunities are reduced or unavailable.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It is of some significance that his most successful earning years up to the time of trial were those when he worked in a sawmill, employment that is now foreclosed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Additionally the other consequences of his condition; the limitation on travel and the possibility of future illness must be taken into account in assessing his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Taking all the factors into account, it is my view that the amount of $75,000 serves to compensate the plaintiff for this prospective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It is my understanding that counsel have agreed to an amount representing past income loss, special damages and costs of care and accordingly I award judgment to the plaintiff in the amount of $175,000 together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CULLEN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1" style="position:absolute;z-index:251825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MacKnight v. Nast, [2005] B.C.J. No. 757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Grist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24, 25 and 26,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31, 2005.</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04 2392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757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469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138 A.C.W.S. (3d) 1076</w:t>
      </w:r>
    </w:p>
    <w:p>
      <w:pPr>
        <w:spacing w:before="120" w:line="260" w:lineRule="atLeast"/>
        <w:rPr>
          <w:lang w:val="en-US" w:eastAsia="en-US" w:bidi="ar-SA"/>
        </w:rPr>
      </w:pPr>
      <w:r>
        <w:rPr>
          <w:rFonts w:ascii="arial" w:eastAsia="arial" w:hAnsi="arial" w:cs="arial"/>
          <w:color w:val="000000"/>
          <w:sz w:val="20"/>
          <w:lang w:val="en-US" w:eastAsia="en-US" w:bidi="ar-SA"/>
        </w:rPr>
        <w:t>Between Lisa Jane MacKnight, plaintiff, and Ryan Peter Nast,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2" style="position:absolute;z-index:2516725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1" w:name="Keywords_13"/>
      <w:bookmarkEnd w:id="91"/>
      <w:r>
        <w:rPr>
          <w:rFonts w:ascii="arial" w:eastAsia="arial" w:hAnsi="arial" w:cs="arial"/>
          <w:b/>
          <w:color w:val="000000"/>
          <w:sz w:val="20"/>
          <w:lang w:val="en-US" w:eastAsia="en-US" w:bidi="ar-SA"/>
        </w:rPr>
        <w:t xml:space="preserve">Damages — Physical injuries — Body injuries — General damages — For personal injuries — Non-pecuniary damages, including pain and suffering — Loss of earning capacity — Cost of future care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92" w:name="Case Summary_12"/>
            <w:bookmarkEnd w:id="9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MacKnight against the defendant, Nast, for damages. On August 30, 2002, MacKnight got off a bus and was struck by a bicycle driven by Nast as she stepped into the crosswalk to cross the street. She had the green light. Nast went through a red light. Nast admitted fault but claimed MacKnight was contributorily negligent because she failed to see him as he approached the crossing. She was knocked unconscious when Nast struck her. Her injuries included a fractured left clavicle, a third degree dislocation of her right shoulder, a cut above her right eye and an abrasion on her right hip. She developed upper back pain as a result of her shoulder injury. MacKnight was 36 years old at the time of the collision. She had previously worked in a bank and had earned $35,000 annually. She had resigned her employment. At the time of the accident she was enrolled in courses to become an insurance agent. MacKnight remained at her mother's home for one month because she was incapacitated by her injuries. She tried to return to work in November 2002, but after three weeks could not continue. MacKnight decided not to become an insurance agent after she was exposed to the physical aspects of the employment. She went back to school, took bookkeeping courses and graduated in December 2003. She found employment in September 2003. Her employer was satisfied with her work. However, she tended to be slower in completing tasks. This held her back from advancing to higher pay scales. She earned $14.50 per hour but could have earned $16.50 per hour. MacKnight took physiotherapy until August 2003. She then joined an exercise program. She was not able to return to physical activities such as tennis or running. </w:t>
            </w:r>
            <w:r>
              <w:rPr>
                <w:lang w:val="en-US" w:eastAsia="en-US" w:bidi="ar-SA"/>
              </w:rPr>
              <w:cr/>
            </w:r>
          </w:p>
          <w:p>
            <w:pPr>
              <w:spacing w:before="120" w:line="260" w:lineRule="atLeast"/>
              <w:ind w:left="240"/>
              <w:jc w:val="both"/>
              <w:rPr>
                <w:lang w:val="en-US" w:eastAsia="en-US" w:bidi="ar-SA"/>
              </w:rPr>
            </w:pPr>
            <w:bookmarkStart w:id="93" w:name="Holdings of Court_10"/>
            <w:bookmarkEnd w:id="93"/>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MacKnight was not negligent. She was aware of the traffic. She crossed the street at the proper signal. It was not reasonably foreseeable that Nast would disregard the traffic signal and would travel at a significant rate of speed. MacKnight lost the ability to compete for top rates and was delayed for finding employment for 10 months. This caused her to lose $27,500. General damages were fixed at $45,000. Future wage loss was assessed at $40,000. Her claim for $1,450 for trauma counselling was accepted. Future care costs were assessed at $10,000. </w:t>
            </w:r>
            <w:r>
              <w:rPr>
                <w:lang w:val="en-US" w:eastAsia="en-US" w:bidi="ar-SA"/>
              </w:rPr>
              <w:cr/>
            </w:r>
          </w:p>
          <w:p>
            <w:pPr>
              <w:rPr>
                <w:lang w:val="en-US" w:eastAsia="en-US" w:bidi="ar-SA"/>
              </w:rPr>
            </w:pPr>
          </w:p>
        </w:tc>
      </w:tr>
    </w:tbl>
    <w:p>
      <w:pPr>
        <w:jc w:val="both"/>
        <w:rPr>
          <w:lang w:val="en-US" w:eastAsia="en-US" w:bidi="ar-SA"/>
        </w:rPr>
      </w:pPr>
      <w:bookmarkStart w:id="94" w:name="Legislation Cited_8"/>
      <w:bookmarkEnd w:id="9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93" style="position:absolute;z-index:2517237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Motor Vehicle Act, s. 132.</w:t>
      </w:r>
      <w:r>
        <w:rPr>
          <w:lang w:val="en-US" w:eastAsia="en-US" w:bidi="ar-SA"/>
        </w:rPr>
        <w:cr/>
      </w:r>
    </w:p>
    <w:p>
      <w:pPr>
        <w:keepNext/>
        <w:spacing w:before="240" w:line="340" w:lineRule="atLeast"/>
        <w:rPr>
          <w:lang w:val="en-US" w:eastAsia="en-US" w:bidi="ar-SA"/>
        </w:rPr>
      </w:pPr>
      <w:bookmarkStart w:id="95" w:name="Counsel_13"/>
      <w:bookmarkEnd w:id="95"/>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4" style="position:absolute;z-index:2517749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Kenneth C. Kjellander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Michael F. O'Meara</w:t>
      </w:r>
      <w:r>
        <w:rPr>
          <w:lang w:val="en-US" w:eastAsia="en-US" w:bidi="ar-SA"/>
        </w:rPr>
        <w:cr/>
      </w:r>
    </w:p>
    <w:p>
      <w:pPr>
        <w:spacing w:after="240"/>
        <w:rPr>
          <w:lang w:val="en-US" w:eastAsia="en-US" w:bidi="ar-SA"/>
        </w:rPr>
      </w:pPr>
      <w:bookmarkStart w:id="96" w:name="Judgment_13"/>
      <w:bookmarkEnd w:id="96"/>
      <w:r>
        <w:pict>
          <v:line id="_x0000_s1095" style="position:absolute;z-index:25182617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97" w:name="GRIST J."/>
            <w:bookmarkEnd w:id="97"/>
            <w:r>
              <w:rPr>
                <w:rFonts w:ascii="arial" w:eastAsia="arial" w:hAnsi="arial" w:cs="arial"/>
                <w:b/>
                <w:color w:val="000000"/>
                <w:sz w:val="30"/>
                <w:lang w:val="en-US" w:eastAsia="en-US" w:bidi="ar-SA"/>
              </w:rPr>
              <w:t>GRIST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MacKnight took the transit bus home from downtown Victoria just after noon on August 30th, 2002. She lived near Hillside Avenue and Gosworth Road. Shortly after she got off the bus, she was hit by a bicycle ridden by Mr. Nast as she stepped into the crosswalk to cross Hillside Avenue. The defendant admits fault but contends Ms. MacKnight was contributorily negligent in failing to see him on his bicycle as he approached the crossing. The amount of compensation by way of damages is also in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Gosworth Road does not extend south of Hillside and so the conjunction is a "T" intersection. The bus stops on the south side of Hillside, a few car lengths before the crosswalk which crosses Hillside just west of the intersection. Traffic on Hillside is controlled by a traffic signal activated by pedestrians wanting to cross. There are also pedestrian signals at the crosswalk. They show a lit walking figure five seconds after the traffic signal has turned to flashing 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traffic light at the intersection shows flashing green until someone pushes the crosswalk button. It then proceeds through a sequence of solid green, flashing yellow, and finally, flashing red. There is a left turn lane for eastbound traffic on Hillside turning onto Gosworth Road. To the south of this lane there are two eastbound lanes. The most southerly eastbound lane is adjacent to the curb.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August 30th, 2002 Ms. MacKnight walked to the crosswalk and pressed the crosswalk button. Traffic in both directions stopped as the lights went through the sequence of changes. A number of cars came to a stop, both eastbound and westbound on Hillside. In particular three vehicles stopped, one behind the other, in the eastbound lane adjacent to the curb.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Delisle was a passenger in the third vehicle in this lane. He saw the changing signals and the vehicle he was riding in came to a stop before the light changed red. He noticed Ms. MacKnight wait a number of seconds, looking across to the pedestrian signal, before taking a step off the curb into the sidewalk.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about the same time he saw a bike rider proceed past the vehicle he was in, on the curb side. The bike was travelling at approximately 35 kilometres per hour. Mr. Nast, the young man riding the bicycle applied his brakes shortly after passing Mr. Delisle, but could not stop and struck Ms. MacKnight as she stepped down from the sidewalk.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MacKnight was knocked unconscious onto the pavement. An ambulance was called. She regained consciousness while being transported to the hospital. Her injuries included a fractured left clavicle, a third degree dislocation of her right shoulder, a cut above her right eye and an abrasion on her right 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Nast gave evidence. He was travelling east on Hillside to a class at the University. He was familiar with the intersection and knew that a change from flashing green meant that a pedestrian had pushed the button. He knew the sequence to solid green, flashing yellow and flashing red. He said that he expected that he could pass through the intersection on flashing yellow, but that it turned to red before he reached the intersection and he slammed on his brakes. By then it was too late to stop and he hit Ms. MacKnight as she stepped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evidence is consistent with Ms. MacKnight waiting the five seconds until the pedestrian signal changed before stepping into the crosswalk. This conforms with Mr. Delisle's evidence that his vehicle had come to a stop after the light changed to red and that they were probably stopped five seconds before the bike went by. Ms. MacKnight on all of the evidence was watching the pedestrian signal as if waiting for the change.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35 kilometres per hour Mr. Nast would have been travelling approximately 10 metres per second and without braking would have covered 50 metres in the five seconds delay. Again from the evidence of Mr. Delisle, and on inspection of the scale intersection plan, the attempt to brake before the collision was in the last 10 metres before the crosswalk. Even had he come virtually to a stop when he hit Ms. MacKnight, Mr. Nast would have been 40 metres from the crosswalk when the light turned 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conforms with his statement at discovery that he intended to go through the intersection on the red light until he saw Ms. MacKnight. He was clearly at fault, as he admitted in his letter to Ms. MacKnight written later that day. In my view he both disregarded the signal and passed the stopped traffic on the right in an unsafe manner.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Defence counsel advanced the argument that Ms. MacKnight was contributorily negligent in that she should have seen Mr. Nast approaching in the space between the stopped vehicles and the curb. The applicable provision of the Motor Vehicle Act, Section 132, provides that on the appropriate pedestrian signal, Ms. MacKnight was permitted to cross the roadway, with the right of way over vehicles on Hillside Drive. The defendant points out, however, that she was still under an obligation to take reasonable care for her own safety, notwithstanding the right of way. B.C. Electric Railway Co. v. Farrer, </w:t>
      </w:r>
      <w:hyperlink r:id="rId268" w:history="1">
        <w:r>
          <w:rPr>
            <w:rFonts w:ascii="arial" w:eastAsia="arial" w:hAnsi="arial" w:cs="arial"/>
            <w:i/>
            <w:color w:val="0077CC"/>
            <w:sz w:val="20"/>
            <w:u w:val="single"/>
            <w:shd w:val="clear" w:color="auto" w:fill="FFFFFF"/>
            <w:lang w:val="en-US" w:eastAsia="en-US" w:bidi="ar-SA"/>
          </w:rPr>
          <w:t>[1955] S.C.R. 757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the obligation to take reasonable care for one's own safety depends on the foreseeability of the risk presented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Each case will depend on its circumstances. In my view Ms MacKnight was not negligent. She was at a marked crosswalk controlled by both a traffic signal and a pedestrian crossing signal. She was aware that the vehicle traffic in the lanes of travel east and west on Hillside had come to a stop and was waiting for the pedestrian signal to change. On the appropriate signal she stepped forward into the crosswalk. In these circumstances, in my view, it was not reasonably foreseeable Mr. Nast would be disregarding the traffic signal and proceeding at a significant rate of speed in the space between the three stopped vehicles and the curb. Put another way, it would stretch the obligation of reasonable foresight too far to affix liability on Ms. MacKnight in these circumstances. Accordingly, I find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MacKnight was 36 years of age at the time of the collision. She had worked as a financial service representative at a bank until January 2002, when she left the bank planning to take courses to become an insurance agent. She completed the courses and on August 30th, 2002 she had been downtown to submit an application at an insurance agency.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the collision she was released from hospital and went to live at her mother's residence. Initially her right shoulder was in a sling. With the injuries to both her shoulders she was largely incapacitated and had difficulty even dressing herself. She remained at her mother's for a month, returning to her apartment early in October. She continued to have difficulty with her shoulders and developed migraine headaches. She tried to return to work in November of 2002. She obtained a job at an insurance agency but after three weeks she concluded that she couldn't continue. She wasn't able to do the typing the job required and was having difficulty coping emotionally.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MacKnight decided she would not be able to work as an insurance agent after this exposure to the physical aspects of the employment. She went back to school, taking bookkeeping courses, and graduated in December 2003. At the end of September 2003, while she was still taking courses, she found work with her present employer, Canada West Business Services. She found that the bookkeeping work did not require as much work at a keyboard and that she was able to maintain this sort of employment. Her work activities however have to be broken up from time to time as she has difficulty sustaining a head down posture and difficulty sitting for long periods of time. Her employer gave evidence that he was happy with her work, but that she tends to be slower in completing tasks. This has held her back from advancing to higher pay scales.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MacKnight took physiotherapy on a number of occasions after the collision until the end of 2003. She then began a continuous series of physiotherapy appointments from January to August 2003. Since that point in time she joined an exercise program at the YMCA, recently switching to a fitness for women facility.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has not been able to return to physical activity such as tennis or running. The occupational therapist who gave evidence says that she is able to perform her housekeeping tasks if she paces herself, but will likely not be able to return to pre-injury leisure physical activity.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MacKnight has developed some back pain subsequent to the collision. This was not initially noted in Dr. Stubbs' clinical records. Back pain is first noted on September 27th when it was referred to as "back sore again". A pain diagram drawn in November 2004 located the back pain in the mid back below the shoulders. On cross-examination, Dr. Stubbs noted that shoulder complaints included part of the upper back. On balance I accept the plaintiff's argument that the upper back pain is associated with the shoulder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heads of damages relevant to this case include past wage loss, future loss of earning ability, general damages and cost of future care. Special damages have in large part been agreed to. I accept the total for specials in the sum of $6,714.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MacKnight was not employed at the time of the collision but was looking for an entry level insurance agent's position. She had a steady work history and earned approximately $35,000 the last year she was at the bank. She was able to find an entry level insurance agent position in December 2003 but was not able to cope with the physical demands of the job and only worked three weeks. She was able to find work as a bookkeeper at the end of September 2003, starting at $12 per hour. This was increased at the end of the year to $14 per hour and her hourly rate has been increased again to $14.50 per hour. Her employer finds her to be a friendly co-operative employee, but said that her work is slow and that she has not progressed as he would have liked. If she were capable of more he would anticipate she would earn $2 to $3 per hour more.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do not view her earlier plan to take work as an insurance agent as a significant loss in wage rate from her previous earning ability as a bookkeeper, however, she lost the ability to compete for top pay rates. She has also been delayed for about ten months in obtaining employment. This leads to a loss of the ability to earn approximately $16.50 per hour over the last ten months or, $27,500.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consideration of the authorities cited I fix general damages in the sum of $45,000.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Future wage loss is argued on the basis of the loss of earnings of a woman employed as an insurance agent or broker, as opposed to a woman working as a bookkeeper. The analysis is not overly helpful because of the very general descriptions of the two categories and considerable overlap in the pay rates for these two categories. Further, Ms. MacKnight already makes more than many in the bookkeeping category. Projected loss of $2 per hour over her working life span would indicate a present value cumulative wage loss of approximately $68,000, but in my view Ms. MacKnight may very well be able to overcome much of this deficit. The question is best determined by a less than strictly mathematical consideration of the factors in Brown v. Golaiy </w:t>
      </w:r>
      <w:hyperlink r:id="rId190"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and I assess future wage loss at $40,000.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Lastly, I accept the claim for trauma counselling at $1,450 and costs of future care in the sum of $10,000.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GRIST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Marszalek (Estate of) and Lil v. Bishop et al., 2007 CHFL para. 15,474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Fisher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March 8, 2007.</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S70732</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2007</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2007 CHFL para. 15,474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2007 BCSC 324</w:t>
        </w:r>
      </w:hyperlink>
    </w:p>
    <w:p>
      <w:pPr>
        <w:spacing w:before="120" w:line="260" w:lineRule="atLeast"/>
        <w:rPr>
          <w:lang w:val="en-US" w:eastAsia="en-US" w:bidi="ar-SA"/>
        </w:rPr>
      </w:pPr>
      <w:r>
        <w:rPr>
          <w:rFonts w:ascii="arial" w:eastAsia="arial" w:hAnsi="arial" w:cs="arial"/>
          <w:color w:val="000000"/>
          <w:sz w:val="20"/>
          <w:lang w:val="en-US" w:eastAsia="en-US" w:bidi="ar-SA"/>
        </w:rPr>
        <w:t>Marszalek (Estate of) and Lil v. Bishop et al.</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7" style="position:absolute;z-index:25167360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8" w:name="Keywords_14"/>
      <w:bookmarkEnd w:id="98"/>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Stroke — Patient collapsed and taken to community hospital — Medical staff did not realize patient had suffered stroke until three days later — Patient transferred to larger hospital where he died the following day — Action against medical staff at first hospital for negligent acts or omissions — Plaintiff failed to prove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caused or contributed to patient's death — Action dismissed.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99" w:name="Case Summary_13"/>
            <w:bookmarkEnd w:id="99"/>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Marszalek was a patient at the defendant hospital, Ridge Meadows. Lil, the plaintiff, was Marszalek's common-law wife. On December 7, 1999, Marszalek felt dizzy and nauseous, and he collapsed. An ambulance took him to the hospital. He was examined by the emergency room doctor, who sought a consultation from Dr. Binder, one of the defendants. Dr. Binder was a specialist in internal medicine, with a subspecialty in gastroenterology. She determined Marszalek was suffering from gastritis, and admitted him to the hospital for rehydration and a few tests. Throughout the day, Marszalek complained of worsening headaches and was observed to be sweaty. In the early morning of December 9, Marszalek was disoriented, restless, and could not stand. Dr. Binder saw him again and, despite his admission to "one drink every day", she suspected he was going through alcohol withdrawal and put him on the hospital's alcohol withdrawal protocol. This protocol required that he be monitored and reassessed every hour and sedated if necessary. The second time he was monitored, it was noted that he was sleeping. An hour later, he was moved from the emergency department to a medical ward, where the nurses were unable to wake him and he showed no response to painful stimuli. Two hours later, Lil came to visit Marszalek. He was in a strange, twisted position in a chair, and Lil thought he was asleep. She advised Dr. Binder that Marszalek did not have an alcohol problem, and Dr. Binder suspended the alcohol protocol. The nurses did not advise Dr. Binder that Marszalek had not responded to painful stimuli and was unable to be roused. Dr. Binder did not attend Marszalek again. Marszalek was unresponsive when checked at 3, 3 1/2, and 4 hours later. Marszalek was then intubated and a code blue was called. He was transferred to Royal Columbian Hospital, where a CT scan showed that he had suffered a stroke. He died the following day. The plaintiff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nurses, Dr. Binder, and Ridge Meadows. The claim against the original emergency room physician, the defendant Dr. Bartel, was dismissed. </w:t>
            </w:r>
            <w:r>
              <w:rPr>
                <w:lang w:val="en-US" w:eastAsia="en-US" w:bidi="ar-SA"/>
              </w:rPr>
              <w:cr/>
            </w:r>
          </w:p>
          <w:p>
            <w:pPr>
              <w:spacing w:before="120" w:line="260" w:lineRule="atLeast"/>
              <w:ind w:left="240"/>
              <w:jc w:val="both"/>
              <w:rPr>
                <w:lang w:val="en-US" w:eastAsia="en-US" w:bidi="ar-SA"/>
              </w:rPr>
            </w:pPr>
            <w:bookmarkStart w:id="100" w:name="Holdings of Court_11"/>
            <w:bookmarkEnd w:id="100"/>
            <w:r>
              <w:rPr>
                <w:rFonts w:ascii="arial" w:eastAsia="arial" w:hAnsi="arial" w:cs="arial"/>
                <w:color w:val="000000"/>
                <w:sz w:val="20"/>
                <w:lang w:val="en-US" w:eastAsia="en-US" w:bidi="ar-SA"/>
              </w:rPr>
              <w:t>HELD: The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found that even though the actions and omissions of Dr. Binder and the nurses were negligent, they did not materially contribute to Marszalek's death. </w:t>
            </w:r>
            <w:r>
              <w:rPr>
                <w:lang w:val="en-US" w:eastAsia="en-US" w:bidi="ar-SA"/>
              </w:rPr>
              <w:cr/>
            </w:r>
          </w:p>
          <w:p>
            <w:pPr>
              <w:rPr>
                <w:lang w:val="en-US" w:eastAsia="en-US" w:bidi="ar-SA"/>
              </w:rPr>
            </w:pPr>
          </w:p>
        </w:tc>
      </w:tr>
    </w:tbl>
    <w:p>
      <w:pPr>
        <w:jc w:val="both"/>
        <w:rPr>
          <w:lang w:val="en-US" w:eastAsia="en-US" w:bidi="ar-SA"/>
        </w:rPr>
      </w:pPr>
      <w:bookmarkStart w:id="101" w:name="Counsel_14"/>
      <w:bookmarkEnd w:id="10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8" style="position:absolute;z-index:2517248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plaintiff appeared on her own behalf; B. Norell and R. Wu for the defendants Bartel and Binder; J. Ankenman for the defendants Ridge Meadows Hospital and the nurses.</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760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McIlvenna (Litigation Guardian of) v. Insurance Corp. of British Columbia, [2006] B.C.J. No. 2793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28 - 29,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S035006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2793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1559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60 B.C.L.R. (4th) 203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C.C.L.I. (4th) 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153 A.C.W.S. (3d) 704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2620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Connor Allen McIlvenna, an infant by his Litigation Guardian, Shawne McIlvenna, Plaintiff,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0"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2" w:name="Keywords_15"/>
      <w:bookmarkEnd w:id="102"/>
      <w:r>
        <w:rPr>
          <w:rFonts w:ascii="arial" w:eastAsia="arial" w:hAnsi="arial" w:cs="arial"/>
          <w:b/>
          <w:color w:val="000000"/>
          <w:sz w:val="20"/>
          <w:lang w:val="en-US" w:eastAsia="en-US" w:bidi="ar-SA"/>
        </w:rPr>
        <w:t>Civil procedure — Pleadings — Striking out pleadings or allegations — Grounds — Failure to disclose a cause of action or defence — Application by Insurance Corp. of British Columbia (ICBC) for dismissal of plaintiff's action or striking of his statement of claim — Application for dismissal dismissed — Application to strike statement of claim allowed only in respect to portion of claim alleging breach of an independent duty to recommend or initiate medical treatment or therapy — That allegation raised no reasonable cause of action — Action could proceed on remaining 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Limitation of actions — Topics — Insurance — Insurance corporations — Application by Insurance Corp. of British Columbia (ICBC) for dismissal of plaintiff's action or striking of his statement of claim — Application for dismissal dismissed —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would be governed by s. 3(2) of the Limitation Act, not the limitation provisions of the Insurance (Motor Vehicle) Act Regulations — Characterization of action needed to be determined at trial — Application to strike statement of claim allowed only in respect to portion of claim alleging breach of an independent duty to recommend or initiate medical treatment or therapy — Limitation Act, R.S.B.C. 1996, c. 266, S. 3(2) — Insurance (Motor Vehicle) Act Regulations, B.C. Reg. 447/83, s. 103.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Insurance law — Insurers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Insurance Corp. of British Columbia (ICBC) for dismissal of plaintiff's action or striking of his statement of claim — Application for dismissal dismissed —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would be governed by s. 3(2) of the Limitation Act, not the limitation provisions of the Insurance (Motor Vehicle) Act Regulations — Characterization of action needed to be determined at trial — Application to strike statement of claim allowed only in respect to portion of claim alleging breach of an independent duty to recommend or initiate medical treatment or therapy — That allegation raised no reasonable cause of action — Action could proceed on remaining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3" w:name="Case Summary_14"/>
            <w:bookmarkEnd w:id="1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Insurance Corp. of British Columbia (ICBC) for dismissal of plaintiff's action or striking of his statement of claim -- Plaintiff McIlvenna was six years old when he was injured in motor vehicle accident in 1995 -- The Plaintiff's mother approached ICBC for rehabilitation assistance years later when it became apparent that her son had intellectual and learning impairments that had a direct causative link to the accident -- Plaintiff conceded that it was too late to claim Part 7 benefits, but relied on the allegation that the Plaintiff's deficits were made worse by the Defendant's negligent handling of the claim -- Plaintiff in his statement of claim stated that the Insurer had been negligent, that there had been a breach of an independent duty to recommend or initiate medical treatment or therapy, and that there had been a failure to advise of benefits and any limitations on that entitlement -- The remedy sought was not the payment of any benefits alleged to be owed or damages equivalent to those benefits, but damages for personal injury -- HELD: Application to dismiss action dismissed -- Application to strike statement of claim allowed only in respect to portion of claim alleging breach of an independent duty to recommend or initiate medical treatment or therapy --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governed by s. 3(2) of the Limitation Act, not the limitation provisions of the Insurance (Motor Vehicle) Act Regulations -- Characterization of action needed to be determined at trial -- An independent duty to ensure treatment on the part of the insurer would expose ICBC to potential liability for "erroneous recommendations and substandard treatment" -- Action could proceed on remaining claim of failure to advise of benefits and any limitations on that entitlement.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4" w:name="Legislation Cited_9"/>
      <w:bookmarkEnd w:id="1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1"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19(24)(a), Rule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Act, R.S.O. 1990, c.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r>
        <w:rPr>
          <w:rFonts w:ascii="arial" w:eastAsia="arial" w:hAnsi="arial" w:cs="arial"/>
          <w:i/>
          <w:color w:val="000000"/>
          <w:sz w:val="20"/>
          <w:lang w:val="en-US" w:eastAsia="en-US" w:bidi="ar-SA"/>
        </w:rPr>
        <w:t>R.S.B.C. 1996, c. 231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Regulations, </w:t>
      </w:r>
      <w:hyperlink r:id="rId57"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Part 7, s. 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3(2), s. 5, s. 6, s. 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5" w:name="Counsel_15"/>
      <w:bookmarkEnd w:id="10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2"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Stephen E. Gibson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James Schmidt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6" w:name="Judgment_14"/>
      <w:bookmarkEnd w:id="106"/>
      <w:r>
        <w:pict>
          <v:line id="_x0000_s1103" style="position:absolute;z-index:2518272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7" w:name="N.H. SMITH J._0"/>
            <w:bookmarkEnd w:id="107"/>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Connor McIlvenna was six years old when he was hit by a car on September 14, 1995. He suffered a head injury, but at first appeared to make a full recovery. As time went on, intellectual and learning impairments became apparent and, in 2001, his mother began requesting rehabilitation assistance from the Insurance Corporation of B.C.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the months immediately following the accident, ICBC had paid a small amount in benefits under Part 7 of </w:t>
      </w:r>
      <w:hyperlink r:id="rId57"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to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"regulations"). When it was approached again years later, ICBC refused to provide any benefits because the two year limitation period set out in those regulations had expired. That limitation period applies even if a child is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Counsel for the plaintiff concedes that it is too late to claim Part 7 benefits as such, but relies on an allegation that the plaintiff's permanent deficits were made worse by ICBC's negligent handling of the initial claim. On this application, ICBC asks that the plaintiff's action be dismissed on a point of law pursuant to Rule 34 of the Rules of Court or, alternatively, that the statement of claim be struck out as disclosing no reasonable cause of action pursuant to Rule 19(24)(a). The issues are:</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an action "in respect of" Part 7 benefits and therefore barred by s. 103 of the regulations, which states that an action in respect of benefits must be commenced two years from the date of accident or two years from the last date that benefits are paid?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limitation period does not apply, does the statement of claim disclose a reasonable cause of action in alleging that ICBC was negligent or acting in bad faith when it failed to advise Connor's mother of the limitation period or to take other steps to deal with potential long-term effects of the injury?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Connor was riding his bicycle in a parking lot when he collided with a car on September 14, 1995. He was admitted to Children's Hospital two days later and spent three days there. On arrival in hospital, he was reported to be suffering from headaches, nausea and vomiting. He was also noted to be lethargic and slightly confused. A CT scan showed a hemorrhagic contusion in the left frontal lobe of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October 30, 1995, a pediatric neurosurgeon examined Connor and said he appeared to be back to normal. The doctor said there was no need for further follow-up by specialists, but told Connor's mother that he was at risk of developing post-traumatic epilepsy later in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Meanwhile, Connor's mother Shawne McIlvenna gave a signed statement to an ICBC adjuster on October 24, 2005. That statement described Connor's condition while in hospital and referred to the results of the CT scan. The statement said Connor was still complaining of headaches when he bumped his head, but the only other remaining symptom was a fear of vehicles. Although Ms. McIlvenna says in her affidavit that she signed authorizations for release of hospital records, ICBC apparently took no steps to obtain to those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adjuster's notes for the same day record that he told Ms. McIlvenna that investigation to that point showed that Connor was at fault, but "medical expenses are still covered in the event her son is found fully responsible for this accident." There is no indication that he told Ms. McIlvenna about any time limit on claims for benefits and she deposes that she was not told of a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ICBC paid $195.94 under Part 7, with the last payment on December 20, 1995. On June 26, 1996, the adjuster spoke by telephone with Connor's father. The adjuster's note quotes the father as stating his son suffered brain damage in the frontal lobe. The notes then say the adjuster asked if there were "any other medical expenses that need to be reimbursed as I was going to close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February, 1997, the adjuster received a medical report from the family physician, Dr. Krawchuk. The report referred to the CT scan findings and the specialist's advice about the possibility of post traumatic epilepsy in later life. Dr. Krawchuk repeated that information in a letter to the adjuster in June, 1997. In that letter, she added that she had not heard from Connor for several months and "to the best of my knowledge he is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ICBC heard nothing more about Connor for four years. In the summer of 2001, the adjuster was contacted by a social worker from Sunny Hill Health Centre, who asked if ICBC would pay for a neuropsychological examination that the mother and the school were requesting because of learning difficulties. The adjuster and the social worker had another telephone conversation on February 7, 2002. It appears the social worker understood by then that ICBC would not pay for the neuropsychological assessment because she was requesting a "denial letter" so she could seek funding from other sources. A letter stating that ICBC would not fund the neuropsychological assessment was sent on May 7, 2002, but gave no reason for the denial. ICBC was subsequently contacted by Ms. McIlvenna and by a representative of the community brain injury program at the Centre for Ability, but ultimately stated, in April, 2003, that the two year time limit had expired and that it would not provide benefits. That was the first indication that ICBC was relying on the limitation and led Ms. McIlvenna to seek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neuropsychological assessment took place in May, 2003. The psychologist, Dr. Unger, reported that Connor had "clear deficits in the areas of verbal memory and attention processing speed and motor output," which will affect his academic, behavioural and social functioning in the future. She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Impaired memory and problems with attention and executive function are known sequelae of head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a number of years have passed since Connor's initial head injury and he has not received any specific cognitive remediation since then it is unlikely that there will be any significant changes in his functioning now. His brain injury is a "chronic health condition" that greatly affects his learning.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suggestion that Connor's condition was made worse by the lack of earlier rehabilitation efforts is central to the plaintiff's claim against ICBC. The plaintiff argues that ICBC, which has its own rehabilitation department, should have recognized the risk of future problems from a head injury to a child and taken steps to ensure that the appropriate services were provided. The plaintiff also argues that if ICBC intended to rely on the limitation period, it had a duty to warn the child's guardian so protective steps, such as earlier investigation for potential problems, could have been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For the purposes of this application, the essential allegations in the statement of claim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mother of the Plaintiff believed that the ICBC adjuster appointed was acting to assist her and the Plaintiff in assessing coverage for the goods and services needed by the Plaintiff for his recovery and therefore relied on the adjuster for information and advice.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ICBC was obliged to act in good faith and to use reasonable care and skill in adjusting the Part VII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ICBC knew that the Plaintiff was suffering from a brain injury and it knew or ought to have known that the Plaintiff and his mother were relying on the handling adjuster to advise of his entitlement to insurance benefits in his Part VII Claim, to advise of any information or documents required for the claim, to advise of the various treatment and therapies available for a brain injury suffered by a child, and to advise of any limitation periods.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ICBC knew that the Plaintiff and his mother lacked the knowledge and resources to identify and provide for his rehabilitation and medical needs and ICBC further knew that the failure or refusal to provide advice and funding for treatment and rehabilitation would reduce the degree of recovery of the Plaintiff from the injuries suffered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prayer for relief, the statement of claim seeks damages as well as a declaration that ICBC is liable to pay Part 7 benefits. Counsel concedes that the specific claim for Part 7 benefits should not have been included and cannot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this an action "in respect of Part 7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applies for dismissal of this action under Rule 34. That rule allows the court to determine a point of law arising from the pleadings and to dismiss an action if resolution of that point of law substantially disposes of the whole action. The point of law raised is whether this action is barred by the expiry of the applicable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Part 7 of the regulations contains provisions for the payment of medical and rehabilitation benefits on a no-fault basis. It includes s. 103,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No person shall commence an action in respect of benefits under this Part unless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substantially complied with the provisions of sections 97 to 100 that are applicable to him,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is commenced within 2 years after</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of the accident for which the benefits are claimed, or</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benefits have been paid, the date he received the last benefit payment under this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It has been held that this limitation period is not subject to s. 7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which normally postpones the running of a limitation period until a plaintiff who is a minor reaches the age of majority. This is because s. 7 applies only to limitation periods set by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not to those contained in other legislation such as the regulations at issue (</w:t>
      </w:r>
      <w:r>
        <w:rPr>
          <w:rFonts w:ascii="arial" w:eastAsia="arial" w:hAnsi="arial" w:cs="arial"/>
          <w:b/>
          <w:i/>
          <w:color w:val="000000"/>
          <w:sz w:val="20"/>
          <w:lang w:val="en-US" w:eastAsia="en-US" w:bidi="ar-SA"/>
        </w:rPr>
        <w:t>Marin v. Insurance Corporation of British Columbia</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[1993] B.C.J. No. 923</w:t>
        </w:r>
      </w:hyperlink>
      <w:r>
        <w:rPr>
          <w:rFonts w:ascii="arial" w:eastAsia="arial" w:hAnsi="arial" w:cs="arial"/>
          <w:color w:val="000000"/>
          <w:sz w:val="20"/>
          <w:lang w:val="en-US" w:eastAsia="en-US" w:bidi="ar-SA"/>
        </w:rPr>
        <w:t xml:space="preserve">, 18 March 1993, Vancouver C896592 and C896593 (B.C.S.C.). For the same reason, counsel for the plaintiff concedes that he cannot rely on any conduct by ICBC to argue that there has been a confirmation of the cause of action that would extend the limitation period pursuant to s. 5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If this action is properly characterized as "an action in respect of benefits" under Part 7, the limitation in s. 103 of the regulations will apply. It is common ground that the limitation period expired on or about December 20,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defendant relies on the definition of the phrase "in respect of" adopted by the Ontario Court of Appeal in </w:t>
      </w:r>
      <w:r>
        <w:rPr>
          <w:rFonts w:ascii="arial" w:eastAsia="arial" w:hAnsi="arial" w:cs="arial"/>
          <w:b/>
          <w:i/>
          <w:color w:val="000000"/>
          <w:sz w:val="20"/>
          <w:lang w:val="en-US" w:eastAsia="en-US" w:bidi="ar-SA"/>
        </w:rPr>
        <w:t>Arsenault v. Dumfries Mutual Insurance Co.</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(2002) 57 O.R. (3d) 625</w:t>
        </w:r>
      </w:hyperlink>
      <w:r>
        <w:rPr>
          <w:rFonts w:ascii="arial" w:eastAsia="arial" w:hAnsi="arial" w:cs="arial"/>
          <w:color w:val="000000"/>
          <w:sz w:val="20"/>
          <w:lang w:val="en-US" w:eastAsia="en-US" w:bidi="ar-SA"/>
        </w:rPr>
        <w:t xml:space="preserve"> (C.A.). That case involved a claim for benefits under Ontario's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R.S.O. 1990, c. 18. The insurer discontinued benefits it had been paying and the plaintiff did not commence action until almost five years later.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required that such an action be brought within two years of the insurer's refusal to pay benefits. The plaintiff based her claim on a breach of the insurer's duty of good faith. Abella J.A., (as she then was), said at [paragraph]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Nowegijick v. The Queen et al. (1983)</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144 D.L.R. (3d) 193</w:t>
        </w:r>
      </w:hyperlink>
      <w:r>
        <w:rPr>
          <w:rFonts w:ascii="arial" w:eastAsia="arial" w:hAnsi="arial" w:cs="arial"/>
          <w:color w:val="000000"/>
          <w:sz w:val="20"/>
          <w:lang w:val="en-US" w:eastAsia="en-US" w:bidi="ar-SA"/>
        </w:rPr>
        <w:t>, at. 200 Dickson J. attributed the "widest possible scope" to the words "in respect of":</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phrase "in respect of" is probably the widest of any expression intended to convey some connection between two related subject-matters.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Justice Dickson was dealing with language in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in my view, his observation is generic and equally applicable to the relevant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provisions in this case. That means that any and all disputes about an insurer's refusal to pay no-fault benefits, including disputes which allege the insurer's bad faith in connection with that refusal, must be brought within two years of the refusal.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Arsenault</w:t>
      </w:r>
      <w:r>
        <w:rPr>
          <w:rFonts w:ascii="arial" w:eastAsia="arial" w:hAnsi="arial" w:cs="arial"/>
          <w:color w:val="000000"/>
          <w:sz w:val="20"/>
          <w:lang w:val="en-US" w:eastAsia="en-US" w:bidi="ar-SA"/>
        </w:rPr>
        <w:t xml:space="preserve"> was applied in this court in </w:t>
      </w:r>
      <w:r>
        <w:rPr>
          <w:rFonts w:ascii="arial" w:eastAsia="arial" w:hAnsi="arial" w:cs="arial"/>
          <w:b/>
          <w:i/>
          <w:color w:val="000000"/>
          <w:sz w:val="20"/>
          <w:lang w:val="en-US" w:eastAsia="en-US" w:bidi="ar-SA"/>
        </w:rPr>
        <w:t>Young v. ICBC</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[2006] B.C.J. No. 274</w:t>
        </w:r>
      </w:hyperlink>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2006 BCSC 211</w:t>
        </w:r>
      </w:hyperlink>
      <w:r>
        <w:rPr>
          <w:rFonts w:ascii="arial" w:eastAsia="arial" w:hAnsi="arial" w:cs="arial"/>
          <w:color w:val="000000"/>
          <w:sz w:val="20"/>
          <w:lang w:val="en-US" w:eastAsia="en-US" w:bidi="ar-SA"/>
        </w:rPr>
        <w:t xml:space="preserve"> where the Barrow J. held that a claim for Part 7 benefits was barred by the operation of s. 103 of the Regulations. As in </w:t>
      </w:r>
      <w:r>
        <w:rPr>
          <w:rFonts w:ascii="arial" w:eastAsia="arial" w:hAnsi="arial" w:cs="arial"/>
          <w:b/>
          <w:i/>
          <w:color w:val="000000"/>
          <w:sz w:val="20"/>
          <w:lang w:val="en-US" w:eastAsia="en-US" w:bidi="ar-SA"/>
        </w:rPr>
        <w:t>Arsenault</w:t>
      </w:r>
      <w:r>
        <w:rPr>
          <w:rFonts w:ascii="arial" w:eastAsia="arial" w:hAnsi="arial" w:cs="arial"/>
          <w:color w:val="000000"/>
          <w:sz w:val="20"/>
          <w:lang w:val="en-US" w:eastAsia="en-US" w:bidi="ar-SA"/>
        </w:rPr>
        <w:t>, the plaintiff attempted to frame the claim for benefits in terms of a breach of the contractual duty of good faith. Barrow J. states at [paragraph]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several reasons I am not persuaded by the plaintiff's argument. First, to the extent the prayer for relief in the statement of claim seeks "[j]udgment for benefits" owing under Part 7, the claim falls within the ambit of s. 103. Thus, that portion of her action is barred by that section. Second, to the extent the plaintiff seeks a "declaration of entitlement" to Part 7 benefits, this also amounts to an "action in respect of benefits" and is similarly caught by the limitation in s. 103. To conclude otherwise would be to thwart the obvious intention of the legislation. Finally, to the extent the statement of claim seeks "[g]eneral damages for ... breach of duty to the Plaintiff", this is, in substance, an action in respect of benefits under Part 7. To allow the action would similarly undermine the intention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effect of </w:t>
      </w:r>
      <w:r>
        <w:rPr>
          <w:rFonts w:ascii="arial" w:eastAsia="arial" w:hAnsi="arial" w:cs="arial"/>
          <w:b/>
          <w:i/>
          <w:color w:val="000000"/>
          <w:sz w:val="20"/>
          <w:lang w:val="en-US" w:eastAsia="en-US" w:bidi="ar-SA"/>
        </w:rPr>
        <w:t>Arsenault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Young</w:t>
      </w:r>
      <w:r>
        <w:rPr>
          <w:rFonts w:ascii="arial" w:eastAsia="arial" w:hAnsi="arial" w:cs="arial"/>
          <w:color w:val="000000"/>
          <w:sz w:val="20"/>
          <w:lang w:val="en-US" w:eastAsia="en-US" w:bidi="ar-SA"/>
        </w:rPr>
        <w:t xml:space="preserve"> is that the test of whether a claim is "in respect of benefits" lies in the substance of the relief being claimed, rather than the cause of action on which that claim is said to be based. In both cases, the plaintiffs were seeking payment of benefits under the statutory provision or an amount equal to the benefits that were lost. The statement of Abella J. quoted above specifically refers to "any and all disputes about an insurer's refusal to pay no-fault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entitlement of an injured person to no-fault benefits, along with the circumstances under which the corporation is obliged to pay such benefits, is set out in Part 7 of the Regulations. In establishing the limitation period, s. 103 refers to "an action in respect of benefits under this part." The regulations therefore create both the right to bring action and the limitation period for any such action. Although the phrase "in respect of benefits" must be given a broad interpretation, its operation must still be confined to a claim arising out of an alleged failure or refusal to pay the specific benefits authorized by Part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in this case advances a broader claim based on an alleged worsening of his condition because of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handling of his claim, including a failure to advise about the limitation period. The remedy sought is not the payment of any benefits alleged to be owed or damages equivalent to those benefits, but damages for personal injury. If the action is properly characterized as an action for damages for personal injury, the limitation period is set by s. 3(2)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subject to the postponement provisions in ss. 6 and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difference is perhaps best illustrated by a hypothetical example unrelated to this case. Under s. 88(2)(c) of the Regulations, the corporation may pay some of the costs for attendant care made necessary by a serious injury. If the corporation refuses to provide that benefit, an action to compel payment would clearly be an action in respect of benefits. If, following the corporation's refusal to pay for attendant care, an injured person pays for that care out of his or her own pocket and then sues ICBC to recover the direct financial loss, that would also be an action in respect of benefits. But assume an injured person alleges that, because of a lack of attendant care, he or she suffered further injuries in a fall and claims that ICBC was negligent in failing to process a claim for care or failing to advise that funding was available. It seems to me that would be an action for damages for injury to the person, not an action in respect of benefits. The damage assessment would be based on the extent to which the injury was worsened and the effect of that worsening; it would have nothing to do with the amount of benefits that were or were not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pleadings allege both a loss of benefits and the loss of the opportunity for earlier intervention that would have prevented or reduced the permanent disability. The pleadings therefore include both an action in respect of benefits and an action for personal injury damages. The extent to which the action can properly be characterized as one or the other will depend on the evidence and findings at trial. For that reason, it is not possible to make a decision purely on a point of law that would substantially dispose of the action and the defendant's application under Rule 34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Does the statement of claim disclose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ICBC argues that, if this action cannot be dismissed under Rule 34, the statement of claim should be struck under Rule 19(24)(a). That Rule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common ground that an application under that rule can succeed only if it is "plain and obvious" that the statement of claim discloses no reasonable cause of action and the action is certain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order to determine whether pleadings that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disclose a reasonable cause of action, it is necessary to determine if the relationship that is alleged to exist between the parties is one that gives rise to a duty of care. The plaintiff relies on the relationship that it describes in the portions of the statement of claim quoted above and the fact that the plaintiff was an "insured" under Part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ICBC says the plaintiff is seeking damages for "negligent adjusting" of an insurance claim, which would impose a duty on insurers that Canadian courts have not recognized and should not recognize. It relies primarily on the decision of the Supreme Court of Canada in </w:t>
      </w:r>
      <w:r>
        <w:rPr>
          <w:rFonts w:ascii="arial" w:eastAsia="arial" w:hAnsi="arial" w:cs="arial"/>
          <w:b/>
          <w:i/>
          <w:color w:val="000000"/>
          <w:sz w:val="20"/>
          <w:lang w:val="en-US" w:eastAsia="en-US" w:bidi="ar-SA"/>
        </w:rPr>
        <w:t>Cooper v. Hobart et al.</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206 D.L.R. (4th) 193</w:t>
        </w:r>
      </w:hyperlink>
      <w:r>
        <w:rPr>
          <w:rFonts w:ascii="arial" w:eastAsia="arial" w:hAnsi="arial" w:cs="arial"/>
          <w:color w:val="000000"/>
          <w:sz w:val="20"/>
          <w:lang w:val="en-US" w:eastAsia="en-US" w:bidi="ar-SA"/>
        </w:rPr>
        <w:t>. That was an application to certify a class action, but the issue was whether the pleadings disclosed a cause of action, which is the same test that the court applies under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it was alleged that the provincial Registrar of Mortgage Brokers owed a private law duty of care to members of the public who invested in a company that the registrar licensed. The chambers judge, </w:t>
      </w:r>
      <w:hyperlink r:id="rId289" w:history="1">
        <w:r>
          <w:rPr>
            <w:rFonts w:ascii="arial" w:eastAsia="arial" w:hAnsi="arial" w:cs="arial"/>
            <w:i/>
            <w:color w:val="0077CC"/>
            <w:sz w:val="20"/>
            <w:u w:val="single"/>
            <w:shd w:val="clear" w:color="auto" w:fill="FFFFFF"/>
            <w:lang w:val="en-US" w:eastAsia="en-US" w:bidi="ar-SA"/>
          </w:rPr>
          <w:t>[1999] B.C.J. No. 1360</w:t>
        </w:r>
      </w:hyperlink>
      <w:r>
        <w:rPr>
          <w:rFonts w:ascii="arial" w:eastAsia="arial" w:hAnsi="arial" w:cs="arial"/>
          <w:color w:val="000000"/>
          <w:sz w:val="20"/>
          <w:lang w:val="en-US" w:eastAsia="en-US" w:bidi="ar-SA"/>
        </w:rPr>
        <w:t xml:space="preserve">, said it was not plain and obvious that no duty was owed and certified the class action. That decision was reversed by the British Columbia Court of Appeal, </w:t>
      </w:r>
      <w:hyperlink r:id="rId290" w:history="1">
        <w:r>
          <w:rPr>
            <w:rFonts w:ascii="arial" w:eastAsia="arial" w:hAnsi="arial" w:cs="arial"/>
            <w:i/>
            <w:color w:val="0077CC"/>
            <w:sz w:val="20"/>
            <w:u w:val="single"/>
            <w:shd w:val="clear" w:color="auto" w:fill="FFFFFF"/>
            <w:lang w:val="en-US" w:eastAsia="en-US" w:bidi="ar-SA"/>
          </w:rPr>
          <w:t>[2000] B.C.J. No. 426</w:t>
        </w:r>
      </w:hyperlink>
      <w:r>
        <w:rPr>
          <w:rFonts w:ascii="arial" w:eastAsia="arial" w:hAnsi="arial" w:cs="arial"/>
          <w:color w:val="000000"/>
          <w:sz w:val="20"/>
          <w:lang w:val="en-US" w:eastAsia="en-US" w:bidi="ar-SA"/>
        </w:rPr>
        <w:t>, and the Supreme Court of Canada agreed that no duty of care could arise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Supreme Court of Canada re-affirmed that, when considering whether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extended to include a duty not previously recognized, the court must apply the two-part test set out in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That test requires the court to first decide whether there was sufficient proximity between the parties to create a prima facie duty of care, then whether there were any factors negating such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said that the first branch of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tests deals with the relationship between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first stage of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two questions arise: (1) was the harm that occurred the reasonably foreseeable consequence of the defendant's act? And (2) are there reasons, notwithstanding the proximity between the parties established in the first part of this test, that tort liability should not be recognized here? The proximity analysis involved at the first stage of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focuses on factors arising from the </w:t>
      </w:r>
      <w:r>
        <w:rPr>
          <w:rFonts w:ascii="arial" w:eastAsia="arial" w:hAnsi="arial" w:cs="arial"/>
          <w:i/>
          <w:color w:val="000000"/>
          <w:sz w:val="20"/>
          <w:lang w:val="en-US" w:eastAsia="en-US" w:bidi="ar-SA"/>
        </w:rPr>
        <w:t>relationship</w:t>
      </w:r>
      <w:r>
        <w:rPr>
          <w:rFonts w:ascii="arial" w:eastAsia="arial" w:hAnsi="arial" w:cs="arial"/>
          <w:color w:val="000000"/>
          <w:sz w:val="20"/>
          <w:lang w:val="en-US" w:eastAsia="en-US" w:bidi="ar-SA"/>
        </w:rPr>
        <w:t xml:space="preserve"> between the plaintiff and the defendant. These factors include questions of policy, in the broad sense of that word. If foreseeability and proximity are established at the first stage,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([paragraph]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the first branch of the test identifies a relationship where a prima facie duty of care exists, the court must then consider broader policy under the second branch of the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residual policy considerations fall to be considered here. These are not concerned with the relationship between the parties, but with the effect of recognizing a duty of care on other legal obligations, the legal system and society more generally. Does the law already provide a remedy? Would recognition of the duty of care create the spectre of unlimited liability to an unlimited class? Are there other reasons of broad policy that suggest that the duty of care should not be recognized? ([paragraph]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There will usually be no need to consider the second branch of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if the duty of care that is alleged comes within or is analogous to an already recognized category of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second step of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generally arises only in cases where the duty of care asserted does not fall within a recognized category of recovery. Where it does, we may be satisfied that there are no overriding policy considerations that would negative the duty of care. In this sense, I agree with the Privy Council in </w:t>
      </w:r>
      <w:r>
        <w:rPr>
          <w:rFonts w:ascii="arial" w:eastAsia="arial" w:hAnsi="arial" w:cs="arial"/>
          <w:i/>
          <w:color w:val="000000"/>
          <w:sz w:val="20"/>
          <w:lang w:val="en-US" w:eastAsia="en-US" w:bidi="ar-SA"/>
        </w:rPr>
        <w:t>Yuen Kun Yeu</w:t>
      </w:r>
      <w:r>
        <w:rPr>
          <w:rFonts w:ascii="arial" w:eastAsia="arial" w:hAnsi="arial" w:cs="arial"/>
          <w:color w:val="000000"/>
          <w:sz w:val="20"/>
          <w:lang w:val="en-US" w:eastAsia="en-US" w:bidi="ar-SA"/>
        </w:rPr>
        <w:t xml:space="preserve"> [1988] A.C. 175, that the second stage of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will seldom arise and that questions of liability will be determined primarily by reference to established and analogous categories of recovery. However, where a duty of care in a novel situation is alleged, as here, we believe it necessary to consider both steps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as discussed above. This ensures that before a duty of care is imposed in the new situation, not only are foreseeability and relational proximity present, but there are no broader considerations that would make imposition of a duty of care unwise. ([paragraph]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statement of claim in this case, can be summarized as alleging two distinct duties which, in my view, require separate analysis. The two duties are: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to advise the plaintiff's mother about his entitlement to benefits under Part 7, including advice about the kind of therapy and treatment that can be funded and the existence of the limitation period.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to recognize the possible future implications of a brain injury in a child, to make further inquiries and, if necessary, to specifically recommend or initiate the appropriate therapy 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first alleged duty does not require any consideration based on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As pleaded, it fits within the well-established category of negligent misstatement in circumstances where one party is reasonably relying on another's superior knowledge or expertise. In </w:t>
      </w:r>
      <w:r>
        <w:rPr>
          <w:rFonts w:ascii="arial" w:eastAsia="arial" w:hAnsi="arial" w:cs="arial"/>
          <w:b/>
          <w:i/>
          <w:color w:val="000000"/>
          <w:sz w:val="20"/>
          <w:lang w:val="en-US" w:eastAsia="en-US" w:bidi="ar-SA"/>
        </w:rPr>
        <w:t>Fletcher v. Manitoba Public Insurance Corp.</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[1990] 3 S.C.R. 191</w:t>
        </w:r>
      </w:hyperlink>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74 D.L.R. (4th) 636</w:t>
        </w:r>
      </w:hyperlink>
      <w:r>
        <w:rPr>
          <w:rFonts w:ascii="arial" w:eastAsia="arial" w:hAnsi="arial" w:cs="arial"/>
          <w:color w:val="000000"/>
          <w:sz w:val="20"/>
          <w:lang w:val="en-US" w:eastAsia="en-US" w:bidi="ar-SA"/>
        </w:rPr>
        <w:t>, the Supreme Court of Canada held that a public insurer had a duty to advise purchasers of liability insurance that under-insured motorist coverage was also available. The court held that the relationship between the insurer and its customer met the test for liability for negligent misstatement.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sale of automobile insurance is a business in the course of which information is routinely provided to prospective customers in the expectation that they will rely on it and who do, in fact, reasonably rely on it. It follows, therefore, that the principle in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xml:space="preserve"> [1964] A.C. 465, applies, and that M.P.I.C. will owe a duty of care to its customers if: (i) such customers rely on the information, (ii) their reliance is reasonable, and (iii) M.P.I.C. knew or ought to have known that they would rely on the information. ([paragraph]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same analysis can be applied to the relationship between ICBC and a claimant for first-party benefits under Part 7. The insurer's employees will routinely provide information to claimants in the expectation that they will rely on it. This information may include the availability of benefits, the type of benefits available, the procedures for obtaining benefits and any factors which may negate or limit eligibility for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allegation in this case is distinguishable from the cases of </w:t>
      </w:r>
      <w:r>
        <w:rPr>
          <w:rFonts w:ascii="arial" w:eastAsia="arial" w:hAnsi="arial" w:cs="arial"/>
          <w:b/>
          <w:i/>
          <w:color w:val="000000"/>
          <w:sz w:val="20"/>
          <w:lang w:val="en-US" w:eastAsia="en-US" w:bidi="ar-SA"/>
        </w:rPr>
        <w:t>Esau v. Co-operators Life Insurance Co.</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[2006] B.C.J. No. 1156</w:t>
        </w:r>
      </w:hyperlink>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2006 BCCA 249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Pekarek v. Manufacturer's Life</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[2006] B.C.J. No. 1142</w:t>
        </w:r>
      </w:hyperlink>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2006 BCCA 250</w:t>
        </w:r>
      </w:hyperlink>
      <w:r>
        <w:rPr>
          <w:rFonts w:ascii="arial" w:eastAsia="arial" w:hAnsi="arial" w:cs="arial"/>
          <w:color w:val="000000"/>
          <w:sz w:val="20"/>
          <w:lang w:val="en-US" w:eastAsia="en-US" w:bidi="ar-SA"/>
        </w:rPr>
        <w:t>, where the Court of Appeal said an insurer is not under a duty to advise an insured of a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Esau</w:t>
      </w:r>
      <w:r>
        <w:rPr>
          <w:rFonts w:ascii="arial" w:eastAsia="arial" w:hAnsi="arial" w:cs="arial"/>
          <w:color w:val="000000"/>
          <w:sz w:val="20"/>
          <w:lang w:val="en-US" w:eastAsia="en-US" w:bidi="ar-SA"/>
        </w:rPr>
        <w:t xml:space="preserve"> the insurer had denied a claim for benefits. In </w:t>
      </w:r>
      <w:r>
        <w:rPr>
          <w:rFonts w:ascii="arial" w:eastAsia="arial" w:hAnsi="arial" w:cs="arial"/>
          <w:b/>
          <w:i/>
          <w:color w:val="000000"/>
          <w:sz w:val="20"/>
          <w:lang w:val="en-US" w:eastAsia="en-US" w:bidi="ar-SA"/>
        </w:rPr>
        <w:t>Pekarek</w:t>
      </w:r>
      <w:r>
        <w:rPr>
          <w:rFonts w:ascii="arial" w:eastAsia="arial" w:hAnsi="arial" w:cs="arial"/>
          <w:color w:val="000000"/>
          <w:sz w:val="20"/>
          <w:lang w:val="en-US" w:eastAsia="en-US" w:bidi="ar-SA"/>
        </w:rPr>
        <w:t xml:space="preserve"> the insurer terminated benefits it had been paying. In both cases therefore, the plaintiffs knew or ought to have known that the insurer was taking a position adverse to their interest. That adversity would change the relationship between the parties and negate any suggestion of reasonable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this case, there was no denial of benefits or any suggestion of circumstances under which such a denial might take place. The insurer told the plaintiff's mother that he was entitled to benefits. It would be reasonable in those circumstances for the claimant to expect she was being told everything she needed to know and for the insurer's employee to know his advice was being relied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therefore find that, for the purpose of Rule 19(24)(a), I cannot say it is plain and obvious that the statement of claim fails to disclose a cause of action when it alleges ICBC failed in its duty to properly advise the plaintiffs mother of his entitlement to benefits and any limitations on that entitlement. Of course, it will be for the trial court to determine whether or not such a duty actually exists, whether there was a breach of that duty and whether any damages flow from that breach. Nothing I have said here is intended to prejudge any of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second duty alleged by the plaintiff does not fall within the same established category. The allegation is that, in addition to its duty to advise about what benefits are available and to process claims for such benefits competently and in good faith, ICBC owed a duty to independently recognize treatment and therapy needs and to take the initiative in recommending or providing them. I agree with defence counsel that this would amount to a new or expanded duty and must be considered on the basis of the test in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There is no doubt that the relationship of insurer to insured is one that involves a certain proximity, but the first branch of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includes a requirement that the harm suffered be a reasonably foreseeable consequence of the defendant's act. The normal role of an insurer in these circumstances is to consider claims for specific benefits in light of what it is required to provide under the policy. Under what circumstances could an insurer be expected to foresee that the manner in which it handles a claim for benefits would cause further injury to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If the claimant's doctor says that certain therapies or treatment are required, the insurer has an obligation to fairly assess that claim. If the insurer denies the claim without good reason (such as a contrary opinion from its own medical advisor) or if it simply fails to process the claim, it is foreseeable that the absence of the recommended treatment may worsen the claimant's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in this case alleges that the insurer has a duty to recognize treatment and therapy needs that the claimant's own treating doctors or therapists have not recognized. That would expand the insurer's role from funding medical or rehabilitation services to the initial direct provision of such services. I do not think ICBC could reasonably be expected to foresee that an injury would result from its failure to recognize a need for and provide medical benefits when no medical or other professional who is actually treating the claimant has suggested a need for those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Even if the first branch of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was satisfied, there are policy considerations that, in my view, would negate any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ICBC deals with a claimant in two capacities. It provides benefits to the claimant under Part 7, but also defends any tort action the same claimant may bring against another ICBC insured. In the first capacity, ICBC acts as the claimant's own insurer. In the second capacity, it is adverse in interest to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question of where the boundary lies between those two capacities is a difficult one for ICBC and for plaintiffs and gives rise to frequent disputes before this court. Counsel acting for plaintiffs are particularly anxious to draw a clear boundary and attempt, wherever possible, to prevent ICBC from using its rights under Part 7 to obtain evidence that can be used against the plaintiff in the tort action. For example, ICBC is entitled, under s. 99 of the regulations, to require a claimant for Part 7 benefits to attend a medical examination by a doctor chosen by ICBC. There are numerous cases in which this court has had to decide whether a medical report obtained by ICBC pursuant to Part 7 can be used in the defence of the tort action or whether a medical examination under Part 7 precludes a subsequent medical examination under Rule 30 of the Rules of Court. (For recent examples, see </w:t>
      </w:r>
      <w:r>
        <w:rPr>
          <w:rFonts w:ascii="arial" w:eastAsia="arial" w:hAnsi="arial" w:cs="arial"/>
          <w:b/>
          <w:i/>
          <w:color w:val="000000"/>
          <w:sz w:val="20"/>
          <w:lang w:val="en-US" w:eastAsia="en-US" w:bidi="ar-SA"/>
        </w:rPr>
        <w:t>Telosky v. Ash</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[2006] B.C.J. No. 1543</w:t>
        </w:r>
      </w:hyperlink>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2006 BCSC 913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Robertson v. Grist</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[2006] B.C.J. No. 1873</w:t>
        </w:r>
      </w:hyperlink>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2006 BCSC 1245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If ICBC had an independent duty under Part 7 to ensure that a plaintiff was getting necessary treatment, it could legitimately argue for a greatly expanded right to demand and obtain information, all of which could potentially be used against the plaintiff in the tort action. That would put a defendant who was insured by ICBC in a better position than defendants in other tort actions. There would be great potential for abuse and plaintiffs' counsel would be understandably suspicious, whether or not such abuse actually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An independent duty on ICBC to ensure treatment could also create an intolerable situation for a claimant if ICBC, in furtherance of its duty, recommended or initiated a course of treatment that the claimant's own doctors did not agree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If ICBC had a duty to recommend and provide medical treatment, it follows that it would also be exposed to potential liability for erroneous recommendations or substandard treatment. An automobile insurer would become liable for medical malpractice. There is nothing in the legislation creating ICBC or the public insurance scheme that contemplates or is consistent with such a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For those reasons, I find that, to the extent the statement of claim alleges breach of an independent duty to recommend or initiate medical treatment or therapy, it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defendant's application pursuant to Rule 34 is dismissed. The defendant's application pursuant to Rule 19(24) is allowed only with respect to those portions of the statement of claim that allege an independent duty to recommend or initiate specific medical treatment or therapy, as opposed to a duty to advise the plaintiff's mother of the plaintiff's rights and duties under Part 7. Counsel have liberty to apply if they are unable to agree on the specific portions of the statement of claim that need to be removed or amended as a result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4"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Miller v. Boughton, [2011] B.C.J. No. 900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Hyslop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41642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900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632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 A.C.W.S. (3d) 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1167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Joan Vienna Miller, Plaintiff, and Ryan MacGregor Boughton,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5"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8" w:name="Keywords_16"/>
      <w:bookmarkEnd w:id="108"/>
      <w:r>
        <w:rPr>
          <w:rFonts w:ascii="arial" w:eastAsia="arial" w:hAnsi="arial" w:cs="arial"/>
          <w:b/>
          <w:color w:val="000000"/>
          <w:sz w:val="20"/>
          <w:lang w:val="en-US" w:eastAsia="en-US" w:bidi="ar-SA"/>
        </w:rPr>
        <w:t>Civil litigation — Civil procedure — Costs — Assessment or fixing of costs — Considerations — Offers to settle — Amount of offer v. award — Time of offer — Determination of costs of the action where the defendant made a series of settlement offers that were substantially higher than the award at trial — The plaintiff was awarded 55 per cent of costs until June 30, 2009 — The defendant was awarded 100 per cent of costs from July 1, 2009 — The plaintiff was 45 per cent liable and the defendant was 55 per cent liable for the motor vehicle accident — By July 2009 the plaintiff was aware the defendant had medical evidence that most of her complaints were not linked to the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Costs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Proportionate to fault — Full costs — Determination of costs of the action where the defendant made a series of settlement offers that were substantially higher than the award at trial — The plaintiff was awarded 55 per cent of costs until June 30, 2009 — The defendant was awarded 100 per cent of costs from July 1, 2009 — The plaintiff was 45 per cent liable and the defendant was 55 per cent liable for the motor vehicle accident — By July 2009 the plaintiff was aware the defendant had medical evidence that most of her complaints were not linked to the accident.</w:t>
      </w:r>
    </w:p>
    <w:p>
      <w:pPr>
        <w:jc w:val="both"/>
        <w:rPr>
          <w:rFonts w:ascii="arial" w:eastAsia="arial" w:hAnsi="arial" w:cs="arial"/>
          <w:sz w:val="20"/>
          <w:lang w:val="en-US" w:eastAsia="en-US" w:bidi="ar-SA"/>
        </w:rPr>
      </w:pPr>
      <w:bookmarkStart w:id="109" w:name="Legislation Cited_10"/>
      <w:bookmarkEnd w:id="1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6"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(Vehicle) Act, RSBC 1996, CHAPTER 226, s.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303" w:history="1">
        <w:r>
          <w:rPr>
            <w:rFonts w:ascii="arial" w:eastAsia="arial" w:hAnsi="arial" w:cs="arial"/>
            <w:i/>
            <w:color w:val="0077CC"/>
            <w:sz w:val="20"/>
            <w:u w:val="single"/>
            <w:shd w:val="clear" w:color="auto" w:fill="FFFFFF"/>
            <w:lang w:val="en-US" w:eastAsia="en-US" w:bidi="ar-SA"/>
          </w:rPr>
          <w:t>RSBC 1996, CHAPTER 333, s. 2</w:t>
        </w:r>
      </w:hyperlink>
      <w:r>
        <w:rPr>
          <w:rFonts w:ascii="arial" w:eastAsia="arial" w:hAnsi="arial" w:cs="arial"/>
          <w:color w:val="000000"/>
          <w:sz w:val="20"/>
          <w:lang w:val="en-US" w:eastAsia="en-US" w:bidi="ar-SA"/>
        </w:rPr>
        <w:t>, s. 3, S.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Small Claims Act, </w:t>
      </w:r>
      <w:r>
        <w:rPr>
          <w:rFonts w:ascii="arial" w:eastAsia="arial" w:hAnsi="arial" w:cs="arial"/>
          <w:i/>
          <w:color w:val="000000"/>
          <w:sz w:val="20"/>
          <w:lang w:val="en-US" w:eastAsia="en-US" w:bidi="ar-SA"/>
        </w:rPr>
        <w:t>RSBC 1996, CHAPTER 430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9-1(1), Rule 9-1(1)(c), Rule 9-1(4), Rule 9-1(5), Rule 9-1(5)(a), Rule 9-1(5)(b), Rule 9-1(5)(c), Rule 9-1(6), Rule 9-1(6)(a), Rule 9-1(6)(b), Rule 9-1(6)(c), Rule 9-1(6)(d)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(Old), Rule 37B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0" w:name="Counsel_16"/>
      <w:bookmarkEnd w:id="1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7"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S.A. Besanger.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 Jakel.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1" w:name="Judgment_15"/>
      <w:bookmarkEnd w:id="111"/>
      <w:r>
        <w:pict>
          <v:line id="_x0000_s1108"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2" w:name="H. HYSLOP J."/>
            <w:bookmarkEnd w:id="112"/>
            <w:r>
              <w:rPr>
                <w:rFonts w:ascii="arial" w:eastAsia="arial" w:hAnsi="arial" w:cs="arial"/>
                <w:b/>
                <w:color w:val="000000"/>
                <w:sz w:val="30"/>
                <w:lang w:val="en-US" w:eastAsia="en-US" w:bidi="ar-SA"/>
              </w:rPr>
              <w:t>H. HYSLOP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and the defendant litigated the plaintiff's claims before a jury relating to a motor vehicle accident that occurred in Kamloops, British Columbia on July 22,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was tried before a jury in December of 2010 for seven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jury was required to determine as between the plaintiff and defendant who was responsible for the accident and the assessment of any damages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jury concluded that the defendant was 55% responsible for the accident and the plaintiff 45%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jury awarded the plaintiff $6,000.00 non-pecuniary damages, $1,500.00 past wage loss, and $100.00 in special damages for a total of $7,600.00, less 45% of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$4,180.00. Deducted from this amount is $300.00 under s.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 The total award was $3,880.00.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plaintiff's position is that she should receive 55% of her costs pursuant to s.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The plaintiff argues that the Court should use its discretion pursuant to Rule 9-1(4), (5) and (6)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and award no costs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paragraph 3 of the plaintiff's outline, the following relief is sought:</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that the Court use its discretion pursuant to Rule 9-1(4), (5) and (6) to decline to order costs payable to the Plaintiff after the date of the relevant settlement date pursuant to Rule 9-1(5)(a), therefore ordering that the parties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find this alternate position difficult to understand. I am assuming that it means the date that the plaintiff ought to have accepted the defendant's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 is not seeking double costs pursuant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argues that the plaintiff should be awarded 55% of her costs and disbursements up until December 23, 2008, and the defendant should be awarded 100% of his costs and disbursements from December 23, 2008 forward. The defendant argues that costs should be assessed at Scale B of Appendix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argues that the plaintiff should be responsible for the $2,000.00 account of the Ministry of the Attorney General for daily hearing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It was not argued that the plaintiff not receive costs, as the jury's award was within the jurisdiction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u w:val="single"/>
          <w:lang w:val="en-US" w:eastAsia="en-US" w:bidi="ar-SA"/>
        </w:rPr>
        <w:t xml:space="preserve"> Act,</w:t>
      </w:r>
      <w:r>
        <w:rPr>
          <w:rFonts w:ascii="arial" w:eastAsia="arial" w:hAnsi="arial" w:cs="arial"/>
          <w:b/>
          <w:color w:val="000000"/>
          <w:sz w:val="20"/>
          <w:u w:val="single"/>
          <w:lang w:val="en-US" w:eastAsia="en-US" w:bidi="ar-SA"/>
        </w:rPr>
        <w:t xml:space="preserve"> </w:t>
      </w:r>
      <w:r>
        <w:rPr>
          <w:rFonts w:ascii="arial" w:eastAsia="arial" w:hAnsi="arial" w:cs="arial"/>
          <w:b/>
          <w:i/>
          <w:color w:val="000000"/>
          <w:sz w:val="20"/>
          <w:u w:val="single"/>
          <w:lang w:val="en-US" w:eastAsia="en-US" w:bidi="ar-SA"/>
        </w:rPr>
        <w:t>R.S.B.C. 1996, c. 333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legislative basis and the rules of which are relevant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Awarding of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awarding of damage or loss in every action to which section 1 applies is governed by the following rules: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or loss, if any, sustained by each person must be ascertained and expressed in dollars;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to which each person was at fault must be ascertained and expressed as a percentage of the total fault;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each person who has sustained damage or loss and each other person who is liable to make good the damage or loss, the person sustaining the damage or loss is entitled to recover from that other person the percentage of the damage or loss sustained that corresponds to the degree of fault of that other person;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2 persons each of whom has sustained damage or loss and is entitled to recover a percentage of it from the other, the amounts to which they are respectively entitled must be set off one against the other, and if either person is entitled to a greater amount than the other, the person is entitled to judgment against that other for the excess.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liability for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Unless the court otherwise directs, the liability for costs of the parties to every action is in the same proportion as their respective liability to make good the damage or loss.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 applies to the awarding of costs under this section.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as between 2 persons, one is entitled to a judgment for an excess of damage or loss and the other to a judgment for an excess of costs there is a further set off of the respective amounts and judgment must be given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w:t>
      </w:r>
      <w:r>
        <w:rPr>
          <w:rFonts w:ascii="arial" w:eastAsia="arial" w:hAnsi="arial" w:cs="arial"/>
          <w:b/>
          <w:i/>
          <w:color w:val="000000"/>
          <w:sz w:val="20"/>
          <w:u w:val="single"/>
          <w:lang w:val="en-US" w:eastAsia="en-US" w:bidi="ar-SA"/>
        </w:rPr>
        <w:t>Supreme Court Civil Rules</w:t>
      </w:r>
      <w:r>
        <w:rPr>
          <w:rFonts w:ascii="arial" w:eastAsia="arial" w:hAnsi="arial" w:cs="arial"/>
          <w:b/>
          <w:color w:val="000000"/>
          <w:sz w:val="20"/>
          <w:u w:val="single"/>
          <w:lang w:val="en-US" w:eastAsia="en-US" w:bidi="ar-SA"/>
        </w:rPr>
        <w:t xml:space="preserve"> - Rule 9-1(4), (5)(a)-(d) and (6)(a)-(d)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Offer may be considered in relation to costs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consider an offer to settle when exercising the court's discretion in relation to costs.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options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or service of the offer to settle.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Considerations of court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commenced this action on July 18,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in her amended statement of claim, alleged that she suffered the following injuries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 and mid back injuries;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abdominal injuries;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bruised kidneys;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injuries;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shoulder injuries;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chest and rib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(g)</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pericarditis</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(h)</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soft tissue injuries;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abrasions, contusions and bruising;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(j)</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(k)</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pain and suffering;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(l)</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enjoyment of life;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(m)</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earnings, both past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prospective;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(n)</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capital assets;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(o)</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cost of care and medical treatment.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June 5, 2009, the plaintiff amended her statement of claim and added pericarditis to her list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the plaintiff and defendant exchanged a series of offers of settlement. The defendant refers to them as informal and formal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formal offers were made pursuant to Rule 37B of the old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and its successor, Rule 9-1(1). The informal offers were all made by the plaintiff. None of them engaged Rule 37B or Rule 9-1(1)(c). As a result, I will not consider the informal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following offers were made by the defendant and made pursuant to Rule 37B and 9-1:</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23, 2008 - defendant served formal offer to settle for $22,000.00;</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9, 2010 - defendant served formal offer to settle for $35,001.00;</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8, 2010 - defendant served formal offer to settle for $50,000.00;</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29, 2010 - defendant served formal offer to settle for $62,500.00.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submissions made by the plaintiff and defendant raise the issue as to whether the Court should consider all formal offers to settle, or in this case, the last one made by the defendant on November 29,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starting point is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The jury apportioned fault between the plaintiff and the defendant. The costs are apportioned in accordance with the same percentage of fault found by the jury. The default position is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When considering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together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and in particular Rule 9-1 and its affect on costs,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is considered first as it is superior legislation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Dodge v. Shaw Cablesystems Ltd.</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2009 BCSC 1765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Rule 9-1 comes into play when an offer is made pursuant to this rule, and the form of offer meets the criteria set out in Rule 9-1(1)(c). In this case, there is no dispute that the "formal offers" met the criteria set out in Rule 9-1(1)(c).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Had an offer not been made pursuant to Rule 9-1, the plaintiff in this case would have been awarded 55% of her costs and disbursements; the defendant would not have been awarded any of its costs, as the defendant had no claim before the Court. However, over a period of two years, offers were made pursuant to Rule 9-1. As a result, the Court may consider an offer that was made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exercising its discretion, the Court may order costs in one or more of the possibilities set out in subrule (5) of Rule 9-1. In exercising its discretion, the Court may consider the factors set out in subrule (6) of Rule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considering subrule (5) of Rule 9-1, the Court may deprive a party of its costs to which it is entitled. This means in this case that despite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I could rule that the plaintiff is not entitled to 55% of her costs and disbursements [subrule (5)(a)]. I could order double costs for all the steps taken after the offer was delivered under subrule (5)(b) of Rule 9-1. The defendant is not seeking double costs. The Court may award costs in respect of all or some of the steps taken after the delivery of the offer to which the party would have been entitled had the offer not been made [subrule (5)(c)]. Lastly, the Court may award costs if the defendant made an offer that is equal or greater than the judgment granted by the Court. The Court may award the defendant its costs for all or some of the steps taken in the litigation that the defendant took after the offer was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considering these choices, the Court may consider the factors set out in subrule (6) of Rule 9-1. The Court may analyze whether the litigant ought to have accepted the offer; consider the final judgment as against the offer; consider the financial circumstances of the litigants; and finally, any other factors that may be appropriate for the Court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However, before I consider subrules (5) and (6) of Rule 9-1, there is the issue that is raised in this matter, which is, whether I may consider all offers that have been made pursuant to Rule 9-1(1)(c), or should I only consider the last offer made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last offer made by the defendant was made about a week before this jury trial started. The three previous offers were specifically revoked. As each offer was made, the previous offer was not capable of acceptance. The defendant argues that I ought to consider the previous offers of settlement which were specifically revoked. The defendant relies on </w:t>
      </w:r>
      <w:r>
        <w:rPr>
          <w:rFonts w:ascii="arial" w:eastAsia="arial" w:hAnsi="arial" w:cs="arial"/>
          <w:i/>
          <w:color w:val="000000"/>
          <w:sz w:val="20"/>
          <w:lang w:val="en-US" w:eastAsia="en-US" w:bidi="ar-SA"/>
        </w:rPr>
        <w:t>Insurance Corp. of British Columbia v. Patko</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2009 BCSC 578</w:t>
        </w:r>
      </w:hyperlink>
      <w:r>
        <w:rPr>
          <w:rFonts w:ascii="arial" w:eastAsia="arial" w:hAnsi="arial" w:cs="arial"/>
          <w:color w:val="000000"/>
          <w:sz w:val="20"/>
          <w:lang w:val="en-US" w:eastAsia="en-US" w:bidi="ar-SA"/>
        </w:rPr>
        <w:t xml:space="preserve"> to support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 argues that the defendant's previous offers under Rule 9-1 should not be considered. To support her position, the plaintiff relies on </w:t>
      </w:r>
      <w:r>
        <w:rPr>
          <w:rFonts w:ascii="arial" w:eastAsia="arial" w:hAnsi="arial" w:cs="arial"/>
          <w:i/>
          <w:color w:val="000000"/>
          <w:sz w:val="20"/>
          <w:lang w:val="en-US" w:eastAsia="en-US" w:bidi="ar-SA"/>
        </w:rPr>
        <w:t>Oliver v. Moen</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2009 BCSC 874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Patko</w:t>
      </w:r>
      <w:r>
        <w:rPr>
          <w:rFonts w:ascii="arial" w:eastAsia="arial" w:hAnsi="arial" w:cs="arial"/>
          <w:color w:val="000000"/>
          <w:sz w:val="20"/>
          <w:lang w:val="en-US" w:eastAsia="en-US" w:bidi="ar-SA"/>
        </w:rPr>
        <w:t>, Mr. Justice Grauer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first question is whether I am limited to considering the second offer to settle, given that the first was revoked a year after it was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In my view, there is nothing in Rule 37B that would place that limitation on my discretion. Notwithstanding the evolution of the treatment of offers to settle in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it is clear that one of the principal purposes of Rule 37B remains the same as that noted of the former Rule 37 by Cumming J.A. in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122 D.L.R. (4th) 330</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to encourage conduct that reduces the duration and expense of litigation, and to discourage conduct that has the opposite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Both offers constitute an "offer to settle" within the meaning of Rule 37B(1)(a). Although the first offer was indeed revoked, it was outstanding for a full year. The real question is whether, notwithstanding its eventual withdrawal, it was an offer that ought reasonably to have been accepted while it remained open. To treat it this way is, in my view, consistent with the object described by Cumming J.A. in </w:t>
      </w:r>
      <w:r>
        <w:rPr>
          <w:rFonts w:ascii="arial" w:eastAsia="arial" w:hAnsi="arial" w:cs="arial"/>
          <w:i/>
          <w:color w:val="000000"/>
          <w:sz w:val="20"/>
          <w:lang w:val="en-US" w:eastAsia="en-US" w:bidi="ar-SA"/>
        </w:rPr>
        <w:t>Skidmore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Oliver</w:t>
      </w:r>
      <w:r>
        <w:rPr>
          <w:rFonts w:ascii="arial" w:eastAsia="arial" w:hAnsi="arial" w:cs="arial"/>
          <w:color w:val="000000"/>
          <w:sz w:val="20"/>
          <w:lang w:val="en-US" w:eastAsia="en-US" w:bidi="ar-SA"/>
        </w:rPr>
        <w:t>, Mr. Justice Joyce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As the defendant's offer was no longer in existence and therefore no longer capable of acceptance it cannot be considered under Rule 37B when deciding the issue of costs. This may seem a harsh result but it is one that, in my opinion, follows from the failure to preserve the saving effect of the former Rule 37(10) in Rule 37B.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defendant submits that </w:t>
      </w:r>
      <w:r>
        <w:rPr>
          <w:rFonts w:ascii="arial" w:eastAsia="arial" w:hAnsi="arial" w:cs="arial"/>
          <w:i/>
          <w:color w:val="000000"/>
          <w:sz w:val="20"/>
          <w:lang w:val="en-US" w:eastAsia="en-US" w:bidi="ar-SA"/>
        </w:rPr>
        <w:t>More Marine</w:t>
      </w:r>
      <w:r>
        <w:rPr>
          <w:rFonts w:ascii="arial" w:eastAsia="arial" w:hAnsi="arial" w:cs="arial"/>
          <w:color w:val="000000"/>
          <w:sz w:val="20"/>
          <w:lang w:val="en-US" w:eastAsia="en-US" w:bidi="ar-SA"/>
        </w:rPr>
        <w:t xml:space="preserve"> is distinguishable because in that case the offer in question was made under Rule 37B whereas the defendant's offer in this case was made under Rule 37 and at a time when the saving provision of Rule 37(10) was in effect. It is my view, however, that one must consider the law as it was when the counteroffer was made on January 30, 2009. At that time there was no enactment in place to alter the common law principle that the defendant had to revive his offer in order to give it effect once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Patko</w:t>
      </w:r>
      <w:r>
        <w:rPr>
          <w:rFonts w:ascii="arial" w:eastAsia="arial" w:hAnsi="arial" w:cs="arial"/>
          <w:color w:val="000000"/>
          <w:sz w:val="20"/>
          <w:lang w:val="en-US" w:eastAsia="en-US" w:bidi="ar-SA"/>
        </w:rPr>
        <w:t xml:space="preserve"> was not drawn to the attention of Mr. Justice Joyce. </w:t>
      </w:r>
      <w:r>
        <w:rPr>
          <w:rFonts w:ascii="arial" w:eastAsia="arial" w:hAnsi="arial" w:cs="arial"/>
          <w:i/>
          <w:color w:val="000000"/>
          <w:sz w:val="20"/>
          <w:lang w:val="en-US" w:eastAsia="en-US" w:bidi="ar-SA"/>
        </w:rPr>
        <w:t>Patko</w:t>
      </w:r>
      <w:r>
        <w:rPr>
          <w:rFonts w:ascii="arial" w:eastAsia="arial" w:hAnsi="arial" w:cs="arial"/>
          <w:color w:val="000000"/>
          <w:sz w:val="20"/>
          <w:lang w:val="en-US" w:eastAsia="en-US" w:bidi="ar-SA"/>
        </w:rPr>
        <w:t xml:space="preserve"> was decided on either April 9 or April 29, 2009; </w:t>
      </w:r>
      <w:r>
        <w:rPr>
          <w:rFonts w:ascii="arial" w:eastAsia="arial" w:hAnsi="arial" w:cs="arial"/>
          <w:i/>
          <w:color w:val="000000"/>
          <w:sz w:val="20"/>
          <w:lang w:val="en-US" w:eastAsia="en-US" w:bidi="ar-SA"/>
        </w:rPr>
        <w:t>Oliver</w:t>
      </w:r>
      <w:r>
        <w:rPr>
          <w:rFonts w:ascii="arial" w:eastAsia="arial" w:hAnsi="arial" w:cs="arial"/>
          <w:color w:val="000000"/>
          <w:sz w:val="20"/>
          <w:lang w:val="en-US" w:eastAsia="en-US" w:bidi="ar-SA"/>
        </w:rPr>
        <w:t xml:space="preserve"> was decided on June 4 or June 30,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will follow </w:t>
      </w:r>
      <w:r>
        <w:rPr>
          <w:rFonts w:ascii="arial" w:eastAsia="arial" w:hAnsi="arial" w:cs="arial"/>
          <w:i/>
          <w:color w:val="000000"/>
          <w:sz w:val="20"/>
          <w:lang w:val="en-US" w:eastAsia="en-US" w:bidi="ar-SA"/>
        </w:rPr>
        <w:t>Patko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commenced this litigation by issuing her writ and statement of claim on July 18, 2008. The statement of claim was amended on June 5,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Despite the apparently severe injuries that the plaintiff alleges she suffered as a result of the accident, the plaintiff presented no medical evidence to the jury to support these claims. This is despite the evidence before the jury that the plaintiff had seen a number of doctors, both general practitioners and specialists. Their opinions were not before the court. Before the jury were the opinions of Drs. Farrell and Apel. These doctors examined the plaintiff on behalf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January of 2009, the plaintiff's cardiologist, Dr. Baker, determined: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suspect the most likely cause of her pericarditis was viral. She did ask about a MVA a year and a half ago but I explained to her that if it was recent trauma it could be associated with pericarditis but with remote trauma like that, I would not suspect there to be a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March of 2007, Dr. Farrell, an orthopaedic surgeon, opined in writing that the plaintiff would have no long-term sequelae and she would not miss any further work. This opinion was delivered to the plaintiff on March 26,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Despite Dr. Baker's opinion, the plaintiff pursued an amendment to her statement of claim on June 5,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February 9, 2010, the defendant withdrew the first offer of $22,000.00, and delivered to the plaintiff a further offer pursuant to Rule 9-1 in the amount of $35,001.00.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July 16, 2010, the defendant delivered two reports from Dr. Apel, a physiatrist, who concluded that the medical complaints of the plaintiff related to an inflammatory condition which she stated was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not the obligation of the defence to disprove the plaintiff's injuries. It is the obligation of the plaintiff to prove the injuries she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After Dr. Apel's report was delivered, the defendant delivered two more offers: one on November 8, 2010 for $50,000.00 and the last one on November 29, 2010 for $62,500.00.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Although the plaintiff and the defendant both filed jury notices, it was the plaintiff who pursued the trial by jury by paying the jury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appears that with the ever-increasing offers made by the defendant, the defendant wished to resolve this matter knowing at the time the last two offers were made that the plaintiff had not served the defendant with any expert medical reports supporting her alleged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Rule 9-1(6)(a) of the </w:t>
      </w:r>
      <w:r>
        <w:rPr>
          <w:rFonts w:ascii="arial" w:eastAsia="arial" w:hAnsi="arial" w:cs="arial"/>
          <w:b/>
          <w:i/>
          <w:color w:val="000000"/>
          <w:sz w:val="20"/>
          <w:u w:val="single"/>
          <w:lang w:val="en-US" w:eastAsia="en-US" w:bidi="ar-SA"/>
        </w:rPr>
        <w:t>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Examinations for discovery were completed by July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By the end of January 2009, the plaintiff was aware she lacked the evidence linking the accident with the onset of pericarditis. By July of 2010, the plaintiff was aware that the defendant had medical evidence that most of her other complaints were not linked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am of the view that the first offer, the one made December 23, 2008, ought to have been reasonably accepted, at least by June of 2009. By June of 2009, the plaintiff could have had a reasonable opportunity to seek another opinion as to the origin of her pericarditis as it 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was an opportunity to accept the defendant's last offer of $65,000.00 just before trial. At this time, both the plaintiff and the defendant knew the plaintiff had no medical evidence to support her alleged injuries and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Rule 9-1(6)(b)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final judgment was substantially less than the offers presented by the defendant to the plaintiff. The jury assessed damages in the amount of $7,600.00. This is before discounting the amount for liability. The plaintiff gambled that she could go before the jury without medical evidence and be awarded amounts larger than any of the offers made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Rule 9-1(6)(c)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is no evidence as to the defendant's financial circumstances. I believe it is safe to assume that the defendant was covered by an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the other hand, the plaintiff's financial condition is modest. At the time of trial, this Aboriginal woman was not employed. Throughout most of her adult life she was employed. At the time of trial, she was attending university. She owns a residence on the Simpcw First Nation Reserve. She also owns an automobile.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the time of trial, she was engaged to be married. Her fiancé is employed. The plaintiff has health problems that at times are physically debilitating.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Rule 9-1(6)(d)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appreciate that the plaintiff's health problems, from which the plaintiff suffered initially, might have caused a reasonable person to link them to the motor vehicle accident. However, upon learning that they were not linked to the motor vehicle accident, common sense should have caused the plaintiff to consider her chances of beating any of the offers put to her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Lump Sum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see no reason to award lump sum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Firstly, I do not know all the steps taken in this litigation, and secondly, there is no evidence before me of the disbursements incurred by the plaintiff and the defendant other than the hearing date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 will have 55% of her costs up to and including June 30, 2009. The defendant will have 100% of its costs commencing July 1, 2009. Costs include disbursements: </w:t>
      </w:r>
      <w:r>
        <w:rPr>
          <w:rFonts w:ascii="arial" w:eastAsia="arial" w:hAnsi="arial" w:cs="arial"/>
          <w:i/>
          <w:color w:val="000000"/>
          <w:sz w:val="20"/>
          <w:lang w:val="en-US" w:eastAsia="en-US" w:bidi="ar-SA"/>
        </w:rPr>
        <w:t>Kendall v. Hunt</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16 B.C.L.R. 295</w:t>
        </w:r>
      </w:hyperlink>
      <w:r>
        <w:rPr>
          <w:rFonts w:ascii="arial" w:eastAsia="arial" w:hAnsi="arial" w:cs="arial"/>
          <w:color w:val="000000"/>
          <w:sz w:val="20"/>
          <w:lang w:val="en-US" w:eastAsia="en-US" w:bidi="ar-SA"/>
        </w:rPr>
        <w:t>. As a result, so long as the defendant paid the daily court fees after July 1, 2009, he is entitled to this disbursement.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costs awarded are in accordance with Appendix B,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order that the plaintiff and defendant each pay their costs of this application relating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HYSLOP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9"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Mori v. Weeks, [2001] B.C.J. No. 1688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Wilkinson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4 - 8, 11 - 15, 18 - 22, 25 - 29,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July 3 - 6, 9 - 13 and 16 - 18,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 22587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1688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1094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1002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Aaron Mori, plaintiff, and Cheryl Anne Weeks and Edward Weeks,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0"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3" w:name="Keywords_17"/>
      <w:bookmarkEnd w:id="113"/>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Damage awards — Injury and death — Leg injuries — Knee — General damage awards — Pain and suffering, loss of amenities and other nonpecuniary damages — Loss of earning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4" w:name="Case Summary_15"/>
            <w:bookmarkEnd w:id="1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Mori against Weeks for damages. Mori and Weeks attended at a party on August 11, 1998. During a water fight, Mori picked up Weeks, put her on his shoulder and invited others to spray both of them. Weeks became upset and wanted to be put down. When Mori put her down, she fell on the wet and muddy ground. Mori followed Weeks and tried to apologize. Weeks ignored him and ran to her car. As Weeks reversed her car to leave, she struck his right knee with the front bumper and pinned it between the bumper and a nearby fence. Mori sustained a soft tissue injury to the knee and peroneal nerve. The consequences were restricted to pain and some weakness. At the time of the accident, Mori was 20 years old. He aspired to be a professional hockey player. Mori claimed that the pain and weakness from the accident rendered him unable to play as a goaltender. He had a learning disability. The evidence showed that Mori did not have prospects of an excellent hockey career. He was a backup goalie while he played with the league. His hockey statistics were not excellent.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5" w:name="Holdings of Court_12"/>
            <w:bookmarkEnd w:id="11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Mori's damages were assessed at $146,700. He was awarded judgment for 60 per cent of this amount. Mori's injuries were caused by contact with Weeks's vehicle. Mori did not take sufficient care to remove himself from the driveway and to avoid contact with Weeks's car. His degree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40 per cent. There was only a small chance that Mori would have played for a minor league. There was almost no chance that he would have played in the NHL. Mori's employment prospects were not as limited as claimed. An award of $25,000 was made to cover the cost of tutoring and other assistance in education or training. The award for general damages was $35,000. Hockey had been at the centre of Mori's life and shaped his self-esteem. This award recognized the emotional pain that Mori suffered from this loss. Mori was awarded $25,000 for the loss that resulted from his inability to continue his hockey career. If the accident had not occurred. Mori's hockey career would have ended by the time he was 22. Mori would have to choose an alternate career. He would have to contend with the barriers that resulted from his learning disability. If not for the accident, Mori would have bypassed his disability and opted for more physical work. His award for loss of capacity to earn future income from such work was fixed at $50,000.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6" w:name="Counsel_17"/>
      <w:bookmarkEnd w:id="1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1"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Gary P. Weatherill and Kent Burnham, for the plaintiff. Roger D. Watts and Ab Estephan,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7" w:name="Judgment_16"/>
      <w:bookmarkEnd w:id="117"/>
      <w:r>
        <w:pict>
          <v:line id="_x0000_s1112" style="position:absolute;z-index:2517790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8" w:name="WILKINSON J."/>
            <w:bookmarkEnd w:id="118"/>
            <w:r>
              <w:rPr>
                <w:rFonts w:ascii="arial" w:eastAsia="arial" w:hAnsi="arial" w:cs="arial"/>
                <w:b/>
                <w:color w:val="000000"/>
                <w:sz w:val="30"/>
                <w:lang w:val="en-US" w:eastAsia="en-US" w:bidi="ar-SA"/>
              </w:rPr>
              <w:t>WILKINSON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motor vehicle case liability, causation and a host of matters concerning quantum are in issue. The plaintiff, Aaron Mori, alleges that in the early morning hours of August 11, 1998 on a residential street in Vernon, B.C. the defendant Cheryl Weeks, who had been attending the same house party as he, struck his right knee with the front bumper of her father's car as she backed up to depart, and pinned it between the bumper and a nearby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then 20 years of age, also alleges that his knee was injured such that his intended career in professional hockey was ended just as it was about to start. Further, it is alleged the injury will prevent him from engaging in heavy work for which he was previously suited. Finally, the plaintiff urges that because of a long-standing learning disability, he will be prevented, or at best handicapped, in completing training or education for, or engaging in, many careers in lighter or more sedentary fields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Counsel for the defendant argues that her vehicle did not strike the plaintiff and suggests that his knee injury was caused when he jumped over the fence next to her car and twisted it upon landing or otherwise injured it himself. Alternatively, he argues that the plaintiff was contributorily negligent. He says the pre-accident prospects of a career for the plaintiff in professional hockey are in issue as well as the extent and consequences of his learning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to the incident itself, the only witnesses are the two participants although others were there immediately before or after. It is clear there was a house party at the home in question which each attended separately. In the course of a water fight by various young persons including the plaintiff, he picked up the defendant, who was not taking part in the water fight, put her on his shoulder and invited others to spray her, then dropped her or let her fall in a muddy area. The defendant got wet and dirty and became upset. When she went into the house to a bathroom, the plaintiff and a friend followed her. She was crying and did not want to talk to them. When the door was opened, she hurried past the plaintiff and his friend to her car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Her car was parked outside the house next to a fence, part metal and part wood, shown in photographic exhibits. The car was parked on the left side of the street on a grass and dirt area between the street and the fence. Mr. Mori followed the defendant outside and ended up in a position facing the car and with his back to the fence. While he was there, he saw her lock the car doors and saw that the windows were up. He banged on the driver's window but she would not open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Weeks backed up her car to leave the boulevard area and get out to the street. It is alleged that the front of her car swerved to her left and that the front bumper struck Mr. Mori's right knee and caught it between the bumper and some part of the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was at first thought that the injury complained of was not serious since there was no open wound, bleeding or serious bruising. It has turned out that the consequences are relatively serious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Mori was a hockey player and had put in 21/2 seasons with the Regina Pats, a Western Hockey League (WHL) team as a goaltender, and had been invited with other goaltenders to attend their training camp in the fall for the 1998-99 season, the last season for which he was eligible, and initially it was assumed that he would be able to play that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Mori was first diagnosed as having a sprain or strain to the medial collateral ligament on the inside of his right knee where that ligament attaches to the tibia. It provides stability laterally. The ligament is of considerable significance to goaltenders because of the frequency and speed of their kneeling and rising with their lower legs splayed to the sides, a so-called "butterfly" manoeuvre.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Within a few days, Mr. Mori also began to complain of numbness or lack of sensation in the lateral side or outside of his right leg and a conclusion was reached by Dr. Richardson, his primary orthopedic doctor, that there had been some bruising or neurapraxia to the common peroneal nerve which serves the lower limb. It runs around the fibula on the outside of the right leg below the head of the fibula. The significance of that injury on the issue of liability is that Dr. Richardson saw it as evidence that the knee had indeed been injured on the medial side by the car and the lateral side by the fence or, as he expressed it, by coup and contracoup. This, in his view, made the injury more consistent with the plaintiff's version of events than the injury having occurred by the plaintiff jumping or landing hard on the knee with a twisting movement. That view was shared by others of the plaintiff's specialists.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knee has not improved to the point where the plaintiff can play professional or serious competitive hockey as a goalie and it will not. There is dispute as to the extent it will disable him in other activities and occupations. The plaintiff has engaged in many other sports and recreations since shortly after the incident, including hockey at an "old-timers"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had seldom, at the time of the incident, been employed other than in hockey as a player or instructor in the off-season. In January, 1999, about five months after the accident, he took employment as a security person at a local casino. He left that employment after two years and moved to Calgary, taking part-time employment as a bouncer at a nightclub where he is still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no dispute that the plaintiff had been a successful hockey player as a child and teenager. He began playing at 4 or 5 years of age and decided to become a goalie shortly after. I accept that he worked very hard to become a goaltender and to perfect his skills in that position. I also accept the evidence of his mother that in part because of his learning disability and resultant lack of self-esteem, hockey became central to his life and his view of himself. He and his parents sacrificed much. Unfortunately, much work on his final two years of high school education and any preparation for "life after hockey" were not given high priority.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Mori became a good player and regularly played on rep or select teams as he worked his way through novice, pee wee, bantam, midget, and junior teams. He attended Notre Dame College in Saskatchewan, a school known for its development of hockey players, for Grade 9 and part of Grade 10. He then returned to Vernon to play for the Enderby Kings, a junior Bantam team, for the balance of the 1994-95 year, then played the first 1/2 of the 1995-96 year for the Vernon Vipers, a Junior A team. In January, 1996 he began playing for the Regina Pats of the WHL, continued playing for them in the 1996-97 season and 1997-98 season and was to return back to camp for them in the fall of 1998 when the incident took place. At the age of 20, he had been playing competitive hockey for about 15 years. There is substantial diversity of opinion as to whether his hockey career had peaked with his time in the WHL.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same time, there are conflicts in the evidence concerning the degree and consequences of his learning disability. It seems to be generally accepted by all that Mr. Mori is reasonably intelligent. His difficulty is said to be with language instruction, written or spoken, and with his own use of language, particularly in writing. He graduated from high school in Vernon on a somewhat altered curriculum. IQ tests at the end of Grade 1 gave quite high results. Recent tests gave lower results. He had considerable help from his family during his schooling, particularly with writing. His marks in his Grade 11 and 12 years in Vernon were not high, but in Grade 9 and the first half of Grade 10 at Notre Dame, a highly structured and disciplined institution, particularly for hockey players, his school record was good. There were complaints of absences from school on his return to Vernon, during his time playing with the Regina Pats, when his schooling was split between Regina and Vernon.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Pullyblank, a psychologist retained by the plaintiff, felt that those career opportunities left to him by his knee injury were severely limited by his learning disability but his mother gave evidence that she was very disappointed by his decision at 17 to play for the Regina Pats rather than following the career path of obtaining a playing scholarship from an American university and furthering his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the stand Mr. Mori presented as a rather usual lad, somewhat diffident if discussing matters other than hockey or his role in it, but betraying almost nothing of the very low intellectual level spoken of by Dr. Pullyblank and little of his learning disability beyond the occasional mispronunciation of a word. The same cannot be said for his written material (Exhibit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Unfortunately, over the course of his time on the stand, particularly under cross-examination, I came to have reservations about his credibility. He responded, "I don't remember" to a vast number of questions, some about recent events or things one would expect him to recall easily, yet in matters he felt to be central to his version of events, such as the number of drinks he had had at a restaurant before going to the house party, he did not hesitate in telling counsel he had had one and one-half drinks, not two. Given contradictions between his evidence and his responses on discovery, he was likely to say he did not remember or offer some excuse. There was a tendency to blame others. Some of these traits were noted by the psychologists. I am satisfied that at times he misinformed or failed to inform his doctors, although I suspect that in the very early days when he still expected or hoped to return to hockey he may have underreported pain rather than overreported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do not wish to be unfair to the plaintiff. He has had to learn methods of coping with his world, particularly in his dealings with other people. Pretending to forget, exaggeration and blaming others are well tested coping mechanisms. Mr. Mori sees himself with some accuracy as having overcome considerable adversity and having been close to achieving his expressed goals, only to have his chances taken away. Even if his ultimate success was unlikely, it is unfortunate that he did not find that out in his own way and in his own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should make it clear that I do not have the view that the whole matter was a deliberate sham on his part or that he had any overall intention to falsify. At the same time, I do approach his evidence with some caution and have reservations as to the accuracy of his communications to his doctors on occasions. As to others of the witnesses, I am satisfied that most at the house party had had a fair amount to drink. Many had been at a drinking establishment for an hour or two before the party. At the party, there was a large keg of beer and most took advantage of it. I am satisfied that Eric Kositsin, a friend of and witness for the plaintiff, and the person who was with him at the bathroom where Ms. Weeks was attempting to avoid him, was quite intoxicated. I am satisfied that the plaintiff had more beer to drink than he testified to and was somewhat intoxicated. I am satisfied that the defendant was feeling the influence of alcohol but less so than the plaintiff. The only reservations I have about her evidence relate to her ability to recall because of her emotional state at the time coupled with her consumption of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VEHICLE MAKE CONTACT WITH THE PLAINTIFF'S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mechanism of trauma is not easy to envisage. It is alleged by the plaintiff that the front bumper of the defendant's automobile swung towards the fence as she was backing out to the right onto the street from her parking place in the boulevard between the fence and the street. It is obvious that if the defendant backed up with her front wheels turned to the right, the front end of her car would in fact move backwards and to the left. The question here is whether it not only moved to the left and towards the fence, but whether it moved far enough to the left to contact the plaintiff's right knee and, as he says, to squeeze it between the bumper and the fence. The plaintiff testified that he was facing the car at the driver's door banging on the driver's window and with his back to the fence before the car started to move back. The defendant testified that he was farther toward the front by her signal light but it is not clear if he moved toward the back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seems obvious from the nature of the injuries to the knee that if they were caused by the car, there was not a lot of force or speed exerted. There was no bleeding or breakage of the skin on either side although there was a minor contusion noted in the front of the right kneecap. Such evidence as is available is that the car did not back up quickly or leave the scene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evidence of the plaintiff is that he was able to move his left leg out of the way of the bumper as it swung towards him but not his right leg which was pushed into the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defence has raised a host of reasons why the accident did not happen as suggested by the plaintiff and a number of alternative scenarios to account for the injuries to the knee, including:</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injured the knee when he jumped over the fence in the course of pursuing the defendant. This does not even accord with the evidence of the defendant who described the plaintiff as still erect and active as he was pestering her before she backed up.</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injured it when he fell and twisted the knee as he was putting pants over his shorts after the defendant had departed. There is no support for this version of events. The position of the plaintiff when others arrived, seated on the sidewalk with the dry pants on one leg is as consistent with the plaintiff's version of his having hobbled or been assisted there. I do not accept the plaintiff having said, "I pulled my MCL - I've done it before - My hockey career is over" or words to the like effect if indeed he did say them before saying that the plaintiff's car had struck him, is more consistent with the defendant's version of events.</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if the defendant's car was in the position and angle described by the plaintiff before it backed up, the front of it could not have swung far enough to the left to have come near to the fence. I simply do not have sufficient confidence in the evidence of any of the witnesses as to the position, angle, and distance from the fence and roadway of the car to rule out the mechanism of the accident as described by the plaintiff.</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plaintiff's credibility is such that his version of events cannot be given sufficient weight to satisfy the civil standard of proof. There is no doubt that his credibility was attacked with some success during his lengthy cross-examination. That will have some weight on my consideration of issues as to quantum but I do not accept that, in the circumstances then existing at that time and place, the plaintiff invented the movements of and contact with the defendant's automobile.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contemporaneous contact with the fence is more difficult to envisage but there was a good deal of evidence from the medical experts. That evidence was generally about the two-sided nature of the injuries to the knee, with the primary injury to the medial or inside area of the right knee where the medial collateral ligament attached to the tibia, and bruising and injury to the peroneal nerve where it circles around the head of the fibula on the lateral or outside area of the same knee, indicated a crush type of injury or coup and contracoup. I preferred it to any evidence to the contrary from the defendant's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short, although I cannot say that either the mechanism of injury or the nature of the trauma received has been fully explained by any witness, I accept on a balance of probabilities that injuries were received as a result of contact by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 was negligent in not having sufficient regard for the plaintiff who she knew was somewhere beside her car. I have sympathy for her predicament in that she was simply trying to get away from an unpleasant situation, but either because she was deliberately trying to avoid looking at him or because she was looking behind her and over her shoulder, she missed seeing him at the critical time. Section 193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may have been breached but the primary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her failure to keep an adequate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to the plaintiff, his misconduct must not only be considered at the boulevard at the time the defendant began backing up to leave the party. The whole series of events leading up to that moment, and the part played by the plaintiff, has to be looked 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accept that when the incident began, the defendant was watching the water fight and laughing with others, but was not taking part. I accept that the plaintiff was interested in the defendant who was not well known to him. He weighed about 185 pounds and was very strong and athletic. She is much smaller than he although she attends an American university on a soccer scholarship. He picked her up without her permission or approval and invited others to spray them both. I accept that he was aware that she became upset at this and wanted to be put down. When he put or dropped her down she fell on the wet and muddy ground and became more upset. She went into the house, entered the bathroom and locked the door. Rather than leaving her to settle herself, the plaintiff and his friend Eric followed her to the bathroom and tried to get her to come out. This may have had as its object the delivery of an apology, but was plainly regarded by the defendant as further unwanted attention. She told them so through the door and after it was 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some point the plaintiff left to get dry clothes which he had offered to the defendant but which she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should have been apparent to the plaintiff that the defendant wanted to get away from he and his friend. She told them as much. She was still upset and crying as she went past them to the outside. Rather than leaving the matter be, the plaintiff once again went after her, running out to her car. She was already inside and I accept that he saw her locking the doors. He became aware that her car's engine was operating.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for the defendant argued that she was acting in self-defence or attempting to escape further assault and that she should not be held liable. I am not satisfied that in the circumstances here, such a disposition could be made on either authority or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evidence of the defendant was that she put her car in reverse, backed up for a short distance, then turned her wheel clockwise to take her vehicle backwards and out onto the street next to the boulevard.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Mori's evidence at trial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for all I thought she turned the wheels to the right as she was going out to the front, she was going to drive forward. I mean she had her wheels turned to the right. All of a sudden she backed up. It caught me off guard.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However, at the traffic court trial, the evidence of Mr. Mori concerning his knowledge of her intentions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were standing basically beside her vehicle?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she puts it into reverse?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Puts - that -- that's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wheels are turned,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Uh, she put it into reverse and then she turned the wheel.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soon as she was moving.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have no hesitation in accepting Ms. Weeks' version of the movements of her car and do not accept the plaintiff's version expressed at trial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accept that Mr. Mori saw her begin to back up, then saw her turn the steering wheel clockwise and turn her head over her shoulder to look behind as she continued backwards. He has been described by many witnesses as having extremely good reflexes and having much agility. It is difficult to understand why he could not avoid the slowly backing car. Perhaps alcohol and the events of the evening had some influence. Perhaps he hoped that persistence in his efforts might force her to stop and deal with him as he wished. He testified that he had time to put his hands on the hood of her car as she was moving and to swear at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any event, it is obvious that in the circumstances he did not take sufficient care to remove himself from the area and to avoid the car. That might be so for any pedestrian in a similar situation. Here, where he had put the defendant in her state of emotional upset and concern for herself, and where he knew her emotional state, he has to accept considerably more responsibility for what happened than an unknowing pedestrian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set the portion of responsibility for which the plaintiff must be liable at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NATURE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was seen in the Vernon Jubilee Hospital in the early morning hours of August 11, 1998 by Dr. Balfour. His notes contain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Slow speed impact with car. Right knee unable to weight bear.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Mori's uncle is his family doctor and he referred Aaron to Dr. Richardson, an orthopedic surgeon, that same day. Dr. Richardson had care of the knee for about three months until November, 1998 when he referred the plaintiff to Dr. Wright, an orthopedic surgeon in Vancouver specializing in sports injuries, who dealt with him for about a year to November, 1999. Dr. Richardson also saw Mr. Mori for one visit in October, 1999 following a second unconnected car accident and assessed him at that time and each of the orthopedic surgeons examined him and wrote a final report for this litigation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accident of August 11, 1998 was described by the plaintiff to Dr. Richardson as a crush injury to the knee between the car bumper and fence. Dr. Richardson, in his examination on August 11th, found the limb to have full extension but flexion limited to 80 or 90. There was no effusion within the knee. It was very tender over the medial joint line, pes anserinus and the posterior medial part of the knee. He felt the MCL was intact but found Grade One laxity of it. That laxity has not changed, is similar to that of the left knee, and is essentially normal for the plaintiff. He prescribed ice, ultrasound, physiotherapy, anti-inflammatories, elevation, and rest. His diagnosis was of a soft tissue injury. X-rays were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August 15th, the plaintiff was still on crutches. He had found the splint brace given to him at the hospital to be a problem. On examination, Dr. Richardson felt that in addition to the problem on the medial side of the right knee, there was neurapraxia or bruising to the superficial peroneal nerve on the outside or lateral side of the knee leading to a feeling of numbness in the lower leg and tenderness around the fibular head. There was not motor weakness and the other three knee ligaments on the front, back, and lateral side were all right. He called for a bone scan which was unremarkable for the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August 18th, Dr. Richardson found the right knee still painful but without much swelling. It was tender in both sides. Range of motion was still limited. He felt there was numbness but no interference with motor function arising from the bruising to the common peroneal nerve. He continued physiotherapy and anti-inflammatories but felt the plaintiff should not attend hockey camp in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August 25th, there was still pain, depending on activity. The knee could partially weight bear. Range of motion was improving. He considered EMG testing to check the peroneal nerve and MRI to rule out a ligament tear. He felt the knee should recover in four to six months and continued treatment as before with gradual increase in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September 8th, the plaintiff had gone to training camp and returned. He was still using crutches. Treatment was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September 24th, there was some improvement. Physiotherapy, including stationary bike and other exercises, was continuing.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October 8th, EMG results were received. Although there was altered sensation, there were no findings of impairment of motor functions served by the peroneal nerve. MRI results were negative for the medial side of the knee. The main problem was pain on the medial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By October 27th, activities were increasing and Dr. Richardson ascertained that there was no pain walking or bending but that there was in skating, especially if a twisting motion was involved. There was no buckling. The plaintiff was able to go up and down stairs, squat and kneel without much problem. There was pain on the medial side and some quadriceps wasting.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By November 20, 1998, strength testing showed some wasting of the right quadriceps and hamstring. Dr. Richardson felt the plaintiff should still not play hockey.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he was sending the patient to Dr. Wright, Dr. Richardson summarized that the injuries were consistent with a crush between a bumper and the fence. He felt there had been bruising or soft tissue injury to the MCL at its insertion to the tibia, and bruising to the peroneal nerve. He found no bony fracture and no meniscus tear. He felt the prognosis was good. He felt that there was minimal to mild clinical impairment and minimal to mild functional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was undergoing physiotherapy over the period including many different exercises centering on the use and strengthening of his right knee. Ms. Dantzer, who treated him from August to November, 1998, felt that he was improving so much that she was unsure how long treatment should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Wright first saw the plaintiff November 26, 1998. He took a history and conducted an examination. The plaintiff reported that he was walking, cycling, and swimming. On examination, he found some muscle wasting on the right thigh, flexion was reduced by about 15 and there was Grade One laxity of the MCL in both knees. He found the strength of the extensor muscles in the right leg to be 5/5 but to weaken quickly. He assessed the problem as injury to the right tibialis posterior muscle. He felt the plaintiff should keep active, particularly with proprioceptive activities. His weight was up to 195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the end of November, the plaintiff began attending at a new physiotherapy clinic. He also began looking for employment and in January, 1999 began working as a security person in a local casino.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February 11, 1999, Dr. Wright saw the plaintiff again. His findings were similar to his earlier report. He felt a Generation 2 brace would be helpful. His opinion was that there was no major ligament injury or instability but there was ongoing pain and secondary changes. He agreed that the potential of the plaintiff for a career in hockey was lessened. He felt the injuries were diffuse and soft tissue in nature and that recovery might be slow.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March 4th, the plaintiff was complaining of a lot of medial pain in the upper tibia, particularly with skating. He had improved but the injury was not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By June, 1999, about 10 months post-accident, the plaintiff had played in about 30 hockey games with his father's old-timers group and had played in goal three or four times. When seen by Dr. Wright, he was still complaining of significant pain. He had pain when standing or walking for four hours. He had been able to cross-country ski three or four times a week and that seemed to help him. He had been working in a casino since January but continued standing was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September 7, 1999, he was still having difficulty. The situation was about as it had been before. He could bicycle for 15 to 20 minutes. There was still some swelling on occasion. He said he had discomfort with squats. He was swimming, cross-country skiing, and could walk for four or five hours. He needed breaks at work. On examination, Dr. Wright again found a problem with dorsiflexion or raising of the feet and toes. On this occasion he felt it to be due to weakness of the tibialis anterior muscle which raises the foot at the ankle. He found difficulty walking on heels on the right side. That examination was prior to the second motor vehicle accident. The difficulty with heel walking was also found by Dr. Richardson following the second accident but clearly it was present before. The tibialis anterior muscle is activated by the peroneal nerve. Others did not find foreleg muscle weakness but Dr. Wright pointed out that it was necessary to test the muscle to the point of fatigue. I accept that evidence and accept that there was a weakness in dorsiflexion. Although it seems more likely to me that the weakness is in those muscles activated by the peroneal nerve, I cannot say that Dr. Wright is incorrect regarding the extensor weakness.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November 18, 1999, the plaintiff described a second motor vehicle accident which took place in September. That resulted in headaches and neck, back, and face pain and he was stiff and sore all over. At that appointment, the plaintiff complained of further weakness to the musculature to the front of his right foot, the tibialis anterior and the extensor muscles. This was found to be greater than the doctor had appreciated earlier. Dr. Wright felt he could no longer be a competitive goaltender as he had in the past. He then felt that the dorsiflexion musculature weakness and nerve problems giving rise to it would be the most significant aspect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That visit to Dr. Wright, about 15 months post-accident, was the end of the period that could be regarded as involving treatment. He did not see either orthopedic surgeons again for about 16 months, when the final reports were prepared by each for this litigation. The many reports from other helping professionals were for purposes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During the period that he was under the care of the orthopedic surgeons, treatment was conservative, consisting of physiotherapy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59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Valley Physio</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August-November, 19, 1998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Concept Physio</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November-March, 1999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McKechnie</w:t>
            </w:r>
          </w:p>
        </w:tc>
        <w:tc>
          <w:tcPr>
            <w:tcW w:w="583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December-February, 1999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also had physiotherapy after accident #2 - September,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drugs, anti-inflammatories and painkillers almost all within a short period after the accident. (He took more following accident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I have said, Mr. Mori began looking for employment in November, 1999, four months post-accident and began working in January, 1999 as a security person in a casino.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March 14, 2001, about 16 months later, the plaintiff saw Dr. Wright for the last time. His weight was up to 220 pounds. He had been in a third motor vehicle accident in which he and a friend were returning from a ski hill, left the road, and rolled over. He had left his casino employment, moved to Calgary, and taken employment as a bouncer. He was skating but felt discomfort. He was unable to rise quickly from his butterfly position as a goalie. He could only run three times around the running field instead of his pre-accident level of five kilometres, five or six times per week. His thigh measurements were once again equal. Dr. Wright assessed the plaintiff as having chronic medial pain of the right knee and as having weakness in dorsiflexion of the right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Richardson had seen the plaintiff October 6, 1999 while Mr. Mori was still seeing Dr. Wright, because he had just had the second motor vehicle accident. So far as this case is concerned, he complained of medial pain, variable buckling on occasion, and pain if climbing stairs or squatting or kneeling. He had been walking, biking, and working out. His range of motion was 13 degrees less than in the left leg. The patellofemoral joint was sore and crepitant. The medial joint line was sore. Basically, his physical condition was unchanged. There was pain with occasional limping or swelling. He was sent for a further EMG but the exam concentrated only on his neck, injured in the latest accident. Kim Com testing revealed weakness in his right leg. It is regrettable that he did not have, and still has not had, EMG tests done to test nerve conduction to the foreleg muscles to see if and to what degree the peroneal and tibial nerves are impaired or if the weakness is due to something else. The test in the fall of 1998 indicated no motor nerve conduction problems to the peroneal nerve and it would be illuminating to see if that result was still obtained. In any event, pain and muscle wasting kept him from achieiving his pre-accident condition. He was still assessed as having minimal to mild clinical impairment and mild to moderate functional disability due to pain and weakness.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Richardson saw the plaintiff for the last time on January 3, 2001. He was complaining of some symptoms in both knees. He assessed his pain at 8 on a scale of 1 to 10. He assessed his left knee as 4 or 5 out of 10 although it had been pain free after the original accident and up to January, 2000. He reported that he could walk for 18 minutes, sit without limit, stand for one-half hour and had pain when he worked at the casino. He told Dr. Richardson he was returning to school. He played hockey with the old-timers once a week. He was using an off-the-shelf brace. He could snowboard one run at a time. He was trying to increase his activities and the doctor encouraged this. His condition was described as static and Dr. Richardson said that basically he had a chronic pain syndrome in his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examination, he still had decreased sensation. His right quadriceps, peroneus longus and brevis were weaker. He was assessed as before with minimal to mild clinical impairment and mild functional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Richardson felt his disability was on the basis of chronic pain. In summary, the plaintiff was told to avoid high impact or contact sports. He advised that there was no contraindication to his undertaking any activity he chose to but to avoid higher impact running sports. Some activities with the knee were causing pain but, in his view, not causing harm. No great change in his condition was anticipated. The left knee problems may have been due to decreased use of the right knee and the prognosis for the knee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was also seen for a report but not treated, by Dr. Day, an authority on knees, on May 3, 1999. He examined him and found that he walked without a limp, had no effusion in the knee, and that his thighs were even. Flexion was limited but laxity in the knee was normal. He had no significant patellofemoral grinding or crepitus. He noted that x-rays, bone scans, and an MRI were unremarkable. He opined that there had been partial MCL injury and other soft tissue injuries and partial injury to the peroneal nerve. His opinion was that top level hockey was restricted because of difficulty in squatting but that it was okay to resume skating and cycling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April 6, 2001, Dr. Day saw the plaintiff again. The symptoms had not changed significantly. There was no indication of meniscal or ligament damage, no effusion, the patella was again normal, the thighs were about equal, and there was loss of flexion in the right leg. His diagnosis was that there was not significant change from two years earlier, there was persistent stiffness and some loss of flexion, soft tissue injury to the extensors, no likelihood of osteoarthritis in the future and the knee was unlikely to get worse or better. It had plateaued and ongoing therapy was not of use except possibly for stretching exercises. He felt the range of motion restriction was the greatest source of ongoing loss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three orthopedic surgeons all agreed that there were problems with the knee, that the injuries were consistent with two-sided damage such as a crush and that a high level hockey career was ruled out. At the same time, there were differences of opinion on the degree of loss of range of motion, whether he had a limp, and several 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Richardson's opinion was that there was minimal clinical impairment, minimal to mild functional disability, and that there was no absolute contraindication to any activity the plaintiff chose except for high impact or running sports. He felt the primary problem was the change in lifestyle from high performance in sports to a life of chronic pain and decreased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Wright agreed that professional hockey could not be carried out. He saw the greatest source of problem as the weakness in the extensor or dorsiflexion muscles to the foot because of apparent neurological damage. He agreed that there was chronic pain in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Day, another orthopedic surgeon and authority on knees, found that there was persistent stiffness and some loss of flexibility with injuries to the extensor nerves. There would be no osteoarthritis. He felt the limitation to range of motion would be the greatest ongoing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Travlos was called for the plaintiff and is a physical medicine and rehabilitation expert. He examined the plaintiff March 23, 2001 and submitted a report. He observed that the plaintiff was overweight and had a slow limp, that the plaintiff's thighs were symmetric, medial tenderness but no lateral tenderness and a slightly reduced range of motion. There had been soft tissue injury to the medial side of the right knee but no internal derangement. He could not then diagnose an MCL sprain. He said some get better, some do not. No further investigation was warranted and there would be no need for surgery. There would likely be no further degeneration. His level of activities would be decreased but the plaintiff would be capable of being active and enjoying recreation. He would not be capable of professional or semi-professional hockey. He felt the plaintiff would be limited to light to sedentary employment. He thought psychiatry might help with his loss of self-esteem. He felt foot orthotics might help with his flat footedness and that stretching and weight training might be of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For the defence, Dr. Vallentyne, another physical medicine and rehabilitation specialist, conducted an examination February 22, 2001. His report is Exhibit 62 and is comprised of a history, examination, review of documents and findings. He found right knee joint line tenderness medially and latterly and pain provoked by stressing the patellofemoral component of the knee joint. He felt the foreleg muscles used in raising the foot, and indeed all muscles, did not show weakness. He noted that imaging and testing had, by and large, been negative. He noted that the front end collision of September, 1999 is a type that may give rise to dashboard contact by knees. (There is no evidence of that for the right knee although there was some reference to trauma to the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His view was that the plaintiff had suffered a right medial collateral ligament contusion and a right common peroneal nerve contusion. He found, as others had, that there was no significant instability of the knee and no clinical evidence of meniscal, cartilage or bone injury. He felt there was no electrodiagnostic evidence of peroneal nerve damage or abnormalities on nerve conduction studies, both done shortly after the accident, and that there should have been if the major portion of the loss of sensation and weakness of the foreleg muscles was due to the accident of August 11, 1998. He was prepared to acknowledge some damage to the peroneal nerve branches relating to loss of sensation, reported within days of the August 11, 1998 accident, but not damage giving rise to motor weakness. He also did not find such weakness.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Vallentyne felt the temporary reduction of right thigh circumference was related to protective disuse. He felt that the MCL contusion was often symptomatic for 6 to 18 months and that, except for disuse deconditioning, it was difficult to understand the persistence of pain beyond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He felt that depression may have been a factor in that persistence of pain, as well as overuse of Mr. Mori's brace.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short, he found no evidence of permanent neurological or orthopedic impairment and only temporary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 would not concede the supremacy of the orthopods on the issue of the nervous system and made a strong case that the muscle weakness in the right foreleg, if present, may have been caused by peroneal nerve damage in the second of the three accidents. He said it should have showed up sooner if caused by nerve damage in the first accident and that the early EMG had ruled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My view is that the existence of weakness in the muscles used for dorsiflexion must be accepted. It only became apparent on continued testing and Dr. Vallentyne did not comment on that or state that he had persisted with strength testing. There had been some comments in the orthopedic findings of Dr. Wright on November 27, 1998 and September 7, 1999, both before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Although I am conscious that the views of the plaintiff's orthopedic surgeons are not unanimous as to the nature and results of the injury, I am satisfied on a balance of probability that there were soft tissue injuries. As to the knee itself, I am satisfied that there was soft tissue injury to the medial collateral ligament where it attaches to the tibia and perhaps to other soft tissues in the area. The result has been pain that now appears to have become chronic. The knee musculature has become weaker and the knee is said, on occasion, to "give out". Although it is not clear whether that is entirely due to the pain and consequent disuse, it is present. The situation is permanent although the degree of impairment is contentious.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 secondary problem relates to loss of sensation and loss of strength in the foreleg. I accept that is due to nerve damage, likely to the peroneal nerve, although the tibial nerve may be involved. Those conditions are also permanent. The loss of sensation is not as likely to handicap the plaintiff as the loss of strength in the muscles involved in dorsiflexion.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summary, there was soft tissue injury to the knee and peroneal nerve. There was no tearing or rupture, no operation has been or will be required, he will not need a knee replacement and the possibility of future osteoarthritis is minimal to non-existent. The consequences will be restricted to pain and some weakness.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EFFECT OF MR. MORI'S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submitted two reports from occupational therapists: one from Dianna Robertson, dated October 25, 2000; and one from Julie Higham, dated March 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One of the difficulties with such reports is that the findings are subjective, in this case generally reports of pain or inability to carry out specific tasks. Ms. Higham comments on this and was conscious of it during testing. By way of specific examples illustrating my concern, Robertson set standing tolerance at 10 to 15 minutes while Higham set it at 2 hours. Robertson set sitting tolerance at 30 minutes while Higham observed 2 hours without apparent discomfort or complaint. Both found the plaintiff generally not to be capable of sustained walking but Dr. Wright's report at Tab 5 states that as of the same time as the Higham report, he was able to walk without difficulty and at September 7, 1999, one year post-accident, that he could walk 4 or 5 hours. As I have said, I am satisfied that Mr. Mori will exaggerate or put his own perspective on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Nonetheless, I am satisfied that Mr. Mori does experience pain with certain activities and as a consequence that his knee has weakened. In addition, certain foreleg muscles involved in dorsiflexion have weakened and that may affect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Questions concerning his limitations of strength relating to lifting and difficulties with low work have to be considered. One of the difficulties which faces the court in this case is the substantial weight gain which Mr. Mori has experienced - from 185 pounds at the time of the accident to 220 pounds by March, 2001 as reported by Dr. Wright. Were he to reduce his weight to what it was, he would presumably be fully capable of heavy lifting rather than medium notwithstanding that there may be some differences between weight carried by one's arms and weight carried on one's frame. It is also likely that his knee would be substantially less painful if he were not continually carrying the extra weight in all positions and in all activities. He does say that he has, since the testing, reduced his weight somewhat. Conclusions as to his lifting abilities are somewhat clouded since some of the limitations may be due to back pain which I do not accept is or was a consequence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general, the Higham report seems the more professional of the plaintiff's reports. I am however concerned with the role played by the report, between Dr. Richardson's finding that the plaintiff could undertake any activities he chose subject to minor limitations and the real life activities which he was and is engaged in, to the finding of Ms. Higham that he would be restricted in carrying out heavy tasks or tasks involving kneeling and other activities, to the final conclusion in Ms. Higham's report, carried over to the ultimate employment report from the psychologist, Dr. Pullyblank, that he is only suited to light or sedentary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PRE-ACCIDENT LIKELIHOOD OF A NATIONAL HOCKEY LEAGUE CAREER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stated in the introduction, there is no doubt that the plaintiff worked very hard as a child and teenager and that hockey and the possibility of an NHL career became the focus of his young life. Sacrifices were made by both he and his parents in pursuit of such a career. Witnesses were called by both sides as to his skills and his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 are two primary pathways to a career in the NHL. The first is through playing scholarships in American universities. By choosing that route, a player can expose himself to greater experience and visibility to scouts while at the same time preparing himself for life after hockey. The plaintiff foreclosed that route at 17 when, contrary to the wishes of his mother, he chose to leave the Vernon Vipers, his hometown Junior A team, and accept an offer to try out and play for the Regina Pats, a major junior WHL team. While that league is considered for some purposes an amateur league, American universities will not accept players who have played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left the Vipers after he was told that he would only be used sparingly in the last one-half of the 1995-96 season because another goalie would start most games. There had been a similar incident at Christmas of his second year with Notre Dame College in Saskatchewan when a contretemps with his coach led to the prospect of his not being used in the second half of that season. In that case, he left and played for Enderby, a Junior B team for the spring, then moved to the Junior A Vipers for the 1994-95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alternate pathway to an NHL career, and the one chosen by the plaintiff, is to play first tier major junior hockey in the Western Hockey League or some similar league for players from approximately 16 years of age to about 20. It is hoped that by the time one is in one's last year, or hopefully before, one will have caught the eye of scouts and/or agents and have been drafted by or have signed a contract with an NHL team. It is hoped that one would be called upon to play directly for the NHL team, or at least be directed by them to one of their farm teams in a lower tier league.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There are also possibilities that one of the NHL farm teams or another lower tier semi-pro or pro team may directly sign up a junior or free player and further possibilities of playing for a European or Japanese team. In addition, there may be trades between semi-pro or pro teams once one has been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 was a conflict of opinions as to the skills and prospects of the plaintiff as with most other matters in this too-lengthy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Admitted as experts for the plaintiff were Troy Mick, Darren Wilcox, and Gerry Johannson, and for the defendant, Davis Payne, Chris Cichocki, and Brent Parker.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Mick played junior hockey in the Okanagan, then major junior with Portland and Regina. He was drafted by Pittsburgh of the NHL in 1988. He did not play in the NHL but was sent to farm teams. He played in the East Coast League for two years and briefly in the International Hockey League. He was an assistant coach with the Vernon Vipers in 1993 and became head coach and general manager from 1996 to 2000 and is currently an assistant coach with the Portland Winterhawks of the WHL.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While he was with the Vernon Vipers, he coached the plaintiff for half a season in the fall of 1995 when the plaintiff was with that team. It will be recalled that the plaintiff had left Notre Dame College about Christmas of 1994, then played in the spring of 1995 with the Enderby Kings, a Junior B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Mick sought Mr. Mori and had him join the Vipers. He played the first half of the 1995-96 season then left the team to join the Regina Pats of the WHL. Mr. Mick acknowledges that he was somewhat upset with that decision. During the fall of 1995, the plaintiff was in competition for the number one spot in goal with the Vipers. He says he was told that he would not be playing much in the balance of the 1995-96 season with the Vipers, that is that he would not be the number one goalie, and that is why he made the move. Mr. Mick says that he was not the one to tell Mr. Mori that he would not be playing, but does not deny that it was the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His view is that Mr. Mori would definitely be playing hockey professionally somewhere, that he would have been able to make a living playing hockey, and that he was a good worker and wanted to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Parker, the coach of the Regina Pats, gave evidence that at the time the plaintiff went to play there he was told by Mr. Mick that the plaintiff would never make it in the WHL. Mr. Mick said on cross-examination that he did not recall saying that and that it was out of character. On re-direct he said he did not say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Darren Wilcox played major junior hockey for the Regina Pats in 1979-80 and for Medicine Hat in 1980-81. He then played three years for the University of Regina Cougars. He works for the Regina City Police Department but has been an unpaid volunteer goaltenders' coach for the Regina Pats from 1986 to 1999 including the two and one-half seasons when the plaintiff was there. He has instructed in goaltending there and in a goaltenders' school which he operates. His evidence is that Mr. Mori had superior speed and astounding netminding skills. He felt he definitely had potential to play in one of the professional leagues such as the AHL or IHL and with the right breaks could have played in the NHL. He was one of the top three of the 20 goaltenders which Mr. Wilcox has ever coached in terms of speed. He felt that the plaintiff would have been much sought after by university teams. He had a good work ethic. On cross-examination, he acknowledged that he had not been employed for compensation in the WHL and that Mr. Mori was the back-up goalie for the Pats for the entire two and one-half seasons that he played except for four and one-half weeks at the beginning of the last season. He acknowledged that Mr. Mori (or any other 20-year-old player) would almost certainly not have been kept by the Pats or any other WHL team as a back-up goalie because the team is only allowed to keep three 20-year-old players. He gave evidence about the East Coast League which is one level higher than the WHL and about the American Hockey League and the International Hockey Leagues which are the next tier above the East Coast League and immediately beneath the NHL. He acknowledged that the East Coast League and the European leagues are generally looking for players with a 0.90 or higher save percentage of shots saved divided by shots on goal. He acknowledged that very few players go on for more than two or three years in any of those semi-professional or professional leagues.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Gerry Johannson is a players' agent. He played hockey with the Swift Current Broncos of the WHL in 1983-84 and was drafted by the Montreal Canadiens. In 1984-85 he played Division 1 NCAA hockey with Lake Superior State College. In 1985-86 and 1986-87 he played hockey for the New Westminster Bruins of the WHL. In 1987-88 he played for the UBC Thunderbirds. In 1988-89 through 1990-91 he was assistant coach and coach of the Tri-City Americans in the WHL. In 1991-92 through 1993-94 he was an assistant general manager and general manager of the Tri-City Americans. Since then, he has been a player agent with the Sports Corporation. His firm represents numerous professional players including 40 NHL players as well as players in domestic and international professional or semi-professional leagues.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His evidence is that it is impossible to place limits on a player competing in the WHL, that a mediocre WHL player can pursue a career in the minor professional leagues if he chooses to and it is impossible to limit a player once they have broken into one of the minor professional leagues. He testified that approximately one-half of the NHL players were drafted later than the fourth round or not at all. He reported that the plaintiff compared favourably to other goalies who have gone on to sign NHL contracts although they were not drafted during their WHL careers and that he could definitely have played professional hockey either in the East Coast League, Europe or Japan. He bases his evaluation of the plaintiff on his observations after seeing him in WHL games - approximately three or four times. He does represent and has represented other Regina Pats players but never represented Mr. Mori. He acknowledged that statistics are only part of the picture of a player. If players are signed by an NHL team they may or may not get a signing bonus at the time the contract is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Compensation in the East Coast League would average $300.00 a week for a six month season with bonuses for play-offs. The team also provides an apartment and utilities but does not provide food except for road trips. The top for a player in the East Coast League is probably $800.00 or $900.00 a week and the salary cap for the entire team is about $9,000.00 per week. Other leagues, including the West Coast Hockey League, the United Hockey League, the Central Hockey League, and the Western Professional League, are approximately the same. If one was able to make the American Hockey League (20 teams of approximately 20 players each), the minimum wage would be $30,000.00 a year, the average $40,000.00 to $60,000.00 and with no practical maximum. Bonuses are paid for play-offs, there is a per diem on the road and training camp expenses are paid. Apartments are not provided. The International Hockey League was approximately the same but has folded with some teams going to the AHL. For the NHL, there is a $165,000.00 minimum and no maximum. There may be a substantial signing bonus. The average salary is $1.4 million per season but a player of average skill with one-half of players higher and one-half of players lower would earn $800,000.00. There is a pension, a medical plan, there are investment opportunities, and travel is paid. One is not paid for play-offs but gets a bonus. The British National League pays 250 pounds per week and provides an apartment, car, and pays income taxes. The British Super Leagues is similar to the AHL and pays an average of $30,000.00 to $70,000.00 per season with apartment, car, and tax. The European Second Tier League is similar. Players in Japan might average between $60,000.00 and $150,000.00 tax free. He was aware that the plaintiff had opted into the NHL draft and had never been drafted by an NHL team. He felt that even if Mr. Mori had not made the Regina Pats in his upcoming 20-year-old season, he would have played with the East Coast or some other league. Even if not, he would have been called by top Junior A teams. He acknowledged that premier European leagues are of a similar caliber to the AHL league.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For the defence, Brent Parker, the general manager for the Regina Pats both at present and during Mr. Mori's stay with the team, was called. He was familiar with Mr. Mori's play continuously throughout that period. His opinion, in the latter half of the 1995-96 seasons when Mr. Mori first came to play, was that Mr. Mori did not like to play in pressure situations. He kept him as back-up goalie in 1996-97. He felt that Mr. Mori had ability but not enough to be a number one goaltender in the WHL. When the team's number one goaltender was unable in October, 1996 to carry on, they brought in Mr. Adams, another goaltender, to be their number one goaltender.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Despite his reservations about the plaintiff, Mr. Parker and his coaches decided to give Mr. Mori a chance at the number one spot for part of September and October of the 1997-98 season. Although the team had a good win-loss record, a decision was made that too many goals were being let in and that too much pressure was being put on the offence to make up for it. The team was in the number one spot at the beginning of November but Mr. Mori's individual statistics were not good. He gave up four or more goals in more than half of the games he played. Accordingly, they brought in Mr. Hoople as the number one goalie. His save percentage was 0.903 and his goals against average was 2.74, a franchise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Parker's view was that it was extremely unlikely that Mr. Mori could have been the number one goalie in the 1998-99 year and that he would not have kept him as a 20-year-old player if he was a back-up. Nonetheless, he was invited to 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Following the accident, his evidence is that Mr. Mori was supposed to keep the team informed of his progress and he did not do so. Mr. Mori's evidence is that he expected the team to get in touch with him. I prefer the evidence of Mr. Parker.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Parker's opinion was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may have been able to continue his hockey career in the lower minor leagues. In that regard, I am referring to the Central Hockey League, the Western Professional Hockey League or the North American Hockey League. In my opinion, if everything went right for Aaron Mori and he was able to develop maturity and consistency, the best case scenario for him would be a back-up in the ECHL playing as a free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Plaintiff's counsel, in cross-examination, and defendant's counsel, in re-examination, had Mr. Parker acknowledge various statistics.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Davis Payne was a professional hockey player for nine years and played in the American, International, and East Coast Hockey Leagues. He was not familiar with Mr. Mori. He played some games with the Boston Bruins. He has had a career in hockey and is currently coach and director of player personnel with the Pee Dee Pride of the East Coast Hockey League. His view is that at present there is much more competition for positions in professional hockey. His view is that a player with Mr. Mori's statistics coming out of college now would not even be considered for the ECHL because of competition. His view is that a back-up goalie in the WHL would find it very, very difficult finding a job in the ECHL and that the only players in the WHL that would go on to the NHL would be the top five or six goalies who were outstanding. In general, the ECHL teams only talk to the number one goalies in the college or WHL, not back-up goalies. At present, his starting goalie was the third ranked goaltender in the Ontario Hockey League (similar to the WHL). He has been their starting goalie for the past four years and last year earned $625.00 U.S. per week for a six month season. His back-up goalie was the starting goalie for the Harvard University team and was ranked the second best goalie in his conference. He felt that a back-up goalie in the ECHL would have almost no chance of being called up to the IHL or AHL.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Normally he decides his two goalies before training camp starts but will still have four or five or six goalies in total come to the 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Chris Cichocki is a head coach for the Arkansas River Blades of the ECHL. He has been in professional hockey for 12 years. He was drafted and played a whole season with the Detroit Red Wings, then was traded to the New Jersey Devils and played up and down with that club for the next two seasons. He was employed with the Cincinnati team for three years as their assistant coach and last season was his first as a coach in the ECHL. His number one goalie came from the Ontario Hockey League and had been the number one goalie for his OHL team and had been highly ranked. His back-up goalie is paid $425.00 U.S. per week. His opinion is that those who can only achieve the position of a back-up goalie in the ECHL are not going any higher. There will be more competition following the folding of the International Hockey League and there will be competition from players in that league who are unable to maintain positions. He looks at statistics, particularly save percentage and goals against average, the former 90% or better and the latter, at least in the 2's or 3's. He had not seen Mr. Mori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general, I prefer the opinions of the defendant's witnesses. They are all persons earning their living by holding day-to-day responsibility and authority with teams at the WHL or higher level. Much of the evidence from both sides dealt with the usual course of events and each acknowledged that there were exceptions.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Even the plaintiff's witnesses did not purport to say that he would likely have played in the NHL. It goes without saying that is by no means established. It is in my view established on a balance of probabilities that he would not have done so. Nonetheless, in deciding this question one must assess possibilities as well as probabilities. I have considered the whole of the evidence from the witnesses and particularly the following concerning Mr. Mori:</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Junior A level he was to be a back-up goalie with limited playing time. That was why he left.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Regina Pats where he played for 21/2 years, he was consistently in a back-up position except when he was given a chance at number one for something less than two months at the beginning of his third year there.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statistics in the WHL were not excellent for either his goals against average or his save percentage. He points to the team's win-loss record during his time as number one, but as his general manager pointed out, they were high scoring games.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opted into the NHL draft as soon as he was with the Pats but had never been drafted by any NHL team or invited to camp. He was invited to a camp for the Canadian National Team but did not play.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never been approached by an agent although many of his Pats teammates had. His witness, Mr. Johannson, represented several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do not wish to detract from the huge accomplishment of the plaintiff in bringing himself to the point in his career which he had reached at the time of the accident, but must view the matter realistically as it existed before August 11, 1998. My view is that the plaintiff would not have made the Regina Pats or other WHL team because of the restrictions on 20-year-olds. It is not at all certain that he would have played in the East Coast or other minor league but there was a chance. There is a very small chance that he would have played in the American Hockey League or the European or Japanese leagues and almost no chance that he would have played in the NHL.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NATURE, DEGREE, AND EFFECT OF MR. MORI'S LEARNING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Pullyblank, a psychologist, sought to "pull together" his conclusions as to the plaintiff's intelligence, mental state, and the nature and effect of his learning disability, the occupational therapists' reports, and statistical information dealing with different occupations and categories of jobs, and tables of wage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Pullyblank administered WAIS 3 intelligence tests in April, 2001 and the results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419"/>
        <w:gridCol w:w="627"/>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Verbal</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79</w:t>
            </w:r>
          </w:p>
        </w:tc>
        <w:tc>
          <w:tcPr>
            <w:tcW w:w="706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Performance</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102</w:t>
            </w:r>
          </w:p>
        </w:tc>
        <w:tc>
          <w:tcPr>
            <w:tcW w:w="706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Full</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88</w:t>
            </w:r>
          </w:p>
        </w:tc>
        <w:tc>
          <w:tcPr>
            <w:tcW w:w="706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Verbal skills encompass the understanding and use of language, performance tests involve visual and manual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When Mr. Mori was in elementary school, his results on the then WISC R test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419"/>
        <w:gridCol w:w="627"/>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Verbal</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105</w:t>
            </w:r>
          </w:p>
        </w:tc>
        <w:tc>
          <w:tcPr>
            <w:tcW w:w="706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Performance</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123</w:t>
            </w:r>
          </w:p>
        </w:tc>
        <w:tc>
          <w:tcPr>
            <w:tcW w:w="706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Full</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114</w:t>
            </w:r>
          </w:p>
        </w:tc>
        <w:tc>
          <w:tcPr>
            <w:tcW w:w="706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result of the later tests according to Dr. Klonoff, a psychologist called by the defence, was therefore to reduce the plaintiff from the 94th percentile in performance to the 55th, the 63rd percentile in verbal to the 8th and for the full scale from the 82nd percentile to the 21st.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That difference has to be explored. Dr. Pullyblank testified that motivation and depression can affect IQ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 substantial portion of his evidence dealt with the emotional impact of the accident and the early termination of his hockey career on the plaintiff. He went from being a highly motivated, successful and somewhat pampered and adulated athlete to someone with no clear goals or direction to his life, and handicapped by a learning disability and a lack of self-esteem. The emotional impact of that has been substantial, but it must also be recognized, as mentioned in the reports, that he was at the same time emotionally impacted by his parents' marital break-up and the ending of a relationship with his then girlfriend. The loss of his hockey career would have had to be faced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have the greatest difficulty in correlating the later IQ test results with the school records of the plaintiff, particularly with the records up to and including his Grade 9 and incomplete Grade 10 at Notre Dame College. In addition, he has been, since the accident, relatively steadily employed and has taken and passed a computer course. Dr. Pullyblank admitted that he was astounded by some of the school results achieved by the plaintiff such as a 60% result in English 11. He attributed this and other good results to assistance from the plaintiff's family and teachers or at Notre Dame from tutors and scribes. The plaintiff's marks declined when he left Notre Dame and returned to Vernon (and Regina) but I accept that that was due to his absences and loss of interest in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my view, the facts are that although he has a learning disability involving language, the plaintiff, with help, is capable of acquiring education and skills when he is motivated. He has done so. He will not enjoy a career as a writer or physicist, but I cannot accept that his learning disability will prevent him from carrying out many jobs for which he is physically suited. I cannot accept that the plaintiff's employment prospects are as limited as posited by Dr. Pullyblank either by intellect or physical capability.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An award should, in my view, be made to cover the cost of tutoring and scribes to assist him should he decide to acquire education or skills to equip himself to earn income that he is now not able to earn by brute strength. It may well be that the funds will be used in a different manner, but the court must do its best to restore him to his original position as far as money can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to general damages, I accept that while there is no side-to-side instability in the knee, there is pain and some loss of strength which may in turn be due to pain and consequent disuse. It is difficult to assess the degree of pain in light of the view I take of the plaintiff's accuracy of recollection and recital but I am compelled to accept at this stage that it exists and seems permanent. There has been much evidence and speculation about the impact of emotion on the plaintiff's perception of pain and the consequences of considerations of secondary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perceived weakness in the musculature involved in dorsiflexion is puzzling as to origin and its consequences on the plaintiff's work and activities in the future is unclear but that has to be taken into account. I accept that the presumed nerve damage and consequent muscle weakness exists and am mindful that Dr. Wright felt that it might in future have the greatest impact on the plaintiff. The timing of the discovery of the major portion of the problems with dorsiflexion leads to questions about the second motor vehicle accident but could also be the result of error in the original nerve conduction studies, or weakness in the musculature overlooked earlier. It will be recalled that Dr. Wright had to keep testing the muscles in order to tire them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do not accept that any of the neck, back, lower back or hip problems reported by the plaintiff were caused or contributed to by this accident and find that any problems with his left knee caused by protecting his right knee are temporary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setting an amount for general damages, it seems to me that in addition to the physical consequences to this or any other plaintiff from the ongoing pain, suffering and interference with activities, that some regard must be had to the emotional impact of the loss of hockey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accept that hockey was at the center of his existence and that his view of himself and his relations with others was shaped by it. The eventual loss of his dreams for a future would have had to be faced at some point in any event, but he would have still been able to play at a level much higher than today. In addition, many other activities and higher level sports, perhaps minor in terms of financial reward but rewarding in terms of the satisfaction they would provide to the plaintiff and the benefits to his self-esteem, would likely have been more available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cases cited by the plaintiff in the $70,000.00 to $90,000.00 range all involve more severe injuries, operations (arthroscopic or otherwise), the likelihood of future arthritis, and in several of the higher award cases, the prospect of knee replacement. None of those factors are established here. I award $35,000.00.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OPPORTUNITY OR FUTURE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most difficult aspects of this case have to do with future losses. I have already found that the problems facing the plaintiff concerning the end of his hockey career would have had to be faced in any event, likely by the present time, since it is now three years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is next to impossible to deal at the same time with his loss of opportunity claim concerning hockey and his claim for loss of earnings apart from hockey, since the two occupy the same time span and findings on one have to be accommodated by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is not claiming for past wage loss, presumably on the basis that his past earnings at the casino and nightclub have likely been greater than his earnings at hockey, barring an opportunity to play in the more senior leagues or at a substantially increased salary. His earnings in 1999 were $15,199.39 but he was off work for approximately four months due to accident #2 in September, 1999. His earnings in 2000 were $24,193.20 and some time was taken off that year as well. Even if he had been able to play hockey for the East Coast League and if his wage had risen to $500.00 per week and benefits for a six month season and he had been able to get some summer work after leaving time for retraining, he would have been unlikely to do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purpose of an award for his loss of opportunity in hockey then is to compensate him for the chance that he would have earned more than he has been making outside of hockey, would have worked longer (at a rate higher than he can earn now), the chance that he would have made it to one of the senior leagues, the possibility that other employment would have arisen out of his hockey career at a remuneration greater than at present, or the very remote possibility that he would have made it to the NHL.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findings here must be somewhat arbitrary because of the number of factors involved, with reliance upon the principles outlined in Rosvold v. Dunlop </w:t>
      </w:r>
      <w:hyperlink r:id="rId316"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(C.A.) at paragraph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of proof to be applied when evaluating hypothetical events that may affect an award is simple probability, not the balance of probabilities ...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case cited by plaintiff's counsel, Henderson v. Lodge, </w:t>
      </w:r>
      <w:hyperlink r:id="rId317" w:history="1">
        <w:r>
          <w:rPr>
            <w:rFonts w:ascii="arial" w:eastAsia="arial" w:hAnsi="arial" w:cs="arial"/>
            <w:i/>
            <w:color w:val="0077CC"/>
            <w:sz w:val="20"/>
            <w:u w:val="single"/>
            <w:shd w:val="clear" w:color="auto" w:fill="FFFFFF"/>
            <w:lang w:val="en-US" w:eastAsia="en-US" w:bidi="ar-SA"/>
          </w:rPr>
          <w:t>[1994] B.C.J. No. 126</w:t>
        </w:r>
      </w:hyperlink>
      <w:r>
        <w:rPr>
          <w:rFonts w:ascii="arial" w:eastAsia="arial" w:hAnsi="arial" w:cs="arial"/>
          <w:color w:val="000000"/>
          <w:sz w:val="20"/>
          <w:lang w:val="en-US" w:eastAsia="en-US" w:bidi="ar-SA"/>
        </w:rPr>
        <w:t xml:space="preserve"> (S.C.), where $175,000.00 was awarded to a baseball player, is not particularly helpful since the player there had already advanced his career to the point that he had been drafted by the Pittsburgh Pirates and offered a chance to try out at their training 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award $25,000.00 on the above bases for the loss relating to the plaintiff's inability to continue his hockey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Turning to the issue of future losses in income or opportunity for the balance of the working life of the plaintiff outside of hockey, the task facing the court is to put the plaintiff in the position he would have been but for the accident, as far as money is 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have already found that the plaintiff would likely have been in his present position at about this time because his hockey career had come to a close. He would therefore be faced with the emotional and social problems involved in the end of his career, and would have to look for an alternate career. In that search and in the course of training for his alternate career, he would be faced with the same intellectual barriers which he is now facing because of his learning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difference, caused by the accident, is that certain functions, primarily to do with heavy lifting, kneeling and squatting, are now painful to him. But for the accident, he would have been able to a greater extent to bypass his learning disabilities and opt for more physical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means of establishing the value of his lost capacity involves whether or not the following apply:</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been rendered less capable overall from earning income from all types of employment;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marketable or attractive as an employee to potential employers;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lost the ability to take advantage of all job opportunities which might otherwise have been open to him, had he not been injured;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Brown v. Golaiy </w:t>
      </w:r>
      <w:hyperlink r:id="rId190"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before Finch, J. (as he then was); approved in Rosvold v. Dunlop,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Counsel for the plaintiff has taken a numerical approach to the matter based upon multipliers for each $1,000.00 per month which he says the plaintiff will be unable to earn during the rest of his working life because he is unable to do heavy work and cannot be trained for equally remunerative light work. Their suggested awards range between $300,000.00 and $900,000.00 starting at the present and taken to Mr. Mori's 65th birthday.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That approach requires some establishment of his earning potential if the accident had not happened and, more importantly, findings about what he can and cannot do at present based upon his existing capacities and limitations. That is difficult in a case such as this where the plaintiff has not developed a background of experience or interests outside of hockey.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plaintiff relied upon the occupational therapists to define his physical limits and Dr. Pullyblank to deal with his intellectual potential and learning disability. Both Dr. Pullyblank and the economist, Mr. Carson, then dealt with the statistical and other information for various jobs and job categories in an effort to determine likely earnings if the accident had not happened and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have already dealt with my lack of confidence in the findings of the occupational therapists engendered by the contrast between their findings on the one hand and the findings of the orthopedic surgeons and the reality of the plaintiff's activities within a year of the accident on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have also expressed my views concerning the plaintiff's intellectual abilities and his problems with learning on the one hand and the earlier IQ tests, his school results, and his ability to deal with a training course for his computer and courses for his security work on the other hand. The different results obtained in the IQ tests are a source of much concern to both Dr. Klonoff and Dr. Conroy, psychologists called for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Pullyblank posited employment opportunities pre-accident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Example Heavy Work: Estimated Full-Time, Full-Year 1996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Earnings for Males Derived from the 1991 Census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Occupation</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Salary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1987"/>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Ironworkers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$55,300.00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Drywall Installers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$36,200.00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Railway Maintenance Workers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$36,200.00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Longshore Workers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$59,600.00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Miners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$55,900.00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Forestry Labourers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$44,300.00</w:t>
            </w:r>
          </w:p>
        </w:tc>
        <w:tc>
          <w:tcPr>
            <w:tcW w:w="368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there is no evidence that Mr. Mori has or had any interest in these fields. He seemed to indicate no interest in jobs involving heavy labour and preferred fields which involved him with people, but had no decided preferences.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Of the barriers facing retraining for Mr. Mori, Dr. Pullyblank properly cites his physical limitations and the problems raised by his learning disabilities in attempting to overcome that. He then moves on to discuss Aaron's preference for movement and variety, the exciting and high profile nature of his previous hockey career, and the emotional consequences from the loss of his hockey career. As I have found, he would have had those consequences to a major extent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Conroy is a psychologist with the Department of Educational and Counselling Psychology and Special Education with the Faculty of Education at the University of British Columbia. She did not test or examine Mr. Mori but reviewed Dr. Pullyblank's report, much of Aaron's school records, and other material. Her report expressed the view that there were many college courses of one or two years that Mr. Mori should be able to handle with his school record and that there is a good deal of tutoring and other assistance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Carson, the plaintiff's economist, gave evidence concerning wage differentials between occupations involving labour and those which do not. While that differential in favour of heavier physical labour in unskilled jobs does exist, he admitted that since one is able to do a two year college program or perhaps one year, it is hard for him to show any loss due to inability to do heavy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It is apparent, when one examines the pattern of Mr. Mori's life, that when he is motivated he is capable, with help, of achieving a good deal. His school records reveal that that determination extends beyond hockey. My view is that he likely would have sought further training when his hockey career ended and that he will still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It is undoubtedly true that he has lost a valuable asset in his ability to earn income in physically demanding jobs. Even if he did not use the ability or used it only occasionally, it still had value to him. In his circumstances it had more value than it might to others. As Mr. Carson put it, his labour capital has decreased.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set the award for loss of capacity to earn income in the future at $50,000.00.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also award the sum of $25,000.00 for tutoring and other assistance in education or training. In his present circumstances the necessity for that is established and he will not likely have the assistance of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KNEE BRACE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question of the present and future need for a Generation 2 brace must be resolved. Its use has been recommended by the plaintiff's orthopedic doctors but the exact nature of its benefit is unclear to me. There is no side-to-side instability or laxness in the knee. The plaintiff reports that it gives way from time to time or "buckles" but this refers to the knee flexing forward. There is a substantial question as to whether the plaintiff overuses the brace, since he reports using it most of the time except when sleeping or in the water. On balance, I accept that it is beneficial, at least in terms of giving the plaintiff confidence, and make an award for it. The brace must be replaced every five years at a cost of $1,055.00. I award $7,000.00 in accordance with the evidence of the economist.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do not find the necessity for other future care established save for tutoring or other educational or training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This is not an appropriate case for an award for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Special damages are awarded as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Damages are assessed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1778"/>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damages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$ 35,000.00</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opportunity to play hockey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25,000.00</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capacity to earn</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50,000.00</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Award for tutoring and training</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25,000.00</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Knee brace</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7,000.00</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4,709.02</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$146,709.02</w:t>
            </w:r>
          </w:p>
        </w:tc>
        <w:tc>
          <w:tcPr>
            <w:tcW w:w="327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There will be judgment against the defendants for 60% of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Costs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WILKINSON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3"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Normak Investments Ltd. v. Belciug, [2015] B.C.J. No. 1181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G.J. Fitch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hearing: May 29,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June 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S126785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1181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969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254 A.C.W.S. (3d) 344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56 R.P.R. (5th) 120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1564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Normak Investments Ltd., Plaintiff, and Maria Victoria Belciug, Raj Singh Binpal, Gursharan Dhaliwal, TMG the Mortgage Group of Canada Inc. and Shabbir Nanji,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Original reasons for judgment were released May 1, 2015. See </w:t>
      </w:r>
      <w:hyperlink r:id="rId325" w:history="1">
        <w:r>
          <w:rPr>
            <w:rFonts w:ascii="arial" w:eastAsia="arial" w:hAnsi="arial" w:cs="arial"/>
            <w:i/>
            <w:color w:val="0077CC"/>
            <w:sz w:val="18"/>
            <w:u w:val="single"/>
            <w:shd w:val="clear" w:color="auto" w:fill="FFFFFF"/>
            <w:lang w:val="en-US" w:eastAsia="en-US" w:bidi="ar-SA"/>
          </w:rPr>
          <w:t>[2015] B.C.J. No. 880</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4"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9" w:name="Keywords_18"/>
      <w:bookmarkEnd w:id="119"/>
      <w:r>
        <w:rPr>
          <w:rFonts w:ascii="arial" w:eastAsia="arial" w:hAnsi="arial" w:cs="arial"/>
          <w:b/>
          <w:color w:val="000000"/>
          <w:sz w:val="20"/>
          <w:lang w:val="en-US" w:eastAsia="en-US" w:bidi="ar-SA"/>
        </w:rPr>
        <w:t xml:space="preserve">Civil litigation — Civil procedure — Offers to settle — Bullock or Sanderson order — Application by the plaintiff Normak Investments for double costs and a Sanderson or Bullock order allowed in part — The defendant Belciug was found liable for fraudulent misrepresentations — The defendants Dhaliwal, The Mortgage Group Canada and Binpal were found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It was not unreasonable for the defendants to decline the plaintiff's offer to settle and double costs were not warranted — However, a Sanderson order was made — It was just and fair to order that the defendant Nanji's cost be paid by Binpal and Dhaliwal because they sought to shift the blame to Nanji's shoulders.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Costs — Application by the plaintiff Normak Investments for double costs and a Sanderson or Bullock order allowed in part — The defendant Belciug was found liable for fraudulent misrepresentations — The defendants Dhaliwal, The Mortgage Group Canada and Binpal were found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It was not unreasonable for the defendants to decline the plaintiff's offer to settle and double costs were not warranted — However, a Sanderson order was made — It was just and fair to order that the defendant Nanji's cost be paid by Binpal and Dhaliwal because they sought to shift the blame to Nanji's shoulders.</w:t>
      </w:r>
    </w:p>
    <w:p>
      <w:pPr>
        <w:jc w:val="both"/>
        <w:rPr>
          <w:rFonts w:ascii="arial" w:eastAsia="arial" w:hAnsi="arial" w:cs="arial"/>
          <w:sz w:val="20"/>
          <w:lang w:val="en-US" w:eastAsia="en-US" w:bidi="ar-SA"/>
        </w:rPr>
      </w:pPr>
      <w:bookmarkStart w:id="120" w:name="Legislation Cited_11"/>
      <w:bookmarkEnd w:id="1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5"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326" w:history="1">
        <w:r>
          <w:rPr>
            <w:rFonts w:ascii="arial" w:eastAsia="arial" w:hAnsi="arial" w:cs="arial"/>
            <w:i/>
            <w:color w:val="0077CC"/>
            <w:sz w:val="20"/>
            <w:u w:val="single"/>
            <w:shd w:val="clear" w:color="auto" w:fill="FFFFFF"/>
            <w:lang w:val="en-US" w:eastAsia="en-US" w:bidi="ar-SA"/>
          </w:rPr>
          <w:t>RSBC 1996, CHAPTER 333, s. 3</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9-1</w:t>
      </w:r>
      <w:r>
        <w:rPr>
          <w:rFonts w:ascii="arial" w:eastAsia="arial" w:hAnsi="arial" w:cs="arial"/>
          <w:color w:val="000000"/>
          <w:sz w:val="20"/>
          <w:lang w:val="en-US" w:eastAsia="en-US" w:bidi="ar-SA"/>
        </w:rPr>
        <w:t>(5)(b), Rule 9-1(6), Rule 14-1(18)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1" w:name="Counsel_18"/>
      <w:bookmarkEnd w:id="12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6"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Louise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Binpal: Paul M.J. Arvisais.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Nanji: Quang T. Duong.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Dhaliwal and TMG (The Mortgage Group Canada Inc.): Christopher J. Bakker.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Belciug: No one appearing.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2" w:name="Judgment_17"/>
      <w:bookmarkEnd w:id="122"/>
      <w:r>
        <w:pict>
          <v:line id="_x0000_s1117" style="position:absolute;z-index:251830272"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Supplementary Reasons for Judgment</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G.J. FITCH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By reasons for judgment indexed at </w:t>
      </w:r>
      <w:hyperlink r:id="rId325" w:history="1">
        <w:r>
          <w:rPr>
            <w:rFonts w:ascii="arial" w:eastAsia="arial" w:hAnsi="arial" w:cs="arial"/>
            <w:i/>
            <w:color w:val="0077CC"/>
            <w:sz w:val="20"/>
            <w:u w:val="single"/>
            <w:shd w:val="clear" w:color="auto" w:fill="FFFFFF"/>
            <w:lang w:val="en-US" w:eastAsia="en-US" w:bidi="ar-SA"/>
          </w:rPr>
          <w:t>2015 BCSC 700</w:t>
        </w:r>
      </w:hyperlink>
      <w:r>
        <w:rPr>
          <w:rFonts w:ascii="arial" w:eastAsia="arial" w:hAnsi="arial" w:cs="arial"/>
          <w:color w:val="000000"/>
          <w:sz w:val="20"/>
          <w:lang w:val="en-US" w:eastAsia="en-US" w:bidi="ar-SA"/>
        </w:rPr>
        <w:t>, the defendant Maria Victoria Belciug (Belciug) was found liable for fraudulent misrepresentations that induced the plaintiff to extend to her a $70,000 loan secured by a second mortgage on residential premises she owned. Judgment was pronounced against Belciug in the amount of $72,203.03 as at December 8, 2001 pursuant to the plaintiff's second mortgage, together with interest at the rate of $24.72 per diem thereafter to the date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Gursharan Dhaliwal (Dhaliwal) and his employer, The Mortgage Group Canada Inc. (TMG), who brokered the loan, together with the lawyer who acted for Belciug on this transaction, Raj Singh Binpal (Binpal), were found liable to the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the defendant Shabbir Nanji (Nanji), a notary public who acted for the plaintiff on this transaction,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Liability was apportioned between the defendants Binpal and Dhaliwal/TMG as follows: as against Binpal 70%; and as against Dhaliwal/TMG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Binpal and Dhaliwal/TMG were ordered to pay the plaintiff's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An order of special costs was made against Belciug in recognition of the fact that, unlike the other defendants found liable to the plaintiff, her conduct was rooted in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ordered that the defendant Nanji be entitled to his costs against the plaintiff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parties were granted leave to apply for clarification of any issue arising out of the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parties have applied for clarification of my reasons, and for leave to make further submissions respecting costs. Leave being granted, the following issues have been raised:</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quantum of damages ordered as against the defendants Binpal and Dhaliwal/TMG;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Insofar as costs are concerned, the plaintiff seeks the following relief:</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Rule 14-1(18)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a "Sanderson" or "Bullock" order directing that the costs of the defendant Nanji be paid by the defendants Binpal and Dhaliwal/TMG;</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determination of the apportionment of liability for the plaintiff's costs as between the defendants Binpal and Dhaliwal/TMG; and</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Rule 9-1(5), an order for double costs against the defendants Binpal and Dhaliwal/TMG from the delivery of the plaintiff's offer to settle dated September 26, 2014, or such subsequent date as the Court deems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Quantum of Damages to be Apportioned as between Binpal and Dhaliwal/TMG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My reasons for judgment did not address the quantum of damages to be awarded against Binpal and Dhaliwal/TMG. The parties made supplementary written and oral submissions regarding assessment of the plaintiff's damages arising out of the negligent misrepresentations of Binpal and Dhaliwal/TMG.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submits that the damages awarded against Binpal and Dhaliwal/TMG should be the same as the damages ordered against Belciug, and that all three parties should be jointly and severally liable to the plaintiff for that amount. The plaintiff submits that it was the concurrent and indivisible conduct and omissions of Binpal, Dhaliwal/TMG and Belciug that caused the plaintiff to enter into the mortgage transaction. The plaintiff submits that damages flowing from these concurrent acts are one and the same amongst all three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am unable to accept the position advanced on behalf of the plaintiff on this point. As counsel for Binpal noted in his helpful submission, the plaintiff's claim against Binpal and Dhaliwal/TMG was not a claim for the return under the mortgage contract. Rather, the plaintiff sought judgment against Binpal and Dhaliwal/TMG for damages for breach of the duty of care they owed to the plaintiff. The only other relief claimed against them was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Where a plaintiff is induced by a negligent misrepresentation to enter a contract, the plaintiff is entitled to be restored to the position he or she would have been in had the negligent misstatement not been made. A plaintiff seeking damages in tort is not entitled to be put in the position they would have been in if the negligent statement had been true. Rather, their entitlement to damages extends to out-of-pocket losses incurred in reliance on the misrepresentation: </w:t>
      </w:r>
      <w:r>
        <w:rPr>
          <w:rFonts w:ascii="arial" w:eastAsia="arial" w:hAnsi="arial" w:cs="arial"/>
          <w:i/>
          <w:color w:val="000000"/>
          <w:sz w:val="20"/>
          <w:lang w:val="en-US" w:eastAsia="en-US" w:bidi="ar-SA"/>
        </w:rPr>
        <w:t>Payne v. Eagle Ridge Pontiac GMC Ltd</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2010 BCSC 1085</w:t>
        </w:r>
      </w:hyperlink>
      <w:r>
        <w:rPr>
          <w:rFonts w:ascii="arial" w:eastAsia="arial" w:hAnsi="arial" w:cs="arial"/>
          <w:color w:val="000000"/>
          <w:sz w:val="20"/>
          <w:lang w:val="en-US" w:eastAsia="en-US" w:bidi="ar-SA"/>
        </w:rPr>
        <w:t xml:space="preserve"> at paras. 12-16.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case at bar, but for the negligent misrepresentations of the defendants Binpal and Dhaliwal/TMG, the plaintiff would not have advanced mortgage proceeds to Belciug on May 18,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Binpal and Dhaliwal/TMG are, therefore, jointly and severally liable to the plaintiff for the amount of money advanced to Belciug, not for the profit from the interest the plaintiff expected to make on that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amount of the loan was $70,000. A lender's fee of $1,400 was charged by the plaintiff. Accordingly, the plaintiff actually advanced $68,600 to Belciug. This is the amount the plaintiff is out-of-pocket as a consequence of relying on the negligent misrepresentations of Binpal and Dhaliwal/TMG. There is no evidence before me to support a finding that the plaintiff did something to earn the amount representing the lender's fee, or incurred expenses equaling this amount in proceeding with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argues that it is reasonable to infer it would have been able to earn interest on its $70,000 by loaning these available funds to another potential borrower on the same terms. The onus rests with the plaintiff to establish, on a balance of probabilities, the position it would have been in had the negligent misstatement not been made. I have no evidence before me as to the nature of the plaintiff's business sufficient to draw a non-speculative inference that the plaintiff would have earned an equivalent rate of interest by loaning the funds advanced to Belciug to another borrower. In my view, the plaintiff has not met its burden of establishing that its loss attributable to this transaction extends to interest it would have earned on the same funds from another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result, the plaintiff is entitled to damages of $68,600, apportioned as between the defendants Binpal and Dhaliwal/TMG as indicated in the main judgment (as against Binpal, 70% or $48,020, and as against Dhaliwal, 30% or $20,580) plus interest on each from May 18, 2011 to the date of judgment at the rate of 1%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Plaintiff's Application for a "Sanderson" or "Bullock"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seeks an order under Rule 14-1(18) that the costs of the defendant, Nanji, be paid by the defendants, Binpal and Dhaliwal/TMG.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Rule 14-1(18)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costs of one defendant against a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"Bullock" order requires the plaintiff to pay the successful defendant's costs, but permits the plaintiff to add those costs to the costs order to be paid to him by the unsuccessful defendant(s). A "Sanderson" order requires the unsuccessful defendant(s) to pay the successful defendant's costs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What distinguishes the two types of available orders is the allocation of risk. Where a "Bullock" order is made, the plaintiff bears the risk of non-payment as it must pay the successful defendant's costs up front. Where a "Sanderson" order is made, the successful defendant bears the risk of non-payment.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Davidson v. Tahtsa Timber Ltd.</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2010 BCCA 528</w:t>
        </w:r>
      </w:hyperlink>
      <w:r>
        <w:rPr>
          <w:rFonts w:ascii="arial" w:eastAsia="arial" w:hAnsi="arial" w:cs="arial"/>
          <w:color w:val="000000"/>
          <w:sz w:val="20"/>
          <w:lang w:val="en-US" w:eastAsia="en-US" w:bidi="ar-SA"/>
        </w:rPr>
        <w:t>, para. 50, where the unsuccessful defendants are solvent, risk of non-payment does not realistically arise and it does not matter which form of order is made. The advantage of a "Sanderson" order in such a case is that it eliminates additional steps that are, from a practical perspective,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first step in the analysis requires resolution of this threshold question: Was it a reasonable thing for the plaintiff in his action against a man who ultimately turns out to be in fact the wrong-doer to join the other defendant in order that the matter might be thoroughly threshed out? In </w:t>
      </w:r>
      <w:r>
        <w:rPr>
          <w:rFonts w:ascii="arial" w:eastAsia="arial" w:hAnsi="arial" w:cs="arial"/>
          <w:i/>
          <w:color w:val="000000"/>
          <w:sz w:val="20"/>
          <w:lang w:val="en-US" w:eastAsia="en-US" w:bidi="ar-SA"/>
        </w:rPr>
        <w:t>Grassi v. WIC Radio Ltd</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2001 BCCA 376</w:t>
        </w:r>
      </w:hyperlink>
      <w:r>
        <w:rPr>
          <w:rFonts w:ascii="arial" w:eastAsia="arial" w:hAnsi="arial" w:cs="arial"/>
          <w:color w:val="000000"/>
          <w:sz w:val="20"/>
          <w:lang w:val="en-US" w:eastAsia="en-US" w:bidi="ar-SA"/>
        </w:rPr>
        <w:t>, the Court clarified that such orders are not to be made whenever it was reasonable for the plaintiff to have sued the successful defendant. Rather, there must be something the unsuccessful defendant did, such as asserting that the successful defendant was the culprit in the case, to warrant an order requiring him to reimburse the plaintiff for the successful defendant's costs. If the threshold question is answered affirmatively, a discretion arises that must be exercised judicially having regard to the particular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case, it was reasonable for the plaintiff to join Nanji as a defendant in the action. Moreover, I am satisfied that both Binpal and Dhaliwal/TMG sought to shift the blame to Nanji's shoulders. In light of this, the plaintiff was required to maintain its claim against Nanji.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all these circumstances, I consider it just and fair to order that Nanji's costs be paid by Binpal and Dhaliwal/TMG.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to which of the two orders is appropriate in this case, I am satisfied that a "Sanderson" order should be made. The risk of non-payment of costs is virtually nonexistent in light of the fact that both unsuccessful defendants are insured. Indeed, the parties generally agreed (counsel for Nanji took no position on the point) that if an order under Rule 14-1(18) was found to be appropriate, it should take the form of a "Sanderson"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order that Binpal and Dhaliwal/TMG pay directly Nanji's costs. As Binpal was only added as a party to the proceeding on June 4, 2013, my order requires him to pay 70% of Nanji's costs from that date.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Apportionment of Liability for the Plaintiff's Costs as between Binpal and Dhaliwal/TMG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This issue is resolved through application of the general rule reflected in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The parties have not suggested any reason warranting departure from the general rule. Accordingly, the liability of the two unsuccessful defendants for the plaintiff's costs is in the same proportion as their respective liability to make good the damage or loss.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Claim for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seeks double costs against Binpal and Dhaliwal/TMG from the delivery of its offer to settle dated September 26,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September 26, 2014 the plaintiff made a global offer to all the defendants to settle the action. The offer was in the amount of $116,113.84 and consisted of: $70,000 for the principal amount of the mortgage; $32,613.84 in interest calculated up to the date of the offer; and, $13,500 in estimated costs based on the tariff up to the date of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the time the offer was made, document disclosure and discoveries had been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served and filed its summary trial application on October 24, 2014. Binpal's application for summary judgment was dismissed October 31, 2014. The hearing of the summary trial application was scheduled to commence January 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alternative, the plaintiff asserts that its offer to settle ought reasonably to have been accepted when the summary trial application was served and filed on the defendants on October 24, 2014. In the further alternative, the plaintiff asserts that its offer to settle ought reasonably to have been accepted following the dismissal of Binpal's application for summary judgment on October 31,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Rule 9-1(5)(b) contemplates an order for double costs. It reads: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or all or some of the steps taken in the proceeding after the date of delivery or service of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at para. 25, an award of double costs is a punitive measure against a litigant for failing to have accepted an offer to settle that should have been accepted. The rationale underlying the rule is to: deter frivolous actions or defences; encourage conduct that reduces the duration and expense of litigation; encourage litigants to settle whenever possible; and require litigants to make a careful assessment of the strength or lack thereof of their case throughout the course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factors to consider in determining whether to make an order for double costs are set out in Rule 9-1(6):</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first factor enumerated in Rule 9-1(6) was addressed in </w:t>
      </w:r>
      <w:r>
        <w:rPr>
          <w:rFonts w:ascii="arial" w:eastAsia="arial" w:hAnsi="arial" w:cs="arial"/>
          <w:i/>
          <w:color w:val="000000"/>
          <w:sz w:val="20"/>
          <w:lang w:val="en-US" w:eastAsia="en-US" w:bidi="ar-SA"/>
        </w:rPr>
        <w:t>Hartshorne</w:t>
      </w:r>
      <w:r>
        <w:rPr>
          <w:rFonts w:ascii="arial" w:eastAsia="arial" w:hAnsi="arial" w:cs="arial"/>
          <w:color w:val="000000"/>
          <w:sz w:val="20"/>
          <w:lang w:val="en-US" w:eastAsia="en-US" w:bidi="ar-SA"/>
        </w:rPr>
        <w:t xml:space="preserve">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factor - whether the offer to settle was one that ought reasonably to have been accepted - is not determined by reference to the award that was ultimately made. Rather, in considering that factor, the court must determine whether, at the time that the offer was open for acceptance, it would have been reasonable for it to have been accepted: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90 B.C.L.R. (4th) 125</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[2009] B.C.J. No. 748</w:t>
        </w:r>
      </w:hyperlink>
      <w:r>
        <w:rPr>
          <w:rFonts w:ascii="arial" w:eastAsia="arial" w:hAnsi="arial" w:cs="arial"/>
          <w:color w:val="000000"/>
          <w:sz w:val="20"/>
          <w:lang w:val="en-US" w:eastAsia="en-US" w:bidi="ar-SA"/>
        </w:rPr>
        <w:t xml:space="preserve"> at para. 55. As was said in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"The reasonableness of the plaintiff's decision not to accept the offer to settle must be assessed without reference to the court's decision" (para. 55). Instead, the reasonableness is to be assessed by considering such factors as the timing of the offer, whether it had some relationship to the claim (as opposed to simply being a "nuisance offer"), whether it could be easily evaluated, and whether some rationale for the offer was provided. We do not intend this to be a comprehensive list, nor do we suggest that each of these factors will necessarily be relevant in a given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considering the financial circumstances of the litigants, the fact that a party is insured can be considered (</w:t>
      </w:r>
      <w:r>
        <w:rPr>
          <w:rFonts w:ascii="arial" w:eastAsia="arial" w:hAnsi="arial" w:cs="arial"/>
          <w:i/>
          <w:color w:val="000000"/>
          <w:sz w:val="20"/>
          <w:lang w:val="en-US" w:eastAsia="en-US" w:bidi="ar-SA"/>
        </w:rPr>
        <w:t>Smith v. Tedford</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2010 BCCA 302</w:t>
        </w:r>
      </w:hyperlink>
      <w:r>
        <w:rPr>
          <w:rFonts w:ascii="arial" w:eastAsia="arial" w:hAnsi="arial" w:cs="arial"/>
          <w:color w:val="000000"/>
          <w:sz w:val="20"/>
          <w:lang w:val="en-US" w:eastAsia="en-US" w:bidi="ar-SA"/>
        </w:rPr>
        <w:t xml:space="preserve">) but whether it will be, and the weight that should be given to that fact, will depend on the circumstances of the case: </w:t>
      </w:r>
      <w:r>
        <w:rPr>
          <w:rFonts w:ascii="arial" w:eastAsia="arial" w:hAnsi="arial" w:cs="arial"/>
          <w:i/>
          <w:color w:val="000000"/>
          <w:sz w:val="20"/>
          <w:lang w:val="en-US" w:eastAsia="en-US" w:bidi="ar-SA"/>
        </w:rPr>
        <w:t>Mazur v. Lucas</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2011 BCSC 1685</w:t>
        </w:r>
      </w:hyperlink>
      <w:r>
        <w:rPr>
          <w:rFonts w:ascii="arial" w:eastAsia="arial" w:hAnsi="arial" w:cs="arial"/>
          <w:color w:val="000000"/>
          <w:sz w:val="20"/>
          <w:lang w:val="en-US" w:eastAsia="en-US" w:bidi="ar-SA"/>
        </w:rPr>
        <w:t xml:space="preserve"> at paras. 48-53.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applying the considerations set out in Rule 9-1(6) to the circumstances of this case, I cannot conclude that the defendants ought reasonably to have accepted the settlement offer on the date it was served. The offer did not reflect a compromised outcome. It proposed resolution of the action on the basis of the full quantum of the plaintiff's claim as against Belciug to the date of the offer. As such, it provided virtually no incentive to Binpal or Dhaliwal/TMG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respect to the timing of the offer, the plaintiff commenced its action on September 27, 2012. The offer to settle was not made until two years later at a time when it appears to have been within the contemplation of the parties that if the matter was not settled, it would be set down for hearing as a summary trial application within the next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Further, the offer was not one that could easily be evaluated. The action raised difficult questions respecting the scope of each defendant's duty of care, whether a breach of that duty of care had been shown in the circumstances and, if more than one defendant was found liable, the apportionment of liability as between them. I cannot accept the plaintiff's submission that Binpal and Dhaliwal/TMG failed to meaningfully assess the merits of their respective defences and elected, instead, "to proceed with the summary trial just to see what the outcome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my respectful view, and in all the circumstances of this case, it was not unreasonable for Binpal and Dhaliwal/TMG to decline the plaintiff's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relationship between the terms of settlement offered and the final judgment of the Court as reflected in these supplementary reasons at paragraph 18 further supports a conclusion that an order for double costs has not been shown to be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Although Binpal and Dhaliwal/TMG are insured, I am not prepared to assign this consideration much weight having regard to my assessment of the other applicable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am also unable to accept the plaintiff's alternative submission that the settlement offer ought reasonably to have been accepted when the summary trial application was served and filed on the defendants on October 24, 2014, or after the dismissal of Binpal's application for summary judgment on October 31,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advanced no convincing argument as to why its application for double costs takes on a different complexion on October 24, 2014 after its summary trial application was served and filed. In my respectful view, the analysis of the applicable factors as of that date remains the same, as does the conclusion that double costs have not been shown to be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make the same observation about the plaintiff's further alternative argument that the offer to settle ought reasonably to have been accepted (at least by Binpal) when his application for summary judgment was dismissed on October 31, 2014. Although I have not been provided with a transcript of the proceedings on Binpal's application for summary judgment, or reasons for judgment dismissing that application, it is common ground that the application was dismissed on the narrow footing that entertaining Binpal's application, divorced from the rest of the action, would invite litigation in slices. Binpal's application was dismissed on procedural grounds. There was no judicial evaluation of the merits of Binpal's defence, nor can it be said that the proceedings on his application for summary judgment provided some additional window through which Binpal ought to have evaluated the downside risks of proceeding to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For the foregoing reasons, the plaintiff's application for double costs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G.J. FITCH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8"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Nutt v. CIBC World Markets Inc., [2001] B.C.J. No. 2449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Tysoe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29 - 31 and November 1 - 2,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C996772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2449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1608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666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Brian Nutt, plaintiff, and CIBC World Markets Inc., formerly CIBC Wood Gundy Securities Inc. formerly Wood Gundy Inc. and Tim A. Groeneveld,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9"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3" w:name="Keywords_19"/>
      <w:bookmarkEnd w:id="123"/>
      <w:r>
        <w:rPr>
          <w:rFonts w:ascii="arial" w:eastAsia="arial" w:hAnsi="arial" w:cs="arial"/>
          <w:b/>
          <w:color w:val="000000"/>
          <w:sz w:val="20"/>
          <w:lang w:val="en-US" w:eastAsia="en-US" w:bidi="ar-SA"/>
        </w:rPr>
        <w:t xml:space="preserve">Professional occupations — Investment counsellors — Fiduciary duty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Advice, duty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4" w:name="Case Summary_16"/>
            <w:bookmarkEnd w:id="12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Nutt against his investment advisor, Groeneveld, and his firm, Wood Gundy, for breach of contract,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Nutt had a portfolio of $288,000 in 1995 when he brought his account to Wood Gundy. In 1999, his portfolio was worth $80,000. Groeneveld recorded Nutt's risk factors in the initial "Know Your Client" form to be 10 per cent low risk, 80 percent medium risk and 10 per cent high risk. Nutt was living from the proceeds of the account. He had limited investment sophistication and financial resources. He planned to withdraw $2,000 per month to pay for his living expenses. Groeneveld deviated from the risk tolerance assessment and recommended higher risk investments. Nutt signed another form shifting the risk factors to 10, 60 and 30 to reflect a shift that had already taken place in the portfolio. The value of the portfolio had decreased to $213,000. The branch manager intervened with a plan to make the portfolio more conservative, changing the risk factors back to 10, 80 and 10. Groeneveld acted on this strategy by selling the high risk stocks. Nutt then asked Groeneveld about purchasing gold. Groeneveld recommended shares in gold companies and purchased them on Nutt's behalf. The value of these shares fell dramatically. One of these companies was high risk and the purchase of its shares went beyond the re-established risk portfolio.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5" w:name="Holdings of Court_13"/>
            <w:bookmarkEnd w:id="12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Wood Gundy was vicariously liable for Groeneveld's actions. There was no breach of contract between Wood Gundy and Nutt, as it acted on his instructions. However, Groeneveld owed a fiduciary duty to Nutt. Groeneveld should have known that Nutt was relying on his advice in making decisions with respect to the purchases and sale of securities and that Nutt was an unsophisticated investor. Groeneveld breached the duty of care to Nutt in recommending higher risk investments than fit within the original "Know Your Client" form. Groeneveld was negligent in recommending the high risk gold stock to Nutt after the re-weighting of the portfolio. Wood Gundy was responsible for losses of $63,676.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6" w:name="Legislation Cited_12"/>
      <w:bookmarkEnd w:id="1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0"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Securities Rules, B.C. Reg. 194/97, Rule 48.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7" w:name="Counsel_19"/>
      <w:bookmarkEnd w:id="12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1"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J.H. Rocke Robertson and Gordon G. Plottel, for the plaintiff. Peter Reardon,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8" w:name="Judgment_18"/>
      <w:bookmarkEnd w:id="128"/>
      <w:r>
        <w:pict>
          <v:line id="_x0000_s1122" style="position:absolute;z-index:2518312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9" w:name="TYSOE J._0"/>
            <w:bookmarkEnd w:id="129"/>
            <w:r>
              <w:rPr>
                <w:rFonts w:ascii="arial" w:eastAsia="arial" w:hAnsi="arial" w:cs="arial"/>
                <w:b/>
                <w:color w:val="000000"/>
                <w:sz w:val="30"/>
                <w:lang w:val="en-US" w:eastAsia="en-US" w:bidi="ar-SA"/>
              </w:rPr>
              <w:t>TYSOE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Mr. Nutt turned his investment portfolio over to the corporate Defendant (which was referred to throughout the trial by its former name of Wood Gundy) in March 1995 when it had a value of approximately $288,000. When he transferred his account away from Wood Gundy in early 1999, his portfolio had a value of only $80,000. He sues the Defendants for breach of contract,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connection with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Nutt won $1 million in the lottery in 1979 when he was in his early thirties. He spent or gave away $250,000 and invested the remaining $750,000 through the brokerage firm of Odlum Brown. He quit his job as a postal worker and commenced to live a modest life of leisure. He withdrew money from his account with Odlum Brown for his living expenses, holidays and automobiles. Mr. Nutt spent more money than his portfolio was able to generate in income and the size of his account with Odlum Brown declined over the years until it reached a level of approximately $300,000 at the beginning of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individual broker at Odlum Brown with whom Mr. Nutt dealt rose up the internal ranks of his firm to become its President. He no longer had sufficient time to devote the attention he had previously given to Mr. Nutt, who decided to seek out another broker. After looking in the yellow pages for a local brokerage office, he met on March 6, 1995 with Mr. Groeneveld at the White Rock branch of Wood Gundy. Mr. Groeneveld interviewed Mr. Nutt and, based on the interview, filled out a form called "Know Your Client Form". This form results from the requirements of legislation embodied in British Columbia in Rule 48 of the Securities Rules, </w:t>
      </w:r>
      <w:hyperlink r:id="rId342" w:history="1">
        <w:r>
          <w:rPr>
            <w:rFonts w:ascii="arial" w:eastAsia="arial" w:hAnsi="arial" w:cs="arial"/>
            <w:i/>
            <w:color w:val="0077CC"/>
            <w:sz w:val="20"/>
            <w:u w:val="single"/>
            <w:shd w:val="clear" w:color="auto" w:fill="FFFFFF"/>
            <w:lang w:val="en-US" w:eastAsia="en-US" w:bidi="ar-SA"/>
          </w:rPr>
          <w:t>B.C. Reg. 194/97</w:t>
        </w:r>
      </w:hyperlink>
      <w:r>
        <w:rPr>
          <w:rFonts w:ascii="arial" w:eastAsia="arial" w:hAnsi="arial" w:cs="arial"/>
          <w:color w:val="000000"/>
          <w:sz w:val="20"/>
          <w:lang w:val="en-US" w:eastAsia="en-US" w:bidi="ar-SA"/>
        </w:rPr>
        <w:t>, which reads, in part, as follows:</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registrant, except an underwriter or a securities adviser, must make enquiries concerning each client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determine the general investment needs and objectives of the client, the appropriateness of a recommendation made to that client and the suitability of a proposed purchase or sale for that client.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registrant considers that a proposed purchase or sale is not suitable for the investment needs and objectives of a client that is an individual, the registrant must make a reasonable effort to so advise the client before executing the proposed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information required by Wood Gundy's Know Your Client Form included the account's investment objectives and risk factors. Mr. Groeneveld recorded Mr Nutt's investment objectives as being 35% income and 65% gain (divided among short, intermediate and long term). He assessed the appropriate risk factors to be 10% low risk, 80% medium risk and 10% high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During the interview, Mr. Nutt told Mr. Groeneveld that he needed to withdraw $2,000 a month to cover his living expenses. Mr. Groeneveld explained to Mr. Nutt that his goal was to grow the portfolio at the rate of 10% per year, which would allow Mr. Nutt to withdraw $2,000 a month and to reinvest the 2% remainder of the income. He also explained that the value of the portfolio would probably fluctuate, with the result that the monthly income may have to be adjusted below or above the $2,000 amount. Mr. Groeneveld testified that he concluded during the interview that Mr. Nutt had a good knowledge level with respect to investments and that he fell within the middle range of knowledge among his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basis of the interview, Mr. Nutt transferred his portfolio from Odlum Brown to Wood Gundy. He immediately began withdrawing more than $2,000 a month from his account. He withdrew approximately $12,000 in April 1995 and an average of $7,000 a month for the five months from April to August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Groeneveld testified that by the middle of April 1995, Mr. Nutt desired more growth in his portfolio. A new Know Your Client Form was prepared to change the objectives and risk factors and it was signed by Mr. Nutt on or about April 13, 1995. The objectives were changed to reduce income from 35% to 10% and to increase growth from 65% to 90%. The risk factors were realigned from 10% low risk, 80% medium risk and 10% high risk to 10% low risk, 70% medium risk and 20% high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Another Know Your Client Form was signed by Mr. Nutt on or about September 11, 1995. It did not change the investment objectives but it shifted the risk factors from 10%, 70% and 20% to 10%, 60% and 30% for low, medium and high risks. Mr. Groeneveld testified that this Know Your Client Form was completed to reflect changes which had already occurred in Mr. Nutt's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the end of August 1995, the value of Mr. Nutt's portfolio had decreased from $288,000 to $213,000. This decrease of $75,000 was caused by approximately $36,500 in withdrawals and $38,500 in net losses on stocks.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branch manager of Wood Gundy intervened in the middle of September 1995. Mr. Groeneveld testified that the intervention was part of the routine review of accounts by the branch manager. As a result of this intervention, Mr. Groeneveld met with Mr. Nutt on September 26, 1995. The content of the meeting was confirmed in a letter written by Mr. Groeneveld to Mr. Nutt on September 28, 1995, the substantive part of which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objectives as I understand are to provide yourself with a monthly income from your investments. You have expressed that you would like a significant portion of the account to be in high growth stocks. With a portfolio of high growth stocks your potential for a high return is better, however the risk factor is also increased. As per our discussions, we have agreed to reduce the equity exposure of your account. The goal of this account is to provide you with a balance of liquidity; a diverse mix of mutual funds; a fixed income component and a small exposure to growth stocks. All of the above were agreed upon by yourself.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implement this strategy, I suggested the following: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Sell GM Hughes, PetroCanada and Ampex. (medium growth, medium risk)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Sell Netscape, Calibre, Telsoft, Peruvian and Treminco. (high growth, high risk)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 three to six month money market investments.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 $25,000 Dynamic Global Bond Fund (you have received a prospectus).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at least $2000.00 available each month for cash flow.</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Hold 10% or less of the overall portfolio in growth stocks.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Nutt signed a new Know Your Client Form on or about September 28, 1995. It changed the risk factors back to the initial 10%, 80% and 10% figures for low, medium and high risk that were set out in the Know Your Client Form which Mr. Nutt had signed during his initial meeting with Mr. Groeneveld on March 6,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Groeneveld acted on this "new" strategy by selling the high risk stocks at the end of September and beginning of October 1995. By the end of October 1995, the value of Mr. Nutt's portfolio was $203,000. The portfolio performed relatively well over the following year. Its value at the end of February 1997 was $216,500, despite withdrawals by Mr. Nutt of approximately $58,000 (or $26,000 more than $2,000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January 1996, Mr. Nutt phoned Mr. Groeneveld to request a cash withdrawal and he also raised the topic of purchasing gold. Mr. Nutt testified that he had gold bullion in mind when he raised the topic but he agreed with the recommendation of Mr. Groeneveld to purchase shares in a gold company named Eldorado Gold Corporation ("Eldorado"). On Mr. Nutt's behalf, Mr. Groeneveld purchased shares in Eldorado and its exploration subsidiary, HRC Development Company. He also purchased shares in another gold company, Treminco Resources Ltd. ("Treminco"), in the following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values of the Eldorado and Treminco shares were relatively stable until the end of February 1997 but their trading prices then began to fall dramatically. The decline in the value of these shares attributed to the large majority of the loss in Mr. Nutt's portfolio value from February 1997 until the account was transferred away from Wood Gundy in early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principal causes for the depletion in value of Mr. Nutt's portfolio were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523"/>
        <w:gridCol w:w="419"/>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$166,200</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Withdrawals by Mr. Nutt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45,500</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 Losses up to October 31, 1995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55,400</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on Eldorado Shares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19,800</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on Treminco Shares after 1995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$286,900</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total of $286,900 is greater than the amount by which the account decreased while being managed by the Defendants (from $288,000 to $80,000, for a total decrease of $208,000) because there were gains achieved by the portfolio during the period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During the trial, there was significant testimony about the withdrawals made by Mr. Nutt and there was conflicting evidence as to whether Mr. Groeneveld and his assistant warned Mr. Nutt about the depleting effect of the withdrawals on his portfolio. However, counsel for Mr. Nutt did not ultimately ask the Court to find that the Defendants had a duty to save Mr. Nutt from spending his own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Expert evidence was introduced on behalf of Mr. Nutt. The expert was Mr. James Cripps, a financial analyst and planner who has been involved in the securities industry since obtaining an M.B.A. in 1973. Mr. Cripps was asked by Mr. Nutt's counsel to answer five questions. The first question related to the suitability and appropriateness of Mr. Nutt's investment portfolio as developed and managed by Wood Gundy, and he answered it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summation, it is difficult to escape the conclusion that Mr. Nutt's Wood Gundy accounts were traded too aggressively, owned positions that were too large, owned too great a proportion of risky securities, made inappropriate use of leverage, and deviated markedly from the asset mix mandated by the last KYC form. All of these factors contributed to the severe deterioration of Mr. Nutt's accounts when other investments of a more suitable nature were experiencing more favourable returns.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I can only reiterate and re-emphasize my view that the handling of Mr. Nutt's account was unsuitable and highly inappropriate, especially for a person of limited investment sophistication and financial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second question was whether the investment strategy outlined in the September 28, 1995 letter was suitable and appropriate for Mr. Nutt, to which Mr. Cripps answered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obvious conclusion is that the suggested "strategy" might have been viable when the portfolio was valued at $288,000 but it was hopelessly inadequate because the portfolio's value had been irreparably compromised by the misadventures of the prior investment strategy. In fairness to Wood Gundy, it should also be said that the suggested "Strategy" could be considered one of the more viable ones available in the circumstances. However, such a notion also prompts me to wonder why it was not implemented from the outset of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Cripps next opined that the investment strategy outlined in the September 28, 1995 letter was not implemented and followed because the August 30, 1996 account statement showed that more than 30% of the value of the portfolio was comprised of investments which could be characterized as high risk. Mr. Cripps also calculated what Mr. Nutt's portfolio would have been worth if it had been invested in mutual funds over the period it was managed by the Defendants. Using a median annual rate of return of 13.1% (as opposed to the negative 11.8% annualized return achieved during the period of management by the Defendants), Mr. Cripps calculated that the portfolio would have had a value of $224,300 after taking Mr. Nutt's withdrawals into account. This compares to the actual value of $80,000 when the portfolio was transferred away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the Defendants had the following criticisms of Mr. Cripps' report:</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opinions are unreliable because he did not define a high risk investment and did not state what the industry standards are;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opinions relied on hindsight;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became an advocate on behalf of Mr. Nutt and did not remain objective and non-partisan;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improperly made findings of facts and assigned blame.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urged me to give no weight to Mr. Cripps' opinions. While I do not believe that these criticisms render Mr. Cripps' opinions worthless, they do have some merit and I have taken them into account in giving the appropriate weight to his opinions. As will be seen, I do not accept all of Mr. Cripps'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 broker may be liable to its client in each of the three ways pleaded by Mr. Nutt: breach of contract,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These three causes of action were discussed generally by L. Smith, J. in Quantum Financial Services (Canada) Ltd. v. Yip, </w:t>
      </w:r>
      <w:hyperlink r:id="rId343" w:history="1">
        <w:r>
          <w:rPr>
            <w:rFonts w:ascii="arial" w:eastAsia="arial" w:hAnsi="arial" w:cs="arial"/>
            <w:i/>
            <w:color w:val="0077CC"/>
            <w:sz w:val="20"/>
            <w:u w:val="single"/>
            <w:shd w:val="clear" w:color="auto" w:fill="FFFFFF"/>
            <w:lang w:val="en-US" w:eastAsia="en-US" w:bidi="ar-SA"/>
          </w:rPr>
          <w:t>[1998] B.C.J. No. 2922</w:t>
        </w:r>
      </w:hyperlink>
      <w:r>
        <w:rPr>
          <w:rFonts w:ascii="arial" w:eastAsia="arial" w:hAnsi="arial" w:cs="arial"/>
          <w:color w:val="000000"/>
          <w:sz w:val="20"/>
          <w:lang w:val="en-US" w:eastAsia="en-US" w:bidi="ar-SA"/>
        </w:rPr>
        <w:t xml:space="preserve"> (S.C.). The submissions of counsel in the present case did not focus on which of these three causes of action were potentially applicable in the circumstances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principal term of the contract between a broker and its client, being a contract between a principal and an agent, is that the broker, as agent, will act on the instructions of the client, as principal, when buying and selling securities on behalf of the client. There may also be other implied terms of the contract depending on the circumstances. In the present case, I find that Wood Gundy did not fail to act on the instructions of Mr. Nutt and that there is no evidence of a breach of any implied term of the contract between them. I do not accept Mr. Nutt's testimony that Mr. Groeneveld made transactions on his behalf without first obtaining his instructions. I also find that Mr. Groeneveld explained the margin account to Mr. Nutt before he agreed to it. Finally on this topic, I find that the investment objectives and risk factor structure in the Know Your Client Forms did not constitute contractual terms which required express amendment before a non-comforming investment could be made with Mr. Nutt's informed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other two potential causes of action are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Counsel for the Defendants conceded that his clients owed a duty of care to Mr. Nutt but maintained that they were not negligent because they did not fail to live up to the applicable standard of care. The Defendants impliedly denied the existence of a fiduciary duty when Mr. Groeneveld testified that Mr. Nutt had a good level of knowledge with respect to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duty of care owed by a broker to its clients in the context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discussed by the B.C. Court of Appeal in Rhoads v. Prudential-Bache Securities Canada Ltd. </w:t>
      </w:r>
      <w:hyperlink r:id="rId344" w:history="1">
        <w:r>
          <w:rPr>
            <w:rFonts w:ascii="arial" w:eastAsia="arial" w:hAnsi="arial" w:cs="arial"/>
            <w:i/>
            <w:color w:val="0077CC"/>
            <w:sz w:val="20"/>
            <w:u w:val="single"/>
            <w:shd w:val="clear" w:color="auto" w:fill="FFFFFF"/>
            <w:lang w:val="en-US" w:eastAsia="en-US" w:bidi="ar-SA"/>
          </w:rPr>
          <w:t>(1992), 63 B.C.L.R. (2d) 256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then, is the duty of a stockbroker who chooses to offer financial, investment and taxation advice, in addition to the services of a broker or "order-taker"?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stockbroker who merely makes sales and purchases on the instructions of clients may well have no responsibility for the wisdom of the transactions involved. The broker may, if asked, agree to give opinions on purchases or sales, and may make it apparent to the client, if not already understood between them, that these constitute no more than personal opinions, and are not in the nature of considered investment advice. Where, however, as here, the firm and its employees seek to enhance their business by offering guidance to would-be investors ... they must expect that their advice may be relied on as that of skilled, independent professional advisors. Stockbrokers who carry on business in this way accept responsibilities beyond those involved in bringing together buyers and sellers. They undertake the duty of providing careful, competent, considered professional advice of a sort in which clients, especially those who have no experience of their own to guide them, may well place their complete reliance. (p. 261)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present case, there is no question that Mr. Groeneveld went beyond the function of "order-taker" and provided opinions on purchases and sales. With the exception of shares in Livent Inc. which Mr. Nutt wanted to purchase after seeing a Livent production of a play, he relied on Mr. Groeneveld's recommendation with respect to every purchase and sale which occurred within the portfolio. In making his recommendations, Mr. Groeneveld had the duty to provide careful, competent and considered professional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duty owed by a broker to its client may become a fiduciary duty in certain circumstances. Those circumstances were discussed by Keenan J. in Varcoe v. Sterling </w:t>
      </w:r>
      <w:hyperlink r:id="rId345" w:history="1">
        <w:r>
          <w:rPr>
            <w:rFonts w:ascii="arial" w:eastAsia="arial" w:hAnsi="arial" w:cs="arial"/>
            <w:i/>
            <w:color w:val="0077CC"/>
            <w:sz w:val="20"/>
            <w:u w:val="single"/>
            <w:shd w:val="clear" w:color="auto" w:fill="FFFFFF"/>
            <w:lang w:val="en-US" w:eastAsia="en-US" w:bidi="ar-SA"/>
          </w:rPr>
          <w:t>(1992), 7 O.R. (3d) 204</w:t>
        </w:r>
      </w:hyperlink>
      <w:r>
        <w:rPr>
          <w:rFonts w:ascii="arial" w:eastAsia="arial" w:hAnsi="arial" w:cs="arial"/>
          <w:color w:val="000000"/>
          <w:sz w:val="20"/>
          <w:lang w:val="en-US" w:eastAsia="en-US" w:bidi="ar-SA"/>
        </w:rPr>
        <w:t xml:space="preserve"> (Ont. Ct. - Gen. Div.):</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Primarily, a broker's relationship with the client is that of agent and principal. The agent takes instructions from the principal and carries them out with care, skill and diligence. Failure to do so may give rise to an action in breach of contract 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relationship of the broker and client is elevated to a fiduciary level when the client reposes trust and confidence in the broker and relies on the broker's advice in making business decisions. When the broker seeks or accepts the client's trust and confidence and undertakes to advise, the broker must do so fully, honestly and in good faith ... If the broker fails to honour that trust or betrays the trust by taking advantage of the client, the broker has breached that fiduciary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(pp. 236-7)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Keenan J. went on to point out that a broker is not a guarantor and then neatly summarized the obligations of a broker in the context of the duty of care and fiduciary duty owed to the broker's client in the following passage: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broker is not a guarantor of financial success for the client. Even when the client relies on the broker for advice, there is no guarantee that following the advice will achieve the desired result. So long as the broker applies the skill and knowledge relied upon and advises fully, honestly and in good faith, the broker has discharged his or her obligations and is not responsible if the transaction proves unfavourable. (p. 237)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difference between the two duties is that the duty of care requires the broker to exercise the standard of care which would be exercised by a reasonable and prudent broker in the circumstances, whereas the fiduciary duty requires the broker to act consistently with the trust reposed in him or her by the client and not to betray the trust out of self-interest.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case at bar, I find that the Defendants did owe a fiduciary duty to Mr. Nutt. It is obvious from listening to Mr. Nutt that he is lacking in intelligence and only has a rudimentary understanding of securities. I find that Mr. Groeneveld either recognized Mr. Nutt's deficiencies in these regards or recklessly turned a blind eye to his deficiencies. In my view, despite his 15 year relationship with Odlum Brown, Mr. Nutt was an unsophisticated investor who was not capable of making proper investment decisions. I find that Mr. Groeneveld either knew or should have known that, with the one exception of the Livent transaction, Mr. Nutt was placing his trust in him and was relying entirely on his advice in making decisions with respect to the purchases and sale of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Although Mr. Cripps' opinion as to the suitability and appropriateness of the handling of Mr. Nutt's portfolio by the Defendants covered the entire period over which the Defendants managed the portfolio, the evidence discloses two distinct potential breaches of the duties owed to Mr. Nutt. The first potential breach entails the investments made prior to the September 28, 1995 letter and the second potential breach involves the handling of Mr. Nutt's account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During his first interview with Mr. Nutt, Mr. Groeneveld fulfilled the duty imposed by Rule 48 of the Securities Rules by making enquiries to determine Mr. Nutt's investment needs and objectives, and the suitability of potential transactions. He assessed Mr. Nutt's investment objectives and determined that the appropriate composition of his portfolio was a mixture of investments with 10% having low risk, 80% having medium risk and 10% having high risk. I find that Mr. Groeneveld was correct in making this initial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Groeneveld began deviating from this investment strategy approximately a month after Mr. Nutt transferred his account to Wood Gundy and the deviation escalated in the following months, particularly in August 1995 when approximately $100,000 of shares in Netscape were purchased on its initial public offering. Mr. Groeneveld testified that he changed the investment strategy because Mr. Nutt desired more growth in his portfolio. I have no doubt that Mr. Nutt, like all investors, desired growth in his portfolio, especially in view of the fact that he was withdrawing more than $2,000 a month from the account. However, I find that Mr. Groeneveld knew or should have known that he did not explain the attendant risks to the extent that Mr. Nutt, an unsophisticated investor, was able to properly appreciate them and make an informed decision. I also find that Mr. Groeneveld knew or should have known that, other than the 10% high risk mix contemplated by the initial Know Your Client Form, higher risk investments were not suitable for an investor in the position of Mr. Nutt. In recommending the higher risk investments, Mr. Groeneveld breached the duty of care to Mr. Nutt by failing to exercise the standard of care required of a reasonable professional broker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Cripps expressed the overall opinion that the management of Mr. Nutt's portfolio by the Defendants was unsuitable and inappropriate. In making my finding that Mr. Groeneveld breached the duty of care owed to Mr. Nutt, I agree with Mr. Cripps' opinion in respect of the transactions during the spring and summer months of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My conclusion with respect to the breach of the duty of care is substantiated by the actions of Wood Gundy itself. When Wood Gundy's branch manager reviewed Mr. Nutt's account in September 1995, I find that he recognized the unsuitability of the high risk investments and instructed Mr. Groeneveld to take a more conservative approach. This led to the meeting of September 26, 1995 and the confirmatory letter of September 28,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was suggested during the trial that the turnover within Mr. Nutt's portfolio was exceptionally high in 1995 and that Mr. Groeneveld made his recommendations so that he would be able to earn additional commissions. A recommendation motivated by personal gain could amount to a breach of the fiduciary duty owed to by Mr. Groeneveld. However, in view of my conclusion that he was negligent and the fact that there is no difference in the measure of damages, it is unnecessary for me to decide whether Mr. Groenveld also breached his fiduciary duty in connection with these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now turn to the second potential breach of Mr. Groeneveld's duties to Mr. Nutt involving the investments made after the September 28, 1995 letter. Although Mr. Cripps expressed the opinion that the investment strategy outlined in the letter was inadequate, he based his opinion on the fact that the value of Mr. Nutt's portfolio had decreased to the extent that it was not reasonable to expect that the strategy would produce a return sufficient to cover Mr. Nutt's stated need for $2,000 a month. Mr. Cripps conceded that the strategy was one of the more viable ones available in the circumstances. I find that Mr. Groeneveld did not breach the duties he owed to Mr. Nutt in recommending this investment strategy.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issue then becomes whether Mr. Groeneveld followed this investment strategy. Mr. Cripps expressed the opinion that the strategy was not followed because Mr. Groeneveld recommended high risk investments having a value in excess of 10% of the value of Mr. Nutt's total portfolio. In his report, Mr. Cripps identified these high risk investments to be Eldorado, Treminco, Concurrent Computer and Energold Mining. Mr. Groeneveld conceded that Treminco was a high risk investment and the evidence at trial on this issue focused on the risk assessment attributable to Eldorado. Based on my review of the capital gains (losses) analysis prepared by Mr. Cripps, I can understand why there was no testimony about Concurrent Computer and Energold Mining - the shares in these companies were purchased after the investment in Eldorado was made and they were sold at an aggregate profit of approximately $13,000.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Groeneveld testified that Eldorado was a medium risk investment. He explained that at the time of the investment in the shares, Eldorado was a profitable gold producing company with production costs below the price of gold. The shares were recommended by Wood Gundy's research analysts and had been part of the TSE 300 index. The price of the shares remained stable for over a year after they were purchased and some of the shares were sold at a profit two months after they were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difficulty I have with Mr. Cripps' assertion that Eldorado, Concurrent Computer and Energold Mining were high risk investments is that there is no basis in the evidence for his conclusion. In addition, his assertion with respect to Eldorado was successfully challenged on cross-examination. Mr. Cripps first testified that his definition of risk was based solely on the volatility of the stock. When it was pointed out to him that the Eldorado stock had been stable for over a year, he agreed that the stock was not volatile at the time it was purchased but he then sought to defend his opinion by stating that all gold exploration companies are inherently high risk. He was then forced to concede that he did not know whether Eldorado had an existing gold mine in production. At the commencement of his cross-examination on the following morning, Mr. Cripps volunteered that he had been provided with two research reports on Eldorado. He subsequently argued that a gold producing company is high risk because it can be affected by the external adverse effect of a decline in the price of gold. At the conclusion of his cross-examination on this point, while Mr. Cripps continued to maintain that the Eldorado shares were a risky investment, he allowed that in 1996 someone else might have come to the conclusion that Eldorado was a medium risk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it has not been proven that the purchases of the shares in Eldorado, Concurrent Computer and Energold Mining represented high risk transactions in contravention of the strategy outlined in the September 28, 1995 letter or the risk factor structure contained in the Know Your Client Form dated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the other hand, the Treminco shares are conceded to have been a high risk investment. On Mr. Nutt's behalf, Mr. Groeneveld purchased 10,000 of these shares in May 1996, 6,000 shares in November 1996 and 4,000 shares in December 1996. At the end of December 1996, the value of the 20,000 Treminco shares was $28,000, or 12.25% of the total portfolio value of $228,618. At the time of the last purchase of the 4,000 shares in December 1996, the other 16,000 shares represented 9.8% of the value of the portfolio and the last purchase violated the risk factor structure contained in the Know Your Client Form dated September 28, 1995 which, as I have found, was the appropriate risk factor structure for Mr. Nutt. I find that this purchase was an unsuitable transaction for Mr. Nutt and that Mr. Groeneveld was negligent in recommending it to Mr. Nutt.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evidence does not establish a breach of the fiduciary duty owed by the Defendants to Mr. Nutt in respect of any of the transactions which occurred after September 28,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ON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have concluded that Mr. Groeneveld was negligent in recommending the purchase of the higher risk investments prior to September 28, 1995 and the last 4,000 of the Treminco shares. There is no issue about the vicarious liability of Wood Gundy in respect of Mr. Groeneveld's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high risk investments purchased up to September 1995 were identified in the September 28, 1995 letter; namely, the shares in Netscape, Calibre, Telsoft, Peruvian and Treminco which were suggested to be sold. I do not know whether there were any other high risk stocks in the portfolio at the time and it may be that some of the shares specified in the letter to be high risk could fall within the 10% high risk factor category. However, acting on the instructions of the branch manager, Mr. Groeneveld suggested that all of these high risk shares be sold and I find this to be an acknowledgement that all of these shares were unsuitable for Mr. Nutt's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losses in respect of the relevant shares, calculated by subtracting the amount of the sale proceeds from the aggregate purchase costs, were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8"/>
        <w:gridCol w:w="3450"/>
        <w:gridCol w:w="2091"/>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Netscape:</w:t>
            </w:r>
          </w:p>
        </w:tc>
        <w:tc>
          <w:tcPr>
            <w:tcW w:w="337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$134,901.87 - 114,022.38 =</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$20,879.49</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Calibre:</w:t>
            </w:r>
          </w:p>
        </w:tc>
        <w:tc>
          <w:tcPr>
            <w:tcW w:w="337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$16,265.88 - 9,800.00 =</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6,465.88</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Telsoft:</w:t>
            </w:r>
          </w:p>
        </w:tc>
        <w:tc>
          <w:tcPr>
            <w:tcW w:w="337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$30,748.10 - 17,250.00 =</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13,498.10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Peruvian:</w:t>
            </w:r>
          </w:p>
        </w:tc>
        <w:tc>
          <w:tcPr>
            <w:tcW w:w="337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$29,006.45 - 12,115.00 =</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16,891.45</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Treminco (1995):</w:t>
            </w:r>
          </w:p>
        </w:tc>
        <w:tc>
          <w:tcPr>
            <w:tcW w:w="337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$6,841.33 - 4,900.00 =</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1,941.33</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Treminco (post 1995):</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$4,800.00 - 800.00 =</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4,000.00</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241"/>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47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$63,676.25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Netscape shares traded in U.S. dollars and in calculating the loss in Canadian dollars, I have utilized the exchange rates shown on the Wood Gundy account statements issued to Mr. Nutt for the days on which the transactions took place. The evidence at trial was that the cost figures on the account statements included the brokerage commissions and I have included them in the calculations because the commissions paid by Mr. Nutt are losses he incurred as a result of the purchases of the negligently recommended stocks. The aggregate of the above losses attributable to the 1995 transactions exceeds the net loss in the account up to October 31, 1995 because there were offsetting gains in the portfolio of approximately $13,500.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grant Mr. Nutt judgment against the Defendants in the amount of $63,676.25 plus pre-judgment interest pursuant to the Court Order Interest Act on the above amounts of purchase costs from the respective dates on which the purchases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Counsel for Mr. Nutt submitted that I should award increased costs on the grounds that he attempted to have this action tried pursuant to the Rule 66 fast track provisions and that there is a large disparity in the parties' resources. Neither ground is a proper basis for an award of increased costs. Subject to the effect of any settlement offers, I award Mr. Nutt the costs of this action on a party and party basis, to be assessed on scale 3 of the tariff. In view of the deficiencies in the export report of Mr. Cripps, I limit the recovery of the disbursement for his report (including the cost of his testimony at trial) to 75% of its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TYSOE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3"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Strata Plan BCS 4340 v. National Home Warranty Group Inc., [2016] B.C.J. No. 2781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DeWitt-Van Oosten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S152435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2781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2463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BCS 4340, Plaintiff, and National Home Warranty Group Inc., Aviva Insurance Company of Canada, Aviva Compagnie D'assurance Du Canada, West 8th Developments Limited Partnership, Icon Pacific Construction Corp., Henriquez Partners (a firm), Brock Cheadle, Quorum Construction (BC) Ltd., Miroda Masonry Ltd., Allmar Inc., Allwest Electric Ltd., 0560055 B.C. Ltd., Sterling, Cooper &amp; Associates (a firm), Ideal Door Ltd., National Door &amp; Hardware Ltd., Nemetz (S/A) &amp; Associates Ltd., Steven Nemetz, UTC Fire &amp; Security Canada (a firm), Simson-Maxwell Ltd., Vincent Helton &amp; Associates Ltd., New York Painting &amp; Coating Ltd., Christopher Phillips Inc., RDH Building Engineering Ltd., Sean Liaw, Smart-Tek Communications Inc., Starline Architectural Windows Ltd., Peter Ross 2008 Ltd., D Cube Construction Ltd., East &amp; West Alum Craft Ltd., Finished. Construction Ltd., Silverline Safety Systems Corp. (doing business as Silverline Contracting Services), Martin Kuster, Tanti Interiors Ltd., Muhsin Al-Maamiry (doing business as Determination Flooring), Allseal Firestopping Systems Inc., Nova Drywall Ltd., Brown Strachan Associates (a firm), T. Moscone &amp; Bros. Landscaping Ltd., T. Moscone &amp; Bros. Irrigation Contractors Ltd. and the City of Vancouver,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4"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0" w:name="Keywords_20"/>
      <w:bookmarkEnd w:id="130"/>
      <w:r>
        <w:rPr>
          <w:rFonts w:ascii="arial" w:eastAsia="arial" w:hAnsi="arial" w:cs="arial"/>
          <w:b/>
          <w:color w:val="000000"/>
          <w:sz w:val="20"/>
          <w:lang w:val="en-US" w:eastAsia="en-US" w:bidi="ar-SA"/>
        </w:rPr>
        <w:t>Civil litigation — Civil procedure — Pleadings — Amendment of — Statement of claim — Leave to amend — Striking out pleadings or allegations — Grounds — Failure to disclose a cause of action or defence — Application by four defendants for order striking plaintiff's claim as against them dismissed — Plaintiff was strata corporation that commenced action against 38 defendants seeking damages for defects and water ingress arising from alleged faulty materials, workmanship and design — Applicants raised valid concern regarding deficiency of pleadings — Claim did not sufficiently outline chronology or specifically identify work done by each defendant and link that work to defects — It was not plain and obvious complex claim would fail — Appropriate remedy was to grant plaintiff leave to amend, with applicants at liberty to reapply following amendment.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Proceedings — Practice and procedure — Pleadings — Application by four defendants for order striking plaintiff's claim as against them dismissed — Plaintiff was strata corporation that commenced action against 38 defendants seeking damages for defects and water ingress arising from alleged faulty materials, workmanship and design — Applicants raised valid concern regarding deficiency of pleadings — Claim did not sufficiently outline chronology or specifically identify work done by each defendant and link that work to defects — It was not plain and obvious complex claim would fail — Appropriate remedy was to grant plaintiff leave to amend, with applicants at liberty to reapply following amendment.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1" w:name="Case Summary_17"/>
            <w:bookmarkEnd w:id="13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four defendants for an order striking the plaintiff's pleadings as against them. The plaintiff was a strata corporation whose members owned lots in a Vancouver high-rise complex. The plaintiff alleged the complex suffered from multiple defects arising out of faulty materials, workmanship and design. The plaintiff alleged the defects caused water ingress damaging interior and exterior walls, and soil erosion in landscaped areas. The plaintiff commenced litigation against 38 named defendants, comprised of warranty providers, developers, architects, contractors, managers, suppliers, and engineers responsible for the design, development and construction of the complex. The pleading alleged triable issues for breach of warranty,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a duty to warn. At present, many defendants had yet to respond to the claim and the discovery process had yet to commence. Four defendants sought to have the pleadings struck as against them, or alternatively, an order for particulars.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2" w:name="Holdings of Court_14"/>
            <w:bookmarkEnd w:id="132"/>
            <w:r>
              <w:rPr>
                <w:rFonts w:ascii="arial" w:eastAsia="arial" w:hAnsi="arial" w:cs="arial"/>
                <w:color w:val="000000"/>
                <w:sz w:val="20"/>
                <w:lang w:val="en-US" w:eastAsia="en-US" w:bidi="ar-SA"/>
              </w:rPr>
              <w:t>HELD: Application dismissed with plaintiff granted leave to amend claim.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pleadings were deficient. The statement of claim did not sufficiently outline the chronology of the complex's design, development or construction, and failed to identify the specifics of the work done by each defendant. The defects alleged in the claim were not specifically tied to any wrongful acts or omissions on the part of the applicant defendants. The applicant defendants were properly concerned that the allegations against them lacked factual specificity. Given the inherently complicated nature of the plaintiff's action, it could not be said at present that its claim disclosed no cause of action against the applicant defendants, or was bound to fail. The appropriate remedy at present was to grant leave to amend the statement of claim with the applicants at liberty to reapply to strike following amendment. The request for particulars was adjourned. The applicants were granted costs of their application in any event of the cause.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3" w:name="Legislation Cited_13"/>
      <w:bookmarkEnd w:id="1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5"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Strata Property Act,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3-7</w:t>
      </w:r>
      <w:r>
        <w:rPr>
          <w:rFonts w:ascii="arial" w:eastAsia="arial" w:hAnsi="arial" w:cs="arial"/>
          <w:color w:val="000000"/>
          <w:sz w:val="20"/>
          <w:lang w:val="en-US" w:eastAsia="en-US" w:bidi="ar-SA"/>
        </w:rPr>
        <w:t>, Rule 5-2, Rule 6-1(4), Rule 9-5(1)(a), Rule 9-5(2)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4" w:name="Counsel_20"/>
      <w:bookmarkEnd w:id="13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6"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Satprakash D. Harwood, Jonathan M. Chatten.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National Home Warranty Group, Aviva Insurance Company of Canada and Aviva Compagnie D'Assurance Du Canada: Jill M. Shore, Eric C. Girard.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Brown Strachan Associates: Melissa Bryden.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Christopher Phillips Inc.: Steven H. Haakonson.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 Moscone &amp; Bros. Landscaping Ltd. and T. Moscone &amp; Bros. Irrigation Contractors: Steven W. Lesiuk, Jesse N. Halperin.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West 8th Development LP and Icon Pacific Construction Corp.: John J. Kim.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5" w:name="Judgment_19"/>
      <w:bookmarkEnd w:id="135"/>
      <w:r>
        <w:pict>
          <v:line id="_x0000_s1127" style="position:absolute;z-index:25183232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An amended decision was released by the Board in accordance with Decision No. 2016/0254, dated March 31, 2016. The changes were not indicated. This document contains the amended text.]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6" w:name="DEWITT-VAN OOSTEN J. (orally)"/>
            <w:bookmarkEnd w:id="136"/>
            <w:r>
              <w:rPr>
                <w:rFonts w:ascii="arial" w:eastAsia="arial" w:hAnsi="arial" w:cs="arial"/>
                <w:b/>
                <w:color w:val="000000"/>
                <w:sz w:val="30"/>
                <w:lang w:val="en-US" w:eastAsia="en-US" w:bidi="ar-SA"/>
              </w:rPr>
              <w:t>DEWITT-VAN OOSTEN J. (orally)</w:t>
            </w:r>
          </w:p>
        </w:tc>
      </w:tr>
    </w:tbl>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An amended decision was released by the Board in accordance with page 2 on January 11, 2017. The changes were not indicated. This document contains the amended 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is a strata corporation established under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Its members own strata lots in a concrete high-rise condominium complex that is located at 700 West 8 Avenue in Vancouver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that the Condominium suffers from multiple defects arising out of faulty materials, workmanship and design. It claims that these defects have caused and continue to cause damage to the Condominium. Among other things, this includes water ingress into the Condominium, damage to the interior and exterior walls and soil erosion in the landscaped areas. The defects are alleged to pose a "real and substantial danger" to the owners, occupants and visitors of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March 20, 2015, the plaintiff filed a notice of civil claim against 38 separate defendants (although since then, the action has been discontinued against six parties). The defendants consist of warranty providers, a developer, architects, contractors, managers, engineers, commercial suppliers and other companies or persons who are said to have played a role in the design, development or construction of the Condominium. The City of Vancouver is named as a defendant on grounds that it was the municipal authority that approved of and inspected the design and construction of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Service of the civil claim commenced in spring 2016. Many of the defendants have not yet filed a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An amended notice of civil claim was filed on October 28, 2016 (the "Amended Claim"). It seeks various forms of relief, including specific performance, general and special damages. Stated causes of action include breach of warranty,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a duty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Many of the defendants have not yet listed their documents. Some have produced documents, but they are limited. At least one of the defendants, perhaps more, has declined production in the absence of greater clarity on the scope of the action. No parties have been examined for discovery. A case planning conference under Rule 5-2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(the "Rules") is scheduled for February 1, 2017. The Amended Claim has not been set for trial and there has been no exchange of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November 25, 2016, four defendants: (1) Christopher Phillips Inc., (2) Brown Strachan Associates, (3) T. Moscone &amp; Bros. Landscaping Ltd., and (4) T. Moscone &amp; Bros. Irrigation Contractors Ltd., brought an application to have the pleadings against them struck or, alternatively, an order for particulars to be met within 10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APPLICATION SPECIFICS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Written submissions were provided by the applicants, identifying in considerable detail the defects that they say exist with the Amended Claim. For the purpose of these </w:t>
      </w:r>
      <w:r>
        <w:rPr>
          <w:rFonts w:ascii="arial" w:eastAsia="arial" w:hAnsi="arial" w:cs="arial"/>
          <w:i/>
          <w:color w:val="000000"/>
          <w:sz w:val="20"/>
          <w:lang w:val="en-US" w:eastAsia="en-US" w:bidi="ar-SA"/>
        </w:rPr>
        <w:t>Reasons</w:t>
      </w:r>
      <w:r>
        <w:rPr>
          <w:rFonts w:ascii="arial" w:eastAsia="arial" w:hAnsi="arial" w:cs="arial"/>
          <w:color w:val="000000"/>
          <w:sz w:val="20"/>
          <w:lang w:val="en-US" w:eastAsia="en-US" w:bidi="ar-SA"/>
        </w:rPr>
        <w:t>, I will not go through their submissions point by point. There is overlap between them. Instead, I have captured what I see as the essence of their complaints in the summaries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applicants served notice of their applications on the other defendants named in the Amended Claim. For the most part, the other defendants took no position on the applications. I heard from counsel for National Home Warranty Group, Aviva Insurance Company and Aviva Compagnie D'Assurance Du Canada. He did not make substantive submissions on the points raised by the applicants, other than to ask that any order made by the Court not prejudice the ability of the Condominium's warranty or insurance providers to bring subrogated claims where determined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Christopher Phillips Inc. ("CPI")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CPI is described in the Amended Claim as the "Landscape Architect that provided landscaping consulting and other services with respect to the design and/or construction of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CPI received notice of the original claim in February 2016 and filed a response on May 31, 2016. On June 7, 2016, it served the plaintiff with a demand for particulars. Repeated demands were made for a response over the next five months. No response was forthcoming. In October, the plaintiff filed the Amended Claim. A response to CPI's demand for particulars arrived on November 4, 2016. With the exception of six paragraphs, CPI says the response largely repeats the changes that were made to the original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CPI complains that in the Amended Claim, the plaintiff does not say "what it is that CPI did, or did not do" that caused the defects and damage at the Condominium. It argues that these facts "are essential in order to formulate a complete cause of action" and the Amended Claim is "devoid of any specific allegation against CPI".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Brown Strachan Associates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Brown is described in the Amended Claim as the "engineer that provided acoustical consulting and engineering services with respect to the design and/or construction of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Brown was served with notice of the original claim in February 2016. On October 4, 2016, it served the plaintiff with a demand for particulars. On November 2, Brown was told the plaintiff would not be responding to the demand because it had since filed an amended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Brown says the Amended Claim contains no material facts that establish a specific duty of care or duty to warn on the part of Brown. Instead, the plaintiff has "lumped" together various defendants and made "blanket allegations" against them. Not only are the allegations devoid of material facts, some of the allegations made against Brown make no sense in light of Brown's role in acoustical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For instance, the Amended Claim attributes dangers arising out of "sidewalk ice formation" to Brown, as well as "tripping/falling hazard[s]" at the entrance to the Condominium's parkade. Yet, Brown's work was in the area of acoustics. Brown says the plaintiff has a "preliminary report on the acoustical defects" in the Condominium. However, no related facts have been included in the Amended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Brown complains that as its "legal basis" for the action, the plaintiff has listed six provincial statutes, with no specification on what portions of these statutes are actually engaged by the defendants' work, or how they have been contravened. Moreover, some of the causes of action are missing constituent elements. For example, the plaintiff alleges a breach of the duty to warn, but does not include any reference to reliance, which Brown says is a necessary element.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C.T. Moscone &amp; Bros. Landscaping Ltd;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 Moscone &amp; Bros. Irrigation Contractors Ltd. (jointly "Moscone")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two Moscone defendants have brought their applications as one. In the Amended Claim, Moscone is described as the "contractor that supplied and installed the landscaping and designed, supplied and installed the irrigation works at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original claim was served on Moscone in March 2016 and a response was filed on May 9, 2016. In May, Moscone wrote to the plaintiff identifying specific "deficiencies" in the original claim and asked whether amendments would be forthcoming. The letter was accompanied by a demand for particulars. Further correspondence took place between the parties and Moscone continued to raise concerns with the pleadings. From Moscone's perspective, the Amended Claim has not addressed its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Moscone says there is a "significant absence of material facts" in the Amended Claim that is necessary to "establish the purported causes of action". The plaintiff "pleads conclusions of law without the requisite material facts". Moreover, the allegations made are "vague and lack precision and the specificity that is necessary to establish causes of action". The Claim does not adequately inform the defendants of the "case to be met and leave[s] them to speculate as to the claims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Plaintiff's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opposes the applications to strike and says they fail to appreciate that CPI, Brown and Moscone have been named as defendants in 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complex, multiparty construction defect claim in which many parties have yet to file their responses to civil claim, most parties have yet to produce their documents, no examinations for discovery have been completed, no expert reports have been exchanged, engineering investigations are ongoing and the method and cost of repairs is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argues that its pleadings disclose triable issues for breach of warranty,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a duty to warn and because of the complexity of the action, this is sufficient for present purposes. The plaintiff says it should be given latitude under the Rules to further define its claims as it moves forward in the litigation process. Some of the particulars demanded by CPI, Brown and Moscone are improper because they "seek evidence". They are also premature as "they require discovery evidence, expert evidence or a combination of the two" before the plaintiff can respond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says that the 10-day time limit for particulars suggested by CPI, Brown and Moscone is unrealistic. Instead, the plaintiff recently offered that particulars be provided within 16 months, subject to an extension of that date by consent or court order. The plaintiff says this approach is consistent with a recent decision of Master Taylor in </w:t>
      </w:r>
      <w:r>
        <w:rPr>
          <w:rFonts w:ascii="arial" w:eastAsia="arial" w:hAnsi="arial" w:cs="arial"/>
          <w:i/>
          <w:color w:val="000000"/>
          <w:sz w:val="20"/>
          <w:lang w:val="en-US" w:eastAsia="en-US" w:bidi="ar-SA"/>
        </w:rPr>
        <w:t>The Owners, Strata Plan NES 3113 v. National Home Warranty Group Inc. et al.</w:t>
      </w:r>
      <w:r>
        <w:rPr>
          <w:rFonts w:ascii="arial" w:eastAsia="arial" w:hAnsi="arial" w:cs="arial"/>
          <w:color w:val="000000"/>
          <w:sz w:val="20"/>
          <w:lang w:val="en-US" w:eastAsia="en-US" w:bidi="ar-SA"/>
        </w:rPr>
        <w:t>, (BCSC, November 15, 2016), in which he set a 10-month deadline for particulars in a case involving two strata councils that "cast the net widely" in their claim arising out of building defects because, at least in part, they did not know "who to point the litigation finger at directly" (para. 4). Master Taylor also allowed that the deadline for particulars be extended by consent, or with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If the Court finds deficiencies in the Amended Claim, the plaintiff asks for leave to amend its pleadings rather than have them struck, in whole or in part. Moreover, any order for the production of particulars should accord with the time-frame already suggested to CPI, Brown and Moscone; namely, 16 months from the date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REVIEW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have reviewed the Amended Claim, with a particular focus on the portions directly relevant to CPI, Brown and Moscone. The Amended Claim is 47 pages. My observations are as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Under Part I, Statement of Facts, there are no facts that speak to the background or chronology of the Condominium's design, development or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Statement of Facts contains a section entitled "The Roles of the Defendants". This section lists each of the named defendants and provides a generalized description of their roles in the design, development or construction of the Condominium. However, there are no facts that identify the specifics of the work done by each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Statement of Facts also contains a section entitled "Defects". This section starts on page 9 of the Amended Claim and ends on page 15. It lists numerous defects that are said to have been "caused by faulty materials, workmanship and the design" of the Condominium. These include defects to: (a) the parkade; (b) building exterior; (c) windows and doors; (d) balconies and terraces; (e) building interior; (f) mechanical/electrical; (g) heating and cooling system; and (h) fire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this same section, the plaintiff identifies the "Resultant Damage" that it says has arisen from the "Defects", as well as damage that "pose[s] a real and substantial danger" to the owners, occupants and visitors of the Condominium (which the plaintiff has labelled as "Dangerous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However, there are no facts included with the delineation of "Defects", "Resultant Damage" or "Dangerous Defects" that specify the allegedly wrongful acts or omissions on the part of CPI, Brown or Moscone, or how these acts or omissions are connected to the "Defects", "Resultant Damage" or "Dangerous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first mention of specifics in relation to Moscone occurs at page 23 of the Amended Claim. In paragraphs 112-114, the plaintiff alleges that Moscone "provided the Plaintiff with an express or implied warranty of fitness and workmanlike quality with respect to the common property and strata lots of the Condominium". It then asserts a number of express or implied terms of the said warranty and describes the manner in which the warranty has been breached. Cross-references are drawn between the Moscone warranty, the alleged breaches and some of the "Defects". However, this is expressed in general terms. Paragraphs 112 to 114 do not contain any facts that underlay acts or omissions on the part of Moscone that are said to constitute 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For example, at paragraph 114(a), Moscone is alleged to have "failed to repair or cause to be repaired any defects in its work including, but not limited to, irrigation and landscaping defects". At paragraph 114(b), the plaintiff asserts that "the irrigation and landscaping and all other aspects of the Condominium on which Moscone worked were not constructed and installed in a good and workman-like manner, free from any defects attributable to faulty design, materials or workmanship, including, but not limited to irrigation and landscaping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is the extent of the detail provided. There are no facts that reveal how Moscone failed to repair defects in its work, or what part of Moscone's work was not constructed and installed in a good and workman-like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page 25 of the Amended Claim, the plaintiff alleges a "breach of duty of care" on the part of all defendants. This necessarily includes CPI, Brown and Moscone. It reads this way at paragraph 118: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owed the Plaintiff and Owners a duty of care to take all reasonable steps to ensure that the Condominium would be: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designed and constructed in a good and workmanlike manner;</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designed and constructed with suitable materials;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designed and constructed in compliance with the Building Code, the Bylaws, all other applicable codes, regulations, enactments and industry standards;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[removed from amended Notice of Claim]</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designed and constructed free from any defects, including the Defects;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adequately inspected during and after construction; and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free of risks to the health and safety of the Owners, occupants and visitors.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No facts are included in paragraph 118 that specify how the defendants are said to have breached this duty to care, or the various facets of the duty as listed.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pages 29 and 30, "further" duties of care that are said to be owed by Brown and CPI are addressed. Paragraph 120.3 speaks to Brown and paragraph 120.4 speaks to CPI. When these paragraphs are compared, the "further" duties of care have been expressed for both defendants using fundamentally the same language and in general terms only. No facts are included as to how these duties are said to have been breached by Brown or CPI.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This same approach has been taken to the "further" duties of care that are said to be owed by Moscone (paragraph 120.6 of the Claim, page 32). For example, one of the "further" duties is articulated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Moscone further owed the Plaintiff and Owners a duty of care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ensure that its work, including its work on the landscaping and irrigation systems, complied with all industry standards, manufacturer's instructions, building codes and statutory requirements, including the Building Code and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is no specification of what industry standards are being relied upon; what the manufacturer's instructions consist of; or which building codes, statutory requirements or bylaws are said to be engaged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page 40 of the Amended Claim, these paragraphs appear and apply to all defendants: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prior to, during and after the construction of the Condominium, the Defendants knew or should have known that their services, work or products would give rise to dangerous conditions which thereby created a hazard for the Owners, occupants and visitors of the Condominium.</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prior to, during and after the construction of the Condominium, each Defendant owed the Plaintiff and Owners a duty to warn the Plaintiff, Owners, other Defendants and other persons that the services, work or products of the Defendants would give rise to hazardous conditions that posed a health or safety risk to the Owners, occupants or visitors of the Condominium.</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breached the foregoing duties to the Plaintiff and the Owners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No facts are included with paragraphs 126-128 setting out how the defendants are said to have "breached the foregoing duties", including CPI, Brown and Moscone.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Under a section entitled "Causation" at page 40, the plaintiff sets out the causal connection between the allegations made against the defendants and the damages sustained. At paragraph 129.F, Moscone's breach of its warranty,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of CPI are said to have caused or contributed to "the defects in the landscaping and irrigation systems and other components of the Condominium on which [they] worked", including certain of the "Defects", "Resultant Damage" and "Dangerous Defects". However, paragraph 129.F does not provide any facts on how Moscone breached its warranty, or how Moscone and CPI are said to have been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paragraph 129.Q, Brown is addressed. The Amended Claim asserts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Brown" has caused or contributed to "the defects in the acoustics and other components of the Condominium on which it worked", including certain of the "Defects" and "Resultant Damage". The plaintiff does not provide any factual specifics on what acts or omissions by Brown underlay the causal nexus. This paragraph also says that Brown's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caused or contributed to the "Dangerous Defects", without specifying which ones. The "Dangerous Defects" include things such as "sidewalk ice formation" (paragraph 86(a)) and "tripping/falling hazard[s]" at the entrance to the parkade (paragraph 86(b)). As noted, Brown's role in the design, development or construction of the Condominium was focused on acoustics.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Amended Claim includes a "Loss and Damage" section under the Statement of Facts, which simply says at paragraph 130 that loss and damage has been suffered because of the breaches of warranty laid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Again, there is no factual specification on how these warranties have been breached, or what acts or omissions by each of the defendants have been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Under Part 3 of the Amended Claim, the plaintiff sets out the "Legal Basis" for the allegations that it makes against all defendants. Six provincial statutes are listed, with no specification of what portions of these statutes are engaged on the Condominium's facts or how the defendants, including CPI, Brown and Moscone, are said to have breached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After reading through the Amended Claim, the concerns expressed by CPI, Brown and Moscone are not without merit. The allegations against them are stated largely in general terms; there is little, if any, factual specificity.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agree with CPI, Brown and Moscone that the current pleadings offer no factual narrative on what these defendants are said to have done wrong, or how their individual acts or omissions have breached duties owed or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has brought about the Condominium's "Defects", "Resultant Damage" or "Dangerous Defects". I also agree that because of the generalized language and a tendency to attach all wrongs to all defendants, rather than distinguish between them, there are portions of the Amended Claim that, on their face, seem illogical in light of the defects or damages attributed to a particular defendant and the nature of the work or services provided by that same defendant to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can discern from the Amended Claim that CPI, Brown and Moscone worked on the Condominium and that they did so in the areas of landscaping and acoustics. I can also discern that Moscone is being sued for a purported breach of an implied or express warranty, and that the plaintiff claims against all four of these defendants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a duty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However, I cannot tell from the Amended Claim what work each of these defendants factually did in respect of the Condominium; what specific acts or omissions are said to constitute a breach of their duties or obligations; or, how the failures or breaches of these defendants, as opposed to the failures or breaches of others, have causally led to some or all of the "Defects", "Resultant Damage" or "Dangerous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Application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parties do not disagree about the test I must apply under Rule 9-5(1)(a); namely, a civil claim will only be struck where it is "plain and obvious" that the pleading discloses no reasonable cause of action (</w:t>
      </w:r>
      <w:r>
        <w:rPr>
          <w:rFonts w:ascii="arial" w:eastAsia="arial" w:hAnsi="arial" w:cs="arial"/>
          <w:i/>
          <w:color w:val="000000"/>
          <w:sz w:val="20"/>
          <w:lang w:val="en-US" w:eastAsia="en-US" w:bidi="ar-SA"/>
        </w:rPr>
        <w:t>Knight v. Imperial Tobacco Canada Ltd.</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 It is acknowledged by both sides that the Court must take a "generous" approach to this issue and err on the side of permitting novel but arguable claims to proceed to trial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at para. 21). Also, for the purpose of the analysis under Rule 9-5(1)(a), I must assume that the facts pleaded are true and no evidence is admissible on the application (Rule 9-5(2)).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CPI, Brown and Moscone rely heavily on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in making their application to strike. They recognize the serious nature of the remedy they seek; however, they are of the view that this case meets the threshold for striking the pleadings, however draconian it may be. They have emphasized the following comments from paragraphs 22-25 of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 It is incumbent on the claimant to clearly plead the facts upon which it relies in making its claim. </w:t>
      </w:r>
      <w:r>
        <w:rPr>
          <w:rFonts w:ascii="arial" w:eastAsia="arial" w:hAnsi="arial" w:cs="arial"/>
          <w:color w:val="000000"/>
          <w:sz w:val="20"/>
          <w:u w:val="single"/>
          <w:lang w:val="en-US" w:eastAsia="en-US" w:bidi="ar-SA"/>
        </w:rPr>
        <w:t>A claimant is not entitled to rely on the possibility that new facts may turn up as the case progresses. The claimant may not be in a position to prove the facts pleaded at the time of the motion. It may only hope to be able to prove them. But plead them it must</w:t>
      </w:r>
      <w:r>
        <w:rPr>
          <w:rFonts w:ascii="arial" w:eastAsia="arial" w:hAnsi="arial" w:cs="arial"/>
          <w:color w:val="000000"/>
          <w:sz w:val="20"/>
          <w:lang w:val="en-US" w:eastAsia="en-US" w:bidi="ar-SA"/>
        </w:rPr>
        <w:t>. The facts pleaded are the firm basis upon which the possibility of success of the claim must be evaluated. If they are not pleaded, the exercise cannot be properly conducted.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Before us, Imperial and the other tobacco companies argued that the motion to strike should take into account, not only the facts pleaded, but the possibility that as the case progressed, the evidence would reveal more about Canada's conduct and role in promoting the use of low-tar cigarettes. This fundamentally misunderstands what a motion to strike is about. It is not about evidence, but the pleadings. The facts pleaded are taken as true. </w:t>
      </w:r>
      <w:r>
        <w:rPr>
          <w:rFonts w:ascii="arial" w:eastAsia="arial" w:hAnsi="arial" w:cs="arial"/>
          <w:color w:val="000000"/>
          <w:sz w:val="20"/>
          <w:u w:val="single"/>
          <w:lang w:val="en-US" w:eastAsia="en-US" w:bidi="ar-SA"/>
        </w:rPr>
        <w:t>Whether the evidence substantiates the pleaded facts, now or at some future date, is irrelevant to the motion to strike</w:t>
      </w:r>
      <w:r>
        <w:rPr>
          <w:rFonts w:ascii="arial" w:eastAsia="arial" w:hAnsi="arial" w:cs="arial"/>
          <w:color w:val="000000"/>
          <w:sz w:val="20"/>
          <w:lang w:val="en-US" w:eastAsia="en-US" w:bidi="ar-SA"/>
        </w:rPr>
        <w:t>. The judge on the motion to strike cannot consider what evidence adduced in the future might or might not show. To require the judge to do so would be to gut the motion to strike of its logic and ultimately render it useless.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 </w:t>
      </w:r>
      <w:r>
        <w:rPr>
          <w:rFonts w:ascii="arial" w:eastAsia="arial" w:hAnsi="arial" w:cs="arial"/>
          <w:color w:val="000000"/>
          <w:sz w:val="20"/>
          <w:u w:val="single"/>
          <w:lang w:val="en-US" w:eastAsia="en-US" w:bidi="ar-SA"/>
        </w:rPr>
        <w:t>The judge on a motion to strike asks if the claim has any reasonable prospect of success. In the world of abstract speculation, there is a mathematical chance that any number of things might happen. That is not what the test on a motion to strike seeks to determine</w:t>
      </w:r>
      <w:r>
        <w:rPr>
          <w:rFonts w:ascii="arial" w:eastAsia="arial" w:hAnsi="arial" w:cs="arial"/>
          <w:color w:val="000000"/>
          <w:sz w:val="20"/>
          <w:lang w:val="en-US" w:eastAsia="en-US" w:bidi="ar-SA"/>
        </w:rPr>
        <w:t xml:space="preserve">. Rather, it operates on the assumption that the claim will proceed through the court system in the usual way -- in an adversarial system where judges are under a duty to apply the law as set out in (and as it may develop from) statutes and precedent. The question is whether, considered in </w:t>
      </w:r>
      <w:r>
        <w:rPr>
          <w:rFonts w:ascii="arial" w:eastAsia="arial" w:hAnsi="arial" w:cs="arial"/>
          <w:i/>
          <w:color w:val="000000"/>
          <w:sz w:val="20"/>
          <w:lang w:val="en-US" w:eastAsia="en-US" w:bidi="ar-SA"/>
        </w:rPr>
        <w:t>the context of the law and the litigation process</w:t>
      </w:r>
      <w:r>
        <w:rPr>
          <w:rFonts w:ascii="arial" w:eastAsia="arial" w:hAnsi="arial" w:cs="arial"/>
          <w:color w:val="000000"/>
          <w:sz w:val="20"/>
          <w:lang w:val="en-US" w:eastAsia="en-US" w:bidi="ar-SA"/>
        </w:rPr>
        <w:t>, the claim has no reasonable chance of succeeding.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CPI, Brown and Moscone argue that the Amended Claim is in the nature of a "fishing expedition". In their view, the plaintiff has filed generic, all-encompassing pleadings that intentionally seek to bring everyone who had anything to do with designing, developing or constructing the Condominium within the scope of potential liability. It will now use the litigation process as a means by which to discover the named defendants; obtain relevant material from them; and then, based on the material facts that it gathers, the plaintiff will make a decision on who should properly be a party to its litigation and build its case from there. In the interim, CPI, Brown and Moscone, as well as other of the named defendants, will be left under the weight of a lawsuit with little ability to take action in moving the matter forward, or seek an individualized remedy because they do not know what it is that they are facing.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CPI, Brown and Moscone argue that the approach taken by the plaintiff is not only contrary to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but to numerous other authorities that emphasize the critical importance of including material facts in a notice of claim. From their perspective, material facts (as distinct from particulars) are essential for each cause of action that is asserted by a plaintiff, and, in the absence of material facts, a cause of action is not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support of their position, CPI, Brown and Moscone have referenced </w:t>
      </w:r>
      <w:r>
        <w:rPr>
          <w:rFonts w:ascii="arial" w:eastAsia="arial" w:hAnsi="arial" w:cs="arial"/>
          <w:i/>
          <w:color w:val="000000"/>
          <w:sz w:val="20"/>
          <w:lang w:val="en-US" w:eastAsia="en-US" w:bidi="ar-SA"/>
        </w:rPr>
        <w:t>Forde v. Interior Health Authority</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2007 BCSC 1706</w:t>
        </w:r>
      </w:hyperlink>
      <w:r>
        <w:rPr>
          <w:rFonts w:ascii="arial" w:eastAsia="arial" w:hAnsi="arial" w:cs="arial"/>
          <w:color w:val="000000"/>
          <w:sz w:val="20"/>
          <w:lang w:val="en-US" w:eastAsia="en-US" w:bidi="ar-SA"/>
        </w:rPr>
        <w:t>, wherein Russell J.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There is ample authority for the proposition that, </w:t>
      </w:r>
      <w:r>
        <w:rPr>
          <w:rFonts w:ascii="arial" w:eastAsia="arial" w:hAnsi="arial" w:cs="arial"/>
          <w:color w:val="000000"/>
          <w:sz w:val="20"/>
          <w:u w:val="single"/>
          <w:lang w:val="en-US" w:eastAsia="en-US" w:bidi="ar-SA"/>
        </w:rPr>
        <w:t>although pleadings may be general, they must be specific enough to show on what grounds the proposed defendant is being sued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Strata Plan LMS 2869 v. Redekop Properties (Lonsdale) Inc.</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2002 BCSC 1608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Mareigh v. Demco</w:t>
      </w:r>
      <w:r>
        <w:rPr>
          <w:rFonts w:ascii="arial" w:eastAsia="arial" w:hAnsi="arial" w:cs="arial"/>
          <w:color w:val="000000"/>
          <w:sz w:val="20"/>
          <w:lang w:val="en-US" w:eastAsia="en-US" w:bidi="ar-SA"/>
        </w:rPr>
        <w:t xml:space="preserve"> (1981), 21 C.P.C. 101 (B.C.S.C.); </w:t>
      </w:r>
      <w:r>
        <w:rPr>
          <w:rFonts w:ascii="arial" w:eastAsia="arial" w:hAnsi="arial" w:cs="arial"/>
          <w:i/>
          <w:color w:val="000000"/>
          <w:sz w:val="20"/>
          <w:lang w:val="en-US" w:eastAsia="en-US" w:bidi="ar-SA"/>
        </w:rPr>
        <w:t>Hunt v. T&amp;N plc. et al</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(1989), 41 B.C.L.R. (2d) 269</w:t>
        </w:r>
      </w:hyperlink>
      <w:r>
        <w:rPr>
          <w:rFonts w:ascii="arial" w:eastAsia="arial" w:hAnsi="arial" w:cs="arial"/>
          <w:color w:val="000000"/>
          <w:sz w:val="20"/>
          <w:lang w:val="en-US" w:eastAsia="en-US" w:bidi="ar-SA"/>
        </w:rPr>
        <w:t xml:space="preserve">, 38 C.P.C. (2d) 1 (B.C.C.A.); </w:t>
      </w:r>
      <w:r>
        <w:rPr>
          <w:rFonts w:ascii="arial" w:eastAsia="arial" w:hAnsi="arial" w:cs="arial"/>
          <w:i/>
          <w:color w:val="000000"/>
          <w:sz w:val="20"/>
          <w:lang w:val="en-US" w:eastAsia="en-US" w:bidi="ar-SA"/>
        </w:rPr>
        <w:t>Robson Bulldozing Ltd. v. Royal Bank of Canada et al</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(1985), 62 B.C.L.R. 267</w:t>
        </w:r>
      </w:hyperlink>
      <w:r>
        <w:rPr>
          <w:rFonts w:ascii="arial" w:eastAsia="arial" w:hAnsi="arial" w:cs="arial"/>
          <w:color w:val="000000"/>
          <w:sz w:val="20"/>
          <w:lang w:val="en-US" w:eastAsia="en-US" w:bidi="ar-SA"/>
        </w:rPr>
        <w:t xml:space="preserve"> (B.C.S.C.)).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Sperling v. "Queen of Nanaimo" (The)</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2014 BCSC 326</w:t>
        </w:r>
      </w:hyperlink>
      <w:r>
        <w:rPr>
          <w:rFonts w:ascii="arial" w:eastAsia="arial" w:hAnsi="arial" w:cs="arial"/>
          <w:color w:val="000000"/>
          <w:sz w:val="20"/>
          <w:lang w:val="en-US" w:eastAsia="en-US" w:bidi="ar-SA"/>
        </w:rPr>
        <w:t xml:space="preserve">, at paras. 26 - 29; and </w:t>
      </w:r>
      <w:r>
        <w:rPr>
          <w:rFonts w:ascii="arial" w:eastAsia="arial" w:hAnsi="arial" w:cs="arial"/>
          <w:i/>
          <w:color w:val="000000"/>
          <w:sz w:val="20"/>
          <w:lang w:val="en-US" w:eastAsia="en-US" w:bidi="ar-SA"/>
        </w:rPr>
        <w:t>Jaholkowski v. Gascoyne</w:t>
      </w:r>
      <w:r>
        <w:rPr>
          <w:rFonts w:ascii="arial" w:eastAsia="arial" w:hAnsi="arial" w:cs="arial"/>
          <w:color w:val="000000"/>
          <w:sz w:val="20"/>
          <w:lang w:val="en-US" w:eastAsia="en-US" w:bidi="ar-SA"/>
        </w:rPr>
        <w:t>, BCSC Vancouver Registry No. 092652, 2012 (unreported), at paras. 21 - 22, 27 and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four defendants also rely upon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2013 BCSC 1143</w:t>
        </w:r>
      </w:hyperlink>
      <w:r>
        <w:rPr>
          <w:rFonts w:ascii="arial" w:eastAsia="arial" w:hAnsi="arial" w:cs="arial"/>
          <w:color w:val="000000"/>
          <w:sz w:val="20"/>
          <w:lang w:val="en-US" w:eastAsia="en-US" w:bidi="ar-SA"/>
        </w:rPr>
        <w:t>. There, within the context of a proposed notice of claim that was 49 pages, included 191 paragraphs and named 49 defendants, Voith J.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 a proper notice of civil claim enables a defendant to identify the claim he or she must address and meet. The response filed by a defendant, together with the notice of civil claim and further particulars, if any, will confine the ambit of examinations for discovery and of the issues addressed at the trial itself. Proper pleadings limit the prospect of delay or adjournments. They allow parties to focus their resources on those matters that are of import and to ignore those that are not. They facilitate effective case management and the role of the trier of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A proper notice of civil claim also advances the fairness of pre-trial processes and of the trial. </w:t>
      </w:r>
      <w:r>
        <w:rPr>
          <w:rFonts w:ascii="arial" w:eastAsia="arial" w:hAnsi="arial" w:cs="arial"/>
          <w:color w:val="000000"/>
          <w:sz w:val="20"/>
          <w:u w:val="single"/>
          <w:lang w:val="en-US" w:eastAsia="en-US" w:bidi="ar-SA"/>
        </w:rPr>
        <w:t>Defendants should not be required to divine the claim(s) being made against them. They should not have to guess what it is they are alleged to have done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Sun Oil Ltd. v. Big Snowy Resources, L.P.</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2015 BCSC 167</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Counsel for CPI and Moscone spent considerable time in their submissions highlighting the difference between material facts and further particulars. A plaintiff "cannot file inadequate pleadings and rely on a defendant to demand particulars, nor can they supplement insufficient pleadings to make them sufficient through particulars"; see </w:t>
      </w:r>
      <w:r>
        <w:rPr>
          <w:rFonts w:ascii="arial" w:eastAsia="arial" w:hAnsi="arial" w:cs="arial"/>
          <w:i/>
          <w:color w:val="000000"/>
          <w:sz w:val="20"/>
          <w:lang w:val="en-US" w:eastAsia="en-US" w:bidi="ar-SA"/>
        </w:rPr>
        <w:t>Mancuso v. Canada (Minister of National Health and Welfare)</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2015 FCA 227</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Border Enterprises Ltd. v. Beazer East, Inc.</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2003 BCSC 49</w:t>
        </w:r>
      </w:hyperlink>
      <w:r>
        <w:rPr>
          <w:rFonts w:ascii="arial" w:eastAsia="arial" w:hAnsi="arial" w:cs="arial"/>
          <w:color w:val="000000"/>
          <w:sz w:val="20"/>
          <w:lang w:val="en-US" w:eastAsia="en-US" w:bidi="ar-SA"/>
        </w:rPr>
        <w:t xml:space="preserve">, at para. 31; and </w:t>
      </w:r>
      <w:r>
        <w:rPr>
          <w:rFonts w:ascii="arial" w:eastAsia="arial" w:hAnsi="arial" w:cs="arial"/>
          <w:i/>
          <w:color w:val="000000"/>
          <w:sz w:val="20"/>
          <w:lang w:val="en-US" w:eastAsia="en-US" w:bidi="ar-SA"/>
        </w:rPr>
        <w:t>The Ahousaht Indian Band v. The Attorney General of Canada</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2006 BCSC 166</w:t>
        </w:r>
      </w:hyperlink>
      <w:r>
        <w:rPr>
          <w:rFonts w:ascii="arial" w:eastAsia="arial" w:hAnsi="arial" w:cs="arial"/>
          <w:color w:val="000000"/>
          <w:sz w:val="20"/>
          <w:lang w:val="en-US" w:eastAsia="en-US" w:bidi="ar-SA"/>
        </w:rPr>
        <w:t>, at paras.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does not take issue with the legal principles invoked by CPI, Brown and Moscone; however, it argues that these principles must be contextually applied. In some circumstances, the context in which the pleadings arise will, of necessity, require generalization at the front end and the causes of action will not crystallize until evidence comes to light through the discovery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says that in this case, the context includes technical construction defects that have arisen in a high-rise condominium complex with specialized facility add-ons, in which multiple parties have been engaged. Most importantly, the Condominium's five-year building envelope warranty does not expire until March 2017 and it has not yet received its five-year building envelope warranty report. The investigation of the Condominium's defects remains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 says that the comments made by Lambert J.A. in </w:t>
      </w:r>
      <w:r>
        <w:rPr>
          <w:rFonts w:ascii="arial" w:eastAsia="arial" w:hAnsi="arial" w:cs="arial"/>
          <w:i/>
          <w:color w:val="000000"/>
          <w:sz w:val="20"/>
          <w:lang w:val="en-US" w:eastAsia="en-US" w:bidi="ar-SA"/>
        </w:rPr>
        <w:t>The Owners, Strata Plan LMS 1328 v. City of Surrey</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2001 BCCA 693</w:t>
        </w:r>
      </w:hyperlink>
      <w:r>
        <w:rPr>
          <w:rFonts w:ascii="arial" w:eastAsia="arial" w:hAnsi="arial" w:cs="arial"/>
          <w:color w:val="000000"/>
          <w:sz w:val="20"/>
          <w:lang w:val="en-US" w:eastAsia="en-US" w:bidi="ar-SA"/>
        </w:rPr>
        <w:t xml:space="preserve"> are apposite. There, a plaintiff strata corporation made various allegations against a number of parties involved in the original construction of a condominium. A case management judge struck out portions of the claim as disclosing no reasonable cause of action. The Court of Appeal overturned the decision, notwithstanding the fact that the pleadings were "not a model of what good pleadings should set out" and resulted in "grave difficulty for counsel acting for a defendant" (para. 6). Lambert J.A.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 in a complicated case, one must in the end regard as paramount the interests of justice as they affect all of the parties, and as subordinate the issues of saving court time and the expenses of the law suit if the amount involved in the case is very substantial and the interests of justice are at 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 also cites </w:t>
      </w:r>
      <w:r>
        <w:rPr>
          <w:rFonts w:ascii="arial" w:eastAsia="arial" w:hAnsi="arial" w:cs="arial"/>
          <w:i/>
          <w:color w:val="000000"/>
          <w:sz w:val="20"/>
          <w:lang w:val="en-US" w:eastAsia="en-US" w:bidi="ar-SA"/>
        </w:rPr>
        <w:t>Strata Plan BCS 1165 v. National Home Warranty Group Inc.</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2014 BCSC 942</w:t>
        </w:r>
      </w:hyperlink>
      <w:r>
        <w:rPr>
          <w:rFonts w:ascii="arial" w:eastAsia="arial" w:hAnsi="arial" w:cs="arial"/>
          <w:color w:val="000000"/>
          <w:sz w:val="20"/>
          <w:lang w:val="en-US" w:eastAsia="en-US" w:bidi="ar-SA"/>
        </w:rPr>
        <w:t>, in support of its position. That was a case involving leakage in a multi-building condominium. The plaintiff applied to add five new defendants to its action. In response, the newly proposed defendants argued that the pleadings were insufficient and disclosed no cause of action against them. Their argument raised the same concerns put forward in this case, namely, that "no facts [were] pleaded in support of the allegations" (para. 19). The Court agreed that the pleadings lacked particularization. However, standing alone, this was not sufficient to deny the plaintiff its request to add the new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For each defendant, the pleading states the role in the building project, alleges the duty of care, and pleads the breach of that duty. </w:t>
      </w:r>
      <w:r>
        <w:rPr>
          <w:rFonts w:ascii="arial" w:eastAsia="arial" w:hAnsi="arial" w:cs="arial"/>
          <w:color w:val="000000"/>
          <w:sz w:val="20"/>
          <w:u w:val="single"/>
          <w:lang w:val="en-US" w:eastAsia="en-US" w:bidi="ar-SA"/>
        </w:rPr>
        <w:t>What are lacking are particulars, in the sense that the pleading does not specify the precise manner in which the duties have been breached</w:t>
      </w:r>
      <w:r>
        <w:rPr>
          <w:rFonts w:ascii="arial" w:eastAsia="arial" w:hAnsi="arial" w:cs="arial"/>
          <w:color w:val="000000"/>
          <w:sz w:val="20"/>
          <w:lang w:val="en-US" w:eastAsia="en-US" w:bidi="ar-SA"/>
        </w:rPr>
        <w:t>. Nevertheless, I think the proposed pleading is sufficient to disclose a cause of action and to indicate to the defendants the basis upon which they are being sued.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Based on my own observations of the Amended Claim, I am of the view that the pleadings are deficient. The plaintiff has already amended the claim once, without leave of the Court pursuant to Rule 6-1(a), and even with these amendments, CPI, Brown, Moscone and the other defendants continue to face pleadings that are expressed in generalizations, fail to distinguish with any specificity between the defendants' contributing roles to the Condominium's alleged "Defects", "Resultant Damage" and "Dangerous Defects", and most importantly, the Amended Claim is significantly lacking in material facts that speak to </w:t>
      </w:r>
      <w:r>
        <w:rPr>
          <w:rFonts w:ascii="arial" w:eastAsia="arial" w:hAnsi="arial" w:cs="arial"/>
          <w:color w:val="000000"/>
          <w:sz w:val="20"/>
          <w:u w:val="single"/>
          <w:lang w:val="en-US" w:eastAsia="en-US" w:bidi="ar-SA"/>
        </w:rPr>
        <w:t>how</w:t>
      </w:r>
      <w:r>
        <w:rPr>
          <w:rFonts w:ascii="arial" w:eastAsia="arial" w:hAnsi="arial" w:cs="arial"/>
          <w:color w:val="000000"/>
          <w:sz w:val="20"/>
          <w:lang w:val="en-US" w:eastAsia="en-US" w:bidi="ar-SA"/>
        </w:rPr>
        <w:t xml:space="preserve"> the defendants are said to have breached the warranties made, or duties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However, after reading through the main authorities that were highlighted for me by counsel on November 25, including cases that recognize the inherently complicated nature of the litigation that has been undertaken by the plaintiff (see, for example, </w:t>
      </w:r>
      <w:r>
        <w:rPr>
          <w:rFonts w:ascii="arial" w:eastAsia="arial" w:hAnsi="arial" w:cs="arial"/>
          <w:i/>
          <w:color w:val="000000"/>
          <w:sz w:val="20"/>
          <w:lang w:val="en-US" w:eastAsia="en-US" w:bidi="ar-SA"/>
        </w:rPr>
        <w:t>The Owners, Strata Plan LMS 2174 v. 387903 BC Ltd.</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2010 BCSC 401</w:t>
        </w:r>
      </w:hyperlink>
      <w:r>
        <w:rPr>
          <w:rFonts w:ascii="arial" w:eastAsia="arial" w:hAnsi="arial" w:cs="arial"/>
          <w:color w:val="000000"/>
          <w:sz w:val="20"/>
          <w:lang w:val="en-US" w:eastAsia="en-US" w:bidi="ar-SA"/>
        </w:rPr>
        <w:t xml:space="preserve"> at paras. 67-68), it is not "plain and obvious" to me that the Amended Claim discloses no cause of action against the applicants, or is bound to fail and cannot be salvaged through further amendment. On the face of the Amended Claim, there are triable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As such, I am prepared to give the plaintiff the benefit of the "generous approach" that was spoken of by the Supreme Court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and rather than strike the Amended Claim under Rule 9-5(1)(a), or portions of it, I will grant the plaintiff leave in lieu to further amend in response to the concerns raised by CPI, Brown and Moscone, as well as the short comings I noted earlier. The amendments are to be made in accordance with the requirements of Rule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not the role of this Court to specify how the plaintiff should articulate its claim or what material facts should or should not be included. However, there are four principal areas that warrant consideration:</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recognizing there is an important distinction between material facts and the evidence that the plaintiff will rely upon to prove its claim, the pleadings should include the relevant material facts that have already revealed themselves through the investigation of the alleged Condominium defects, expert reports that have been obtained, and/or other information gathered as a result of repairs made;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incorporating material facts, particular attention should be paid to specifying the work that is said to have been done by each of the named defendants in the design, development and construction of the Condominium; the specific acts or omissions that the plaintiff says constitute a breach of warranty or any duty owed to it; and to the extent feasible, how these acts or omissions have factually contributed to, caused or resulted in the Condominium's "Defects", "Resultant Damage" or "Dangerous Defects";</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assertions made about a defendant's role in the "Defects", "Resultant Damage" or "Dangerous Defects" should factually align and be consistent with the known roles of, and work completed by that same defendant; and,</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plaintiff asserts acts or omissions on the part of a defendant that purportedly stand in violation of a building code, bylaw or statutory provision, the pleadings should identify the building code, bylaw or provision in question and include the material facts in support of the alleged non-compliance.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also remind the plaintiff of the requirements of pleadings that are embodied within Rule 3-7, including 3-7(9), which states that "conclusions of law must not be pleaded unless the material facts supporting them are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recognition of the size and inherent complexity of this claim, and the fact that the plaintiff has not yet received its five-year building envelope warranty report, I grant the plaintiff six (6) months from the date of these </w:t>
      </w:r>
      <w:r>
        <w:rPr>
          <w:rFonts w:ascii="arial" w:eastAsia="arial" w:hAnsi="arial" w:cs="arial"/>
          <w:i/>
          <w:color w:val="000000"/>
          <w:sz w:val="20"/>
          <w:lang w:val="en-US" w:eastAsia="en-US" w:bidi="ar-SA"/>
        </w:rPr>
        <w:t>Reasons for Judgment</w:t>
      </w:r>
      <w:r>
        <w:rPr>
          <w:rFonts w:ascii="arial" w:eastAsia="arial" w:hAnsi="arial" w:cs="arial"/>
          <w:color w:val="000000"/>
          <w:sz w:val="20"/>
          <w:lang w:val="en-US" w:eastAsia="en-US" w:bidi="ar-SA"/>
        </w:rPr>
        <w:t xml:space="preserve"> to make the needed amendments. This time-frame is longer than what one might ordinarily expect; however, it will take the plaintiff beyond March 2017, which is when the Condominium's building envelope warranty expires. The plaintiff has held this out as a pivotal time in its ability to be more specific in the claims made against the defendants, as well as a unique feature of the case that it says warrants latitude under the Rules. Once March 2017 has come and gone, it will become increasingly difficult for the plaintiff to rationalize the absence of material facts in its pleadings, although I appreciate that should questions about the pleadings come back before the Court, this is a determination to be made as informed by the circumstances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understand that a case planning conference under Rule 5-3 is scheduled for February 2017. In light of my ruling, the parties may wish to consider adjourning the conference to align with the six-month time-frame for further amendments to the claim. At the case planning conference, the judge or master who presides will have authority to request further amendments if required, based on the submissions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CPI, Brown and Moscone are granted leave to renew their application to strike under Rule 9-5(1)(a) should the plaintiff choose to not make amendments, or the amendments that are made prove of no assistance and the end result, after two sets of amendments, is that the pleadings continue to raise concerns within the meaning of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Application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CPI, Brown and Moscone have brought applications for particulars as an alternative to striking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CPI wants to know: (1) what "other services" CPI is said to have provided to the plaintiff, as pled in the Amended Claim; (2) what "landscaping and other services" CPI is said to have performed during "construction" of the Condominium; and (3) CPI wants "proper and informative answers" to the outstanding items in the demand for particulars that it served on the plaintiff in June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particulars sought by Brown are set out in Schedule "A" to its notice of application. Schedule "A" is detailed and consists of 18 questions, many of which have a number of subsidiary questions attached to them. Among other things, Brown wants particulars on: (1) which of the asserted "Dangerous Defects" are attributable to sound proofing and/or excessive noise; (2) what industry standards, manufacturer's instructions, building codes, bylaws and/or statutory requirements it is said to have breached; and (3) the specific work Brown did that is alleged to have put this defendant in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particulars sought by Moscone are attached as Appendices "A" and "B" to its Chambers application. Appendix "B" speaks to the Amended Claim. Among other things, Moscone seeks: (1) full particulars on how the Condominium defects are alleged to have been caused by Moscone; (2) full particulars on how Moscone's work or services is said to not have complied with industry standards, building codes, bylaws and/or statutory requirements; and (3) full particulars on how Moscone's landscape work "posed or poses a risk to the health and safety of the owners, occupants and visitors" of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its response to these applications, the plaintiff has raised concerns about some of what is requested. It says that some of the requests are: (1) "improper" because they seek evidence, rather than particulars; (2) "premature" in light of the early stages of the litigation; (3) they demand answers that are unknown to the plaintiff and require discovery; and (4) the response calls for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light of the ruling I have made under Rule 9-5(1)(a), I consider it premature for the Court to make a determination on particulars. Further amendments made to the pleadings, as contemplated above, may well address many of the questions raised by CPI, Brown and Moscone in their demands for particulars. At the very least, further amendments will materially inform the dialogue on what properly should fall within the scope of any court order on particulars that might emerge under Rule 3-7(22).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When the defendants' concerns about the short comings in the pleadings are reviewed in concert with their demands for particulars, the overlap between the two is readily apparent. It is the Amended Claim's lack of material facts and specificity of attribution that is most troubling to them. I have sought to address this issue by granting the plaintiff leave to make further amendments to its pleadings in meaningful response to the issues raised by CPI, Brown and Moscone.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Until that happens, ordering the extent of particulars as envisioned by these same defendants is premature. This much is acknowledged by CPI in its notice of application, where it opines that "particulars themselves are of little assistance in the absence of required material facts". Moscone makes essentially the same point in its written submissions: "The provision of particulars will not rectify the deficiencies of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Ordering particulars is a matter of discretion, as informed by the individual circumstances of the case. This was specifically noted in </w:t>
      </w:r>
      <w:r>
        <w:rPr>
          <w:rFonts w:ascii="arial" w:eastAsia="arial" w:hAnsi="arial" w:cs="arial"/>
          <w:i/>
          <w:color w:val="000000"/>
          <w:sz w:val="20"/>
          <w:lang w:val="en-US" w:eastAsia="en-US" w:bidi="ar-SA"/>
        </w:rPr>
        <w:t>Mansoor v. Majeed</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2008 BCSC 1347</w:t>
        </w:r>
      </w:hyperlink>
      <w:r>
        <w:rPr>
          <w:rFonts w:ascii="arial" w:eastAsia="arial" w:hAnsi="arial" w:cs="arial"/>
          <w:color w:val="000000"/>
          <w:sz w:val="20"/>
          <w:lang w:val="en-US" w:eastAsia="en-US" w:bidi="ar-SA"/>
        </w:rPr>
        <w:t>, wherein Walker J. said,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decision to order particulars is something that is to be determined on the facts of each case</w:t>
      </w:r>
      <w:r>
        <w:rPr>
          <w:rFonts w:ascii="arial" w:eastAsia="arial" w:hAnsi="arial" w:cs="arial"/>
          <w:color w:val="000000"/>
          <w:sz w:val="20"/>
          <w:lang w:val="en-US" w:eastAsia="en-US" w:bidi="ar-SA"/>
        </w:rPr>
        <w:t xml:space="preserve">. In that regard, I rely on the decision of Madam Justice Southin, sitting then in this Court, in </w:t>
      </w:r>
      <w:r>
        <w:rPr>
          <w:rFonts w:ascii="arial" w:eastAsia="arial" w:hAnsi="arial" w:cs="arial"/>
          <w:i/>
          <w:color w:val="000000"/>
          <w:sz w:val="20"/>
          <w:lang w:val="en-US" w:eastAsia="en-US" w:bidi="ar-SA"/>
        </w:rPr>
        <w:t>Proconic Electronics Ltd. v. Wong</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67 B.C.L.R. 237</w:t>
        </w:r>
      </w:hyperlink>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[1985] B.C.J. No. 2863</w:t>
        </w:r>
      </w:hyperlink>
      <w:r>
        <w:rPr>
          <w:rFonts w:ascii="arial" w:eastAsia="arial" w:hAnsi="arial" w:cs="arial"/>
          <w:color w:val="000000"/>
          <w:sz w:val="20"/>
          <w:lang w:val="en-US" w:eastAsia="en-US" w:bidi="ar-SA"/>
        </w:rPr>
        <w:t xml:space="preserve"> (S.C.) where, at page 241 she quoted from the decision of </w:t>
      </w:r>
      <w:r>
        <w:rPr>
          <w:rFonts w:ascii="arial" w:eastAsia="arial" w:hAnsi="arial" w:cs="arial"/>
          <w:i/>
          <w:color w:val="000000"/>
          <w:sz w:val="20"/>
          <w:lang w:val="en-US" w:eastAsia="en-US" w:bidi="ar-SA"/>
        </w:rPr>
        <w:t>Waynes Merthyr Co. v. Radford &amp; Co.</w:t>
      </w:r>
      <w:r>
        <w:rPr>
          <w:rFonts w:ascii="arial" w:eastAsia="arial" w:hAnsi="arial" w:cs="arial"/>
          <w:color w:val="000000"/>
          <w:sz w:val="20"/>
          <w:lang w:val="en-US" w:eastAsia="en-US" w:bidi="ar-SA"/>
        </w:rPr>
        <w:t>, [1896] Ch. 29 at 35, where it was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Lord Justice did not lay down any such general proposition as that contended for by the defendants' counsel, and in my opinion there is no such general rule. </w:t>
      </w:r>
      <w:r>
        <w:rPr>
          <w:rFonts w:ascii="arial" w:eastAsia="arial" w:hAnsi="arial" w:cs="arial"/>
          <w:color w:val="000000"/>
          <w:sz w:val="20"/>
          <w:u w:val="single"/>
          <w:lang w:val="en-US" w:eastAsia="en-US" w:bidi="ar-SA"/>
        </w:rPr>
        <w:t>There is no hard and fast rule as to the class of cases in which particulars should precede discovery, or discovery be ordered before particulars; but the judge must exercise a reasonable discretion in every case after carefully looking at all the facts, and taking into account any special circumstances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NMH Holdings Limited v. The Crestmark Developments Limited Partnership</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2012 BCSC 2216</w:t>
        </w:r>
      </w:hyperlink>
      <w:r>
        <w:rPr>
          <w:rFonts w:ascii="arial" w:eastAsia="arial" w:hAnsi="arial" w:cs="arial"/>
          <w:color w:val="000000"/>
          <w:sz w:val="20"/>
          <w:lang w:val="en-US" w:eastAsia="en-US" w:bidi="ar-SA"/>
        </w:rPr>
        <w:t xml:space="preserve"> at para. 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Yewdale v. ICBC</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[1994] B.C.J. No. 1892</w:t>
        </w:r>
      </w:hyperlink>
      <w:r>
        <w:rPr>
          <w:rFonts w:ascii="arial" w:eastAsia="arial" w:hAnsi="arial" w:cs="arial"/>
          <w:color w:val="000000"/>
          <w:sz w:val="20"/>
          <w:lang w:val="en-US" w:eastAsia="en-US" w:bidi="ar-SA"/>
        </w:rPr>
        <w:t xml:space="preserve"> (S.C.), Master Bishop canvassed the principles that should generally guide the exercise of discretion on an application for particulars at para. 68:</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increasing number and complexity of cases brought before our court, any steps legitimately taken to clarify the issues and reduce the length of trial must be encouraged;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Parties to an action must frame their pleadings with certainty and they are not permitted to bring or defend an action in the hope that the claim or defence will be established by admissions on a notice to admit or at an examination for discovery. </w:t>
      </w:r>
      <w:r>
        <w:rPr>
          <w:rFonts w:ascii="arial" w:eastAsia="arial" w:hAnsi="arial" w:cs="arial"/>
          <w:color w:val="000000"/>
          <w:sz w:val="20"/>
          <w:u w:val="single"/>
          <w:lang w:val="en-US" w:eastAsia="en-US" w:bidi="ar-SA"/>
        </w:rPr>
        <w:t>In framing their pleadings, so much as is possible and practical, the parties must set out the facts but not the evidence on which they intend to rely to prove their claim or defence</w:t>
      </w:r>
      <w:r>
        <w:rPr>
          <w:rFonts w:ascii="arial" w:eastAsia="arial" w:hAnsi="arial" w:cs="arial"/>
          <w:color w:val="000000"/>
          <w:sz w:val="20"/>
          <w:lang w:val="en-US" w:eastAsia="en-US" w:bidi="ar-SA"/>
        </w:rPr>
        <w: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purpose of particulars is to require a party to clarify the issues raised by the pleadings so that the opposite party may be able to properly respond to the pleadings and to properly prepare for an examination for discovery and for trial</w:t>
      </w:r>
      <w:r>
        <w:rPr>
          <w:rFonts w:ascii="arial" w:eastAsia="arial" w:hAnsi="arial" w:cs="arial"/>
          <w:color w:val="000000"/>
          <w:sz w:val="20"/>
          <w:lang w:val="en-US" w:eastAsia="en-US" w:bidi="ar-SA"/>
        </w:rPr>
        <w: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examination for discovery is not a substitute for an order for particulars and an application for particulars should not be defeated by an argument that the applicant can get the same particulars by way of conducting an examination for discovery;</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particulars applied for are generally only known to the party making the application, that party may be required to give discovery prior to particulars being ordered;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order for delivery of particulars is one of discretion to be exercised in a judicial manner. In exercising the discretion, the justice or master must be mindful of the stage of proceedings when determining whether or not</w:t>
      </w:r>
      <w:r>
        <w:rPr>
          <w:rFonts w:ascii="arial" w:eastAsia="arial" w:hAnsi="arial" w:cs="arial"/>
          <w:color w:val="000000"/>
          <w:sz w:val="20"/>
          <w:lang w:val="en-US" w:eastAsia="en-US" w:bidi="ar-SA"/>
        </w:rPr>
        <w: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sufficient particulars have been given, or</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particulars should be delivered now</w:t>
      </w:r>
      <w:r>
        <w:rPr>
          <w:rFonts w:ascii="arial" w:eastAsia="arial" w:hAnsi="arial" w:cs="arial"/>
          <w:color w:val="000000"/>
          <w:sz w:val="20"/>
          <w:lang w:val="en-US" w:eastAsia="en-US" w:bidi="ar-SA"/>
        </w:rPr>
        <w:t>, or</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should be given following an examination for discovery, or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particulars should be given now and others given later following discoveries.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parties have also made reference to </w:t>
      </w:r>
      <w:r>
        <w:rPr>
          <w:rFonts w:ascii="arial" w:eastAsia="arial" w:hAnsi="arial" w:cs="arial"/>
          <w:i/>
          <w:color w:val="000000"/>
          <w:sz w:val="20"/>
          <w:lang w:val="en-US" w:eastAsia="en-US" w:bidi="ar-SA"/>
        </w:rPr>
        <w:t>Cansulex v. Perry</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[1982] B.C.J. No. 369</w:t>
        </w:r>
      </w:hyperlink>
      <w:r>
        <w:rPr>
          <w:rFonts w:ascii="arial" w:eastAsia="arial" w:hAnsi="arial" w:cs="arial"/>
          <w:color w:val="000000"/>
          <w:sz w:val="20"/>
          <w:lang w:val="en-US" w:eastAsia="en-US" w:bidi="ar-SA"/>
        </w:rPr>
        <w:t xml:space="preserve"> (C.A.), in which the Court of Appeal held at para. 15, that particulars are important:</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inform the other side of the nature of the case they have to meet as distinguished from the mode in which that case is to be proved;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prevent the other side from being taken by surprise at the trial;</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enable the other side to know what evidence they ought to be prepared with and to prepare for trial;</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to limit the generality of the pleadings</w:t>
      </w:r>
      <w:r>
        <w:rPr>
          <w:rFonts w:ascii="arial" w:eastAsia="arial" w:hAnsi="arial" w:cs="arial"/>
          <w:color w:val="000000"/>
          <w:sz w:val="20"/>
          <w:lang w:val="en-US" w:eastAsia="en-US" w:bidi="ar-SA"/>
        </w:rPr>
        <w: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and decide the issues to be tried, and as to which discovery is required, and</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tie the hands of the party so that he cannot without leave go into any matters not included.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Given the potential breadth of the amendments that the plaintiff may make within the next six months, and the obvious link between the pleadings as framed and a determination on what, if any, particulars should be ordered, I have determined it is in the interests of justice that the applications for particulars be adjourned, generally, to await the amendments. CPI, Brown and Moscone are granted leave to renew their applications should the amendments prove unsatisfactory to them, and/or they do not receive adequate responses from the plaintiff to their previously made, outstanding demands. The objections raised to some of these demands by the plaintiff, if subsisting, can be addressed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For the reasons provided, I make the following orders:</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applications to strike under Rule 9-5(1)(a) are dismissed.</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lieu, the Court grants leave to the plaintiff to further amend its civil claim to ensure that it complies with the requirements of Rule 3-7. The plaintiff has six (6) months from the date of these </w:t>
      </w:r>
      <w:r>
        <w:rPr>
          <w:rFonts w:ascii="arial" w:eastAsia="arial" w:hAnsi="arial" w:cs="arial"/>
          <w:i/>
          <w:color w:val="000000"/>
          <w:sz w:val="20"/>
          <w:lang w:val="en-US" w:eastAsia="en-US" w:bidi="ar-SA"/>
        </w:rPr>
        <w:t>Reasons for Judgment</w:t>
      </w:r>
      <w:r>
        <w:rPr>
          <w:rFonts w:ascii="arial" w:eastAsia="arial" w:hAnsi="arial" w:cs="arial"/>
          <w:color w:val="000000"/>
          <w:sz w:val="20"/>
          <w:lang w:val="en-US" w:eastAsia="en-US" w:bidi="ar-SA"/>
        </w:rPr>
        <w:t xml:space="preserve"> to make any such amendments and to serve them on the defendants in accordance with Rule 6-1(4).</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CPI, Brown and Moscone are granted leave to renew an application to strike under Rule 9-5(1)(a) should the plaintiff choose to not make amendments to its pleadings, or from the perspective of CPI, Brown and Moscone, the amendments are insufficient within the meaning of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and related cases.</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applications for an order for particulars are adjourned generally, to await the outcome of the amendments.</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CPI, Brown and Moscone are granted leave to renew their applications for particulars should the forthcoming amendments prove unsatisfactory to them, and/or they do not receive adequate responses from the plaintiff to their previously made, outstanding demands for particulars. The objections raised to some of these demands, if subsisting, can be addressed at that time.</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deficiencies I have noted in the Amended Claim, and the necessity of an application by the four defendants to ensure that the plaintiff's pleadings meet the requirements of Rule 3-7, costs on this application shall go to CPI, Brown and Moscone in any event of the cause, as assessed in accordance with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DeWITT-VAN OOSTEN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8"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Parsons v. Finch, [2005] B.C.J. No. 2697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27 - 30 and July 4 - 7,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C985852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2697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1733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C.L.R. (3d) 141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 M.P.L.R. (4th) 190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145 A.C.W.S. (3d) 715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2967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Lynda Parsons and Don Parsons, plaintiffs, and Trevor Finch and City of Richmond, defendants, and Trevor Finch and Digs Consultants Corporation,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9"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7" w:name="Keywords_21"/>
      <w:bookmarkEnd w:id="137"/>
      <w:r>
        <w:rPr>
          <w:rFonts w:ascii="arial" w:eastAsia="arial" w:hAnsi="arial" w:cs="arial"/>
          <w:b/>
          <w:color w:val="000000"/>
          <w:sz w:val="20"/>
          <w:lang w:val="en-US" w:eastAsia="en-US" w:bidi="ar-SA"/>
        </w:rPr>
        <w:t>Municipal law — Liabilities of municipality — Duties — Enforcement of bylaws — Municipality not negligent in failing to enforce policy decision which was not part of a bylaw — City of Richmond By-law No. 3720.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Actions by or against municipalities — Types of actions against municipalities — Building inspection — Municipality not negligent in failing to inspect construction project where policy decision made to rely upon professional design instead — City of Richmond By-law No. 5882.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8" w:name="Case Summary_18"/>
            <w:bookmarkEnd w:id="1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Parsons purchased lot in Richmond to build home and workshop -- Plans drawn up by Parsons -- Parsons applied for permit -- City relied on letter of assurance from Finch, independent engineer, regarding property preparation necessary -- Much of construction, including excavation and soil preparation, done by Parsons and friend -- Finch gave assurance soils were prepared in accordance with his recommendations -- Home settled unevenly -- Uneven settlement caused by inadequately prepared subsoil -- Repairs costing $300,000 required to prevent home from becoming inhabitable -- Parsons claimed City of Richmond negligent in failing to carry out proper inspection of property and in relying on Finch's recommendations and assurances, and in not ensuring compliance with building code, related statutes, and bylaws -- HELD: Action dismissed -- Bylaw required professional design for construction projects where subsurface properties of land in question -- City immune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liability in failing to inspect soils preparation because of policy decision to utilize professional design scheme instead -- City entitled to rely on assurances from Finch -- City not required to inform Parsons of new policy requirement for assessments of soil conditions, where policy not law -- City not negligent in failing to inform Parsons about policy.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9" w:name="Legislation Cited_14"/>
      <w:bookmarkEnd w:id="1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0"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Building Code s. 2.3, s. 4, Part 3, Part 3.4, Part 4, Part 5.12, Part 5.12 .1, Part 5.12.2, Part 5.12.3, Part 5.12.4, Part 5.12.5, Part 11.1, s. A-2.6,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City of Richmond By-law No. 3720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City of Richmond By-law No. 5882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S.B.C. 1996, c. 323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Municipal Act, R.S.B.C. 1979, c. 290 s. 734, s. 734(7), s. 734.2, s. 755.4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0" w:name="Counsel_21"/>
      <w:bookmarkEnd w:id="1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1"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Lynda Parsons and Don Parsons appearing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Trevor Finch (deceased) and no one appearing for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City of Richmond: David T. McKnight and S.H.S. Stephenson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1" w:name="Judgment_20"/>
      <w:bookmarkEnd w:id="141"/>
      <w:r>
        <w:pict>
          <v:line id="_x0000_s1132" style="position:absolute;z-index:25183334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December 14, 2005.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2" w:name="RALPH J."/>
            <w:bookmarkEnd w:id="142"/>
            <w:r>
              <w:rPr>
                <w:rFonts w:ascii="arial" w:eastAsia="arial" w:hAnsi="arial" w:cs="arial"/>
                <w:b/>
                <w:color w:val="000000"/>
                <w:sz w:val="30"/>
                <w:lang w:val="en-US" w:eastAsia="en-US" w:bidi="ar-SA"/>
              </w:rPr>
              <w:t>RALPH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March 1993 Mr. and Mrs. Parsons purchased a lot at 2491 No. 8 Road in Richmond. After obtaining building permits and over the next number of months they proceeded to build a home and workshop on the property. They moved into their new home in May 1994. Much of the construction was done by Mr. Parsons who is a qualified and experienced carpenter.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course of seeking to do some upgrades to the finishing of their home in 1998, Mr. and Mrs. Parsons discovered that their home was settling unevenly on the property. A survey carried out in June 1998 indicated that there was a difference in elevation of .17 metres between the northeast and southeast corners of the home. The subsoil of the property contains substantial volumes of peat and its inadequate preparation prior to construction has been identified as the cause of the settling. Without repair, the settling of the home will continue and the home may become uninhabitable. Because repair of the condition requires substantial alteration to the subsoil and the placing of pilings under the home, estimates of the cost of repairing the home are in the range of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Central to the action is Mr. and Mrs. Parsons' claim that the City of Richmond ("the City") was negligent in failing to carry out proper inspections of the property, in relying on the certification of an independent engineer, Mr. Finch, and in not ensuring compliance with the building code and related statutes and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Mr. Finch, is now deceased. There was no evidence of a representative of his estate having been appointed in the action and the trial as against Mr. Finch was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and Mrs. Parsons' property is located in an area of Richmond which is identified on a Surficial Geology Map used as a reference by the City to determine sites that may contain peat or peat in combination with other soil types which may make it poor for foundations. The City requires that owners seeking permits to build dwellings in such areas provide the Building Approvals Department with a geotechnical engineering analysis of the soil conditions and other assurances set out in the City's Bylaw No. 5882 and the British Columbia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Utilizing his experience as a carpenter, Mr. Parsons drew the plans for the house but he knew that an engineer would be required to sign and seal them as a prerequisite to obtaining a building permit. He also knew that a geotechnical engineer was required to identify the types of soil on the property and to prepare a report for the City which would provide a plan for the preparation of the soil and a design for the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applying for a building permit, Mr. and Mrs. Parsons completed a "Schedule I" provided for under Bylaw No. 5882. Schedule I contains a statement in which Mr. and Mrs. Parsons confirmed that they had been advised in writing by the City that it relied exclusively on the Letter of Assurance of "Professional Design and Commitment for Field Review" prepared by Mr. Finch.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Parsons was acquainted with Mr. Walter Manning whom he had met on several jobs on which they both worked. Mr. Manning, who is now deceased, worked for Digs Consultants Corporation. It seems clear from the evidence that Mr. Manning was not a qualified engineer but Mr. Finch was an engineer and a member of the firm of Digs Consultants. Mr. Parsons asked Mr. Manning to carry out the structural and geotechnical engineering services that were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March 27, 1993, Digs Consultants Corporation issued a three-page letter/report headed "Geotechnical Investigation for Proposed Residence at 2491 No. 8 Road, Richmond B.C" (the "soils report"). The report attached test hole logs dated March 13, 1993. Mr. Parsons had seen Mr. Manning at the property taking the samples on that date. The soils report was signed by Mr. Finch and had his professional engineer's seal attached. It contained details of the field investigation findings including the location of the ground water table. It also contained recommendations for the removal of peat and other steps to be taken in relation to the excavation and preparation of the site. It was sent to the City on April 20, 1993. Mr. Finch also signed and sealed the plans on March 31, 1993, having made modifications to the foundation plan prepared by Mr. Parsons.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April 5, 1993, three letters of assurance signed and sealed by Mr. Finch were filed with the City. One was a Schedule B-1 under the Building Code dated March 31, 1993 in which Mr. Finch gave an assurance that the structural and geotechnical components of the plans and supporting documents complied with the B.C. Building Code and undertook to be responsible for "field reviews" of the components during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second was a Schedule B-2 setting out a summary of the design and field review requirements. The applicable items were identified as the structural capacity of the structural components of the building and a geotechnical review of the bearing capacity of the soil and the compaction of engineered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third document was a Schedule G Assurance of Subsurface Investigation also dated March 31, 1993 and required under the bylaw, in which Mr. Finch gave assurances that he had carried out a subsurface investigation and field reviews and that the soils affected by the building or structure had been prepared in accordance with the recommendations in the soils report of March 27,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excavation and soils preparation had been carried out by Mr. Parsons and a friend who owned excavating equipment. Mr. Parsons agreed that this was the first excavation of property he had undertaken. He also agreed that although in parts of the excavation area mixed clay and peat went to a depth of six feet, he did not excavate beyond a depth of three feet. Mr. Parsons resiled from this statement in cross examination. Mr. Parsons stated that when he had completed the excavation on a Sunday evening he left a telephone message on Mr. Manning's answering machine asking him to come and inspect the site. Mr. Parsons said Mr. Manning returned the call saying he had inspected the excavation and it "looks fine" or "carry on" or similar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Parsons testified that Mr. Manning was present when a "pre-load" of sand was subsequently placed on the excavated area. After approximately four months some of the sand was removed and the remaining soil was compacted. Mr. Parsons testified that after he had completed the tamping of the soil Mr. Manning attended at the site and carried out compaction tests. The building permit for the dwelling was issued June 25, 1993. On August 16, 1993 Mr. Finch signed and sealed a Schedule C letter of assurance under the B.C. Building Code and a Schedule G Assurance of Subsurface Investigation under the City Bylaw No.5882. The Schedule G was required to be submitted in accordance with the soils report but before the forms inspection was made by a building inspector. Mr. Finch gave an assurance in the schedule that he had carried out a subsurface investigation of the property in accordance with Part 4 pf the B.C. Building Code and gave assurance that the soils had been prepared in accordance with the recommendations in the soils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August 17, 1993, a building inspector attended at the site and gave approval of the formwork for the foundation subject to the bracing of the foundation walls. This was the first on-site attendance of an inspector in relation to the construction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February 24, 1994, Mr. Finch signed and sealed a final Schedule C under the B.C. Building Code that was required before the final inspection would be carried out by the City. Mr. Finch gave an assurance that he had fulfilled his obligations for field review and that the structural and geotechnical components of the project complied with the B.C. Building Code and the plans and supporting documents submitted in support of the application for the building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number of witnesses were called by the City to give evidence of the procedures it follows in cases where proposed buildings are to be built on unstable soils containing fill or a high degree of peat.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Rick Bortolussi became the manager of inspection services for the City in 1990 and was its chief building official from 1997 to 2004. In 1993 the building inspection group had 10 inspectors, one of whom was the supervisor. There were nine inspectors in the permits division who carried out review of both commercial and residential building permit applications. There were also nine plan checkers. In 1993 the City issued 2,764 building permits of which 991 were for single family dwellings having a total construction value of $356,380,633.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the Building Code and the bylaw require the use of a registered professional the plan checker's responsibility is to see that the requirements of what must be filed by the professional have been met. The City has never employed a geotechnical engineer to do inspections and independent geotechnical analysis and does not have such expertise on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Bortolussi said that the City also employs a building code engineer. The code engineer's responsibility is to review permit applications for their compliance with bylaws and, where registered professionals are involved, to ensure that documentation, including letters of assurance, is in order. He denied that the City simply looks for the presence of the seal of the professional. Mr. Bortolussi referred to a Permits Division policy dealing with "Fill/Peat: Building On" dated July 25, 1990, and in place in 1993. He said that the policy was consistently and uniformly applied by staff. The policy includes excerpts from the 1985 Building Code which set out what information must be provided by the design professionals to show that proposed work would conform to the Building Code. Section 2.3 of the Code sets out specifications and calculations that would be required on structural and foundation drawings. Section 4 sets out the requirement of a subsurface investigation and of a subsequent review by a design professional to ensure that the subsurface conditions are consistent with the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Gavin Woo is the only code engineer employed by the City. He has held that position since 1990. He is a professional engineer but is not a geotechnical engineer. He carried out a "structural review" of the Parsons' building plans on April 16, 1993. He said that the scope of this review was to ensure that the drawings were designed by an engineer and that design criteria such as size were set out. He said that he also looks for the "load path" to ensure that all the vertical load has been picked up by the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plans for the structure had been passed to Mr. Woo from a plan checker, Mr. Peter Gee. Mr. Gee had endorsed on the plans that he had carried out a "Use and Occupancy Review only". This review dealt with matters such as the presence of smoke detectors, window sizes, and the set-back of the building from the lot boundaries.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Woo also stated that on property such as the Parsons' land a geotechnical engineer must be retained by the owners. Mr. Woo's function as the code engineer is to ensure that a soils investigation report is prepared by an engineer, that there has been a subsurface review at the building location, that there are recommendations for site preparation work and that the report estimates the total and differential settlement. Mr. Woo had noted on April 16, 1993 that a soils investigation report had not been submitted and he requested the owners to produce it. On April 20 he reviewed the soils investigation report and its recommendations and the presence of the information required to be provided. He also reviewed the Letters of Assurance. He noted that the report and the foundation plan set out that the foundation design had 1000 pounds per square foot allowable soil bearing capacity and contained an estimate of the expected settlement of the soil. Mr. Woo said that he did not make any independent assessment of the report because he is not a geotechnical engineer and it is the City's policy to require an independent geotechnical engineer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Woo estimated that, of the 991 building permits for single family dwellings in 1993, he would review about 80% of them, taking about 15 minutes to one-half hour on each application. He estimated that, if the City were to carry out its own geotechnical review of properties including taking sample, it would take two or three days for each review. A geotechnical engineer would have to be hired by the City to conduct the reviews.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Andrew Nazareth is the Director of Finance for the City. He reviewed the City's budget process and the resolution of the City Council adopting the City's budget for 1993. He stated that the City does not employ a geotechnical engineer and that if additional operational resources were required to employ one the matter would be required to come before the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George Humphrey has been the Chief Building Inspector for the City of Burnaby since 1993 and its Deputy Building Inspector prior to that. He is the current President of the Building Officials Association of B.C. and a member of its certification committee. He is also the Chair of the Provincial Building Code Appeal Board. He gave evidence on the standard of care on plan checking and building inspection at the municipal level. At page 7 of his report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it is accepted procedure for the plan checker or Building Official to identify whether or not the particular building site may give rise to possible soil concerns, convey this information to the applicant and make it a condition of issuing a building permit that the applicant retain an expert to provide geotechnical investigation and report as outlined in Section 5.12.4 of the [Richmond] Bylaw. It is the normal and accepted procedure throughout local governments in the Lower Mainland that the Building Official also ensure that the applicant provide sealed drawings and Letters of Assurance for the structural and geotechnical design before a building permit is issued.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my experience, it is a normal practice for local governments throughout the Province of British Columbia to rely entirely upon the reports of the geotechnical specialists. It is unusual, if it happens at all, that the local government would employ a geotechnical engineer on staff. In my opinion, based on my experience, it is the practice of local governments not to undertake an independent investigation or analysis of subsurface conditions where the owners have been required to obtain his or her own Registered 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Matthew Kokan is a geotechnical engineer whose firm was retained by Mr. and Mrs. Parsons in 2005 to carry out an investigation of ground conditions in the vicinity of the Parsons' residence and to examine the factors that contributed to the settlement of the home. His report also provided repair options. In Mr. Kokan's opinion the degree of settlement is far in excess of what would be considered tolerable for a wood framed structure. He noted that, from the test holes that his firm drilled, it appeared that the extent of peat removal was variable, with there being no peat at the west side of the home and up to five feet of peat at the north side. In his opinion the presence of peat at the north side appears to correlate with the differential ground settlement that had been observed. At page 2 of his report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post construction settlement is a direct result of inadequate site preparation prior to the construction of the residence. Both the initial investigation and the review undertaken during construction by the geotechnical engineer of record is considered inadequate given the known poor subsurface conditions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course of presenting their evidence, Mr. and Mrs. Parsons pointed to the professional standing of Mr. Finch at particular times relating to his work on their property. Following an August 1993 disciplinary hearing concerning Mr. Finch a disciplinary panel of the Association of Professional Engineers and Geoscientists of the Province of British Columbia ordered that Mr. Finch's membership in the Association be revoked effective November 1, 1993. Mr. Finch filed an appeal and the court stayed the revocation order until the appeal was heard. Pending the hearing of the appeal, Mr. Finch was entitled to continue to provide professional services on projects which were initiated prior to October 1993. In April 1994 Mr. Finch's appeal was allowed and the decision of the discipline panel was quashed.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1993, s. 734 of the Municipal Act, R.S.B.C. 1979, c. 290 (now the Local Government Act, S.B.C. 1996, c. 323) provided for a municipal council by bylaw to regulate the construction of buildings and structures. Section 734.2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council may by bylaw, do the following:</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applicants for building permits, in circumstances as specified in the bylaw that relate to site conditions or to the size of complexity of developments or aspects of developments, to provide the municipality with a certification by a professional engineer or architect that the plans submitted with the application for the permit, or specified aspects of those plans, comply with the then current Provincial building code or other applicable enactments respecting safety;</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authorize building inspectors for the municipality to require applicants for building permits to provide the municipality with the certification referred to in paragraph (a) where a building inspector considers the site conditions or the size or the complexity of the development or an aspect of the development to which the permit relates warrants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Pursuant to that authority the City adopted Building Bylaw No. 5882 on June 22, 1992. Under the bylaw no building is permitted to be constructed except in conformity with the B.C. Building Code and the bylaw. Under Part 3 the Building Inspector is given a number of powers. For example, the inspector may refuse to issue a permit or may make correction orders where he finds contraventions of the Building Code. Under Part 3.4 the inspector may revoke a permit: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in his opinion the results of tests on materials, devices, construction methods, structural assemblies or foundation conditions contravene the building code or the provisions of this bylaw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Under Part 5.12 of the bylaw, however, the building inspector "shall require professional design and a field review" in respect of a building permit for structural components that fall within the scope of Part 4 of the Building Code. Part 4 includes provisions where a subsurface investigation is required. The Building Code defines "subsurface investigation"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appraisal of the general subsurface conditions at a building site by analysis of information gained by such methods as geological surveys, in situ testing, sampling, visual inspection, laboratory testing of samples of the subsurface materials and groundwater observations and measurements.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Part 5.12.1, in referring to Part 4 of the Building Code, also states "as amplified in Appendix A of the Building Code". Section A-2.6 of Appendix A deals with professional design and review. It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Section provides for the use of what are generally called Letters of Assurance. The letters themselves, known as Schedules A, B-1, B-2 and C and located at the end of Part 2, are intended to put on paper the responsibilities of the various key players in a construction project. The Letters of Assurance do no not add any new responsibilities to the professionals nor do they relieve the authorities having jurisdiction from their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"Professional design" must be carried out by licensed architects or professional engineers who are registered with their professional governing bodies.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Part 5.12.2 requires that owners submit "Letters of Assurance" incorporating the assurances of the registered professional that the plans and supporting documents submitted with the building permit application substantially comply with the Building Code and other applicable enactments regarding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Part 5.12.3 requires owners prior to occupancy of a building to submit Letters of Assurance which incorporate the assurances of the registered professional that the construction substantially conforms with the plans and supporting documents for which the building permit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Part 5.12.4 permits a building inspector to require the owner to submit a Letter of Assurance which incorporates the assurance of the registered professional that he or she has carried out a subsurface investigation of the site in accordance with the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Part 5.12.5 requires the owner to submit a Letter of Assurance that the registered professional possesses insurance which includes errors and omissions and the particulars of such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Part 11.1 sets out an "Inspection Schedule" in which the owner is required to give at least 24 hours notice to the building inspector in order to obtain his inspection of the construction. The first inspection set out in Part 11.1 must take place "after forms for the footings are complete, but prior to the placing of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bylaw and the Building Code define a "Registered professional" as: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registered or licensed to practise as an architect under the Architects Act,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registered or licensed to practise as a professional engineer under the Engineers and Geoscientists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set out a number of professional obligations of registered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City of Kamloops v. Nielsen, </w:t>
      </w:r>
      <w:hyperlink r:id="rId132"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10 D.L.R. (4th) 641</w:t>
        </w:r>
      </w:hyperlink>
      <w:r>
        <w:rPr>
          <w:rFonts w:ascii="arial" w:eastAsia="arial" w:hAnsi="arial" w:cs="arial"/>
          <w:color w:val="000000"/>
          <w:sz w:val="20"/>
          <w:lang w:val="en-US" w:eastAsia="en-US" w:bidi="ar-SA"/>
        </w:rPr>
        <w:t xml:space="preserve"> [Kamloops] Wilson J. identified at pp. 10-11 two questions which must be asked in order to determine whether a private law duty of care exists: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(the local authority and the person who has suffered the damage) so that, in the reasonable contemplation of the authority, carelessness on its part might cause damage to that person? If so,</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considerations which ought to negative or limit (a) the scope of the duty and (b) the class of persons to whom it is owed or (c)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the present case the City concedes that the test of proximity raised in the first question is easily met. In responding to the second question, however, the City says that it is exempt from a private law duty of care to the plaintiffs because its decision not to conduct its own inquiry of the subsoil conditions or the foundation plans is a true policy decision which is not subject to review by a court so long as the policy constitutes a bona fide exercise of the City's authority. In Brown v. British Columbia, </w:t>
      </w:r>
      <w:hyperlink r:id="rId379" w:history="1">
        <w:r>
          <w:rPr>
            <w:rFonts w:ascii="arial" w:eastAsia="arial" w:hAnsi="arial" w:cs="arial"/>
            <w:i/>
            <w:color w:val="0077CC"/>
            <w:sz w:val="20"/>
            <w:u w:val="single"/>
            <w:shd w:val="clear" w:color="auto" w:fill="FFFFFF"/>
            <w:lang w:val="en-US" w:eastAsia="en-US" w:bidi="ar-SA"/>
          </w:rPr>
          <w:t>[1994] 4 W.W.R. 194</w:t>
        </w:r>
      </w:hyperlink>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112 D.L.R. (4th) 1</w:t>
        </w:r>
      </w:hyperlink>
      <w:r>
        <w:rPr>
          <w:rFonts w:ascii="arial" w:eastAsia="arial" w:hAnsi="arial" w:cs="arial"/>
          <w:color w:val="000000"/>
          <w:sz w:val="20"/>
          <w:lang w:val="en-US" w:eastAsia="en-US" w:bidi="ar-SA"/>
        </w:rPr>
        <w:t xml:space="preserve"> (S.C.C.) Cory J. stated at [paragraph]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True policy decisions involve social, political and economical factors. In such decisions, the authority attempts to strike a balance between efficiency and thrift, in the context of planning and predetermining the boundaries of its undertakings and of their actual performance. True policy decisions will usually be dictated by financial, economic, social and political factors or constraints.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Ingles v. Tutkaluk Construction Ltd., </w:t>
      </w:r>
      <w:hyperlink r:id="rId380" w:history="1">
        <w:r>
          <w:rPr>
            <w:rFonts w:ascii="arial" w:eastAsia="arial" w:hAnsi="arial" w:cs="arial"/>
            <w:i/>
            <w:color w:val="0077CC"/>
            <w:sz w:val="20"/>
            <w:u w:val="single"/>
            <w:shd w:val="clear" w:color="auto" w:fill="FFFFFF"/>
            <w:lang w:val="en-US" w:eastAsia="en-US" w:bidi="ar-SA"/>
          </w:rPr>
          <w:t>[2000] 1 S.C.R. 298</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183 D.L.R. (4th) 193</w:t>
        </w:r>
      </w:hyperlink>
      <w:r>
        <w:rPr>
          <w:rFonts w:ascii="arial" w:eastAsia="arial" w:hAnsi="arial" w:cs="arial"/>
          <w:color w:val="000000"/>
          <w:sz w:val="20"/>
          <w:lang w:val="en-US" w:eastAsia="en-US" w:bidi="ar-SA"/>
        </w:rPr>
        <w:t>, Bastarache J. observed that the consideration of inspection schemes falls within the second question posed in Kamloops as noted above. At p. 311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determine whether an inspection scheme by a local authority will be subject to a private law duty of care, the court must determine whether the scheme represents a policy decision on the part of the authority, or whether it represents the implementation of a policy decision, at the operational level. True policy decisions are exempt from civil liability to ensure that governments are not restricted in making decisions based upon political or economic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it is determined that an inspection has occurred at the operational level, and thus that the public actor owes a duty of care to all who might be injured by a negligent inspection, a traditional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 will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Dha v. Ozdoba, </w:t>
      </w:r>
      <w:hyperlink r:id="rId381" w:history="1">
        <w:r>
          <w:rPr>
            <w:rFonts w:ascii="arial" w:eastAsia="arial" w:hAnsi="arial" w:cs="arial"/>
            <w:i/>
            <w:color w:val="0077CC"/>
            <w:sz w:val="20"/>
            <w:u w:val="single"/>
            <w:shd w:val="clear" w:color="auto" w:fill="FFFFFF"/>
            <w:lang w:val="en-US" w:eastAsia="en-US" w:bidi="ar-SA"/>
          </w:rPr>
          <w:t>[1990] B.C.J. No. 768</w:t>
        </w:r>
      </w:hyperlink>
      <w:r>
        <w:rPr>
          <w:rFonts w:ascii="arial" w:eastAsia="arial" w:hAnsi="arial" w:cs="arial"/>
          <w:color w:val="000000"/>
          <w:sz w:val="20"/>
          <w:lang w:val="en-US" w:eastAsia="en-US" w:bidi="ar-SA"/>
        </w:rPr>
        <w:t xml:space="preserve"> (S.C.), </w:t>
      </w:r>
      <w:hyperlink r:id="rId381" w:history="1">
        <w:r>
          <w:rPr>
            <w:rFonts w:ascii="arial" w:eastAsia="arial" w:hAnsi="arial" w:cs="arial"/>
            <w:i/>
            <w:color w:val="0077CC"/>
            <w:sz w:val="20"/>
            <w:u w:val="single"/>
            <w:shd w:val="clear" w:color="auto" w:fill="FFFFFF"/>
            <w:lang w:val="en-US" w:eastAsia="en-US" w:bidi="ar-SA"/>
          </w:rPr>
          <w:t>(1990) 39 C.L.R. 248</w:t>
        </w:r>
      </w:hyperlink>
      <w:r>
        <w:rPr>
          <w:rFonts w:ascii="arial" w:eastAsia="arial" w:hAnsi="arial" w:cs="arial"/>
          <w:color w:val="000000"/>
          <w:sz w:val="20"/>
          <w:lang w:val="en-US" w:eastAsia="en-US" w:bidi="ar-SA"/>
        </w:rPr>
        <w:t xml:space="preserve"> (B.C.S.C.) [Dha] the plaintiffs brought an action for damages when their home settled differentially on soils that contained substantial amounts of peat. The engineer who had drawn the foundation plans was found negligent in failing to discharge duties that included satisfying himself that the foundation drawings he certified were appropriate for the soil conditions on the land on which the house was to be constructed. The court also held the City of Richmond was contributorily negligent. At p. 18 Finch J. (as he then was) said of the building inspector under the then bylaw of the municipality: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however, under a duty not to approve plans which clearly did not conform to the Building By-law or the Building Code, or where it was readily apparent that the plans contained insufficient information upon which to decide whether they conformed to the Building By-law or the Building Code. Here, the building inspector knew that the Plaintiffs' home was to be constructed in an area of the municipality where peat was to be found. He knew that the foundation had to be designed by a professional engineer; but he found no information on the plan or elsewhere, upon which he could say whether the design was adequate or appropriate for soil conditions at the Plaintiff's building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and Mrs. Parsons say that the plans for construction did not meet the requirements of the Building Code and that the City breached its duty of care to them in:</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ensuring compliance with the building code and other statutes;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carrying out proper inspections at the subsoil preparation stage of construction;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wrongly relying on the certification of an independent engineer when it had no statutory allowance to do so;</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relying on a subsurface investigation that was not based on the requirements of the Building Code for such investigations;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relying on the engineer's report without having reduced the fee for the building permit as required under s. 734(7) of the Municipal Act;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negligently providing them with inaccurate information as to the floodplain elevation which resulted in the foundation being placed at an elevation that could otherwise have been higher, thereby reducing the risk of future flooding.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They seek damages in the amount required to repair their house and workshop and in addition they seek punitive damages and damages for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City says that it is exempt from a private law duty of care to the plaintiffs as the decision to utilize the professional design provisions is a true policy decision and the City followed its policy. If a duty of care was owed to the plaintiffs, the City submits that it met the required standard. The City also says that the plaintiffs have not proved on a balance of probabilities that the Finch design would not have worked if properly implemented and that there is no evidence before the court that Mr. Finch's methodology was geotechnically unsound. The City submits further that the plaintiffs were wholly or contributorily negligent with respect to their loss by substantially departing from the excavation requirements set forth in the soils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City says that, should it be found liable, it should be released from that liability by reason of waiver clauses contained in Schedule I and Building Permits B9302230 and B9304547 or alternatively by the authority of s.755.4 of the Municipal Act. As to the claim for damages, if the court determines that the City is responsible for the subsidence of the plaintiffs' house and workshop, the City does not take issue with respect to the quantum of general damages in the amount of $310,738. The City says that the claims for damages for mental distress and punitive damages should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issuing building permits, the City owes a duty of care to those who are constructing or purchasing buildings. The duty extends to the reasonable inspection of plans and building sites to provide "for the health, safety and protection of persons and property" (Municipal Act, R.S.B.C. 1979, c. 290, s. 734). In my view, the decision of the City to utilize a "professional design" process expressed in Bylaw No. 5882 when structural components of buildings fall within Part 4 of the Building Code and where the building inspector determines that a subsurface investigation is warranted was a true policy decision. Because utilization of the "professional design" scheme constituted a true policy decision, the City is therefore immune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liability in failing to inspect the soils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preamble to the bylaw, the City Council deemed the bylaw "necessary to provide for the administration of the building code". Although under the bylaw on site inspection of construction does not begin until the stage of "forms approval", the policy contained in the bylaw recognizes the special concerns and the complex considerations that may arise in the construction of buildings on land where the state of the subsurface conditions may be unstable.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bylaw adopts a professional design procedure rather than an on-site inspection process as the means of addressing these special concerns. At the permit application stage it requires evidence of a detailed inspection of subsurface conditions. Setting particular design specifications within the City's own operations would raise both cost concerns and concerns about the level of expertise required at the staff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cannot say that the elements of professional design policy contained in the bylaw are unreasonable or made in bad faith. The professional design is limited to a defined category of construction and to sites where the subsurface conditions warrant investigation. The professionals who are authorized to carry out a design are a limited group who must have both professional qualifications and registration with one of two professional governing bodies that have disciplinary authority. The professionals must also submit confirmation that they possess insurance which includes errors and omissions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addition, the professionals are required to provide not only assurance that their submitted designs conform with the building code but must also provide letters of assurance that they have completed field reviews to confirm that the work done in fact conforms with the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the operational implementation level of this policy, I conclude that an appropriate standard of care was met by the City. In the present case, Mr. Woo, while not a geotechnical engineer, ensured that a soils report was prepared and provided, that information concerning the bearing capacity of the footings was present on the drawings and that the necessary letters of assurance of work being carried out, including field reviews, were provided by Mr. Finch in conformity with the building bylaw. While cursory, Mr. Woo's review in many respects sought to ensure compliance with the bylaw's requirements. In addition, the standard of care applied by the City reviewing the plans was in line with that in place in other local governments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my view, this case is distinguishable from the circumstances present in Dha, supra, not only because of provisions set out in Bylaw No. 5882 that were not part of the earlier bylaws but also in the requirement for investigation reports and the written assurances that are required from the design professionals as part of the permit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Dha the court also found that the defendant engineer failed in his duty to satisfy himself that the foundation drawings he certified were appropriate for the soil conditions on the property there in issue. The court stated that the engineer approved the foundation design in ignorance of the soil and fill conditions which existed on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present case, Mr. Kokan's report does not suggest that the foundation design or the foundation drawings are defective. His brief reference to the cause of the settlement attributes it to inadequate site preparation prior to construction of the residence. He notes that while some peat removal was undertaken during site preparation, the extent of peat removal was variable. He states that the initial investigation and the review undertaken during construction are "considered inadequate". No detail of the inadequacies is given and no comment is made on the content of the soils report or the letters of assurance provided by Mr. Finch. In my view, it is significant that to assist him to inspect the subsurface conditions on Mr. and Mrs. Parsons' property, Mr. Kokan found it necessary to requisition the drilling of two cone penetration tests and two auger test holes, arguably a procedure the City would need to consider if it undertook inspection of soils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Mr. and Mrs. Parsons also say that the City negligently relied on a subsurface investigation that was not based on the requirements of the Building Code for such investigations. As I understand it, this submission arises from the definition of "subsurface investigation" in the Building Code which includes reference to "laboratory testing of samples of the subsurface materials". While laboratory testing of samples is one of the identified means of appraising subsurface conditions along with in situ testing, geological surveys and groundwater observations and measurements, it is not a mandatory component of such investigation. As a result, this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An additional submission made by Mr. and Mrs. Parsons is that the City was not entitled to claim to have relied on the certification of compliance of Mr. Finch because the pre-requisite of a reduced building permit cost had not been met by the City as required under s. 734(7) of the Municipal Act. Section 734(7) provided that where a municipality, in issuing a building permit, indicates that it is relying on a certification of compliance with the Building Code the municipality must reduce the fee for the permit "to reflect the costs of the work that would otherwise be done by a building inspector to determine whether the plan that were certified to comply do in fact comply with" the Building Code or other applicable enactments. Section 734(7) only applies where the certificate replaces "work that would otherwise be done by a building inspector". The geotechnical work carried out by Mr. Finch was not work that would otherwise have been done by a building inspector. In my view this submission does not assist Mr. and Mrs. Parson's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At paragraph 31 of their Statement of Claim Mr. and Mrs. Parson alleged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negligently misrepresented key facts and information critical to the assessment of the subsoil.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misrepresentation alleged is that the City advised the plaintiffs that the elevation of the foundation for their home should be at 0.90 metres geodetic datum or 50 millimetres above the elevation of the centre of the road where their property was situated. In September 1989 the City Council had adopted a policy, Policy 7000, that contained a commitment to complete and adopt a Floodplain Management Plan. A component of such a plan would provide for a building floor elevation of 3.0 metres Geodetic Datum. In essence, Mr. and Mrs. Parsons say that the City failed to inform them of this policy and, had they been informed, they would have constructed their foundations to accord with this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and Mrs. Parsons say they that the advice given them by the City was a negligent misrepresentation and the plaintiffs reliance on that advice was detrimental to them. As part of their claim, therefore, they seek additional damages that would enable them in repairing and rebuilding their home to raise the building floor to the higher elevation.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At the time the building permit was issued to Mr. and Mrs. Parsons, however, the City's Bylaw No. 3720 set the applicable elevation requirements at 0.90 metres geodetic datum. The policy objective of Policy 7000 relating to building floor elevations was not and is still not a legal requirement and the information provided by the City to Mr. and Mrs Parsons was not untrue or inaccurate. While the City owed a duty of care to Mr. and Mrs. Parsons, virtually no evidence was led to demonstrate that the City acted negligently in failing to inform Mr. and Mrs. Parsons about Policy 7000 and there is insufficient proof of damages resulting to Mr. and Mrs. Parsons from the City's failure to inform them of the implications of the Policy 7000 (see Queen v. Cognos Inc., </w:t>
      </w:r>
      <w:hyperlink r:id="rId15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I am not satisfied that this claim has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Having reached the conclusions set out above, it is not necessary to determine whether the statutory and other waivers or releases of the City's liability referred to by the City are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For the reasons set out above, I conclude that Mr. and Mrs. Parsons have not proven their claims against the City and therefore their action must be dismissed. Submissions were not made with respect to costs. I am not aware of any reason why costs should not follow the event and why the City should not be entitled to its costs on scale 3. If the parties are unable to agree, however, they may arrange with the registry to speak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December 14,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In my reasons for judgment dated December 12, 2005 [2005 BCSC 1733] defence counsel's name was inadvertently misspelled and should read "David T. McKnight".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3"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Parwani v. Sekhon, [2010] B.C.J. No. 713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18 and April 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M064008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713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540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188 A.C.W.S. (3d) 642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975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Abdul Rahim Admad Parwani, Plaintiff, and Yadwinder Sekhon and Vancouver Taxi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4"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3" w:name="Keywords_22"/>
      <w:bookmarkEnd w:id="143"/>
      <w:r>
        <w:rPr>
          <w:rFonts w:ascii="arial" w:eastAsia="arial" w:hAnsi="arial" w:cs="arial"/>
          <w:b/>
          <w:color w:val="000000"/>
          <w:sz w:val="20"/>
          <w:lang w:val="en-US" w:eastAsia="en-US" w:bidi="ar-SA"/>
        </w:rPr>
        <w:t xml:space="preserve">Civil litigation — Civil procedure — Costs — Particular circumstances — Where success divided — Offers to settle — Time of offer — Cross-applications for costs — Plaintiff sought damages of $260,000 for personal injuries — Plaintiff offered to settle for $37,000 — Defendants offered to settle for $10,000 — Plaintiff found 75 per cent liable and awarded $25,000 — Plaintiff sought 65 per cent of costs — Defendants sought 75 per cent of costs and order limiting plaintiff to 25 per cent recovery — Court found no basis for departure from general rule apportioning costs in proportion to liability — Plaintiff awarded 25 per cent of costs — Defendants' offer was on eve of trial after significant costs had been incurred — British Columbia Supreme Court Rules, Rule 37B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Costs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Proportionate to fault — Cross-applications for costs — Plaintiff sought damages of $260,000 for personal injuries — Plaintiff offered to settle for $37,000 — Defendants offered to settle for $10,000 — Plaintiff found 75 per cent liable and awarded $25,000 — Plaintiff sought 65 per cent of costs — Defendants sought 75 per cent of costs and order limiting plaintiff to 25 per cent recovery — Court found no basis for departure from general rule apportioning costs in proportion to liability — Plaintiff awarded 25 per cent of costs — Defendants' offer was on eve of trial after significant costs had been incurred — British Columbia Supreme Court Rules, Rule 37B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3.</w:t>
      </w:r>
    </w:p>
    <w:p>
      <w:pPr>
        <w:jc w:val="both"/>
        <w:rPr>
          <w:rFonts w:ascii="arial" w:eastAsia="arial" w:hAnsi="arial" w:cs="arial"/>
          <w:sz w:val="20"/>
          <w:lang w:val="en-US" w:eastAsia="en-US" w:bidi="ar-SA"/>
        </w:rPr>
      </w:pPr>
      <w:bookmarkStart w:id="144" w:name="Legislation Cited_15"/>
      <w:bookmarkEnd w:id="1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5"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37B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326" w:history="1">
        <w:r>
          <w:rPr>
            <w:rFonts w:ascii="arial" w:eastAsia="arial" w:hAnsi="arial" w:cs="arial"/>
            <w:i/>
            <w:color w:val="0077CC"/>
            <w:sz w:val="20"/>
            <w:u w:val="single"/>
            <w:shd w:val="clear" w:color="auto" w:fill="FFFFFF"/>
            <w:lang w:val="en-US" w:eastAsia="en-US" w:bidi="ar-SA"/>
          </w:rPr>
          <w:t>RSBC 1996, CHAPTER 333, s. 3</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5" w:name="Counsel_22"/>
      <w:bookmarkEnd w:id="14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6"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Renn A. Holness.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Michael D. Murphy.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6" w:name="Judgment_21"/>
      <w:bookmarkEnd w:id="146"/>
      <w:r>
        <w:pict>
          <v:line id="_x0000_s1137" style="position:absolute;z-index:25183436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May 4, 2010;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7" w:name="C.J. ROSS J."/>
            <w:bookmarkEnd w:id="147"/>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matter, each party has filed an application with respect to the costs of the litigation. The plaintiff, Abdul Parwani, seeks an order that he be awarded 65% of his costs and disbursements for the action at Scale B. The defendants seek an order that the plaintiff recover 25% of his costs and disbursements to May 22, 2009 and the defendants recover 75% of their costs and disbursements from May 22, 2009 forward, including the costs and disbursements relating to the applications concerning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commenced an action for damages for injuries alleged to have been suffered in a motor vehicle accident that occurred on October 8, 2004. The statement of claim raises claims for non-pecuniary general damages, pecuniary general damages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Liability was at issue. The accident occurred at the intersection of Hastings and Kamloops Street in Vancouver. Mr. Parwani alleged that he was proceeding on a green light that turned yellow when he was already in the intersection and that the defendant driver Yadwinder Sekhon did not stop at the stop sign as he was required to do. Mr. Sekhon alleges that the light was red when Mr. Parwani proceeded through the intersection and that the accident was Mr. Parwani's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conducted an examination for discovery of the defendant driver. There were two independent witnesses. One witness, Muktaba Akbari, provided a statement to the plaintiff's investigator in a report dated December 23, 2004 in which he stated that the defendant driver went through a red light. This was consistent with the plaintiff's version of events, but problematic because there was a stop sign not a traffic light at the intersection through which Mr. Sekhon was passing. Mr. Akbari provided a subsequent statement in circumstances that were troubling, in which he stated that the defendant's vehicle did not stop at the stop sign. That was the evidence he gave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second independent witness was Cornel Wilson, who was a passenger in the taxi driven by Mr. Sekhon. Mr. Wilson testified that the taxi came to a stop at the stop sign at the intersection of Hastings Street. He stated that he noticed pedestrians waiting to cross. He said that he then observed pedestrians starting to cross Hastings Street at just about the time that the taxi started to cross the intersection. This testimony was consistent with Mr. Sekhon's assertion that the light on Hastings was red when Mr. Parwani proceeded through. Mr. Wilson provided a written statement to the same effect that was provided to plaintiff's counsel by letter dated May 11,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made an offer to settle dated March 31, 2009 for $37,000 plus costs and disbursements. The defendants made an offer to settle pursuant to Rule 37B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on May 22, 2009, the Friday before the commencement of the trial, in the amount of $10,000 plus 50% of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trial commenced May 25, 2009 and proceeded for seven days. At trial the plaintiff sought awards of: $70,000 for non-pecuniary loss, $70,000 for past wage loss, $100,000 for loss of future earning capacity, $15,000 for loss of homemaker capacity and $5,000 for future care costs. In Reasons indexed at </w:t>
      </w:r>
      <w:hyperlink r:id="rId389" w:history="1">
        <w:r>
          <w:rPr>
            <w:rFonts w:ascii="arial" w:eastAsia="arial" w:hAnsi="arial" w:cs="arial"/>
            <w:i/>
            <w:color w:val="0077CC"/>
            <w:sz w:val="20"/>
            <w:u w:val="single"/>
            <w:shd w:val="clear" w:color="auto" w:fill="FFFFFF"/>
            <w:lang w:val="en-US" w:eastAsia="en-US" w:bidi="ar-SA"/>
          </w:rPr>
          <w:t>2009 BCSC 1280</w:t>
        </w:r>
      </w:hyperlink>
      <w:r>
        <w:rPr>
          <w:rFonts w:ascii="arial" w:eastAsia="arial" w:hAnsi="arial" w:cs="arial"/>
          <w:color w:val="000000"/>
          <w:sz w:val="20"/>
          <w:lang w:val="en-US" w:eastAsia="en-US" w:bidi="ar-SA"/>
        </w:rPr>
        <w:t>, liability was apportioned 75% to the plaintiff and 25% to the defendants. The plaintiff was awarded $25,000 for non-pecuniary loss. Claims under all remaining heads of damage were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general rule is that in cases where the defendant has suffered no damage and liability is divided, the plaintiff is under no liability for costs and the defendant is liable for the plaintiff's costs in the same portion as the defendant is liable for the plaintiff's damages, see </w:t>
      </w:r>
      <w:r>
        <w:rPr>
          <w:rFonts w:ascii="arial" w:eastAsia="arial" w:hAnsi="arial" w:cs="arial"/>
          <w:i/>
          <w:color w:val="000000"/>
          <w:sz w:val="20"/>
          <w:lang w:val="en-US" w:eastAsia="en-US" w:bidi="ar-SA"/>
        </w:rPr>
        <w:t>Flatley v. Denike</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(1997), 32 B.C.L.R. (3d) 97</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xml:space="preserve">, supplementary reasons at </w:t>
      </w:r>
      <w:hyperlink r:id="rId392" w:history="1">
        <w:r>
          <w:rPr>
            <w:rFonts w:ascii="arial" w:eastAsia="arial" w:hAnsi="arial" w:cs="arial"/>
            <w:i/>
            <w:color w:val="0077CC"/>
            <w:sz w:val="20"/>
            <w:u w:val="single"/>
            <w:shd w:val="clear" w:color="auto" w:fill="FFFFFF"/>
            <w:lang w:val="en-US" w:eastAsia="en-US" w:bidi="ar-SA"/>
          </w:rPr>
          <w:t>2008 BCCA 527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court retains a discretion to depart from the usual rule, see </w:t>
      </w:r>
      <w:r>
        <w:rPr>
          <w:rFonts w:ascii="arial" w:eastAsia="arial" w:hAnsi="arial" w:cs="arial"/>
          <w:i/>
          <w:color w:val="000000"/>
          <w:sz w:val="20"/>
          <w:lang w:val="en-US" w:eastAsia="en-US" w:bidi="ar-SA"/>
        </w:rPr>
        <w:t>Peters v. Davidson</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(1981), 125 D.L.R. (3d) 753</w:t>
        </w:r>
      </w:hyperlink>
      <w:r>
        <w:rPr>
          <w:rFonts w:ascii="arial" w:eastAsia="arial" w:hAnsi="arial" w:cs="arial"/>
          <w:color w:val="000000"/>
          <w:sz w:val="20"/>
          <w:lang w:val="en-US" w:eastAsia="en-US" w:bidi="ar-SA"/>
        </w:rPr>
        <w:t xml:space="preserve"> (B.C.S.C.), aff'd </w:t>
      </w:r>
      <w:hyperlink r:id="rId394" w:history="1">
        <w:r>
          <w:rPr>
            <w:rFonts w:ascii="arial" w:eastAsia="arial" w:hAnsi="arial" w:cs="arial"/>
            <w:i/>
            <w:color w:val="0077CC"/>
            <w:sz w:val="20"/>
            <w:u w:val="single"/>
            <w:shd w:val="clear" w:color="auto" w:fill="FFFFFF"/>
            <w:lang w:val="en-US" w:eastAsia="en-US" w:bidi="ar-SA"/>
          </w:rPr>
          <w:t>(1982) 41 B.C.L.R. 330</w:t>
        </w:r>
      </w:hyperlink>
      <w:r>
        <w:rPr>
          <w:rFonts w:ascii="arial" w:eastAsia="arial" w:hAnsi="arial" w:cs="arial"/>
          <w:color w:val="000000"/>
          <w:sz w:val="20"/>
          <w:lang w:val="en-US" w:eastAsia="en-US" w:bidi="ar-SA"/>
        </w:rPr>
        <w:t xml:space="preserve"> (C.A.). The factors that are to be addressed in the exercise of this discretion were set out by Madam Justice Gray in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2007 BCSC 1820</w:t>
        </w:r>
      </w:hyperlink>
      <w:r>
        <w:rPr>
          <w:rFonts w:ascii="arial" w:eastAsia="arial" w:hAnsi="arial" w:cs="arial"/>
          <w:color w:val="000000"/>
          <w:sz w:val="20"/>
          <w:lang w:val="en-US" w:eastAsia="en-US" w:bidi="ar-SA"/>
        </w:rPr>
        <w:t xml:space="preserve">, varied </w:t>
      </w:r>
      <w:hyperlink r:id="rId396" w:history="1">
        <w:r>
          <w:rPr>
            <w:rFonts w:ascii="arial" w:eastAsia="arial" w:hAnsi="arial" w:cs="arial"/>
            <w:i/>
            <w:color w:val="0077CC"/>
            <w:sz w:val="20"/>
            <w:u w:val="single"/>
            <w:shd w:val="clear" w:color="auto" w:fill="FFFFFF"/>
            <w:lang w:val="en-US" w:eastAsia="en-US" w:bidi="ar-SA"/>
          </w:rPr>
          <w:t>2009 BCCA 82</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principal consideration for the court is whether an injustice will result by following s. 3(1): see </w:t>
      </w:r>
      <w:r>
        <w:rPr>
          <w:rFonts w:ascii="arial" w:eastAsia="arial" w:hAnsi="arial" w:cs="arial"/>
          <w:i/>
          <w:color w:val="000000"/>
          <w:sz w:val="20"/>
          <w:lang w:val="en-US" w:eastAsia="en-US" w:bidi="ar-SA"/>
        </w:rPr>
        <w:t>Forsyth v. Sikorsky Aircraft Corp.</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(2002), 100 B.C.L.R. (3d) 66</w:t>
        </w:r>
      </w:hyperlink>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2002 BCCA 231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w:t>
      </w:r>
      <w:r>
        <w:rPr>
          <w:rFonts w:ascii="arial" w:eastAsia="arial" w:hAnsi="arial" w:cs="arial"/>
          <w:i/>
          <w:color w:val="000000"/>
          <w:sz w:val="20"/>
          <w:lang w:val="en-US" w:eastAsia="en-US" w:bidi="ar-SA"/>
        </w:rPr>
        <w:t>Moore v. Dhillon</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(1993), 85 B.C.L.R. (2d) 69</w:t>
        </w:r>
      </w:hyperlink>
      <w:r>
        <w:rPr>
          <w:rFonts w:ascii="arial" w:eastAsia="arial" w:hAnsi="arial" w:cs="arial"/>
          <w:color w:val="000000"/>
          <w:sz w:val="20"/>
          <w:lang w:val="en-US" w:eastAsia="en-US" w:bidi="ar-SA"/>
        </w:rPr>
        <w:t xml:space="preserve"> (C.A.), Taylor J.A. explained how the usual rule, as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was then construed, might work well in some circumstances but result in an injustice in others (at para. 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s. 3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may work well in cases where liability is divided between defendants only, and where there are cross-claims between plaintiff and defendant, there is potential for injustice when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is applied without exercise of discretion in cases, such as this, where division of fault is as between a successful personal injury plaintiff and a defendant who has suffered no injury or damage, or who has already been fully compensated for any injury or damage suffered. This is demonstrated by the Law of Reform Commission of B.C. in its 1993 report entitled 'Apportionment of Costs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would plainly work an injustice in the present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authorities demonstrate many factors the court has considered in exercising this discretion. Among them are the following:</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plaintiff's injuries;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difficulties facing the plaintiff in establishing liability;</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in settlement negotiations the amount offered was substantially below the ultimate amount;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was forced to go to trial to obtain recovery;</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getting to trial;</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difficulty and length of the trial;</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costs recovery available to the plaintiff, if costs are apportioned according to liability, will bear any reasonable relationship to the party's costs in obtaining the results achieved;</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positions taken by the parties at trial, in particular whether the positions taken were appropriate and reasonable in the circumstances;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made any settlement offers;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ultimate result of the trial; and</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plaintiff achieved substantial success that would be effectively defeated if costs were awarded pursuant to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Forsyth, 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Logeman v. Rossa</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[2006] B.C.J. No. 963</w:t>
        </w:r>
      </w:hyperlink>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2006 BCSC 692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present case, the plaintiff submits that the application of the usual rule would result in an injustice. Counsel submits that the plaintiff was forced to go to trial to obtain recovery, and the costs of trial were significant. If costs were apportioned according to liability, the costs would bear no reasonable relationship to the costs in obtaining the results achieved. The defendants' position, subject to their submission with respect to the offer to settle, is that there is no reason to depart from the usual rule in the circumstances of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have concluded that the application of the usual rule would not work an injustice in the circumstances of the present case. As Mr. Justice Hall, speaking for the Court with respect to the issue of costs in </w:t>
      </w:r>
      <w:r>
        <w:rPr>
          <w:rFonts w:ascii="arial" w:eastAsia="arial" w:hAnsi="arial" w:cs="arial"/>
          <w:i/>
          <w:color w:val="000000"/>
          <w:sz w:val="20"/>
          <w:lang w:val="en-US" w:eastAsia="en-US" w:bidi="ar-SA"/>
        </w:rPr>
        <w:t>Catalyst Paper Corporation v. Companhia de Navegaçao Norsul</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the trend of recent authorities is to the effect that the costs rules should be utilized to have a winnowing function in the litigation process. The costs rules require litigants to make careful assessments of the strength or lack thereof of their cases at commencement and throughout the course of litigation. The rules should discourage the continuance of doubtful cases or defences. This of course imposes burdens on counsel to carefully consider the strengths and weaknesses of particular fact situations. Such considerations should, among other things, encourage reasonable settlements.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was not a case of a plaintiff who suffered substantial injuries or who was substantially successful at trial. The plaintiff claimed that the defendants were 100% responsible for the accident. The result was that the plaintiff was apportioned 75% of the responsibility. The plaintiff claimed damages of $270,000 and was awarded $25,000. There was an offer to settle, albeit belated, from the defendants and that offer exceeded what the plaintiff was awarded at trial, after taking into account the apportionment of liability. It was appropriate and reasonable for the defendants to defend both with respect to liability and the claim for damages. This was not a case of needlessly requiring a plaintiff to prove a case that was bound to succeed, in whole or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result, there will be an order that the plaintiff will recover 25% of his costs from the defendants, commensurate with the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next issue is what effect, if any, is to be given to the defendants offer to settle. Rule 37B provides: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rule, offer to settle means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offer to settle made and delivered before July 2, 2008 under Rule 37, as that rule read on the date of the offer to settle, and in relation to which no order was made under that rule,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offer of settlement made and delivered before July 2, 2008 under Rule 37A, as that rule read on the date of the offer of settlement, and in relation to which no order was made under that rule,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offer to settle, made after July 1, 2008, that</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made in writing by a party to a proceeding,</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delivered to all parties of record, and</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contains the following sentence: "The .... [name of party making the offer] .... reserves the right to bring this offer to the attention of the court for consideration in relation to costs after the court has rendered judgment on all other issues in this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Offer not to be disclosed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an offer to settle has been made must not be disclosed to the court or jury, or set out in any document used in the proceeding, until all issues in the proceeding, other than costs, have been determined.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Offer not an admission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offer to settle is not an admission.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Offer may be considered in relation to costs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consider an offer to settle when exercising the court's discretion in relation to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options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in whole or in part, of any or all of the costs, including any or all of the disbursements, to which the party would otherwise be entitled in respect of all or some of the steps taken in the proceeding after the date of delivery of the offer to settle;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of the offer to settle.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of the offer to settle.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Considerations of court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on any later date;</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 for settlement in cases within small claims jurisdiction</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who accepts an offer to settle for a sum within the jurisdiction of the Provincial Court under the Small Claims Act is not entitled to costs, other than disbursements, unless the court finds that there was sufficient reason for bringing the proceeding in the Supreme Court and so 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Counter offer</w:t>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offer to settle does not expire by reason that a counter offer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a case of divided liability, the trial judge retains a discretion to depart from the default cost regime provided for in s. 3(1)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and award costs on the basis of an offer to settle, see </w:t>
      </w:r>
      <w:r>
        <w:rPr>
          <w:rFonts w:ascii="arial" w:eastAsia="arial" w:hAnsi="arial" w:cs="arial"/>
          <w:i/>
          <w:color w:val="000000"/>
          <w:sz w:val="20"/>
          <w:lang w:val="en-US" w:eastAsia="en-US" w:bidi="ar-SA"/>
        </w:rPr>
        <w:t>Smith v. Knudson</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33 B.C.L.R. (4th) 76</w:t>
        </w:r>
      </w:hyperlink>
      <w:r>
        <w:rPr>
          <w:rFonts w:ascii="arial" w:eastAsia="arial" w:hAnsi="arial" w:cs="arial"/>
          <w:color w:val="000000"/>
          <w:sz w:val="20"/>
          <w:lang w:val="en-US" w:eastAsia="en-US" w:bidi="ar-SA"/>
        </w:rPr>
        <w:t xml:space="preserve">. The purpose of the old Rule 37 was described in </w:t>
      </w:r>
      <w:r>
        <w:rPr>
          <w:rFonts w:ascii="arial" w:eastAsia="arial" w:hAnsi="arial" w:cs="arial"/>
          <w:i/>
          <w:color w:val="000000"/>
          <w:sz w:val="20"/>
          <w:lang w:val="en-US" w:eastAsia="en-US" w:bidi="ar-SA"/>
        </w:rPr>
        <w:t>Mackenzie v. Brooks</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1999 BCCA 623</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37 is clearly designed to encourage the early settlement of actions. It does so by rewarding the party who makes an </w:t>
      </w:r>
      <w:r>
        <w:rPr>
          <w:rFonts w:ascii="arial" w:eastAsia="arial" w:hAnsi="arial" w:cs="arial"/>
          <w:color w:val="000000"/>
          <w:sz w:val="20"/>
          <w:u w:val="single"/>
          <w:lang w:val="en-US" w:eastAsia="en-US" w:bidi="ar-SA"/>
        </w:rPr>
        <w:t>early and reasonable settlement offer,</w:t>
      </w:r>
      <w:r>
        <w:rPr>
          <w:rFonts w:ascii="arial" w:eastAsia="arial" w:hAnsi="arial" w:cs="arial"/>
          <w:color w:val="000000"/>
          <w:sz w:val="20"/>
          <w:lang w:val="en-US" w:eastAsia="en-US" w:bidi="ar-SA"/>
        </w:rPr>
        <w:t xml:space="preserve"> and by penalizing the party who declines to accept such an offer. The reward or penalty takes the form of costs (in some cases, double costs) from the date the offer is made. The significant role which costs now play in the litigation process operates as a powerful incentive to parties to make early offers of settlement under the Rule and to accept reasonable offers.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This policy has been carried forward into Rule 37B; see </w:t>
      </w:r>
      <w:r>
        <w:rPr>
          <w:rFonts w:ascii="arial" w:eastAsia="arial" w:hAnsi="arial" w:cs="arial"/>
          <w:i/>
          <w:color w:val="000000"/>
          <w:sz w:val="20"/>
          <w:lang w:val="en-US" w:eastAsia="en-US" w:bidi="ar-SA"/>
        </w:rPr>
        <w:t>Dodge v. Shaw Cablesystems Ltd.</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2009 BCSC 1765</w:t>
        </w:r>
      </w:hyperlink>
      <w:r>
        <w:rPr>
          <w:rFonts w:ascii="arial" w:eastAsia="arial" w:hAnsi="arial" w:cs="arial"/>
          <w:color w:val="000000"/>
          <w:sz w:val="20"/>
          <w:lang w:val="en-US" w:eastAsia="en-US" w:bidi="ar-SA"/>
        </w:rPr>
        <w:t>, albeit within the ambit of the exercise of judicial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submit that the offer to settle was one that ought reasonably to have been accepted given the evidence with respect to the liability issue. In addition, the position taken by the plaintiff at trial with respect to his losses was unreasonable given the medical evidence and the paucity of evidence to support the claims. The offer exceeded the plaintiff's recovery at trial. The position of the plaintiff was that he did not have adequate time to consider the offer, coming as it did on the eve of trial. Moreover, had the plaintiff accepted the offer, considering the disbursements already incurred, the plaintiff would have recovered only $765.34. Accordingly, it was not reasonable to accept the offer. The plaintiff had made an early offer to settle that reflected a considerable discount to reflect the uncertainties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my view, while the defendants' offer was reasonable, it was not early. It came on the eve of trial, after substantial costs and disbursements had been incurred. Such an offer is not the embodiment of the conduct the rule intends to promote. In the circumstances, and considering the factors identified in the rule, I am not prepared to consider the offer in relation to the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result, there will be an order that the plaintiff will recover 25% of his costs from the defendants, commensurate with the apportionment of liability, including the application regarding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4,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Madam Justice Ross dated April 22, 2010 have been edited.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date of trial on the first page has been amended as follows:</w:t>
      </w:r>
      <w:r>
        <w:rPr>
          <w:rFonts w:ascii="arial" w:eastAsia="arial" w:hAnsi="arial" w:cs="arial"/>
          <w:sz w:val="20"/>
          <w:lang w:val="en-US" w:eastAsia="en-US" w:bidi="ar-SA"/>
        </w:rPr>
        <w:cr/>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of trial should read March 18 and April 6, 2010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8"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Pausche v. British Columbia Hydro &amp; Power Authority, [2000] B.C.J. No. 2125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Bauman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C976377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2125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2000 BCSC 1556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[2000] 11 W.W.R. 385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81 B.C.L.R. (3d) 221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36 C.E.L.R. (N.S.) 81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100 A.C.W.S. (3d) 493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Albert Pausche, as representative plaintiff, plaintiff, and British Columbia Hydro &amp; Power Authority and District of Maple Ridge,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9"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8" w:name="Keywords_23"/>
      <w:bookmarkEnd w:id="148"/>
      <w:r>
        <w:rPr>
          <w:rFonts w:ascii="arial" w:eastAsia="arial" w:hAnsi="arial" w:cs="arial"/>
          <w:b/>
          <w:color w:val="000000"/>
          <w:sz w:val="20"/>
          <w:lang w:val="en-US" w:eastAsia="en-US" w:bidi="ar-SA"/>
        </w:rPr>
        <w:t>Practice — Individuals and corporations, status or standing — Class actions, respecting validity of municipal decisions - - Time for determination of status questions — Judgments and orders — Summary judgments — To dismiss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9" w:name="Case Summary_19"/>
            <w:bookmarkEnd w:id="1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District of Maple Ridge for dismissal of Pausche's action under Rule 18A on the ground that the claim was statute-barred. In November 1995, a number of private properties were flooded following the overflow of a river. Pausche and a number of residents instituted a class action against BC Hydro and the District for damages caused by the flood. Pausche proposed that the class be divided into two subclasses, the resident subclass and the non-resident subclass. He proposed that the common issues be resolved in the first stage of the action, while the second stage would deal with issues that were individual to each class member. The District brought an application under Rule 18A and alleged that the individual claims against it was barred by sections 285 and 286 of the Local Government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0" w:name="Holdings of Court_15"/>
            <w:bookmarkEnd w:id="150"/>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section 286 defence was adjourned until after the certification hearing, and if the action was certified, it was adjourned to the second stage of the action. The section 286 argument could be revived in the event that the certification was refused or determined after trial or other disposition of any common issues certified for trial. Section 285 of the Local Government Act did not apply to the case.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1" w:name="Legislation Cited_16"/>
      <w:bookmarkEnd w:id="1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0"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R.S.B.C. 1996, c. 323, ss. 285, 286, 695(1)(a), 695(1)(c), 695(1)(e).</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2" w:name="Counsel_23"/>
      <w:bookmarkEnd w:id="1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1"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 Klein and J.G. Pearce, for the plaintiff. M.S. Oulton, for the defendant, B.C. Hydro. S.J. Berezowsky, for the defendant, District of Maple Ridge.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3" w:name="Judgment_22"/>
      <w:bookmarkEnd w:id="153"/>
      <w:r>
        <w:pict>
          <v:line id="_x0000_s1142" style="position:absolute;z-index:2518353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4" w:name="BAUMAN J."/>
            <w:bookmarkEnd w:id="154"/>
            <w:r>
              <w:rPr>
                <w:rFonts w:ascii="arial" w:eastAsia="arial" w:hAnsi="arial" w:cs="arial"/>
                <w:b/>
                <w:color w:val="000000"/>
                <w:sz w:val="30"/>
                <w:lang w:val="en-US" w:eastAsia="en-US" w:bidi="ar-SA"/>
              </w:rPr>
              <w:t>BAUMAN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29 November 1995 the South Alouette River in the District of Maple Ridge overflowed its banks.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 number of private properties within the river's floodplain were inundated and property damage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flooding was allegedly caused by the defendant, B.C. Hydro, spilling water over the Alouette Dam which was maintained by the utility as part of its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Albert Pausche is a landowner who alleges property damage from the flood. He commenced this action under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Pausche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the Alouette Dam by B.C. Hydro and on the part of the District of Maple Ridge, the local municipal government. As to the latter, Mr. Pausche alleges that the District - through its employees, servants or agents - was negligent in failing to warn, or adequately warn, he and the proposed class members of the impending flood and that this failure caused or exacerbated the damages suffered in the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proposes that the class be divided into two subclasses: the Resident Subclass, being all persons or entities who are residents of British Columbia on the date of certification and who sustained damages as a result of the flood, and the Non-resident Subclass, being comprised of all other persons or entities who suffered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proposes that the common issues be resolved in the first stage of the action. These include the issues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B.C. Hydro and of the District of Maple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second stage will deal with issues individual to each class member, including his or her right to membership in the class and the amount of damages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District brings this Rule 18A application alleging that the individual plaintiff's claim against it is barred by the provisions of ss. 285 or 286 of the 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These sections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Limitation period for actions against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actions against a municipality for the unlawful doing of anything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purported to have been done by the municipality under the powers conferred by an Act, and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might have been lawfully done by the municipality if acting in the manner established by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must be commenced within 6 months after the cause of action first arose, or within a further period designated by the council in a particular case, but not afterwards.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Immunity unless notice given to municipality after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286</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municipality is in no case liable for damages unless notice in writing, setting out the time, place and manner in which the damage has been sustained, is delivered to the municipality within 2 months from the date on which the damage was sustained.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case of the death of a person injured, the failure to give notice required by this section is not a bar to the maintenance of the action.</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give the notice or its insufficiency is not a bar to the maintenance of an action if the court before whom it is tried, or, in case of appeal, the Court of Appeal, believes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reasonable excuse,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not been prejudiced in its defence by the failure or insufficiency.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primary position in opposition is the submission that it is premature to consider the District's application. The plaintiff suggests that the applicability of any limitation or notice provision to individual claims ought properly to be considered, possibly summarily, in the second stage of the proceeding, after the trial or other disposition of issues common to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says that it will avail the District little to strike the action against it by Pausche, because counsel will simply substitute a new plaintiff, not exposed to any limitations infirmity under which Pausche might labour, and thereafter carry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Alternatively, Pausche might still carry on and seek certification of the proceeding against both B.C. Hydro and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This latter submission is somewhat novel, given that it presupposes that the District has an answer based on ss. 285 or 286 of the Local Government Act to Pausche's claim. It is based on the decision in Harrington v. Dow Corning Corp., </w:t>
      </w:r>
      <w:hyperlink r:id="rId411" w:history="1">
        <w:r>
          <w:rPr>
            <w:rFonts w:ascii="arial" w:eastAsia="arial" w:hAnsi="arial" w:cs="arial"/>
            <w:i/>
            <w:color w:val="0077CC"/>
            <w:sz w:val="20"/>
            <w:u w:val="single"/>
            <w:shd w:val="clear" w:color="auto" w:fill="FFFFFF"/>
            <w:lang w:val="en-US" w:eastAsia="en-US" w:bidi="ar-SA"/>
          </w:rPr>
          <w:t>[1996] 8 W.W.R. 485</w:t>
        </w:r>
      </w:hyperlink>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22 B.C.L.R. (3d) 97</w:t>
        </w:r>
      </w:hyperlink>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31 C.C.L.T. (2d) 48</w:t>
        </w:r>
      </w:hyperlink>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48 C.P.C. (3d) 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Turning to ss. 285 and 286, it will be seen that s. 285, to the extent that it applies to the cause of action, becomes an issue common to the class if it be shown that no one commenced an action against the District within the six month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To determine that, I granted the District leave to file a further affidavit, and that affidavit discloses that no such actions have been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to s. 286, the plaintiff says that because of the "reasonable excuse" proviso, its applicability comes to be determined on an individual claim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turn first to consider whether the s. 286 defence advanced against Pausche should be adjourned until after the certification hearing and if the action is certified, further adjourned to the second stage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says that this procedural question is one of first impression, at least in British Columbia in the context of class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has properly brought to my attention Justice Montgomery's decision in Burke v. American Heyer-Schulte Corp. (1994), 25 C.P.C. (3d) 177 (Ont. C.A.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Prior to the certification hearing, Montgomery J. gave effect to the defendant's motion to strike the action based on a limitations defence found to apply against the proposed class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was a pyrrhic victory for the defendants because a new action was immediately started by another representative plaintiff who was not susceptible to the limitations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here says that such machinations are neither necessary nor to be encouraged. He points to this court's decision in Harrington (supra). There, Justice Mackenzie (then of this court) was considering the certification of proceedings by Helen Harrington against certain manufacturers of breast implants.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Under the heading "Helen Harrington as Representative of the Class", Mackenzie J. said this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Turning to the requirements of s. 4(1)(e), I am satisfied that Ms. Harrington does not have, on the common issues, an interest which is in conflict with other class members. I find that she will fairly and adequately represent the interests of the class, with one possible qualification. Ms. Harrington does not allege personal experience with breast implants of several manufacturers and some defendants contend that she cannot represent claims against those manufacturers. The primary cause of action to which the common issue relates is negligent manufacture and distribution.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is a cause of action which involves the manufacturers severally and it may be appropriate to divide the class into subclasses by manufacturer, with separate representatives for each subclass. That appears to have been the procedure adopted in Bendall. I will hear further submissions on this aspect of class representation after counsel have had an opportunity to consider their position in the light of the common issue set.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will be seen that the learned judge certified a proceeding in which the representative plaintiff was acknowledged not to have a cause of action against certain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That is authority here, says the plaintiff, for eventually certifying this proceeding against B.C. Hydro and Maple Ridge and for accordingly leaving the s. 286 issue for resolution during the individual issues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considering the timing of the consideration of the s. 286 issue, I have considered the decision of then Justice Brenner in Edmonds v. Actton Super-Save Gas Stations Ltd., (1996), 5 C.P.C. (4th) 101. There my colleague considered the interplay between the Rules of Court, in particular, Rule 34, and the Class Proceedings Act (at paras. 11 to 15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real issue to be decided is whether, as contended by the plaintiff, in an action commenced as a class proceeding the first step of the action must be a certification hearing. The plaintiff argues in response to these applications that at the certification hearing the plaintiff is obliged to show that, inter alia, the pleadings disclose a cause of action. The plaintiff further says that for that reason the defendants will be at liberty to advance the arguments that they would advance on a Rule 34 motion at the time of the certification hearing and if the defendants are successful, in the words of plaintiff's counsel, the Rule 34 question or issue "will be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my view an action commenced as an intended class proceeding is, prior to certification, an ordinary action governed by the Rules of Court. The Act defines "class proceeding" as a proceeding certified as a class proceeding. Therefore until so certified, the action is an ordinary proceeding to which the Rules of Court apply. I note that even after certification section 40 provides that the Rules of Court continue to apply to the extent they are not in conflict with the Act. The defendants say that the pleadings do not as a matter of law disclose a cause of action and to establish this seek a Rule 34 hearing.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my view, there is no inconsistency and indeed it is preferable to have the Rule 34 application argued prior to the certification hearing.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Notwithstanding the fact that this is an intended class proceeding, it is nonetheless important not to lose sight of a very basic objective of our litigation process in British Columbia. Rule 1(5) states that the object of the Rules of Court is to "secure the just, speedy and inexpensive determination of every proceeding on its merits". This Rule applies even after certification to the extent that it does not conflict with the Act.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Rule 34 exists to achieve this object in appropriate cases. However I do not believe there is any reason to suspend the operation of Rule 34 simply because the action is filed as an intended class proceeding. In my view parties ought to be actively encouraged to bring applications under Rule 34 prior to certification hearings in appropriate cases.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to be noted that in Edmonds, the proposed question of law for disposition under Rule 34 was, in any event, an issue common to all within the proposed class, and this is potentially not the case with respect to the s. 286 issue in the proceedings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Two cases decided in this court suggest that it is not inappropriate to consider individual limitations defences in the second stage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Chace v. Crane Canada Inc. </w:t>
      </w:r>
      <w:hyperlink r:id="rId412" w:history="1">
        <w:r>
          <w:rPr>
            <w:rFonts w:ascii="arial" w:eastAsia="arial" w:hAnsi="arial" w:cs="arial"/>
            <w:i/>
            <w:color w:val="0077CC"/>
            <w:sz w:val="20"/>
            <w:u w:val="single"/>
            <w:shd w:val="clear" w:color="auto" w:fill="FFFFFF"/>
            <w:lang w:val="en-US" w:eastAsia="en-US" w:bidi="ar-SA"/>
          </w:rPr>
          <w:t>(1996), 26 B.C.L.R. (3d) 339</w:t>
        </w:r>
      </w:hyperlink>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32 C.C.L.T. (2d) 316</w:t>
        </w:r>
      </w:hyperlink>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5 C.P.C. (4th) 292</w:t>
        </w:r>
      </w:hyperlink>
      <w:r>
        <w:rPr>
          <w:rFonts w:ascii="arial" w:eastAsia="arial" w:hAnsi="arial" w:cs="arial"/>
          <w:color w:val="000000"/>
          <w:sz w:val="20"/>
          <w:lang w:val="en-US" w:eastAsia="en-US" w:bidi="ar-SA"/>
        </w:rPr>
        <w:t xml:space="preserve"> (S.C.), appeal dismissed </w:t>
      </w:r>
      <w:hyperlink r:id="rId413" w:history="1">
        <w:r>
          <w:rPr>
            <w:rFonts w:ascii="arial" w:eastAsia="arial" w:hAnsi="arial" w:cs="arial"/>
            <w:i/>
            <w:color w:val="0077CC"/>
            <w:sz w:val="20"/>
            <w:u w:val="single"/>
            <w:shd w:val="clear" w:color="auto" w:fill="FFFFFF"/>
            <w:lang w:val="en-US" w:eastAsia="en-US" w:bidi="ar-SA"/>
          </w:rPr>
          <w:t>(1997) 44 B.C.L.R. (3d) 264</w:t>
        </w:r>
      </w:hyperlink>
      <w:r>
        <w:rPr>
          <w:rFonts w:ascii="arial" w:eastAsia="arial" w:hAnsi="arial" w:cs="arial"/>
          <w:color w:val="000000"/>
          <w:sz w:val="20"/>
          <w:lang w:val="en-US" w:eastAsia="en-US" w:bidi="ar-SA"/>
        </w:rPr>
        <w:t xml:space="preserve">; 14 C.P.C. (4th) 197 (C.A.), the plaintiffs sued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damages after they suffered water damage to their homes when toilet tanks manufactured by the defendant cracked. The certification application was allowed. The court was of the view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 offered a sufficient degree of commonality to be characterized 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Justice Mackenzie concluded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Section 4(2) of the Act directs that the court must consider all relevant matters including certain specific factors therein listed. These include "whether questions of fact or law common to the members of the class predominate over any questions affecting only individual members" and, "whether other means of resolving the claims are less practical or less efficient". I have discussed above the relative importance of the common issue -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compared to the individual issues of causation and damages. There is no evidence of a significant number of potential class members wishing to prosecute separate actions or that claims involved in other proceedings will be significantly affected. I am not satisfied that other more practical or efficient means of resolving the claims of prospective class members are available or that class proceedings would create greater difficulties than relief sought by other means. I conclude that a class proceeding which determines the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issue for persons who are the members of the proposed class is the most practical and efficient means of determining that issue for those persons. It will resolve an important issue. If the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issue is decided in the plaintiffs' favour, remaining issues of causation, limitations and damages should be capable of summary disposition in most instances.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Endean v. Canadian Red Cross Society, </w:t>
      </w:r>
      <w:hyperlink r:id="rId414" w:history="1">
        <w:r>
          <w:rPr>
            <w:rFonts w:ascii="arial" w:eastAsia="arial" w:hAnsi="arial" w:cs="arial"/>
            <w:i/>
            <w:color w:val="0077CC"/>
            <w:sz w:val="20"/>
            <w:u w:val="single"/>
            <w:shd w:val="clear" w:color="auto" w:fill="FFFFFF"/>
            <w:lang w:val="en-US" w:eastAsia="en-US" w:bidi="ar-SA"/>
          </w:rPr>
          <w:t>[1997] 10 W.W.R. 752</w:t>
        </w:r>
      </w:hyperlink>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148 D.L.R. (4th) 158</w:t>
        </w:r>
      </w:hyperlink>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36 B.C.L.R. (3d) 350</w:t>
        </w:r>
      </w:hyperlink>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37 C.C.L.T. (2d) 242</w:t>
        </w:r>
      </w:hyperlink>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11 C.P.C. (4th) 368</w:t>
        </w:r>
      </w:hyperlink>
      <w:r>
        <w:rPr>
          <w:rFonts w:ascii="arial" w:eastAsia="arial" w:hAnsi="arial" w:cs="arial"/>
          <w:color w:val="000000"/>
          <w:sz w:val="20"/>
          <w:lang w:val="en-US" w:eastAsia="en-US" w:bidi="ar-SA"/>
        </w:rPr>
        <w:t xml:space="preserve"> (S.C.) Justice K. Smith considered the certification of proceedings against the society and the provincial and federal governments on behalf of a class who had received tainted blood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My colleague referred to the society's submission that individual issues, including the determination of the effect of limitation periods, in individual cases heavily predominated over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then stated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In my view, the intention behind these provisions of the Act is to put more emphasis on the goal of access to justice than on that of judicial economy. That was the approach taken in Harrington, supra, where a class proceeding was certified despite the many unresolved, difficult, individual issues associated with establishing claims arising out of allegedly defective breast implants. Accordingly, the undoubted predominance of individual issues here is not in itself fatal to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If the need to determine the effect of limitation periods in individual cases is not fatal to a certification application, it seems to me to follow that it is appropriate to address such an issue in the second stage of the proceeding, not as urged here, before the certification application and the trial of the common issues (if the proceeding is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On this point, I do not overlook the Court of Appeal's decision in Rumley v. British Columbia </w:t>
      </w:r>
      <w:hyperlink r:id="rId415" w:history="1">
        <w:r>
          <w:rPr>
            <w:rFonts w:ascii="arial" w:eastAsia="arial" w:hAnsi="arial" w:cs="arial"/>
            <w:i/>
            <w:color w:val="0077CC"/>
            <w:sz w:val="20"/>
            <w:u w:val="single"/>
            <w:shd w:val="clear" w:color="auto" w:fill="FFFFFF"/>
            <w:lang w:val="en-US" w:eastAsia="en-US" w:bidi="ar-SA"/>
          </w:rPr>
          <w:t>1999 BCCA 689</w:t>
        </w:r>
      </w:hyperlink>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[1999] B.C.J. No. 2633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in refusing to certify issues unrelated to sexual abuse claims by students at Jericho Hill School, Justice Mackenzie held (at para. 47)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While not in itself decisive in my opinion, the individual dimension of the limitation issue is an additional factor weighing against certification of common issues related to causes of action that face a limitations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If the limitations issue is not by itself decisive in the context of certification in a particular case, it follows that it is a matter that can properly be considered later on an individual basis, after the disposition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have concluded that it is appropriate to adjourn the s. 286 argument generally. It can be revived in the event that the certification is refused or determined after trial or other disposition of any common issues certified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That brings me to a consideration of the District's submission under s. 285 of the Local Government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Again, that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Limitation period for actions against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actions against a municipality for the unlawful doing of anything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purported to have been done by the municipality under the powers conferred by an Act,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might have been lawfully done by the municipality if acting in the manner established by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must be commenced within 6 months after the cause of action first arose, or within a further period designated by the council in a particular case, but not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To appreciate the argument on this issue it is necessary to reproduce two paragraphs from the Statement of Claim particularizing the District's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Emergency Program Act, S.B.C. 1993, c. 41, and amendments thereto, the municipal council [sic] of Maple Ridge, or the head of the municipal council of Maple Ridge, have the power to declare a state of local emergency. Further, subsequent to such declaration, the municipal council has the power to take appropriate steps to prevent, respond to, or alleviate the effects of the emergency. Maple Ridge had a duty of care to declare a state of local emergency in a timely manner and to take appropriate steps to prevent, respond to, alleviate and/or minimize the effects of the Flood in a timely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Maple Ridge had a common law duty of care to warn the Plaintiff and other Class Members. Maple Ridge had the information, resources, and powers to do so in sufficient time to save the Plaintiff and other Class Members personal injury and/or damage to property, and Maple Ridge was negligent in failing to do so at all or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duty of care alleged, then, arises under statute and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District relies upon a series of decisions in this court which purport to interpret and apply the Court of Appeal's decision in Grewal v. Saanich (Dist.) </w:t>
      </w:r>
      <w:hyperlink r:id="rId416" w:history="1">
        <w:r>
          <w:rPr>
            <w:rFonts w:ascii="arial" w:eastAsia="arial" w:hAnsi="arial" w:cs="arial"/>
            <w:i/>
            <w:color w:val="0077CC"/>
            <w:sz w:val="20"/>
            <w:u w:val="single"/>
            <w:shd w:val="clear" w:color="auto" w:fill="FFFFFF"/>
            <w:lang w:val="en-US" w:eastAsia="en-US" w:bidi="ar-SA"/>
          </w:rPr>
          <w:t>(1989), 60 D.L.R. (4th) 583</w:t>
        </w:r>
      </w:hyperlink>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38 B.C.L.R. (2d) 250</w:t>
        </w:r>
      </w:hyperlink>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45 M.P.L.R. 312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will serve if I discuss three of the cases in this line of authority, applying what is now s. 285 of the Local Government Act. They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Antoniak v. Kamloops (City) (29 January 1996), Kamloops 22954; </w:t>
      </w:r>
      <w:hyperlink r:id="rId417" w:history="1">
        <w:r>
          <w:rPr>
            <w:rFonts w:ascii="arial" w:eastAsia="arial" w:hAnsi="arial" w:cs="arial"/>
            <w:i/>
            <w:color w:val="0077CC"/>
            <w:sz w:val="20"/>
            <w:u w:val="single"/>
            <w:shd w:val="clear" w:color="auto" w:fill="FFFFFF"/>
            <w:lang w:val="en-US" w:eastAsia="en-US" w:bidi="ar-SA"/>
          </w:rPr>
          <w:t>[1996] B.C.J. No. 214</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Mulholland v. Zwietering </w:t>
      </w:r>
      <w:hyperlink r:id="rId418" w:history="1">
        <w:r>
          <w:rPr>
            <w:rFonts w:ascii="arial" w:eastAsia="arial" w:hAnsi="arial" w:cs="arial"/>
            <w:i/>
            <w:color w:val="0077CC"/>
            <w:sz w:val="20"/>
            <w:u w:val="single"/>
            <w:shd w:val="clear" w:color="auto" w:fill="FFFFFF"/>
            <w:lang w:val="en-US" w:eastAsia="en-US" w:bidi="ar-SA"/>
          </w:rPr>
          <w:t>(1998), 49 M.P.L.R. (2d) 304</w:t>
        </w:r>
      </w:hyperlink>
      <w:r>
        <w:rPr>
          <w:rFonts w:ascii="arial" w:eastAsia="arial" w:hAnsi="arial" w:cs="arial"/>
          <w:color w:val="000000"/>
          <w:sz w:val="20"/>
          <w:lang w:val="en-US" w:eastAsia="en-US" w:bidi="ar-SA"/>
        </w:rPr>
        <w:t xml:space="preserve"> (B.C.S.C.);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Gringmuth v. North Vancouver (District) </w:t>
      </w:r>
      <w:hyperlink r:id="rId419" w:history="1">
        <w:r>
          <w:rPr>
            <w:rFonts w:ascii="arial" w:eastAsia="arial" w:hAnsi="arial" w:cs="arial"/>
            <w:i/>
            <w:color w:val="0077CC"/>
            <w:sz w:val="20"/>
            <w:u w:val="single"/>
            <w:shd w:val="clear" w:color="auto" w:fill="FFFFFF"/>
            <w:lang w:val="en-US" w:eastAsia="en-US" w:bidi="ar-SA"/>
          </w:rPr>
          <w:t>2000 BCSC 807</w:t>
        </w:r>
      </w:hyperlink>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[2000] B.C.J. No. 1043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Antoniak, the plaintiff commenced an action against the city for flood damage arising out of a broken water 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alleged that his loss resulted from a municipal inspector's negligent inspection of the plaintiff's plumbing.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Justice Hunter referred to Grewal (at paras.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"It seems to me that the law is as set out in Grewal. In Grewal the defendant municipality did not have a legislated duty to inspect soil conditions and therefore was not acting pursuant to an enactment when it was allegedly negligent. In the case at bar, the municipal inspector [acted] pursuant to the enactment which is By-law 11-27, which in turn has adopted the B.C. Plumbing Code and the National Building Code, had a duty to inspect the plaintiff's plumbing. The allegation is that in performing these duties, the inspector failed to act in a manner prescribed by the By-law and those Codes.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I am satisfied that Section 754 applies to this claim and that the learned Provincial Court Judge reached the correct conclusion in dismissing Antoniak's claim against the City of Kamloops, because that action was commenced outside the six month limitation. Accordingly the appeal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will be seen that my colleague applied the protection (I would call a six month limitation period at least that) of s. 285 to a case where a municipal employee was alleged to have not acted in a manner prescribed by an enactment - in that case, the applicable plumbing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That is, s. 285 was applied to a case of the allegedly negligent performance of a duty cast on the inspector by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respectful opinion that is not a proper application of s. 285 of the Local Government Act and it serves to extend the six month limitation period to a broad class of cases not properly within its 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Mulholland, Burnyeat J. simply assumed that the six month limitation period set out in s. 285 was applicable to a case of negligent building inspection by the municipality. No analysis like that undertaken in Antoniak was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Gringmuth, my colleague, Justice Harvey, said in the case of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building inspection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What is alleged here amounts to a breach of a common law duty arising under a statute. The Statement of Claim alleges negligent inspection by the District, including approval of the foundation for the buildings, and allowing construction of the residence which did not meet certain codes. An allegation of failure to inspect on the part of a municipal inspector with a statutory duty to inspect will fall under s. 285 (Grewal v. Saanich (Dist.), supra. Likewise,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inspecting a building project as to conformity with building codes will fall under that section (Mulholland v. Zwietering, </w:t>
      </w:r>
      <w:hyperlink r:id="rId418" w:history="1">
        <w:r>
          <w:rPr>
            <w:rFonts w:ascii="arial" w:eastAsia="arial" w:hAnsi="arial" w:cs="arial"/>
            <w:i/>
            <w:color w:val="0077CC"/>
            <w:sz w:val="20"/>
            <w:u w:val="single"/>
            <w:shd w:val="clear" w:color="auto" w:fill="FFFFFF"/>
            <w:lang w:val="en-US" w:eastAsia="en-US" w:bidi="ar-SA"/>
          </w:rPr>
          <w:t>[1998] B.C.J. No. 2698</w:t>
        </w:r>
      </w:hyperlink>
      <w:r>
        <w:rPr>
          <w:rFonts w:ascii="arial" w:eastAsia="arial" w:hAnsi="arial" w:cs="arial"/>
          <w:color w:val="000000"/>
          <w:sz w:val="20"/>
          <w:lang w:val="en-US" w:eastAsia="en-US" w:bidi="ar-SA"/>
        </w:rPr>
        <w:t>. The limitation provisions of the Municipal Act apply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Although he does not cite Antoniak, Justice Harvey adopts a similar view of the meaning of Grewal.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respectful view, my colleagues have overlooked the crucial words in s. 285, which limit its compass. The section refers to actions against a municipality "for the unlawful doing of anything that ... might have been lawfully done by the municipality if acting in the manner established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each of these cases, the "unlawful doing" is the performance of a negligent inspection under the building or plumbing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What must be asked in each of these cases, but was not, is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Might a negligent inspection have been lawfully done by the municipality if acting in the manner established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And, the answer, is clearly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Bylaws cannot purport to authorize the doing of negligent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error has sprung from a misreading of the Court of Appeal's decision in Grewal.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Grewal, the plaintiffs received a building permit from the municipality and built their home on their property. Owing to unsuitable soil conditions, the home settled and the Grewals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municipality was found to be negligent, but the trial judge dismissed the claim on the basis of the six month limitation period set out in s. 754 of the Local Government Act (now s. 285).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holding that the section did not apply, the court said (at 254):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754 is intended to apply to actions of the municipality that purport to be done pursuant to an enactment but that fail to comply with the requirements of the enactment. </w:t>
      </w:r>
      <w:r>
        <w:rPr>
          <w:rFonts w:ascii="arial" w:eastAsia="arial" w:hAnsi="arial" w:cs="arial"/>
          <w:color w:val="000000"/>
          <w:sz w:val="20"/>
          <w:u w:val="single"/>
          <w:lang w:val="en-US" w:eastAsia="en-US" w:bidi="ar-SA"/>
        </w:rPr>
        <w:t>The section does not apply to acts, such as the negligent driving of a motor vehicle causing injury, for which no existing legislative authority is available to make the act lawful</w:t>
      </w:r>
      <w:r>
        <w:rPr>
          <w:rFonts w:ascii="arial" w:eastAsia="arial" w:hAnsi="arial" w:cs="arial"/>
          <w:color w:val="000000"/>
          <w:sz w:val="20"/>
          <w:lang w:val="en-US" w:eastAsia="en-US" w:bidi="ar-SA"/>
        </w:rPr>
        <w:t xml:space="preserve">. As long ago as 1917 Mr. Justice Murphy in Kilby v. Point Grey, </w:t>
      </w:r>
      <w:hyperlink r:id="rId420" w:history="1">
        <w:r>
          <w:rPr>
            <w:rFonts w:ascii="arial" w:eastAsia="arial" w:hAnsi="arial" w:cs="arial"/>
            <w:i/>
            <w:color w:val="0077CC"/>
            <w:sz w:val="20"/>
            <w:u w:val="single"/>
            <w:shd w:val="clear" w:color="auto" w:fill="FFFFFF"/>
            <w:lang w:val="en-US" w:eastAsia="en-US" w:bidi="ar-SA"/>
          </w:rPr>
          <w:t>24 B.C.R. 107</w:t>
        </w:r>
      </w:hyperlink>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[1917] 2 W.W.R. 206</w:t>
        </w:r>
      </w:hyperlink>
      <w:r>
        <w:rPr>
          <w:rFonts w:ascii="arial" w:eastAsia="arial" w:hAnsi="arial" w:cs="arial"/>
          <w:color w:val="000000"/>
          <w:sz w:val="20"/>
          <w:lang w:val="en-US" w:eastAsia="en-US" w:bidi="ar-SA"/>
        </w:rPr>
        <w:t xml:space="preserve"> (S.C.), drew the distinction we have made when he said at p. 108: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agree that section 484 [now s. 754] does not apply, because if defendants did allow water to escape from their drains upon plaintiff's lot, such act was not one that might have been lawfully done by them if acting in manner prescribed by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color w:val="000000"/>
          <w:sz w:val="20"/>
          <w:u w:val="single"/>
          <w:lang w:val="en-US" w:eastAsia="en-US" w:bidi="ar-SA"/>
        </w:rPr>
        <w:t>this case, the failure to warn was not something that existing legislative authority was available to make the act lawful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What this extract clearly shows, is that the municipality must be able to point to existing legislative authority which makes the impugned conduct, that is the negligent act, 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would illustrate the proper application of the section by suggesting a case where the municipality purports to enact a bylaw under the Local Government Act expropriating land for a municipal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municipality purports to comply with the various statutory requirements and then enters the land and destroys the home on it in preparation for the municipal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transpires that the municipality has not properly complied with the statutory prerequisites to a valid expropriation. (There are a number under the Act, the details are not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expropriation bylaw is successfully attacked by the landowner and it is declared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Setting aside considerations of colour of right, the municipality has in law trespassed and converted the landowner's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limitation period of six months, however, properly applies to that cause of action, because if the municipality had acted in the "manner prescribed by law" in adopting the expropriation bylaw, what would otherwise have been an unlawful act - trespass and conversion - might have been lawfully done. [This indeed was exactly the case in Cameron Investment &amp; Securities Co. and Bailey v. City of Victoria, </w:t>
      </w:r>
      <w:hyperlink r:id="rId421" w:history="1">
        <w:r>
          <w:rPr>
            <w:rFonts w:ascii="arial" w:eastAsia="arial" w:hAnsi="arial" w:cs="arial"/>
            <w:i/>
            <w:color w:val="0077CC"/>
            <w:sz w:val="20"/>
            <w:u w:val="single"/>
            <w:shd w:val="clear" w:color="auto" w:fill="FFFFFF"/>
            <w:lang w:val="en-US" w:eastAsia="en-US" w:bidi="ar-SA"/>
          </w:rPr>
          <w:t>[1920] 3 W.W.R. 1043</w:t>
        </w:r>
      </w:hyperlink>
      <w:r>
        <w:rPr>
          <w:rFonts w:ascii="arial" w:eastAsia="arial" w:hAnsi="arial" w:cs="arial"/>
          <w:color w:val="000000"/>
          <w:sz w:val="20"/>
          <w:lang w:val="en-US" w:eastAsia="en-US" w:bidi="ar-SA"/>
        </w:rPr>
        <w:t xml:space="preserve"> (B.C.S.C.). See also Timpany v. Revelstoke (City) </w:t>
      </w:r>
      <w:hyperlink r:id="rId422" w:history="1">
        <w:r>
          <w:rPr>
            <w:rFonts w:ascii="arial" w:eastAsia="arial" w:hAnsi="arial" w:cs="arial"/>
            <w:i/>
            <w:color w:val="0077CC"/>
            <w:sz w:val="20"/>
            <w:u w:val="single"/>
            <w:shd w:val="clear" w:color="auto" w:fill="FFFFFF"/>
            <w:lang w:val="en-US" w:eastAsia="en-US" w:bidi="ar-SA"/>
          </w:rPr>
          <w:t>(1986), 35 D.L.R. (4th) 729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But that is not the case with the negligent inspection cases and it is not the case with the facts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point is buttressed by reference to the decision of Justice Aikins (then of this court) in Bergloff et al. v. District of Terrace </w:t>
      </w:r>
      <w:hyperlink r:id="rId423" w:history="1">
        <w:r>
          <w:rPr>
            <w:rFonts w:ascii="arial" w:eastAsia="arial" w:hAnsi="arial" w:cs="arial"/>
            <w:i/>
            <w:color w:val="0077CC"/>
            <w:sz w:val="20"/>
            <w:u w:val="single"/>
            <w:shd w:val="clear" w:color="auto" w:fill="FFFFFF"/>
            <w:lang w:val="en-US" w:eastAsia="en-US" w:bidi="ar-SA"/>
          </w:rPr>
          <w:t>(1963), 41 D.L.R. (2d) 285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the municipality held a water licence under the then Water Act, R.S.B.C. 1960, c. 405 authorizing it to divert a certain quantity of water per day. It diverted a larger quantity and thereby flooded the plaintiff's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was held that the six month limitation did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Justice Aikins referred to s. 738(1) of the Local Government Act (1960) (now s. 285) and said (at 287-289):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next step in the argument is this: It is contended for the defendant that the diversion of water in excess of 500,000 gals. a day by the defendant municipality was something (I here quote from the latter part of s. 738(1) of the Municipal Act) "which might have been lawfully done by such municipality if acting in the manner prescribed by law," because it was open to the defendant municipality to have applied to the Comptroller of Water Rights under s. 15(1)(i) of the Water Act to amend its water licence to increase the maximum quantity of water which it was entitled to divert to an amount equal to or in excess of the amount of water which in fact it did divert, and if such amendment had been granted then what it did would have been lawfully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fallacy in the defendant's argument is that while it is obvious that the defendant might have diverted the excess water lawfully if it had applied to Comptroller of Water Rights, and if the Comptroller had amended the defendant's water licence, it is equally obvious that the defendant might not have been able to divert the excess water lawfully if on application to the Comptroller, the Comptroller had refused to amend the licence. The real position is that the defendant might have been able to do lawfully what it did do, or it might not have been able to do lawfully what it did do, depending on whether or not the Comptroller would have granted or refused an application by the defendant to amend its licence to permit a daily diversion of water equal to or greater than the quantity of water which the defendant actually diverted. Whether or not the defendant municipality might have been able to lawfully divert the excess water which it did divert if it had acted in the manner prescribed by law and applied to the Comptroller, is entirely a matter of conjecture. The Comptroller might or might not have granted an amendment to the licence if such an application had been made by the defendant. Section 738(1) does not say: "which might or might not have been lawfully done by such municipality if acting in the manner prescribed by law." In my opinion what the words "which might have been lawfully done by such municipality if acting in the manner prescribed by law" mean is that the municipality properly availing itself of the processes of existing statute law could without question have done lawfully that which it did unlawfully. In the present case there is no assurance whatsoever that the municipality could have lawfully diverted the excess water which it did divert if it had applied to the Comptroller for an amendment to its licence because such amendment might have been refused.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Again, to borrow Justice Aikins' words, the question at bar is, as it should have been in the negligent inspection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municipality properly availed itself of the processes of the existing statute law, could it without question have done lawfully that which it did unlawfully, that is, through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And the answer is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question is not simply whether it purported to perform a duty prescribed by law. (I interject to note that in any event municipal inspections under the authorizing legislation are invariably the exercise of a discretionary power, not a mandatory duty: see for example ss. 695(1)(a)(c) and (e) of the 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Grewal was considered by Master Chamberlist (as he then was) in Cross Atlantic Developments Ltd. v. Prince George (City) </w:t>
      </w:r>
      <w:hyperlink r:id="rId424" w:history="1">
        <w:r>
          <w:rPr>
            <w:rFonts w:ascii="arial" w:eastAsia="arial" w:hAnsi="arial" w:cs="arial"/>
            <w:i/>
            <w:color w:val="0077CC"/>
            <w:sz w:val="20"/>
            <w:u w:val="single"/>
            <w:shd w:val="clear" w:color="auto" w:fill="FFFFFF"/>
            <w:lang w:val="en-US" w:eastAsia="en-US" w:bidi="ar-SA"/>
          </w:rPr>
          <w:t>(1996), 31 M.P.L.R. (2d) 232</w:t>
        </w:r>
      </w:hyperlink>
      <w:r>
        <w:rPr>
          <w:rFonts w:ascii="arial" w:eastAsia="arial" w:hAnsi="arial" w:cs="arial"/>
          <w:color w:val="000000"/>
          <w:sz w:val="20"/>
          <w:lang w:val="en-US" w:eastAsia="en-US" w:bidi="ar-SA"/>
        </w:rPr>
        <w:t xml:space="preserve"> (B.C.S.C.). The learned Master held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 believe that such is the case at bar. The alleged act of permitting water to escape from the municipality's reservoir and pump house upon the lands in question was not an act that might have been lawfully done by them if acting in a manner prescribed by law as contemplated by Section 754. In my view, the provisions of Section 754 do not apply and therefore there is no limitation issue for this court to deal with under Section 754 of the Municipal Act. The only limitations that would apply would be the limitation set forth in the Limitation Act [R.S.B.C. 1979, c. 236] and there would appear to be no problem with any limitations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That, in my view, makes the same point which I am endeavouring to make, at more excruciating length, here. That, I conclude, is a proper application of Grewal.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light of these conflicting authorities, and the conclusions to which I personally have come when I have unburdened myself of the decisions in Antoniak, Mulholland and Gringmuth, I believe that, consistent with the principles of comity discussed in In re Hansard Spruce Mills Limited (In Bankruptcy) (1954), 13 W.W.R. 285 (N.S.) (B.C.S.C.), Cairney v. Queen Charlotte Airlines Limited and MacQueen (No.2) (1954), 12 W.W.R. 457 at 459 (N.S.) and Leischiner v. West Kootenay Power &amp; Light Co. </w:t>
      </w:r>
      <w:hyperlink r:id="rId425" w:history="1">
        <w:r>
          <w:rPr>
            <w:rFonts w:ascii="arial" w:eastAsia="arial" w:hAnsi="arial" w:cs="arial"/>
            <w:i/>
            <w:color w:val="0077CC"/>
            <w:sz w:val="20"/>
            <w:u w:val="single"/>
            <w:shd w:val="clear" w:color="auto" w:fill="FFFFFF"/>
            <w:lang w:val="en-US" w:eastAsia="en-US" w:bidi="ar-SA"/>
          </w:rPr>
          <w:t>(1983), 45 B.C.L.R. 204</w:t>
        </w:r>
      </w:hyperlink>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(1986), 70 B.C.L.R. 145</w:t>
        </w:r>
      </w:hyperlink>
      <w:r>
        <w:rPr>
          <w:rFonts w:ascii="arial" w:eastAsia="arial" w:hAnsi="arial" w:cs="arial"/>
          <w:color w:val="000000"/>
          <w:sz w:val="20"/>
          <w:lang w:val="en-US" w:eastAsia="en-US" w:bidi="ar-SA"/>
        </w:rPr>
        <w:t xml:space="preserve"> (C.A.), I am free to say that Master Chamberlist was correct in Cross Atlantic Developments and I apply it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 result, I hold that s. 285 has no application to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District's Rule 18A application is otherwise adjourned generally to be revived by the defendant as it may be advised in accord with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BAUMAN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3"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Perera v. De Groot, [2006] B.C.J. No. 1952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20 - 21 and April 21 - July 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05/2006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1952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1281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975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 Perera and Carrie Juteau, Plaintiffs, and Jan J. De Groot, Stephen T. Stratton and Coast Capital Savings Credit Union,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4"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5" w:name="Keywords_24"/>
      <w:bookmarkEnd w:id="155"/>
      <w:r>
        <w:rPr>
          <w:rFonts w:ascii="arial" w:eastAsia="arial" w:hAnsi="arial" w:cs="arial"/>
          <w:b/>
          <w:color w:val="000000"/>
          <w:sz w:val="20"/>
          <w:lang w:val="en-US" w:eastAsia="en-US" w:bidi="ar-SA"/>
        </w:rPr>
        <w:t>Damages — For torts — Affecting property — Personal property — Cost of repair or replacement — Inconvenience — Loss of use — The plaintiffs were awarded $32,000 in damages as a result of losses suffered after relying on the negligent survey and report of the defendants while deciding to purchase a sailboat which was found to have a rotten hull — The award included $36,000 in cost of replacement and insurance expenditures, minus $7,000 for salvageable parts from the boat, plus $3,000 for inconvenience and loss of use for the sailing season.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Other — Surveyors — The plaintiffs were awarded $32,000 in damages as a result of losses suffered after relying on the negligent survey and report of the defendants while deciding to purchase a sailboat which was found to have a rotten hull — Based on the evidence, there was rot in the hull at that time, Stratton missed it, and a reasonably careful inspection by sounding or hammer testing would have revealed it.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Professional — The plaintiffs were awarded $32,000 in damages as a result of losses suffered after relying on the negligent survey and report of the defendants while deciding to purchase a sailboat which was found to have a rotten hull — Based on the evidence, there was rot in the hull at that time, Stratton missed it, and a reasonably careful inspection by sounding or hammer testing would have revealed it.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6" w:name="Case Summary_20"/>
            <w:bookmarkEnd w:id="1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were awarded $32,000 in damages -- On the recommendation of the defendant credit union, the plaintiffs employed the defendant surveyor De Groot to perform the survey on a boat they eventually purchased -- The surveyor delegated the task to the defendant Stratton -- The plaintiffs purchased the sailboat, but when they later went to make repairs, they discovered extensive rot in the hull rendering it un-seaworthy -- The plaintiffs now claimed damages for negligent representation given orally and in the written survey report,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way Stratton conducted the survey, and for breach of the contract formed when the plaintiff retained De Groot to conduct the survey -- HELD: The plaintiffs were awarded $32,000 in damages -- Stratton had breached his duty to the plaintiff to conduct a reasonably careful inspection of the boat and to report his findings -- The court was not convinced that Stratton missed existing rot or delamination on the basis of a defective sounding technique or because his hearing was inadequate to the task -- However, the rot should have been detected by Stratton in the March of 2003 -- Based on the evidence, there was rot in the hull at that time, Stratton missed it, and a reasonably careful inspection by sounding or hammer testing would have revealed it -- There was clearly reliance, and the plaintiffs had suffered damage as a result of their reliance on the representations in the survey -- The plaintiffs were awarded $36,000 in damages for the cost of the vessel and their insurance costs, minus $7,000 for the cost of the salvageable mast and rigging, plus $3,000 for the inconvenience suffered and the loss of the boat for the sailing season.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7" w:name="Counsel_24"/>
      <w:bookmarkEnd w:id="1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5"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Jan J. De Groot: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Stephen T. Stratton: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8" w:name="Judgment_23"/>
      <w:bookmarkEnd w:id="158"/>
      <w:r>
        <w:pict>
          <v:line id="_x0000_s1146" style="position:absolute;z-index:2517862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9" w:name="JOHNSTON J."/>
            <w:bookmarkEnd w:id="159"/>
            <w:r>
              <w:rPr>
                <w:rFonts w:ascii="arial" w:eastAsia="arial" w:hAnsi="arial" w:cs="arial"/>
                <w:b/>
                <w:color w:val="000000"/>
                <w:sz w:val="30"/>
                <w:lang w:val="en-US" w:eastAsia="en-US" w:bidi="ar-SA"/>
              </w:rPr>
              <w:t>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Perera and Ms. Juteau wanted a sail boat they could live on while they learned to sail. They had no experience living on the water or sailing. In March of 2003 they found a sail boat offered for sale at a price they could afford in Vancouver. To buy the boat they needed a loan from the Credit Union for the full price of $30,000, and before the Credit Union would lend them money it required that they obtain a pre-purchase survey of the vessel. The Credit Union supplied a list of marine surveyors and Mr. Perera selected the defendant Mr. De Groot from that list. Mr. De Groot instructed Mr. Stratton to perform the survey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17, 2003 the defendant Mr. Stratton surveyed the sail boat, and discussed some of his observations with Mr. Perera. Either Mr. Stratton or Mr. De Groot provided a written survey report to Mr. Perera within a matter of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Perera and Ms. Juteau bought the sail boat, moved it to Sidney, and began to live aboard. Over the summer of 2003, they went sailing every couple of weeks, when they could arrange an experienced sailor to accompany them on the boat. In January 2004, they had a small accident with the boat, and that led Mr. Perera and Ms. Juteau to discover significant rot in the bow portion of the hull.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Perera and Ms. Juteau attempted to do repairs over the summer of 2004. In November 2004, they hauled the boat out of the water to make further repairs, and discovered extensive rot in the hull. On advice received from another marine surveyor, they decided not to put the boat back in the water and have been living on the boat on dry land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Perera and Ms. Juteau now claim against Mr. De Groot and Mr. Stratton for negligent misrepresentation in the advice given orally and in the written survey;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way in which Mr. Stratton conducted the survey; and for breach of the contract formed when Mr. Perera retained Mr. De Groot to conduct the survey.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Perera and Ms. Juteau claim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 shall deal in turn with negligent misrepresentation, then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the survey, then with the claims in contract, and finally, with the questions of damages as they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To succeed the plaintiffs must show that:</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owed them a duty of care based on a "special relationship";</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made a representation which was untrue, inaccurate or misleading;</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acted negligently in making the representation;</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relied in a reasonable manner on the representation;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reliance on the representation was detrimental in that it caused them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b/>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Special relationship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Queen v. Cognos</w:t>
      </w:r>
      <w:r>
        <w:rPr>
          <w:rFonts w:ascii="arial" w:eastAsia="arial" w:hAnsi="arial" w:cs="arial"/>
          <w:color w:val="000000"/>
          <w:sz w:val="20"/>
          <w:lang w:val="en-US" w:eastAsia="en-US" w:bidi="ar-SA"/>
        </w:rPr>
        <w:t xml:space="preserve"> sets out considerations relevant to the existence of a special relationship at para. 46. Applying those considerations, I find that a special relationship existed in this case for these reasons: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I find that it was foreseeable to the defendants that Mr. Perera, who had the contact with Mr. De Groot and Mr. Stratton, would rely on any representations made orally or in writing by Mr. Stratton.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it was reasonable in the circumstances of this case that Mr. Perera rely on any representations contained in the survey report or in the statements made by Mr. Stratton to Mr. Perera.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two findings are relatively easily made as they flow from the relationship between the parties, the details of which were known sufficiently to each of the parties, and the expectations reasonably raised by that knowledge. They include that Mr. Perera wanted a pre-purchase survey because he was contemplating the purchase of the sail boat, and Mr. De Groot, as the owner and operator of the survey firm, and Mr. Stratton, as the surveyor selected by Mr. De Groot to do the survey, were knowledgeable in the field of marine surveys.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it was foreseeable that Mr. Perera would suffer damage if the statements made in the survey were wrong, were made negligently, or were simply not true. That finding flows directly from the ordinary incident of the relationship between marine surveyor and client - that the client is relying on the marine surveyor to exercise reasonable diligence and skill so that the client can make an informed decision whether to buy a boat.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unreasonable in this case to impose a duty of care upon the defendants, primarily because they were retained in order that their skill and ability assist Mr. Perera in his decision to purchase the sail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But for a notation above the signature on the survey that it is delivered "Without Prejudice", there is nothing to suggest that the defendants were not willing to accept responsibility for what was said in the survey. I find that the notation "Without Prejudice" has no effect in this case because it completely undercuts the purpose for which the defendants were hired. There was no suggestion in evidence or argument that the defendants were relying on this phrase to avoid responsibility, or that the surveyors did not expect that Mr. Perera could rely on what was contained in the survey. While it might be possible in some circumstances for someone with special skill to be retained to give an opinion based on that skill yet deny any responsibility if the opinion were delivered without any regard to diligence, the circumstances are not found here. I conclude that the insertion of "Without Prejudice" words above the signature on the survey report were not intended to have any legal effect and do not have any legal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 &amp; 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Were the representations untrue, inaccurate or misleading, and did the defendants act negligently in making them?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These two questions can most conveniently be answered together, as they go to the heart of the issues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Perera and Ms. Juteau complain primarily of two statements in the survey, the first is that the hull of the sail boat: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was found to be in good condition with all laminates well bonded.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in the summary: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her age, this vessel was found to be in good condition and has been well maintained.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Subject to compliance with the recommendations as stated above, the vessel is considered suitable for her intended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Perera and Ms. Juteau rely mainly on two arguments. The first arises from the fact that the sail boat was found to have been so rotten that it was not fit to sail 20 months or so after the defendants' survey, along with the opinion of another marine surveyor, Mr. Down. They say each establishes that Mr. Stratton missed rot that he should have detected when he did his survey. The second argument is that Mr. Stratton breached his duty to inform or advise Mr. Perera and Ms. Juteau that the materials used in the construction of the sail boat, as well as indications from extensive previous repairs to the boat, made the risk of rot so high that purchase of the vessel was ill advised.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agree that when they examined the sail boat in November 2004 it suffered severely from dry rot, so severely that it was no longer feasible or safe to sail.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It should be noted that whether the representations were untrue, inaccurate or misleading, is not a question of honesty or integrity. It is not necessary for the plaintiffs to show that Mr. Stratton intended to mislead or said something that was not true in order to establish liability. An honest belief by Mr. Stratton in the truth of what he said in the survey report or directly to Mr. Perera is not a defence. This is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simpliciter and negligent misstatement. What is in issue is whether the manner of conducting the survey, or what was said in the survey report, fell below the standard to be applied to a marine surveyor.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Mr. De Groot and Mr. Stratton, both say it is entirely possible, and in this case likely, that rot developed in this boat after the survey in March 2003, and progressed rapidly to November 2004, when its full extent was discovered. They argue that this was possible because Mr. Perera and Ms. Juteau lived on the boat, and the presence of two people and a pet dog in a confined space, engaging in activities of daily living, such as showering and cooking, would generate humidity and warmth, prime conditions for the rapid development and growth of rot.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Perera and Ms. Juteau say that they kept the boat well ventilated all the time they lived on it, and they never noticed any undue condensation inside the boat while they lived on it. Mr. Perera testified that they kept the boat at a comfortable temperature, around 20 degrees Celsius, during the cool seasons.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Down doubted that the extent of rot he observed in November 2004 could have developed after March 2003, or as a result of the plaintiffs living aboard the boat. He pointed out that written material relied upon by Mr. De Groot and Mr. Stratton to support that theory related to tropical conditions, which bore no relationship to boats in colder British Columbia waters. Mr. Down qualified his assertions by stating that he was not an expert in the progression of dry rot.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Down referred to areas where repairs had been effected by stapling new wood over old, with staples showing through, and to other areas of repair that had been painted over on the inside of the hull. Mr. Down said this was evidence of earlier repairs that should have alerted Mr. Stratton to the possibility that the boat had needed extensive repairs because of rot, which in turn should have been brought to Mr. Perera's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Stratton says that he "sounded" the entire hull while the sail boat was out of the water in March 2003. By sounding he means he tapped the hull with a hammer and listened for the quality of the sound. Sounding is well-known and approved among marine surveyors as a method of checking for rot or delamination below a fibreglass surface. During his evidence, Mr. Stratton demonstrated sounding by rapping his knuckles sharply on the wooden edge of the witness box and then, as I recall, on the Bible (it may have been another surface), to demonstrate that the two sounded significantly different. By this, Mr. Stratton meant to convey that it is not the sound one gets by rapping a hull with a hammer, but the difference in sound between solid hull and either a hull that is delaminated or rotting under the surface. He testified that it is the difference in sound that one is listening for, and he felt perfectly capable of distinguishing this on his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This evidence was intended to deflect criticism of Mr. Stratton based on the fact that he has some degree of hearing impairment, which he acknowledged in his evidence. He says he has difficulty hearing conversation in crowds but has not felt the difficulty to be sufficiently serious that he thought it worth spending money on hearing aids. Mr. Stratton maintained that his hearing deficit did not affect his ability to examine for rot by sounding.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not convinced that Mr. Stratton missed existing rot or delamination on the basis of a defective sounding technique or because his hearing was inadequate to the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Another issue that relates to whether the survey was inaccurate or misleading arises out of Mr. Down's opinion that it was important for Mr. Perera to know that the material used in building the sail boat was, at least in part, Philippine mahogany plywood. According to Mr. Down, plywood of any form but particularly Philippine mahogany plywood is completely unacceptable as boat building material because of its susceptibility to rot.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According to Mr. Down, the fact that Philippine mahogany wood was used in building the boat could be seen by looking at portions of the inside of the hull. He said these were visible to someone who got down and looking through the hatch in the floor or sole of the boat with a flashlight. Whether the wood was solid Philippine mahogany or plywood veneer could only be detected by "picking" the wood, which means to dig into the surface of the wood with a sharp pointed tool. Mr. Down suggested that this could be done, without the consent of the owner of the boat, so long as it were done in an unobtrusive area that could not readily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have difficulty accepting that this is an accepted practice among marine surveyors, particularly when the general thrust of the evidence from Mr. Down and the two defendants, all three of whom are marine surveyors, was that it is important to keep moisture from penetrating wood, particularly wood that is more susceptible to rot. That is why paint, resin, or other sealing material are put on exposed wood surfaces, to seal them from moisture.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also not prepared to accept that it is acceptable practice for a surveyor, on behalf of a prospective purchaser, to violate the integrity of the surface of wood, by digging into it sufficiently to determine whether it is a veneer on plywood as opposed to solid wood, without the consent of the owner of the boat and thereby expose that portion of the boat to an increased risk of rot.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do not fault Mr. Stratton for not picking into exposed wood in this particular boat during his survey to determine whether the material used was solid wood or veneer on plywood. I do not find that Mr. Stratton breached a duty owed to Mr. Perera by failing to detect or to report the type of wood used to build the boat, or the increased risk of rot caused by use of that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Perera and Ms. Juteau also argue, based again primarily on the evidence of Mr. Down, that it should have been apparent to Mr. Stratton that portions of the interior structure of the sail boat showed signs of rot, perhaps poorly masked or repaired, and that he should have detected and reported that to Mr. Perera.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Sections of the boat have been cut out and marked as exhibits. Counsel argued, based largely on the evidence of Mr. Down, that at least one such sample, taken from a longitudinal stringer accessible under a settee, showed significant pre-existing rot that someone had attempted to cover over with resin or epoxy. Counsel argued that Mr. Stratton should have seen this on his inspection, been alerted to the possibility of pre-existing rot, and warned Mr. Perera in his survey report. The portion in evidence shows signs of substantial rot that had had some clear epoxy or sealant poured over top of it, to the point that some of the sealant had penetrated voids in the rotten stringer.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Down said that when he put his head into the bilge area and looked, he could see new stringers from previous repairs, and then an original stringer that he said was so black with rot that it looked like it had been burned in a fire. I am asked to infer that this was, or should have been, visible to Mr. Stratton if he had conducted a visual examination as carefully as Mr.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Stratton said that he did so and did not see evidence of rot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Stratton said in the survey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Some past repair of wood rot is evident in the starboard sole support stringer.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also indication of past leakage and possible deterioration of the deck support beam at the starboard chain plate attachment.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his report Mr. Stratton recommended, in relation to the repair of wood rot, that:</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repairs below the starboard settee berth should be further investigated to assure that all exposed wood is adequately sealed.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respect to the possible deterioration of the deck support beam he recommended:</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of wood deterioration in the deck beam and sheer clamp near the starboard chain plate attachment should be further investigated and repairs undertaken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his survey report Mr. Stratton said that recommendations 10 and 11 might be carried out as convenient to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reading the survey report, Mr. Perera said that he looked below the starboard settee berth and determined that the wood surfaces were sealed. He said that it does not take expertise to see whether or not wood is covered by paint or resin. He thought no more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Perera says that the second possible defect noted by Mr. Stratton was something he had pointed out to Mr. Stratton during Mr. Stratton's survey and that, in any event, he repaired the area after he bought the sail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conclude that at the time of Mr. Stratton's survey, there was rot in the boat, either as an active condition in at least one stringer, or which had been covered over in poorly effected repair. While the evidence as to the rate at which rot can progress in materials such as were used in the construction of this sail boat in waters off British Columbia is unsatisfactory, it is unlikely that the extent of the rot found in November 2004 could have occurred from a start some time after March 2003. I conclude that for the boat to have been in the disastrous condition it was found to be in November 2004, there must have been significant rot present when Mr. Stratton did his survey.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issue then becomes whether a reasonably competent surveyor would have detected that rot, and whether, in failing to detect the rot, Mr. Stratton fell below the standard of a reasonably competent surveyor.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note that Mr. Perera said that when he inspected the boat before he bought it, he got down on his knees and looked inside the bilge area. While he was not an experienced boater at that time, he testified that he had seen rotten wood before. I infer that in his inspection he saw nothing to indicate the presence of rot.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Perera hired Mr. De Groot so he could have the boat inspected by someone with training and experience that Mr. Perera did not have. The rot in the stringer, as seen by Mr. Down in November 2004 was present to some degree in March of 2003 and should have been visible to reasonably careful inspection. That Mr. Stratton did not see it or report it is evidence that his inspection was less than reasonably careful.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further that there was some rot in the hull in March of 2003. While it may not have caused delamination, or a weakening of the bond between the fibreglass skin and the underlying wood veneer, I do not accept that the extent of the rot found by Mr. Down and by both defendants in November 2004 could have occurred as a natural progression from a condition that could not have been detected by reasonably careful inspection by a marine surveyor in March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Down described a softness of the structure underlying the fibreglass that gave a different sound when struck with a hammer. The sound made when a hammer taps the fibreglass skin over rotting or rotten wood is different than the sound made when the bond between the fibreglass skin and underlying wood has delaminated, and, as indicated earlier, both sound different than the result from tapping fibreglass properly bonded to sound underlying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that the rot should have been detected by Mr. Stratton in March of 2003. I accept that it may have progressed and grown worse between March 2003 and November 2004, and that it is not possible to say how much it progressed in that interval. I am satisfied on the evidence that there was rot in the hull in March of 2003, that Mr. Stratton missed it, and that a reasonably careful inspection by sounding or hammer testing would have revealed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Stratton therefore breached his duty to Mr. Perera to conduct a reasonably careful inspection of the boat and to report his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Reliance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next question is whether Mr. Perera relied in a reasonable manner on the representations set out in the survey.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reasonable that Mr. Perera relied on the survey. He says that he told Mr. De Groot that he needed the survey because he and his wife wanted to buy the boat and that when he received the survey, and noted that it was professionally prepared, it indicated to him that he and his wife should definitely purchase the boat. The fact that Mr. Perera examined the boat himself does not take away from the reason he wanted a professional to look at it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That establishes reliance and in the circumstances I find that it was reasonable that Mr. Perera rely on the statements made in the survey. Indeed, there is no doubt in my mind that both defendants intended that statements be relied upon and they understood throughout that Mr. Perera would rely on what was said in the survey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Did reliance result in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last requirement for negligent misrepresentation is that the reliance on the representation resulted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that Mr. Perera and Ms. Juteau would not have purchased the vessel if the survey had not indicated to them that the vessel was in sound overall condition. I further find that, having purchased the vessel, they ended up, in less than two years, with something that was not capable of being sailed, but was capable of being used as a floating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Perera and Ms. Juteau suffered damage as a result of their reliance on the representations in the survey.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have already dealt with the plaintiffs' claim that Mr. Stratton was negligent in failing to identify substandard materials used in construction of the boat and to report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that there was no breach of the duty owed by Mr. Stratton to Mr. Perera for the reasons given in my findings on negligent misrepresentation. It has not been proven that Mr. Stratton owed a duty to pick at the surface of the boat to determine whether the wood used was solid or veneer, or that he breached any such duty by failing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to the alleged duty to detect rot and to report on it, for the reasons given in my findings on negligent misrepresentation, I find that there was a duty to be reasonably diligent in looking for rot and reporting on it if it were found, and that duty has been breached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also argued that there was a duty on Mr. Stratton to detect the extent of old repairs and to report on them. They argue that having found some old repairs, Mr. Stratton did not go far enough and he should have been alerted to the possibility of more extensive repairs and have been more diligent in his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found fairly extensive portions of the hull where original plywood had been replaced with solid wood, evidence of repairs that had been done some time before they bought the boat. Some of these old repairs were discovered when the plaintiffs began to cut out sections of the hull in an effort to repair the relatively minor damage thought to have been suffered in January 2004, and more were found when they investigated further in preparation for trial. The plaintiffs say that had they known of these old repairs, they would have been alerted to inquire further, and to avoid the purchase entirely. They claim that it was Mr. Stratton's job, acting reasonably as a surveyor, to have found out the extent of these old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cannot conclude on the evidence before me that Mr. Stratton could have found the extent of old repairs without destructive testing or going beyond what was reasonable in a pre-purchase survey. I cannot conclude that a reasonably competent surveyor, exercising the skill that should reasonably be expected of him, would have done more than Mr. Stratton did in finding the evidence of old repairs he reported on, and I find that that ground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argue further that there was a breach of the contract that existed between Mr. Perera and Mr. De Groot, in that it was an express or implied term of the contract for a survey that reasonable diligence be used in the conduct of the survey, that it would be done in a workman like manner, and that the report of the results of the survey would be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agree that a contract was formed when Mr. De Groot agreed to provide a survey and a report, and that the terms argued above were implied in the contract. I also agree that for the reasons given in my findings on negligent misrepresentation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Mr. Stratton was negligent in failing to detect rot that must have been there, the contract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damages in tort would be measured by asking what would it take to put the plaintiffs in the position they would have been in if there had not been a negligent misrepresentation. I am satisfied that, had they known the true state of affairs, they would not have bought this boat. What then are the damages they suffered as a result of buying something they would not have bought if they had known the true state of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is to be distinguished from their damages in contract which would be measured as to what it would take to put them in the position if the contract had been properly performed, that is, if the survey had been competently conducted and the results accurately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this case there may not be any significant difference other than the availability, it is argued, of non-pecuniary damages in tort for aggravation, mental distress, inconvenience,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find that the damages are $36,000 being the cost of the vessel, including the insurance coverages required by the Credit Union. From that amount I deduct $7,000, which I find to be the salvage value of the mast and rigging. I award $3,000 as damages for the inconvenience suffered by the plaintiffs up to November 2004, that is the loss of the sail boat for the sailing season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After November 2004 I find that the inconveniences suffered by the plaintiffs have been largely of their own doing as they have elected, perhaps through financial necessity, to live on this sail boat while it is propped up on jack stands on hard ground. That inconvenience and discomfort, and it must have been substantial, could easily have been avoided had they elected to stop tearing the boat apart when they found how bad it was. They could have avoided the cost of dry land storage and have used the money otherwise spent on dry land storage to rent more reasonable accommodation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Juteau was not a party to the contract formed when Mr. Perera spoke to Mr. De Groot. She has no claim in contract. I find that Mr. Perera did tell Mr. De Groot that he and his wife were contemplating the purchase of the boat, as the reason for the survey, and the duties owed by Mr. De Groot and Mr. Stratton were owed to both plaintiffs. The judgment will be in favour of both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shall have their costs at Scale 3 unless there is a reason to depart from the ordinary costs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7" style="position:absolute;z-index:2518364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Piper v. Mitsubishi Heavy Industries Ltd., [2009] B.C.J. No. 1972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I.H. 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 and 16,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S070364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1972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2009 BCSC 1363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180 A.C.W.S. (3d) 218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2009 CarswellBC 2646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181 A.C.W.S. (3d) 614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Ann-Sue Piper, Personal Representative of the Estate of Simon Roger Piper, Deceased, Plaintiff, and Mitsubishi Heavy Industries, Ltd., Mitsubishi Heavy Industries America, Inc., Honeywell International Inc. (formerly known as AlliedSignal Inc., and successor to Garrett Engine Division, Garrett Turbine Engine Company, and AiResearch Manufacturing Company of Arizona) and Honeywell Limited/Honeywell Limitée,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8"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0" w:name="Keywords_25"/>
      <w:bookmarkEnd w:id="160"/>
      <w:r>
        <w:rPr>
          <w:rFonts w:ascii="arial" w:eastAsia="arial" w:hAnsi="arial" w:cs="arial"/>
          <w:b/>
          <w:color w:val="000000"/>
          <w:sz w:val="20"/>
          <w:lang w:val="en-US" w:eastAsia="en-US" w:bidi="ar-SA"/>
        </w:rPr>
        <w:t>Civil litigation — Civil procedure — Disposition without trial — Dismissal of action — Action unfounded in law — Application by defendants to dismiss plaintiff's claim allowed — Plaintiff's husband was pilot of aircraft, which was manufactured by defendants, and died in crash — Plaintiff claimed she suffered psychological injuries from viewing images of accident scene and television news reports — Not reasonably foreseeable that plaintiff would suffer shock upon learning of husband's death or that she would view television depictions of accident scene on more than one occasions following accident and consequently suffer nervous shock — Television portrayal of scene of crash was removed in time and place from accident and not under defendant's control — Rules of Court, Rule 18A.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Foreseeability and remoteness — Mental and nervous shock — Application by defendants to dismiss plaintiff's claim allowed — Plaintiff's husband was pilot of aircraft, which was manufactured by defendants, and died in crash — Plaintiff claimed she suffered psychological injuries from viewing images of accident scene and television news reports — Not reasonably foreseeable that plaintiff would suffer shock upon learning of husband's death or that she would view television depictions of accident scene on more than one occasions following accident and consequently suffer nervous shock — Television portrayal of scene of crash was removed in time and place from accident and not under defendant's control — Rules of Court, Rule 18A.</w:t>
      </w:r>
    </w:p>
    <w:p>
      <w:pPr>
        <w:jc w:val="both"/>
        <w:rPr>
          <w:rFonts w:ascii="arial" w:eastAsia="arial" w:hAnsi="arial" w:cs="arial"/>
          <w:sz w:val="20"/>
          <w:lang w:val="en-US" w:eastAsia="en-US" w:bidi="ar-SA"/>
        </w:rPr>
      </w:pPr>
      <w:bookmarkStart w:id="161" w:name="Legislation Cited_17"/>
      <w:bookmarkEnd w:id="1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9"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CHAPTER 126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2" w:name="Counsel_25"/>
      <w:bookmarkEnd w:id="16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0"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David G.A.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Mitsubishi: Daniel G. Fetterly.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Honeywell: D. Ross Clark,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Nav Air Charter Inc.: Darryl G. Pankratz.</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3" w:name="Judgment_24"/>
      <w:bookmarkEnd w:id="163"/>
      <w:r>
        <w:pict>
          <v:line id="_x0000_s1151" style="position:absolute;z-index:251837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4" w:name="I.H. PITFIELD J."/>
            <w:bookmarkEnd w:id="164"/>
            <w:r>
              <w:rPr>
                <w:rFonts w:ascii="arial" w:eastAsia="arial" w:hAnsi="arial" w:cs="arial"/>
                <w:b/>
                <w:color w:val="000000"/>
                <w:sz w:val="30"/>
                <w:lang w:val="en-US" w:eastAsia="en-US" w:bidi="ar-SA"/>
              </w:rPr>
              <w:t>I.H. 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Mitsubishi Heavy Industries, Ltd. and Mitsubishi Heavy Industries America, Inc. (the "Mitsubishi defendants"), apply under Rule 18A of the Rules of Court for an order dismissing Ms. Piper's claim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a result of being exposed to the horrifying nature of her husband's death through viewing images of the accident scene and television news reports, [she] has suffered from psychological injuries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facts relied upon in support of Ms. Piper's claim are not pleaded with particularity in the amended statement of claim. They appear in paras. 2 through 5 of the affidavit filed by Ms. Piper in response to the defendants' application for judgment:</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husband Simon was killed in an airplane crash on December 20, 2005 at Terrace, BC. He was one of two pilots of a Mitsubishi MU-2B-36 aircraft which crashed shortly after takeoff.</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first informed of my husband's death in the late night of December 20, 2005 or the early morning of December 21, 2005. I went into shock immediately.</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the crash and December 25, 2005, I saw television news stories which showed images of the crash site at Terrace BC including the wreckage of the aircraft which upset me greatly. I recall seeing about 4 or 5 different news programs with similar images of the burned-out airplane from different heights, including both long-range and closer views. The trees in the immediate area of the wreckage were also burned. None of the images were close enough to allow a view of bodily remains in the aircraft. I stopped watching television news as I was afraid of seeing another news story about my husband's death.</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accident, I was depressed and had difficulty sleeping. I experienced intrusive thoughts which included images of the wreckage. I sought medical attention for emotional trauma, received counselling and have been placed on anti-depressant medication and sleeping pills. I understand that medical and counselling records relating to my treatment and therapy have been produced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purposes of this application, I will assume that Ms. Piper can prove that she suffered nervous shock, were the claim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Mitsubishi defendants say that precedent in British Columbia reflected in decisions such as </w:t>
      </w:r>
      <w:r>
        <w:rPr>
          <w:rFonts w:ascii="arial" w:eastAsia="arial" w:hAnsi="arial" w:cs="arial"/>
          <w:i/>
          <w:color w:val="000000"/>
          <w:sz w:val="20"/>
          <w:lang w:val="en-US" w:eastAsia="en-US" w:bidi="ar-SA"/>
        </w:rPr>
        <w:t>Rhodes Estate v. C.N.R.</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(1990), 50 B.C.L.R. (2d) 273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Devji v. Burnaby (District)</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(1999), 70 B.C.L.R. (3d) 42</w:t>
        </w:r>
      </w:hyperlink>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1999 BCCA 599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Thompson v. Attorney General (Canada)</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(2008), 85 B.C.L.R. (4th) 78</w:t>
        </w:r>
      </w:hyperlink>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2008 BCSC 582</w:t>
        </w:r>
      </w:hyperlink>
      <w:r>
        <w:rPr>
          <w:rFonts w:ascii="arial" w:eastAsia="arial" w:hAnsi="arial" w:cs="arial"/>
          <w:color w:val="000000"/>
          <w:sz w:val="20"/>
          <w:lang w:val="en-US" w:eastAsia="en-US" w:bidi="ar-SA"/>
        </w:rPr>
        <w:t xml:space="preserve">, limits claims for nervous shock alleged by those who have not been physically injured by the actions of another. The form of the limitation or control mechanism has varied. The Mitsubishi defendants say that on the facts and the law as summarized in the authorities that govern the issue in the Province of British Columbia, Ms. Piper's claim, which is separate from her claim advanced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cannot succeed and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difficulties surrounding a claim of the kind advanced by Ms. Piper were described by McEachern C.J.B.C. in </w:t>
      </w:r>
      <w:r>
        <w:rPr>
          <w:rFonts w:ascii="arial" w:eastAsia="arial" w:hAnsi="arial" w:cs="arial"/>
          <w:i/>
          <w:color w:val="000000"/>
          <w:sz w:val="20"/>
          <w:lang w:val="en-US" w:eastAsia="en-US" w:bidi="ar-SA"/>
        </w:rPr>
        <w:t>Devji</w:t>
      </w:r>
      <w:r>
        <w:rPr>
          <w:rFonts w:ascii="arial" w:eastAsia="arial" w:hAnsi="arial" w:cs="arial"/>
          <w:color w:val="000000"/>
          <w:sz w:val="20"/>
          <w:lang w:val="en-US" w:eastAsia="en-US" w:bidi="ar-SA"/>
        </w:rPr>
        <w:t xml:space="preserve"> at paras. 2 and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Claims for damages for nervous shock (sometimes called post-traumatic stress disorder, or psychological or psychiatric illness or injury) have existed for a long time, and the law has been evolving incrementally. Such claims most commonly arise when a person who is not physically injured suffers psychiatric injury usually as a reaction to a frightening experience or to the injury or death of another person (usually a close relative) as a consequence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another person. Because the plaintiff is not physically injured, and may not even come into contact with the defendant, the psychiatric injury alleged is an extra step removed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 difficult questions of proximity and duty of care arise.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It must be remembered, however, that the claim must be for actual psychiatric or emotional injury caused by (not just resulting from) the actionable conduct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Rhodes</w:t>
      </w:r>
      <w:r>
        <w:rPr>
          <w:rFonts w:ascii="arial" w:eastAsia="arial" w:hAnsi="arial" w:cs="arial"/>
          <w:color w:val="000000"/>
          <w:sz w:val="20"/>
          <w:lang w:val="en-US" w:eastAsia="en-US" w:bidi="ar-SA"/>
        </w:rPr>
        <w:t>, the Court said that foreseeability would be restricted to situations in which there was an experience of an alarming, horrifying, shocking or frightening nature. The Court also held that there must be sufficient proximity between the claimant's injury and the defendant's conduct. The point was discussed by Wallace J.A. at pp. 292-3: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requisite proximity relationship is made up of a combination of various relational elements or factors. These include, inter alia, relational proximity (the closeness of the relationship between the claimant and the victim of the defendant's conduct); locational proximity (being at the scene and observing the shocking event); temporal proximity (the relation between the time of the event and the onset of the psychiatric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concepts of locational and temporal proximity refer to the requirement that the claimant must have actually observed the defendant's conduct or the "immediate aftermath". Neither </w:t>
      </w:r>
      <w:r>
        <w:rPr>
          <w:rFonts w:ascii="arial" w:eastAsia="arial" w:hAnsi="arial" w:cs="arial"/>
          <w:i/>
          <w:color w:val="000000"/>
          <w:sz w:val="20"/>
          <w:lang w:val="en-US" w:eastAsia="en-US" w:bidi="ar-SA"/>
        </w:rPr>
        <w:t>Rhodes</w:t>
      </w:r>
      <w:r>
        <w:rPr>
          <w:rFonts w:ascii="arial" w:eastAsia="arial" w:hAnsi="arial" w:cs="arial"/>
          <w:color w:val="000000"/>
          <w:sz w:val="20"/>
          <w:lang w:val="en-US" w:eastAsia="en-US" w:bidi="ar-SA"/>
        </w:rPr>
        <w:t xml:space="preserve"> nor later cases have defined the "immediate aftermath" with any degree of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Devji</w:t>
      </w:r>
      <w:r>
        <w:rPr>
          <w:rFonts w:ascii="arial" w:eastAsia="arial" w:hAnsi="arial" w:cs="arial"/>
          <w:color w:val="000000"/>
          <w:sz w:val="20"/>
          <w:lang w:val="en-US" w:eastAsia="en-US" w:bidi="ar-SA"/>
        </w:rPr>
        <w:t>, the learned Chief Justice stated that there was confusion in the law regarding the relationship between foreseeability and proximity upon which the relevant jurisprudence in British Columbia was based: para. 49. One view was that nervous shock would not be compensable unless it was reasonably foreseeable (para. 51). Another view was that, assuming reasonable foreseeability, the controlling mechanisms, particularly various kinds of proximity, could preclude recovery (para. 52). A third view was that lack of sufficient proximity between the psychiatric injury and the accident would preclude a finding of reasonable foreseeability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an instructive discussion, the learned Chief Justice summarized his conclusions at paras. 54 and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In other words, there seems to have been disagreement throughout the common law world as to whether foreseeability as a legal principle stands alone as the sole test of liability; or whether, as one might say in the modern idiom, proximity informs foreseeability, such that where there is insufficient proximity, there is no foreseeability. Alternatively, it may be argued that even where there is reasonable foreseeability, policy employs proximity as a mechanism to limit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At the end of all this, I find that we are thrown back to the conventional approach approved by the Supreme Court of Canada in </w:t>
      </w:r>
      <w:r>
        <w:rPr>
          <w:rFonts w:ascii="arial" w:eastAsia="arial" w:hAnsi="arial" w:cs="arial"/>
          <w:i/>
          <w:color w:val="000000"/>
          <w:sz w:val="20"/>
          <w:lang w:val="en-US" w:eastAsia="en-US" w:bidi="ar-SA"/>
        </w:rPr>
        <w:t>City of Kamloops v. Nielsen</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(recently affirmed in </w:t>
      </w:r>
      <w:r>
        <w:rPr>
          <w:rFonts w:ascii="arial" w:eastAsia="arial" w:hAnsi="arial" w:cs="arial"/>
          <w:i/>
          <w:color w:val="000000"/>
          <w:sz w:val="20"/>
          <w:lang w:val="en-US" w:eastAsia="en-US" w:bidi="ar-SA"/>
        </w:rPr>
        <w:t>Dobson v. Dobson et al.</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[1999] 2 S.C.R. 753</w:t>
        </w:r>
      </w:hyperlink>
      <w:r>
        <w:rPr>
          <w:rFonts w:ascii="arial" w:eastAsia="arial" w:hAnsi="arial" w:cs="arial"/>
          <w:color w:val="000000"/>
          <w:sz w:val="20"/>
          <w:lang w:val="en-US" w:eastAsia="en-US" w:bidi="ar-SA"/>
        </w:rPr>
        <w:t>, (9 July 1999), N.B. 26152 (S.C.C.)) that, assuming reasonable foreseeability, the tests to be applied are whether there is a sufficiently close relationship between plaintiff and defendant to establish a duty of care, and, if so, whether any public policy negates such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Piper was not a witness to the accident. She did not view her deceased husband's body after the accident. She was informed of the accident at her home. She did not go to the scene. She watched the depiction of the scene on television some time after she was informed of the accident and the death, and on other occasions in the five-day period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grief, sorrow, and distress experienced by Ms. Piper as a result of the tragic loss of her husband are understandable. However, in so far as her claim against the Mitsubishi defendants is concerned, the question that must be answered is whether it was reasonably foreseeable that their conduct, assuming it to have been negligent, would cause Ms. Piper to suffer nervous shock upon being informed of the accident and her husband's death, or upon viewing televised depictions of the scene subsequent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As stated by the Chief Justice in </w:t>
      </w:r>
      <w:r>
        <w:rPr>
          <w:rFonts w:ascii="arial" w:eastAsia="arial" w:hAnsi="arial" w:cs="arial"/>
          <w:i/>
          <w:color w:val="000000"/>
          <w:sz w:val="20"/>
          <w:lang w:val="en-US" w:eastAsia="en-US" w:bidi="ar-SA"/>
        </w:rPr>
        <w:t>Devji</w:t>
      </w:r>
      <w:r>
        <w:rPr>
          <w:rFonts w:ascii="arial" w:eastAsia="arial" w:hAnsi="arial" w:cs="arial"/>
          <w:color w:val="000000"/>
          <w:sz w:val="20"/>
          <w:lang w:val="en-US" w:eastAsia="en-US" w:bidi="ar-SA"/>
        </w:rPr>
        <w:t>, the shock experienced by Ms. Piper upon learning of her husband's death cannot form the basis of a cause of action. It was not reasonably foreseeable that being informed of a loved one's death would cause nervous shock. One can reasonably expect that the recipient of such information will have the fortitude to absorb the news, albeit with grief and sorrow, but not with resulting nervous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Likewise, it was not reasonably foreseeable, in my judgment, that Ms. Piper would view television depictions of the scene on more than one occasion in the days after the accident and suffer nervous shock as a result. The portrayal of an accident by the media cannot be described as something of an alarming, horrifying, or shocking nature in the context discussed in </w:t>
      </w:r>
      <w:r>
        <w:rPr>
          <w:rFonts w:ascii="arial" w:eastAsia="arial" w:hAnsi="arial" w:cs="arial"/>
          <w:i/>
          <w:color w:val="000000"/>
          <w:sz w:val="20"/>
          <w:lang w:val="en-US" w:eastAsia="en-US" w:bidi="ar-SA"/>
        </w:rPr>
        <w:t>Rhodes</w:t>
      </w:r>
      <w:r>
        <w:rPr>
          <w:rFonts w:ascii="arial" w:eastAsia="arial" w:hAnsi="arial" w:cs="arial"/>
          <w:color w:val="000000"/>
          <w:sz w:val="20"/>
          <w:lang w:val="en-US" w:eastAsia="en-US" w:bidi="ar-SA"/>
        </w:rPr>
        <w:t>. Even if the portrayal of the scene on television should be regarded as something different in severity from the communication of the fact of the accident and resulting death to Ms. Piper, the television portrayal of the scene of the crash was removed in time and place from the accident itself, and the requisite degree of proximity was lacking.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Moreover, neither the accident, nor the manner of its occurrence, nor anything observed at the scene, was the cause of Ms. Piper's shock. It was the later depictions of the scene on television, a factor over which the Mitsubishi defendants had no control, that are alleged to have caused the shock. To use the words of the Chief Justice in </w:t>
      </w:r>
      <w:r>
        <w:rPr>
          <w:rFonts w:ascii="arial" w:eastAsia="arial" w:hAnsi="arial" w:cs="arial"/>
          <w:i/>
          <w:color w:val="000000"/>
          <w:sz w:val="20"/>
          <w:lang w:val="en-US" w:eastAsia="en-US" w:bidi="ar-SA"/>
        </w:rPr>
        <w:t>Devji</w:t>
      </w:r>
      <w:r>
        <w:rPr>
          <w:rFonts w:ascii="arial" w:eastAsia="arial" w:hAnsi="arial" w:cs="arial"/>
          <w:color w:val="000000"/>
          <w:sz w:val="20"/>
          <w:lang w:val="en-US" w:eastAsia="en-US" w:bidi="ar-SA"/>
        </w:rPr>
        <w:t>, Ms. Piper's nervous shock may have resulted from the accident, but it was not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Piper submits that the authorities on which the Mitsubishi defendants rely should be considered with care and perhaps revisited in light of more recent Supreme Court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arguing the point, Ms. Piper relies on the two-part analysis articulated by the Court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first stage, the concern is whether the harm occasioned by a party's acts was reasonably foreseeable, and if so, whether there was sufficient proximity or relationship between the claimant and the defendant (as opposed to the defendant's actions) to warrant recognition of a duty of care. At the second stage, the concern is whether there is any policy reason to avoid the imposition of a duty of care, notwithstanding that the harm was reasonably foreseeable and there was a sufficiently close relationship between the claimant and the party against whom the claim is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the context of the analysis confirmed by the Court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Ms. Piper claims that the harm she sustained was reasonably foreseeable, that there was sufficient proximity between her and the Mitsubishi defendants because she was the spouse of the deceased pilot, and that there are no policy reasons to refrain from imposing liability so that her cause of action should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Until the Court of Appeal or the Supreme Court of Canada determines otherwise, I am bound to approach a claim for damages arising from nervous shock in the manner directed by the Court of Appeal in </w:t>
      </w:r>
      <w:r>
        <w:rPr>
          <w:rFonts w:ascii="arial" w:eastAsia="arial" w:hAnsi="arial" w:cs="arial"/>
          <w:i/>
          <w:color w:val="000000"/>
          <w:sz w:val="20"/>
          <w:lang w:val="en-US" w:eastAsia="en-US" w:bidi="ar-SA"/>
        </w:rPr>
        <w:t>Devji</w:t>
      </w:r>
      <w:r>
        <w:rPr>
          <w:rFonts w:ascii="arial" w:eastAsia="arial" w:hAnsi="arial" w:cs="arial"/>
          <w:color w:val="000000"/>
          <w:sz w:val="20"/>
          <w:lang w:val="en-US" w:eastAsia="en-US" w:bidi="ar-SA"/>
        </w:rPr>
        <w:t xml:space="preserve">. I would add, however, that if there is a difference between that Court's approach in </w:t>
      </w:r>
      <w:r>
        <w:rPr>
          <w:rFonts w:ascii="arial" w:eastAsia="arial" w:hAnsi="arial" w:cs="arial"/>
          <w:i/>
          <w:color w:val="000000"/>
          <w:sz w:val="20"/>
          <w:lang w:val="en-US" w:eastAsia="en-US" w:bidi="ar-SA"/>
        </w:rPr>
        <w:t>Devji</w:t>
      </w:r>
      <w:r>
        <w:rPr>
          <w:rFonts w:ascii="arial" w:eastAsia="arial" w:hAnsi="arial" w:cs="arial"/>
          <w:color w:val="000000"/>
          <w:sz w:val="20"/>
          <w:lang w:val="en-US" w:eastAsia="en-US" w:bidi="ar-SA"/>
        </w:rPr>
        <w:t xml:space="preserve"> and that of the Supreme Court of Canada to problems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generally, the difference appears to be a difference in the terminology employed at different stages of the analysis, rather than one of substance.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Specifically, the Court of Appeal and the Supreme Court of Canada differ in the meaning to be attached to the concept of "proximity". With respect, the use of the word in the manner stated by the Court of Appeal does not offend or conflict with the Supreme Court's use of the word.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Supreme Court of Canada regards "proximity" as a "close and direct" relationship between the claimant and the party alleged to have been negligent: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para. 32. In this case, Ms. Piper is one whom the Mitsubishi defendants should have had in contemplation as one who would be directly affected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question is, however, whether the harm Ms. Piper alleges she suffered was reasonably foreseeable having regard for the manner in which she claims it was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While the Court did not speak of proximity in terms of presence at the scene or the immediate aftermath, there is no reason why locational and temporal proximity should not be factors in assessing whether it was reasonably foreseeable that someone who did not see the accident and did not attend the scene would claim to have suffered nervous shock in the days after the accident brought on by seeing pictures of the scene. Locational and temporal proximity were factors affecting the assessment of reasonable foreseeability in </w:t>
      </w:r>
      <w:r>
        <w:rPr>
          <w:rFonts w:ascii="arial" w:eastAsia="arial" w:hAnsi="arial" w:cs="arial"/>
          <w:i/>
          <w:color w:val="000000"/>
          <w:sz w:val="20"/>
          <w:lang w:val="en-US" w:eastAsia="en-US" w:bidi="ar-SA"/>
        </w:rPr>
        <w:t>Rhodes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Devji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result, whether one applies the tests that have been set down by binding precedent in this province to conclude that the requisite degree of proximity by reference to time and location are lacking so that a claim should be denied notwithstanding that the harm was reasonably foreseeable, or one uses physical and locational proximity to assist in the assessment of whether an effect was reasonably foreseeable, any nervous shock Ms. Piper may have suffered is not actionable. In the circumstances of this action, nervous shock was not reasonably foreseeable with the result that no duty of care to avoid the same can be imposed on the Mitsubishi defendants. Ms. Piper's claim in respect of nervous shock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Mitsubishi defendants are entitled to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I.H. 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2"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Provincial Health Services Authority v. Crothall Healthcare, a Division of Compass Group Canada Ltd., [2015] B.C.J. No. 930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D. Baker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4 and April 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S126122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930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733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Provincial Health Services Authority, Plaintiff, and Crothall Healthcare, a division of Compass Group Canada Ltd./Groupe Compass Canada Ltee., Compass Group Canada Ltd./Groupe Compass Canada Ltee., Nilfisk-Advance Canada Company and Nilfisk-Advance, Inc., Defendants, and Nilfisk-Advance Canada Company and Nilfisk-Advance, Inc.,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3"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5" w:name="Keywords_26"/>
      <w:bookmarkEnd w:id="165"/>
      <w:r>
        <w:rPr>
          <w:rFonts w:ascii="arial" w:eastAsia="arial" w:hAnsi="arial" w:cs="arial"/>
          <w:b/>
          <w:color w:val="000000"/>
          <w:sz w:val="20"/>
          <w:lang w:val="en-US" w:eastAsia="en-US" w:bidi="ar-SA"/>
        </w:rPr>
        <w:t>Civil litigation — Civil procedure — Parties — Third party procedure — Striking out or setting aside — Application by third parties to strike out amendments to third party notice that added new cause of action dismissed — Amendments were first amendments and they did not require consent of existing parties or court order — Even though amendments were made after expiry of limitation period they were allowed as prejudice or undue delay was not established.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Pleadings — Amendment of — After expiry of limitation period — Prejudice — Application by third parties to strike out amendments to third party notice that added new cause of action dismissed — Amendments were first amendments and they did not require consent of existing parties or court order — Even though amendments were made after expiry of limitation period they were allowed as prejudice or undue delay was not established.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 of actions — Expiry of limitation periods — Effect of — Application by third parties to strike out amendments to third party notice that added new cause of action dismissed — Amendments were first amendments and they did not require consent of existing parties or court order — Even though amendments were made after expiry of limitation period they were allowed as prejudice or undue delay was not established.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Pleadings — Amendment — Application by third parties to strike out amendments to third party notice that added new cause of action dismissed — Amendments were first amendments and they did not require consent of existing parties or court order — Even though amendments were made after expiry of limitation period they were allowed as prejudice or undue delay was not established.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6" w:name="Case Summary_21"/>
            <w:bookmarkEnd w:id="16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third parties Nilfisk-Advance Canada Company and Nilfisk-Advance Inc. to strike out amendments made on September 16, 2013 to the third party notice of the defendant Corthall Healthcare, a division of Compass Group Canada Ltd. This action resulted from a fire that occurred at the hospital of the plaintiff Provincial Health Services Authority on December 26, 2010. Crothall was performing janitorial services under contract to the Authority and it used a Nilfisk floor scrubber which was alleged to have caused the fire. The Authority commenced this action on September 5, 2012 and on December 20, 2012 Crothall filed a third party notice that claimed contribution and indemnity from one of the third parties. On June 20, 2013 the second third party, who was related to the original third party, was added. No other change was made at that time. The third parties claimed that the amendments made on September 16, 2013 were invalid as they created a new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was entirely separate from the original claims and they were made without consent or leave of the court. The limitation period for all claims was December 26, 2012.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7" w:name="Holdings of Court_16"/>
            <w:bookmarkEnd w:id="16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amendments that were made in September 2013 were first amendments and under the Supreme Court Rules such amendments did not require the consent of the existing parties or a court order. In addition, a case planning conference had not been held and no notice of trial had been delivered. The change that was made in June 2013 did not qualify as an amendment for it was merely the addition of a party. Even though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added after the expiry of the limitation period it was allowed under s. 4(4) of the Limitation Act. The third parties were not prejudiced by this amendment. There was no substantial or even appreciable delay since only nine months elapsed between the end of the limitation period and the September 2013 amendments. The third parties did not suffer real or presumed prejudice.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8" w:name="Legislation Cited_18"/>
      <w:bookmarkEnd w:id="1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4"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Alberta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1-5, Rule 3-1(1), Rule 3-5(8), Rule 3-5(13), Rule 6-1, Rule 6-1(1), Rule 6-1(1) (a), Rule 6-2, Rule 6-2(7), Rule 22-7(1)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4, s. 4(1)(b), s. 4(3), s. 4(4), s. 6(4)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9" w:name="Counsel_26"/>
      <w:bookmarkEnd w:id="16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5"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S.F.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Crothall Healthcare, a division of Compass Group Canada Ltd.: S.L. Dineley.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Nilfisk-Advance Canada Company and Nilfisk-Advance, Inc.: R.J. Cleary.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0" w:name="Judgment_25"/>
      <w:bookmarkEnd w:id="170"/>
      <w:r>
        <w:pict>
          <v:line id="_x0000_s1156"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1" w:name="MASTER D. BAKER"/>
            <w:bookmarkEnd w:id="171"/>
            <w:r>
              <w:rPr>
                <w:rFonts w:ascii="arial" w:eastAsia="arial" w:hAnsi="arial" w:cs="arial"/>
                <w:b/>
                <w:color w:val="000000"/>
                <w:sz w:val="30"/>
                <w:lang w:val="en-US" w:eastAsia="en-US" w:bidi="ar-SA"/>
              </w:rPr>
              <w:t>MASTER D. BAKER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third parties, Nilfisk-Advance Canada Company and Nilfisk-Advance, Inc. ("Nilfisk") challenge pleadings by the defendants Crothall Healthcare, a division of Compass Group Canada Ltd./Groupe Compass Canada Ltee. ("Crothall"). In particular they challenge Crothall's third party notice filed December 20, 2012 as amended June 20, 2013 arguing that the amendments are invalid, having created a new cause of action and having been made without consent or leave of the court. In this, Nilfisk relies primarily on Rules 3-5(8) and (13) and Rule 6-1(1) of the </w:t>
      </w:r>
      <w:r>
        <w:rPr>
          <w:rFonts w:ascii="arial" w:eastAsia="arial" w:hAnsi="arial" w:cs="arial"/>
          <w:i/>
          <w:color w:val="000000"/>
          <w:sz w:val="20"/>
          <w:lang w:val="en-US" w:eastAsia="en-US" w:bidi="ar-SA"/>
        </w:rPr>
        <w:t>Supreme Court Civil Rules</w:t>
      </w:r>
      <w:bookmarkStart w:id="172"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72"/>
      <w:r>
        <w:rPr>
          <w:rFonts w:ascii="arial" w:eastAsia="arial" w:hAnsi="arial" w:cs="arial"/>
          <w:color w:val="000000"/>
          <w:sz w:val="20"/>
          <w:lang w:val="en-US" w:eastAsia="en-US" w:bidi="ar-SA"/>
        </w:rPr>
        <w:t>. In the result, Nilfisk asks that portions of the third party notice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claims in this action arise from a fire at the plaintiff's hospital December 26, 2010. Crothall was performing caretaking and/or janitorial services under contract to the plaintiff and was using a Nilfisk floor-scrubber which is alleged to have caused the fire. The plaintiff commenced this action September 5, 2012 and on December 20, 2012, Crothall filed a third party notice claiming contribution and/or indemnity from Nilfisk-Advance Canada Company ("Nilfisk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19, 2013 the plaintiff added Nilfisk-Advance, Inc. ("Nilfisk Inc.") by consent as a defendant and on the 20th, again by consent, Crothall added Nilfisk Inc. to its third party claim for contribution and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Finally, on September 16, 2013, Crothall filed an amended third party notice adding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both Nilfisk entities (i.e. both Nilfisk Canada and Nilfisk Inc.). Crothall alleged that Nilfisk was liable for cleaning, repairing, restoring, or replacing Crothall's equipment lost in the fire. At the hearing of this application Crothall alleged those damages to be over $146,000. It is interesting that, on an online review of the court file, I cannot find any filed response to the third party notice, either in its original or amended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As the cause of action arose in December 2010, the previous </w:t>
      </w:r>
      <w:r>
        <w:rPr>
          <w:rFonts w:ascii="arial" w:eastAsia="arial" w:hAnsi="arial" w:cs="arial"/>
          <w:i/>
          <w:color w:val="000000"/>
          <w:sz w:val="20"/>
          <w:lang w:val="en-US" w:eastAsia="en-US" w:bidi="ar-SA"/>
        </w:rPr>
        <w:t>Limitation Act</w:t>
      </w:r>
      <w:bookmarkStart w:id="173"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73"/>
      <w:r>
        <w:rPr>
          <w:rFonts w:ascii="arial" w:eastAsia="arial" w:hAnsi="arial" w:cs="arial"/>
          <w:color w:val="000000"/>
          <w:sz w:val="20"/>
          <w:lang w:val="en-US" w:eastAsia="en-US" w:bidi="ar-SA"/>
        </w:rPr>
        <w:t xml:space="preserv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Nilfisk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First, Ms. Cleary for Nilfisk argues that the limitation for all claims is clear and was known throughout by all parties: December 26, 2012. The amendments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made on September 16, 2013, raise a new cause of action (i.e. entirely separate from the claims for indemnity and contribution) and are therefore out of time. Moreover the September 2013 amendments, being the second ones, require leave of the court</w:t>
      </w:r>
      <w:bookmarkStart w:id="174"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174"/>
      <w:r>
        <w:rPr>
          <w:rFonts w:ascii="arial" w:eastAsia="arial" w:hAnsi="arial" w:cs="arial"/>
          <w:color w:val="000000"/>
          <w:sz w:val="20"/>
          <w:lang w:val="en-US" w:eastAsia="en-US" w:bidi="ar-SA"/>
        </w:rPr>
        <w:t>. Potential independent liability on the part of Nilfisk Canada, she argues, was clearly known to Crothall almost from the very outset; in its response to the notice of civil claim Crothall in Part 1, Division 3, para. 2 alleged: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and in the alternative, if the Plaintiff suffered any injury, loss, damage, or expense, which is denied, then such, (sic) loss, damage, or expense </w:t>
      </w:r>
      <w:r>
        <w:rPr>
          <w:rFonts w:ascii="arial" w:eastAsia="arial" w:hAnsi="arial" w:cs="arial"/>
          <w:i/>
          <w:color w:val="000000"/>
          <w:sz w:val="20"/>
          <w:lang w:val="en-US" w:eastAsia="en-US" w:bidi="ar-SA"/>
        </w:rPr>
        <w:t>was caused</w:t>
      </w:r>
      <w:r>
        <w:rPr>
          <w:rFonts w:ascii="arial" w:eastAsia="arial" w:hAnsi="arial" w:cs="arial"/>
          <w:color w:val="000000"/>
          <w:sz w:val="20"/>
          <w:lang w:val="en-US" w:eastAsia="en-US" w:bidi="ar-SA"/>
        </w:rPr>
        <w:t xml:space="preserve"> or contributed to by the fault of the defendant Nilfisk Advance Canada Company ("Nilfisk") particulars of which are as follows: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ensure that a floor scrubber </w:t>
      </w:r>
      <w:r>
        <w:rPr>
          <w:rFonts w:ascii="arial" w:eastAsia="arial" w:hAnsi="arial" w:cs="arial"/>
          <w:i/>
          <w:color w:val="000000"/>
          <w:sz w:val="20"/>
          <w:lang w:val="en-US" w:eastAsia="en-US" w:bidi="ar-SA"/>
        </w:rPr>
        <w:t>manufactured</w:t>
      </w:r>
      <w:r>
        <w:rPr>
          <w:rFonts w:ascii="arial" w:eastAsia="arial" w:hAnsi="arial" w:cs="arial"/>
          <w:color w:val="000000"/>
          <w:sz w:val="20"/>
          <w:lang w:val="en-US" w:eastAsia="en-US" w:bidi="ar-SA"/>
        </w:rPr>
        <w:t xml:space="preserve"> and supplied by it...was free from defects...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Also, in its original third party notice filed December 20, 2012, Crothall alleged at Part 1,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Nilfisk owed a duty of care to the Plaintiff to: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ensure that the Floor Scrubber </w:t>
      </w:r>
      <w:r>
        <w:rPr>
          <w:rFonts w:ascii="arial" w:eastAsia="arial" w:hAnsi="arial" w:cs="arial"/>
          <w:i/>
          <w:color w:val="000000"/>
          <w:sz w:val="20"/>
          <w:lang w:val="en-US" w:eastAsia="en-US" w:bidi="ar-SA"/>
        </w:rPr>
        <w:t>it manufactured...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Crothall could therefore have claimed against Nilfisk Canada, at least,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within the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is clear by now, there are two Nilfisk entities and Ms. Cleary makes separate arguments for each. For Nilfisk Canada, she argues, as above, that Crothall has simply missed the limitation knowing within the limitation that Nilfisk Canada could be liable. Anticipating Crothall's argument of postponement respecting Nilfisk Inc., she argues that any postponement against Nilfisk Inc. is mitigated or countered by Crothall's lack of due diligence. In any event, she says, the authorities place a heavy onus on Crothall to, among other things, show a real and substantial connection between the new claim such that a dependency between the third party claim and the original claim by the plaintiff be shown and that there be a reasonable explanation for the delay. Neither of these elements have been established by Crothall, she argues. Quite the contrary; she submits that should the plaintiff discontinue its claim against Crothall, for example, Crothall's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Nilfisk for damage to or loss of </w:t>
      </w:r>
      <w:r>
        <w:rPr>
          <w:rFonts w:ascii="arial" w:eastAsia="arial" w:hAnsi="arial" w:cs="arial"/>
          <w:i/>
          <w:color w:val="000000"/>
          <w:sz w:val="20"/>
          <w:lang w:val="en-US" w:eastAsia="en-US" w:bidi="ar-SA"/>
        </w:rPr>
        <w:t>Crothall's</w:t>
      </w:r>
      <w:r>
        <w:rPr>
          <w:rFonts w:ascii="arial" w:eastAsia="arial" w:hAnsi="arial" w:cs="arial"/>
          <w:color w:val="000000"/>
          <w:sz w:val="20"/>
          <w:lang w:val="en-US" w:eastAsia="en-US" w:bidi="ar-SA"/>
        </w:rPr>
        <w:t xml:space="preserve"> property (para. 4 above) would, as presently pled and constituted in the third party notice, continue. It is not, in other words, dependent upon the plaintiff's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Crothall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Dineley, for Crothall, responded to the application, in my view, from two different perspectives: a) the procedure taken and Rule respecting the September 2013 amendments and b) the limitations/prejudice. Respecting the first argument, he submitted:</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September 2013 amendments was not the </w:t>
      </w:r>
      <w:r>
        <w:rPr>
          <w:rFonts w:ascii="arial" w:eastAsia="arial" w:hAnsi="arial" w:cs="arial"/>
          <w:i/>
          <w:color w:val="000000"/>
          <w:sz w:val="20"/>
          <w:lang w:val="en-US" w:eastAsia="en-US" w:bidi="ar-SA"/>
        </w:rPr>
        <w:t>second</w:t>
      </w:r>
      <w:r>
        <w:rPr>
          <w:rFonts w:ascii="arial" w:eastAsia="arial" w:hAnsi="arial" w:cs="arial"/>
          <w:color w:val="000000"/>
          <w:sz w:val="20"/>
          <w:lang w:val="en-US" w:eastAsia="en-US" w:bidi="ar-SA"/>
        </w:rPr>
        <w:t xml:space="preserve"> amendment because the June 2013 amendment was not a </w:t>
      </w:r>
      <w:r>
        <w:rPr>
          <w:rFonts w:ascii="arial" w:eastAsia="arial" w:hAnsi="arial" w:cs="arial"/>
          <w:i/>
          <w:color w:val="000000"/>
          <w:sz w:val="20"/>
          <w:lang w:val="en-US" w:eastAsia="en-US" w:bidi="ar-SA"/>
        </w:rPr>
        <w:t>first</w:t>
      </w:r>
      <w:r>
        <w:rPr>
          <w:rFonts w:ascii="arial" w:eastAsia="arial" w:hAnsi="arial" w:cs="arial"/>
          <w:color w:val="000000"/>
          <w:sz w:val="20"/>
          <w:lang w:val="en-US" w:eastAsia="en-US" w:bidi="ar-SA"/>
        </w:rPr>
        <w:t xml:space="preserve"> amendment (or indeed, an amendment at all) within the meaning of Rule 6-1(1)(a);</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worst the September 2013 amendment, if found to be a second amendment made without consent or leave, should properly be regarded in the modern view as an irregularity, not a nullity, and should be permitted by Rule 22-7(1);</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the amendment should be permitted as the authorities direct a liberal approach to amendments and multiplicity of proceedings should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Regarding the limitations/prejudice issue he argues: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4(1)(b)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permits the commencement of a third party proceeding after a limitation:</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action to which this or any other Act applies has been commenced, the lapse of time limited for bringing an action is no bar to</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party proceedings...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running of the limitation against Crothall was suspended in any event by s. 6(4)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or claimant with respect to an action referred to in subsection (3) until the identity of the defendant or respondent is known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Crothall did not learn the identity of the manufacturer of the scrubber until April 2013;</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Nilfisk applies the wrong standard and the wrong authorities to the question; the proper standard to apply to the issue requires that the court apply greater liberality in its discretion and that the possible expiry of a limitation is only one factor in considering that discretion;</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no presumption of prejudice against Nilfisk applies, as Court of Appeal authority directs that that presumption does not arise until after one year (i.e. for service of the notice of civil claim) following the expiry of a limitation. Since the steps taken in September 2013 were well within the three years following the event on December 26, 2010, no prejudice is presumed, and, Mr. Dineley argues, Nilfisk has not pointed to any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addition to the above, Mr. Dineley also submits that, in effect, both Nilfisk entities have been aware for some time of their potential tortious liability, albeit to the plaintiff. He argues that the facts and circumstances giving rise to possible liability to the plaintiff are identical to those supporting liability to Crothall, save for different damages suffered by two different parties. Nilfisk Canada has been a defendant to the plaintiff's claims since the start of proceedings and Nilfisk Inc. consented in June 2013 to be added as a defendant to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Was the procedure taken by Crothall in September 2013 a second amendment within the meaning of Rule 6-1(1)? That rule provides: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Rules 6-2 (7) and (10) and 7-7 (5), a party may amend the whole or any part of a pleading filed by the party</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w:t>
      </w:r>
      <w:r>
        <w:rPr>
          <w:rFonts w:ascii="arial" w:eastAsia="arial" w:hAnsi="arial" w:cs="arial"/>
          <w:i/>
          <w:color w:val="000000"/>
          <w:sz w:val="20"/>
          <w:lang w:val="en-US" w:eastAsia="en-US" w:bidi="ar-SA"/>
        </w:rPr>
        <w:t>without leave of the court</w:t>
      </w:r>
      <w:r>
        <w:rPr>
          <w:rFonts w:ascii="arial" w:eastAsia="arial" w:hAnsi="arial" w:cs="arial"/>
          <w:color w:val="000000"/>
          <w:sz w:val="20"/>
          <w:lang w:val="en-US" w:eastAsia="en-US" w:bidi="ar-SA"/>
        </w:rPr>
        <w:t>, at any time before service of the notice of trial,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notice of trial is served, only with</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of the court, or</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consent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answer, I think, lies in Mr. Dineley's argument, above, respecting the June 2013 step taken by Crothall. To repeat: at that time the only effect of the step was to add Nilfisk Inc. to the existing third party claim which, it should be remembered, was one limited to contribution or reimbursement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agree with Mr. Dineley's submission in this respect: the June 2013 procedure was not an amendment within the meaning of Rule 6-1(1). I agree with his submission, but not his reasons: he argued that, since the amendment was made by order, with the consent of the affected parties, it is not a first or "free" amendment. I am not prepared to go as far as his logic and to conclude that, because an opposing party consents, the amendment is not a first amendment within the meaning of the Rule. He may be correct, but I conclude that the June 20, 2013 amendment was not, essentially, an amendment per se, but rather the addition of a party. Obviously the addition of any party requires a change to pleadings (e.g. to identify that party and explain the reasons for its involvement). But the Court of Appeal has recently taken pains to emphasize the difference between amending pleadings on the one hand and adding parties on the other</w:t>
      </w:r>
      <w:bookmarkStart w:id="175"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175"/>
      <w:r>
        <w:rPr>
          <w:rFonts w:ascii="arial" w:eastAsia="arial" w:hAnsi="arial" w:cs="arial"/>
          <w:color w:val="000000"/>
          <w:sz w:val="20"/>
          <w:lang w:val="en-US" w:eastAsia="en-US" w:bidi="ar-SA"/>
        </w:rPr>
        <w:t>, and the importance of using the different rules accordingly. One applies Rule 6-1 to amend, and Rule 6-2 to add, substitute, or change parties. What happened in June 2013 was clearly a step under Rule 6-2; it was not an amendment as contemplated by Rule 6-1; in fact Rule 6-1 is clearly "...subject to Rule 6-2(7)..."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Beyond that reasoning, it seems obvious that Rule 6-1 contemplates a change to pleadings that affects </w:t>
      </w:r>
      <w:r>
        <w:rPr>
          <w:rFonts w:ascii="arial" w:eastAsia="arial" w:hAnsi="arial" w:cs="arial"/>
          <w:i/>
          <w:color w:val="000000"/>
          <w:sz w:val="20"/>
          <w:lang w:val="en-US" w:eastAsia="en-US" w:bidi="ar-SA"/>
        </w:rPr>
        <w:t>existing</w:t>
      </w:r>
      <w:r>
        <w:rPr>
          <w:rFonts w:ascii="arial" w:eastAsia="arial" w:hAnsi="arial" w:cs="arial"/>
          <w:color w:val="000000"/>
          <w:sz w:val="20"/>
          <w:lang w:val="en-US" w:eastAsia="en-US" w:bidi="ar-SA"/>
        </w:rPr>
        <w:t xml:space="preserve"> parties. Those parties, reasonably, should be protected against repeated or too-facile changes to the claims against them. To add a party does not change the claim against existing parties; it only offers the possibility of shared blame. It is hard to see how the addition, as here, of a co-defendant could prejudice or work against an existing party</w:t>
      </w:r>
      <w:bookmarkStart w:id="176"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176"/>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a consequence, the step taken in September 2013 did not require the consent of the existing parties or a court order as it was the first amendment, a case planning conference had not been held, and no notice of trial had been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If I am wrong in this I agree that, in any event, the September 2013 amendments should, as argued by Mr. Dineley, be regarded as an irregularity at worst, and not a nullity as submitted by Ms. Cleary. Ms. Cleary argues that her position is supported by the decision in </w:t>
      </w:r>
      <w:r>
        <w:rPr>
          <w:rFonts w:ascii="arial" w:eastAsia="arial" w:hAnsi="arial" w:cs="arial"/>
          <w:i/>
          <w:color w:val="000000"/>
          <w:sz w:val="20"/>
          <w:lang w:val="en-US" w:eastAsia="en-US" w:bidi="ar-SA"/>
        </w:rPr>
        <w:t>Minneapolis Threshing Machine Company v. Clessen and Clessen</w:t>
      </w:r>
      <w:bookmarkStart w:id="177"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177"/>
      <w:r>
        <w:rPr>
          <w:rFonts w:ascii="arial" w:eastAsia="arial" w:hAnsi="arial" w:cs="arial"/>
          <w:color w:val="000000"/>
          <w:sz w:val="20"/>
          <w:lang w:val="en-US" w:eastAsia="en-US" w:bidi="ar-SA"/>
        </w:rPr>
        <w:t>. Apparently the Alberta Rules at the time required a court order allowing the amendment in question. Since the order had not first been obtained, the court held (at para. 3) "An amendment of this nature is not an irregularity which can be cured but a nullity" and proceeded to refer to an authority that explained the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Mr. Dineley submits that the law has changed since 1930, and that that change is recognized by Rule 22-7(1). I agree with his position, that the approach by the court is substantially more nuanced and, as McEachern CJBC observed in </w:t>
      </w:r>
      <w:r>
        <w:rPr>
          <w:rFonts w:ascii="arial" w:eastAsia="arial" w:hAnsi="arial" w:cs="arial"/>
          <w:i/>
          <w:color w:val="000000"/>
          <w:sz w:val="20"/>
          <w:lang w:val="en-US" w:eastAsia="en-US" w:bidi="ar-SA"/>
        </w:rPr>
        <w:t>International Forest Products Ltd. v. Moody</w:t>
      </w:r>
      <w:bookmarkStart w:id="178"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178"/>
      <w:r>
        <w:rPr>
          <w:rFonts w:ascii="arial" w:eastAsia="arial" w:hAnsi="arial" w:cs="arial"/>
          <w:color w:val="000000"/>
          <w:sz w:val="20"/>
          <w:lang w:val="en-US" w:eastAsia="en-US" w:bidi="ar-SA"/>
        </w:rPr>
        <w:t xml:space="preserve"> "...there has been a noticeable softening of the formerly stern view the courts used to apply about such matters" and posited that that approach derived, in part, from the intent of the Rules expressed in the then-Rule 1(5), seeking "...the just, speedy, and inexpensive determination of every proceeding on its merits". He also referenced Lord Denning's comment in </w:t>
      </w:r>
      <w:r>
        <w:rPr>
          <w:rFonts w:ascii="arial" w:eastAsia="arial" w:hAnsi="arial" w:cs="arial"/>
          <w:i/>
          <w:color w:val="000000"/>
          <w:sz w:val="20"/>
          <w:lang w:val="en-US" w:eastAsia="en-US" w:bidi="ar-SA"/>
        </w:rPr>
        <w:t>Harkness v. Bell's Asbestos and Engineering Ltd.</w:t>
      </w:r>
      <w:bookmarkStart w:id="179"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179"/>
      <w:r>
        <w:rPr>
          <w:rFonts w:ascii="arial" w:eastAsia="arial" w:hAnsi="arial" w:cs="arial"/>
          <w:color w:val="000000"/>
          <w:sz w:val="20"/>
          <w:lang w:val="en-US" w:eastAsia="en-US" w:bidi="ar-SA"/>
        </w:rPr>
        <w:t xml:space="preserv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omission or mistake in practise or procedure is henceforward to be regarded as an irregularity which the court can and should rectify so long as it can do so without injustice.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cannot see that to treat the incident as a curable irregularity creates an injustice to either of the Nilfisks. Nilfisk Canada's adjusters, at least, were put on notice in August 2011 by Crothall's adjusters of the possibility of a subrogated claim. Nilfisk Canada was joined at the outset by the plaintiff on a claim in tort, and by consent Nilfisk Inc. was added to that claim. Surely both Nilfisk entities must have been alive to their potential tort liability, as opposed to liable simply for contribution.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Did Crothall miss its limitation when it amended in September 2013 to claim against both Nilfisks in tort? Ms. Cleary argues that it did, as the limitation expired, she says, on December 26, 2012. Even if there is an argument for postponement, she submits, it does not run in Crothall's favour as Crothall did not exercise due diligence in determining the manufacturer of the scrubber.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Some facts and evidentiary observations might be appropriate. First, it is agreed all around that Nilfisk </w:t>
      </w:r>
      <w:r>
        <w:rPr>
          <w:rFonts w:ascii="arial" w:eastAsia="arial" w:hAnsi="arial" w:cs="arial"/>
          <w:i/>
          <w:color w:val="000000"/>
          <w:sz w:val="20"/>
          <w:lang w:val="en-US" w:eastAsia="en-US" w:bidi="ar-SA"/>
        </w:rPr>
        <w:t>Inc.</w:t>
      </w:r>
      <w:r>
        <w:rPr>
          <w:rFonts w:ascii="arial" w:eastAsia="arial" w:hAnsi="arial" w:cs="arial"/>
          <w:color w:val="000000"/>
          <w:sz w:val="20"/>
          <w:lang w:val="en-US" w:eastAsia="en-US" w:bidi="ar-SA"/>
        </w:rPr>
        <w:t xml:space="preserve"> is the manufacturer and Nilfisk </w:t>
      </w:r>
      <w:r>
        <w:rPr>
          <w:rFonts w:ascii="arial" w:eastAsia="arial" w:hAnsi="arial" w:cs="arial"/>
          <w:i/>
          <w:color w:val="000000"/>
          <w:sz w:val="20"/>
          <w:lang w:val="en-US" w:eastAsia="en-US" w:bidi="ar-SA"/>
        </w:rPr>
        <w:t>Canada</w:t>
      </w:r>
      <w:r>
        <w:rPr>
          <w:rFonts w:ascii="arial" w:eastAsia="arial" w:hAnsi="arial" w:cs="arial"/>
          <w:color w:val="000000"/>
          <w:sz w:val="20"/>
          <w:lang w:val="en-US" w:eastAsia="en-US" w:bidi="ar-SA"/>
        </w:rPr>
        <w:t xml:space="preserve"> the distributor. But when did that fact become clear, and when did it become clear to the various parties? Much, if not all, of the investigative work done to determine the cause and circumstances of the fire was done by the parties' respective adjusters. Crothall's adjuster was Granite Claims Solutions and Nilfisk Canada's was ClaimsPro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Granite Claims Solutions, in its previous name of McLarens Canada, commissioned an investigation and report by Mr. Richard van Leeuwen P.Eng., an expert electrical engineer. Mr. van Leeuwen's report is thorough and explains in a clear and logical manner how the scrubber likely caused the fire. What interests me is photo 24 to Mr. van Leeuwen's report</w:t>
      </w:r>
      <w:bookmarkStart w:id="180"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180"/>
      <w:r>
        <w:rPr>
          <w:rFonts w:ascii="arial" w:eastAsia="arial" w:hAnsi="arial" w:cs="arial"/>
          <w:color w:val="000000"/>
          <w:sz w:val="20"/>
          <w:lang w:val="en-US" w:eastAsia="en-US" w:bidi="ar-SA"/>
        </w:rPr>
        <w:t>. The photo shows the nameplate to "the most damaged" scrubber. The only corporation identified on the nameplate is "Nilfisk Advance" with another reference "Nilfisk Advance Inc., Plymouth MN, USA www.nilfisk.advance.com". This would suggest that the adjusters for Crothall, at least, might reasonably have inferred by January 2011 i.e. within a month of the fire that the manufacturer was Nilfisk Advance, Inc. (or "Nilfisk Inc.", as I have called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Dineley did not address that evidence in argument, but submitted that the issue was confused by the original invoice by which Crothall purchased the scrubber. Exhibit A to Ms. Read-Olley's affidavit #1 is that invoice, numbered 20011726 and dated November 2, 2010. It is headed "Nilfisk Advance" and directs that payment be remitted to "Nilfisk-Advance Canada Company". There is no reference to Nilfisk Advance, Inc. More to the point, Mr. Dineley argues that even Nilfisk's counsel was not certain of the manufacturer, and points to counsel's e-mail to him of March 27, 2013 wherein Mr. Davies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trying to sort out who the manufacturer is. I believe the current named party, Nilfisk Canada, was only the distributor It may be that we will defend the manufacturer, too, but I am waiting (sic)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Is it reasonable, he argues, to expect Crothall to know exactly who to sue as manufacturer when Nilfisk's own counsel was uncertain? In my view it is: I have no idea what investigations the plaintiff or its adjusters or agents had made, but, as I say, Crothall's agents certainly had the correct identity within its knowledge. I therefore agree with Ms. Cleary's argument that due diligence could have disclosed the correct party within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But this is moot, as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for this circumstance and permits a third party notice beyond the limitation (para. 8 above). The permissive s. 4(1)(b) is followed, however, by ss.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operate so as to interfere with any judicial discretion to refuse relief on grounds unrelated to the lapse of time limited for bringing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argument was made respecting this provision, nor was there any suggestion that grounds other than those respecting limitations should preclude the amendment. There is a further subsection to s. 4 that supports Mr. Dineley's position:</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action the court may allow the amendment of a pleading, on terms as to costs or otherwise that the court considers just, even if between the issue of the writ and the application for amendment a fresh cause of action disclosed by the amendment would have become barred by the lapse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respect, that provision seems to apply to this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I have noted, neither Nilfisk entity has filed a response to the third party notice (in any of its iterations); one might expect that Nilfisk Canada, had it filed a response, might have denied manufacturing the scrubber as the initial notice alleged (para. 6, above), thus putting Crothall on notice respecting the very issue that has arisen.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Even if, then, Crothall ought to have known the proper party before December 26, 2012, has Nilfisk been prejudiced by the amendment? I agree with Mr. Dineley's submission that Nilfisk has not offered any evidence of prejudice. I doubt, actually, that there is any prejudice likely to either of the Nilfisk entities. The court of appeal in </w:t>
      </w:r>
      <w:r>
        <w:rPr>
          <w:rFonts w:ascii="arial" w:eastAsia="arial" w:hAnsi="arial" w:cs="arial"/>
          <w:i/>
          <w:color w:val="000000"/>
          <w:sz w:val="20"/>
          <w:lang w:val="en-US" w:eastAsia="en-US" w:bidi="ar-SA"/>
        </w:rPr>
        <w:t>Amezcua v. Taylor</w:t>
      </w:r>
      <w:bookmarkStart w:id="181"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181"/>
      <w:r>
        <w:rPr>
          <w:rFonts w:ascii="arial" w:eastAsia="arial" w:hAnsi="arial" w:cs="arial"/>
          <w:color w:val="000000"/>
          <w:sz w:val="20"/>
          <w:lang w:val="en-US" w:eastAsia="en-US" w:bidi="ar-SA"/>
        </w:rPr>
        <w:t xml:space="preserve"> cited the factors established by </w:t>
      </w:r>
      <w:r>
        <w:rPr>
          <w:rFonts w:ascii="arial" w:eastAsia="arial" w:hAnsi="arial" w:cs="arial"/>
          <w:i/>
          <w:color w:val="000000"/>
          <w:sz w:val="20"/>
          <w:lang w:val="en-US" w:eastAsia="en-US" w:bidi="ar-SA"/>
        </w:rPr>
        <w:t>Teal Cedar Products (1977) Ltd. v. Dale Intermediaries Ltd.</w:t>
      </w:r>
      <w:bookmarkStart w:id="182" w:name="Backward_fnref_fnr-11"/>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182"/>
      <w:r>
        <w:rPr>
          <w:rFonts w:ascii="arial" w:eastAsia="arial" w:hAnsi="arial" w:cs="arial"/>
          <w:color w:val="000000"/>
          <w:sz w:val="20"/>
          <w:lang w:val="en-US" w:eastAsia="en-US" w:bidi="ar-SA"/>
        </w:rPr>
        <w:t xml:space="preserve"> that the court must consider respecting late amendments:</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account for the delay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delay and the extent of the connection, if any, between the existing claims and the proposed new cause of action.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Extent of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I agree with Mr. Dineley that there has not been substantial or even appreciable delay. Approximately nine months passed between the limitation of December 26, 2012 and the amendments of September 2013. In the abstract, and even in relation to this action, that is not a significant delay.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Reasons for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While I have concluded that it was within Crothall's ability in January 2011 to know that Nilfisk Inc. was the manufacturer, I also acknowledge that there seemed to be some uncertainty on the point among all counsel (para. 20 above). I am not surprised by that; the two Nilfisk entities are obviously closely connected, even represented by the same counsel. I doubt one could see daylight between the two.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Any explanation for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confess that I am at a loss, with all due respect, to know how this factor differs significantly from the one just discussed. Perhaps the court of appeal invites us to consider the reasons ("explanation") given by, in this case, Crothall to see if they are fanciful or unreasonable. Perhaps my concerns were shared by Kirkpatrick J.A. in </w:t>
      </w:r>
      <w:r>
        <w:rPr>
          <w:rFonts w:ascii="arial" w:eastAsia="arial" w:hAnsi="arial" w:cs="arial"/>
          <w:i/>
          <w:color w:val="000000"/>
          <w:sz w:val="20"/>
          <w:lang w:val="en-US" w:eastAsia="en-US" w:bidi="ar-SA"/>
        </w:rPr>
        <w:t>Amezcua</w:t>
      </w:r>
      <w:r>
        <w:rPr>
          <w:rFonts w:ascii="arial" w:eastAsia="arial" w:hAnsi="arial" w:cs="arial"/>
          <w:color w:val="000000"/>
          <w:sz w:val="20"/>
          <w:lang w:val="en-US" w:eastAsia="en-US" w:bidi="ar-SA"/>
        </w:rPr>
        <w:t>, who seemed to conflate the "reasons" and the "explanation". While I note the early evidence respecting Nilfisk Inc. (para. 19 above), I also note genuine uncertainty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Any prejudice arising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Unless prejudice is presumed, the party being added must offer evidence of real prejudice</w:t>
      </w:r>
      <w:bookmarkStart w:id="183" w:name="Backward_fnref_fnr-12"/>
      <w:hyperlink w:anchor="Forward_fnref_fnr-12" w:history="1">
        <w:r>
          <w:rPr>
            <w:rFonts w:ascii="arial" w:eastAsia="arial" w:hAnsi="arial" w:cs="arial"/>
            <w:b/>
            <w:color w:val="BE161D"/>
            <w:sz w:val="20"/>
            <w:shd w:val="clear" w:color="auto" w:fill="FFFFFF"/>
            <w:vertAlign w:val="superscript"/>
            <w:lang w:val="en-US" w:eastAsia="en-US" w:bidi="ar-SA"/>
          </w:rPr>
          <w:t>12</w:t>
        </w:r>
      </w:hyperlink>
      <w:bookmarkEnd w:id="183"/>
      <w:r>
        <w:rPr>
          <w:rFonts w:ascii="arial" w:eastAsia="arial" w:hAnsi="arial" w:cs="arial"/>
          <w:color w:val="000000"/>
          <w:sz w:val="20"/>
          <w:lang w:val="en-US" w:eastAsia="en-US" w:bidi="ar-SA"/>
        </w:rPr>
        <w:t xml:space="preserve">. Since neither Nilfisk entity has offered evidence the question is: is prejudice presumed? It is not, in this case, as the amendments are within three years of the loss and the court of appeal in </w:t>
      </w:r>
      <w:r>
        <w:rPr>
          <w:rFonts w:ascii="arial" w:eastAsia="arial" w:hAnsi="arial" w:cs="arial"/>
          <w:i/>
          <w:color w:val="000000"/>
          <w:sz w:val="20"/>
          <w:lang w:val="en-US" w:eastAsia="en-US" w:bidi="ar-SA"/>
        </w:rPr>
        <w:t>McIntosh v. Nilsson Bros Inc.</w:t>
      </w:r>
      <w:bookmarkStart w:id="184" w:name="Backward_fnref_fnr-13"/>
      <w:hyperlink w:anchor="Forward_fnref_fnr-13" w:history="1">
        <w:r>
          <w:rPr>
            <w:rFonts w:ascii="arial" w:eastAsia="arial" w:hAnsi="arial" w:cs="arial"/>
            <w:b/>
            <w:color w:val="BE161D"/>
            <w:sz w:val="20"/>
            <w:shd w:val="clear" w:color="auto" w:fill="FFFFFF"/>
            <w:vertAlign w:val="superscript"/>
            <w:lang w:val="en-US" w:eastAsia="en-US" w:bidi="ar-SA"/>
          </w:rPr>
          <w:t>13</w:t>
        </w:r>
      </w:hyperlink>
      <w:bookmarkEnd w:id="184"/>
      <w:r>
        <w:rPr>
          <w:rFonts w:ascii="arial" w:eastAsia="arial" w:hAnsi="arial" w:cs="arial"/>
          <w:color w:val="000000"/>
          <w:sz w:val="20"/>
          <w:lang w:val="en-US" w:eastAsia="en-US" w:bidi="ar-SA"/>
        </w:rPr>
        <w:t xml:space="preserve"> concluded that no prejudice can be presumed before the elapse of the limitation </w:t>
      </w:r>
      <w:r>
        <w:rPr>
          <w:rFonts w:ascii="arial" w:eastAsia="arial" w:hAnsi="arial" w:cs="arial"/>
          <w:i/>
          <w:color w:val="000000"/>
          <w:sz w:val="20"/>
          <w:lang w:val="en-US" w:eastAsia="en-US" w:bidi="ar-SA"/>
        </w:rPr>
        <w:t>plus</w:t>
      </w:r>
      <w:r>
        <w:rPr>
          <w:rFonts w:ascii="arial" w:eastAsia="arial" w:hAnsi="arial" w:cs="arial"/>
          <w:color w:val="000000"/>
          <w:sz w:val="20"/>
          <w:lang w:val="en-US" w:eastAsia="en-US" w:bidi="ar-SA"/>
        </w:rPr>
        <w:t xml:space="preserve"> a further year for service of the claim (as per Rule 3-1(1)). No prejudice therefore being presumed and no evidence having been offered, I conclude that no prejudice arises by the amendment. Beyond that analysis, I think that in all likelihood the Nilfisk companies have been considering and preparing for a tort claim from the outset, as Nilfisk Canada is an original defendant to the plaintiff's tort claim and Nilfisk Inc. consented to being added to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Finally, in applications such as this, the court is always mindful of the standard set by </w:t>
      </w:r>
      <w:r>
        <w:rPr>
          <w:rFonts w:ascii="arial" w:eastAsia="arial" w:hAnsi="arial" w:cs="arial"/>
          <w:i/>
          <w:color w:val="000000"/>
          <w:sz w:val="20"/>
          <w:lang w:val="en-US" w:eastAsia="en-US" w:bidi="ar-SA"/>
        </w:rPr>
        <w:t>McNaughton v. Baker</w:t>
      </w:r>
      <w:bookmarkStart w:id="185" w:name="Backward_fnref_fnr-14"/>
      <w:hyperlink w:anchor="Forward_fnref_fnr-14" w:history="1">
        <w:r>
          <w:rPr>
            <w:rFonts w:ascii="arial" w:eastAsia="arial" w:hAnsi="arial" w:cs="arial"/>
            <w:b/>
            <w:color w:val="BE161D"/>
            <w:sz w:val="20"/>
            <w:shd w:val="clear" w:color="auto" w:fill="FFFFFF"/>
            <w:vertAlign w:val="superscript"/>
            <w:lang w:val="en-US" w:eastAsia="en-US" w:bidi="ar-SA"/>
          </w:rPr>
          <w:t>14</w:t>
        </w:r>
      </w:hyperlink>
      <w:bookmarkEnd w:id="185"/>
      <w:r>
        <w:rPr>
          <w:rFonts w:ascii="arial" w:eastAsia="arial" w:hAnsi="arial" w:cs="arial"/>
          <w:color w:val="000000"/>
          <w:sz w:val="20"/>
          <w:lang w:val="en-US" w:eastAsia="en-US" w:bidi="ar-SA"/>
        </w:rPr>
        <w:t>, that the court should be liberal in permitting amendments, unless prejudice or undue delay are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application is therefore dismissed. Costs will be in the final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D. BAKER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57" style="position:absolute;z-index:25188147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86"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186"/>
      <w:r>
        <w:rPr>
          <w:rFonts w:ascii="arial" w:eastAsia="arial" w:hAnsi="arial" w:cs="arial"/>
          <w:sz w:val="20"/>
          <w:lang w:val="en-US" w:eastAsia="en-US" w:bidi="ar-SA"/>
        </w:rPr>
        <w:tab/>
      </w:r>
      <w:r>
        <w:rPr>
          <w:rFonts w:ascii="arial" w:eastAsia="arial" w:hAnsi="arial" w:cs="arial"/>
          <w:i/>
          <w:color w:val="6D6E71"/>
          <w:sz w:val="18"/>
          <w:lang w:val="en-US" w:eastAsia="en-US" w:bidi="ar-SA"/>
        </w:rPr>
        <w:t>B.C. Reg. 168/2009</w:t>
      </w:r>
    </w:p>
    <w:p>
      <w:pPr>
        <w:spacing w:before="120" w:after="20" w:line="240" w:lineRule="atLeast"/>
        <w:ind w:left="720" w:hanging="360"/>
        <w:jc w:val="both"/>
        <w:rPr>
          <w:rFonts w:ascii="arial" w:eastAsia="arial" w:hAnsi="arial" w:cs="arial"/>
          <w:sz w:val="20"/>
          <w:lang w:val="en-US" w:eastAsia="en-US" w:bidi="ar-SA"/>
        </w:rPr>
      </w:pPr>
      <w:bookmarkStart w:id="187"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187"/>
      <w:r>
        <w:rPr>
          <w:rFonts w:ascii="arial" w:eastAsia="arial" w:hAnsi="arial" w:cs="arial"/>
          <w:sz w:val="20"/>
          <w:lang w:val="en-US" w:eastAsia="en-US" w:bidi="ar-SA"/>
        </w:rPr>
        <w:tab/>
      </w:r>
      <w:hyperlink r:id="rId284" w:history="1">
        <w:r>
          <w:rPr>
            <w:rFonts w:ascii="arial" w:eastAsia="arial" w:hAnsi="arial" w:cs="arial"/>
            <w:i/>
            <w:color w:val="0077CC"/>
            <w:sz w:val="18"/>
            <w:u w:val="single"/>
            <w:shd w:val="clear" w:color="auto" w:fill="FFFFFF"/>
            <w:lang w:val="en-US" w:eastAsia="en-US" w:bidi="ar-SA"/>
          </w:rPr>
          <w:t>R.S.B.C. 1996 ch. 266</w:t>
        </w:r>
      </w:hyperlink>
    </w:p>
    <w:p>
      <w:pPr>
        <w:spacing w:before="120" w:after="20" w:line="240" w:lineRule="atLeast"/>
        <w:ind w:left="720" w:hanging="360"/>
        <w:jc w:val="both"/>
        <w:rPr>
          <w:rFonts w:ascii="arial" w:eastAsia="arial" w:hAnsi="arial" w:cs="arial"/>
          <w:sz w:val="20"/>
          <w:lang w:val="en-US" w:eastAsia="en-US" w:bidi="ar-SA"/>
        </w:rPr>
      </w:pPr>
      <w:bookmarkStart w:id="188"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188"/>
      <w:r>
        <w:rPr>
          <w:rFonts w:ascii="arial" w:eastAsia="arial" w:hAnsi="arial" w:cs="arial"/>
          <w:sz w:val="20"/>
          <w:lang w:val="en-US" w:eastAsia="en-US" w:bidi="ar-SA"/>
        </w:rPr>
        <w:tab/>
      </w:r>
      <w:r>
        <w:rPr>
          <w:rFonts w:ascii="arial" w:eastAsia="arial" w:hAnsi="arial" w:cs="arial"/>
          <w:color w:val="6D6E71"/>
          <w:sz w:val="18"/>
          <w:lang w:val="en-US" w:eastAsia="en-US" w:bidi="ar-SA"/>
        </w:rPr>
        <w:t>Civil Rule 6-1(1)</w:t>
      </w:r>
    </w:p>
    <w:p>
      <w:pPr>
        <w:spacing w:before="120" w:after="20" w:line="240" w:lineRule="atLeast"/>
        <w:ind w:left="720" w:hanging="360"/>
        <w:jc w:val="both"/>
        <w:rPr>
          <w:rFonts w:ascii="arial" w:eastAsia="arial" w:hAnsi="arial" w:cs="arial"/>
          <w:sz w:val="20"/>
          <w:lang w:val="en-US" w:eastAsia="en-US" w:bidi="ar-SA"/>
        </w:rPr>
      </w:pPr>
      <w:bookmarkStart w:id="189"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189"/>
      <w:r>
        <w:rPr>
          <w:rFonts w:ascii="arial" w:eastAsia="arial" w:hAnsi="arial" w:cs="arial"/>
          <w:sz w:val="20"/>
          <w:lang w:val="en-US" w:eastAsia="en-US" w:bidi="ar-SA"/>
        </w:rPr>
        <w:tab/>
      </w:r>
      <w:r>
        <w:rPr>
          <w:rFonts w:ascii="arial" w:eastAsia="arial" w:hAnsi="arial" w:cs="arial"/>
          <w:i/>
          <w:color w:val="6D6E71"/>
          <w:sz w:val="18"/>
          <w:lang w:val="en-US" w:eastAsia="en-US" w:bidi="ar-SA"/>
        </w:rPr>
        <w:t>Alexis v. Duncan</w:t>
      </w:r>
      <w:r>
        <w:rPr>
          <w:rFonts w:ascii="arial" w:eastAsia="arial" w:hAnsi="arial" w:cs="arial"/>
          <w:color w:val="6D6E71"/>
          <w:sz w:val="18"/>
          <w:lang w:val="en-US" w:eastAsia="en-US" w:bidi="ar-SA"/>
        </w:rPr>
        <w:t xml:space="preserve">, </w:t>
      </w:r>
      <w:hyperlink r:id="rId453" w:history="1">
        <w:r>
          <w:rPr>
            <w:rFonts w:ascii="arial" w:eastAsia="arial" w:hAnsi="arial" w:cs="arial"/>
            <w:i/>
            <w:color w:val="0077CC"/>
            <w:sz w:val="18"/>
            <w:u w:val="single"/>
            <w:shd w:val="clear" w:color="auto" w:fill="FFFFFF"/>
            <w:lang w:val="en-US" w:eastAsia="en-US" w:bidi="ar-SA"/>
          </w:rPr>
          <w:t>2015 BCCA 135</w:t>
        </w:r>
      </w:hyperlink>
    </w:p>
    <w:p>
      <w:pPr>
        <w:spacing w:before="120" w:after="20" w:line="240" w:lineRule="atLeast"/>
        <w:ind w:left="720" w:hanging="360"/>
        <w:jc w:val="both"/>
        <w:rPr>
          <w:rFonts w:ascii="arial" w:eastAsia="arial" w:hAnsi="arial" w:cs="arial"/>
          <w:sz w:val="20"/>
          <w:lang w:val="en-US" w:eastAsia="en-US" w:bidi="ar-SA"/>
        </w:rPr>
      </w:pPr>
      <w:bookmarkStart w:id="190"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190"/>
      <w:r>
        <w:rPr>
          <w:rFonts w:ascii="arial" w:eastAsia="arial" w:hAnsi="arial" w:cs="arial"/>
          <w:sz w:val="20"/>
          <w:lang w:val="en-US" w:eastAsia="en-US" w:bidi="ar-SA"/>
        </w:rPr>
        <w:tab/>
      </w:r>
      <w:r>
        <w:rPr>
          <w:rFonts w:ascii="arial" w:eastAsia="arial" w:hAnsi="arial" w:cs="arial"/>
          <w:color w:val="6D6E71"/>
          <w:sz w:val="18"/>
          <w:lang w:val="en-US" w:eastAsia="en-US" w:bidi="ar-SA"/>
        </w:rPr>
        <w:t>other than, for example, creating a trial delay or adjournment</w:t>
      </w:r>
    </w:p>
    <w:p>
      <w:pPr>
        <w:spacing w:before="120" w:after="20" w:line="240" w:lineRule="atLeast"/>
        <w:ind w:left="720" w:hanging="360"/>
        <w:jc w:val="both"/>
        <w:rPr>
          <w:rFonts w:ascii="arial" w:eastAsia="arial" w:hAnsi="arial" w:cs="arial"/>
          <w:sz w:val="20"/>
          <w:lang w:val="en-US" w:eastAsia="en-US" w:bidi="ar-SA"/>
        </w:rPr>
      </w:pPr>
      <w:bookmarkStart w:id="191"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191"/>
      <w:r>
        <w:rPr>
          <w:rFonts w:ascii="arial" w:eastAsia="arial" w:hAnsi="arial" w:cs="arial"/>
          <w:sz w:val="20"/>
          <w:lang w:val="en-US" w:eastAsia="en-US" w:bidi="ar-SA"/>
        </w:rPr>
        <w:tab/>
      </w:r>
      <w:hyperlink r:id="rId454" w:history="1">
        <w:r>
          <w:rPr>
            <w:rFonts w:ascii="arial" w:eastAsia="arial" w:hAnsi="arial" w:cs="arial"/>
            <w:i/>
            <w:color w:val="0077CC"/>
            <w:sz w:val="18"/>
            <w:u w:val="single"/>
            <w:shd w:val="clear" w:color="auto" w:fill="FFFFFF"/>
            <w:lang w:val="en-US" w:eastAsia="en-US" w:bidi="ar-SA"/>
          </w:rPr>
          <w:t>(1950) 2 W.W.R. 574</w:t>
        </w:r>
      </w:hyperlink>
      <w:r>
        <w:rPr>
          <w:rFonts w:ascii="arial" w:eastAsia="arial" w:hAnsi="arial" w:cs="arial"/>
          <w:color w:val="6D6E71"/>
          <w:sz w:val="18"/>
          <w:lang w:val="en-US" w:eastAsia="en-US" w:bidi="ar-SA"/>
        </w:rPr>
        <w:t>, 1930 CarswellAlta 128 (the difference in report dates, apparently, arose because the W.W.R. editors only learned of the decision in 1950)</w:t>
      </w:r>
    </w:p>
    <w:p>
      <w:pPr>
        <w:spacing w:before="120" w:after="20" w:line="240" w:lineRule="atLeast"/>
        <w:ind w:left="720" w:hanging="360"/>
        <w:jc w:val="both"/>
        <w:rPr>
          <w:rFonts w:ascii="arial" w:eastAsia="arial" w:hAnsi="arial" w:cs="arial"/>
          <w:sz w:val="20"/>
          <w:lang w:val="en-US" w:eastAsia="en-US" w:bidi="ar-SA"/>
        </w:rPr>
      </w:pPr>
      <w:bookmarkStart w:id="192"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192"/>
      <w:r>
        <w:rPr>
          <w:rFonts w:ascii="arial" w:eastAsia="arial" w:hAnsi="arial" w:cs="arial"/>
          <w:sz w:val="20"/>
          <w:lang w:val="en-US" w:eastAsia="en-US" w:bidi="ar-SA"/>
        </w:rPr>
        <w:tab/>
      </w:r>
      <w:hyperlink r:id="rId455" w:history="1">
        <w:r>
          <w:rPr>
            <w:rFonts w:ascii="arial" w:eastAsia="arial" w:hAnsi="arial" w:cs="arial"/>
            <w:i/>
            <w:color w:val="0077CC"/>
            <w:sz w:val="18"/>
            <w:u w:val="single"/>
            <w:shd w:val="clear" w:color="auto" w:fill="FFFFFF"/>
            <w:lang w:val="en-US" w:eastAsia="en-US" w:bidi="ar-SA"/>
          </w:rPr>
          <w:t>(1997) 36 B.C.L.R. (3d) 257</w:t>
        </w:r>
      </w:hyperlink>
      <w:r>
        <w:rPr>
          <w:rFonts w:ascii="arial" w:eastAsia="arial" w:hAnsi="arial" w:cs="arial"/>
          <w:color w:val="6D6E71"/>
          <w:sz w:val="18"/>
          <w:lang w:val="en-US" w:eastAsia="en-US" w:bidi="ar-SA"/>
        </w:rPr>
        <w:t xml:space="preserve"> at para. 12</w:t>
      </w:r>
    </w:p>
    <w:p>
      <w:pPr>
        <w:spacing w:before="120" w:after="20" w:line="240" w:lineRule="atLeast"/>
        <w:ind w:left="720" w:hanging="360"/>
        <w:jc w:val="both"/>
        <w:rPr>
          <w:rFonts w:ascii="arial" w:eastAsia="arial" w:hAnsi="arial" w:cs="arial"/>
          <w:sz w:val="20"/>
          <w:lang w:val="en-US" w:eastAsia="en-US" w:bidi="ar-SA"/>
        </w:rPr>
      </w:pPr>
      <w:bookmarkStart w:id="193"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193"/>
      <w:r>
        <w:rPr>
          <w:rFonts w:ascii="arial" w:eastAsia="arial" w:hAnsi="arial" w:cs="arial"/>
          <w:sz w:val="20"/>
          <w:lang w:val="en-US" w:eastAsia="en-US" w:bidi="ar-SA"/>
        </w:rPr>
        <w:tab/>
      </w:r>
      <w:r>
        <w:rPr>
          <w:rFonts w:ascii="arial" w:eastAsia="arial" w:hAnsi="arial" w:cs="arial"/>
          <w:color w:val="6D6E71"/>
          <w:sz w:val="18"/>
          <w:lang w:val="en-US" w:eastAsia="en-US" w:bidi="ar-SA"/>
        </w:rPr>
        <w:t>(1966) 3 All E.R. 843 at pp 845-6</w:t>
      </w:r>
    </w:p>
    <w:p>
      <w:pPr>
        <w:spacing w:before="120" w:after="20" w:line="240" w:lineRule="atLeast"/>
        <w:ind w:left="720" w:hanging="360"/>
        <w:jc w:val="both"/>
        <w:rPr>
          <w:rFonts w:ascii="arial" w:eastAsia="arial" w:hAnsi="arial" w:cs="arial"/>
          <w:sz w:val="20"/>
          <w:lang w:val="en-US" w:eastAsia="en-US" w:bidi="ar-SA"/>
        </w:rPr>
      </w:pPr>
      <w:bookmarkStart w:id="194"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194"/>
      <w:r>
        <w:rPr>
          <w:rFonts w:ascii="arial" w:eastAsia="arial" w:hAnsi="arial" w:cs="arial"/>
          <w:sz w:val="20"/>
          <w:lang w:val="en-US" w:eastAsia="en-US" w:bidi="ar-SA"/>
        </w:rPr>
        <w:tab/>
      </w:r>
      <w:r>
        <w:rPr>
          <w:rFonts w:ascii="arial" w:eastAsia="arial" w:hAnsi="arial" w:cs="arial"/>
          <w:color w:val="6D6E71"/>
          <w:sz w:val="18"/>
          <w:lang w:val="en-US" w:eastAsia="en-US" w:bidi="ar-SA"/>
        </w:rPr>
        <w:t>p. 16 to Exhibit B to Ms. Read-Olley's affidavit #1</w:t>
      </w:r>
    </w:p>
    <w:p>
      <w:pPr>
        <w:spacing w:before="120" w:after="20" w:line="240" w:lineRule="atLeast"/>
        <w:ind w:left="720" w:hanging="360"/>
        <w:jc w:val="both"/>
        <w:rPr>
          <w:rFonts w:ascii="arial" w:eastAsia="arial" w:hAnsi="arial" w:cs="arial"/>
          <w:sz w:val="20"/>
          <w:lang w:val="en-US" w:eastAsia="en-US" w:bidi="ar-SA"/>
        </w:rPr>
      </w:pPr>
      <w:bookmarkStart w:id="195"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195"/>
      <w:r>
        <w:rPr>
          <w:rFonts w:ascii="arial" w:eastAsia="arial" w:hAnsi="arial" w:cs="arial"/>
          <w:sz w:val="20"/>
          <w:lang w:val="en-US" w:eastAsia="en-US" w:bidi="ar-SA"/>
        </w:rPr>
        <w:tab/>
      </w:r>
      <w:hyperlink r:id="rId456" w:history="1">
        <w:r>
          <w:rPr>
            <w:rFonts w:ascii="arial" w:eastAsia="arial" w:hAnsi="arial" w:cs="arial"/>
            <w:i/>
            <w:color w:val="0077CC"/>
            <w:sz w:val="18"/>
            <w:u w:val="single"/>
            <w:shd w:val="clear" w:color="auto" w:fill="FFFFFF"/>
            <w:lang w:val="en-US" w:eastAsia="en-US" w:bidi="ar-SA"/>
          </w:rPr>
          <w:t>2010 BCCA 128</w:t>
        </w:r>
      </w:hyperlink>
    </w:p>
    <w:p>
      <w:pPr>
        <w:spacing w:before="120" w:after="20" w:line="240" w:lineRule="atLeast"/>
        <w:ind w:left="720" w:hanging="360"/>
        <w:jc w:val="both"/>
        <w:rPr>
          <w:rFonts w:ascii="arial" w:eastAsia="arial" w:hAnsi="arial" w:cs="arial"/>
          <w:sz w:val="20"/>
          <w:lang w:val="en-US" w:eastAsia="en-US" w:bidi="ar-SA"/>
        </w:rPr>
      </w:pPr>
      <w:bookmarkStart w:id="196" w:name="Forward_fnref_fnr-11"/>
      <w:hyperlink w:anchor="Backward_fnref_fnr-11" w:history="1">
        <w:r>
          <w:rPr>
            <w:rFonts w:ascii="arial" w:eastAsia="arial" w:hAnsi="arial" w:cs="arial"/>
            <w:b/>
            <w:color w:val="BE161D"/>
            <w:sz w:val="18"/>
            <w:shd w:val="clear" w:color="auto" w:fill="FFFFFF"/>
            <w:lang w:val="en-US" w:eastAsia="en-US" w:bidi="ar-SA"/>
          </w:rPr>
          <w:t>11</w:t>
        </w:r>
      </w:hyperlink>
      <w:bookmarkEnd w:id="196"/>
      <w:r>
        <w:rPr>
          <w:rFonts w:ascii="arial" w:eastAsia="arial" w:hAnsi="arial" w:cs="arial"/>
          <w:sz w:val="20"/>
          <w:lang w:val="en-US" w:eastAsia="en-US" w:bidi="ar-SA"/>
        </w:rPr>
        <w:tab/>
      </w:r>
      <w:hyperlink r:id="rId32" w:history="1">
        <w:r>
          <w:rPr>
            <w:rFonts w:ascii="arial" w:eastAsia="arial" w:hAnsi="arial" w:cs="arial"/>
            <w:i/>
            <w:color w:val="0077CC"/>
            <w:sz w:val="18"/>
            <w:u w:val="single"/>
            <w:shd w:val="clear" w:color="auto" w:fill="FFFFFF"/>
            <w:lang w:val="en-US" w:eastAsia="en-US" w:bidi="ar-SA"/>
          </w:rPr>
          <w:t>(1996) 19 B.C.L.R. (3d) 282</w:t>
        </w:r>
      </w:hyperlink>
    </w:p>
    <w:p>
      <w:pPr>
        <w:spacing w:before="120" w:after="20" w:line="240" w:lineRule="atLeast"/>
        <w:ind w:left="720" w:hanging="360"/>
        <w:jc w:val="both"/>
        <w:rPr>
          <w:rFonts w:ascii="arial" w:eastAsia="arial" w:hAnsi="arial" w:cs="arial"/>
          <w:sz w:val="20"/>
          <w:lang w:val="en-US" w:eastAsia="en-US" w:bidi="ar-SA"/>
        </w:rPr>
      </w:pPr>
      <w:bookmarkStart w:id="197" w:name="Forward_fnref_fnr-12"/>
      <w:hyperlink w:anchor="Backward_fnref_fnr-12" w:history="1">
        <w:r>
          <w:rPr>
            <w:rFonts w:ascii="arial" w:eastAsia="arial" w:hAnsi="arial" w:cs="arial"/>
            <w:b/>
            <w:color w:val="BE161D"/>
            <w:sz w:val="18"/>
            <w:shd w:val="clear" w:color="auto" w:fill="FFFFFF"/>
            <w:lang w:val="en-US" w:eastAsia="en-US" w:bidi="ar-SA"/>
          </w:rPr>
          <w:t>12</w:t>
        </w:r>
      </w:hyperlink>
      <w:bookmarkEnd w:id="197"/>
      <w:r>
        <w:rPr>
          <w:rFonts w:ascii="arial" w:eastAsia="arial" w:hAnsi="arial" w:cs="arial"/>
          <w:sz w:val="20"/>
          <w:lang w:val="en-US" w:eastAsia="en-US" w:bidi="ar-SA"/>
        </w:rPr>
        <w:tab/>
      </w:r>
      <w:r>
        <w:rPr>
          <w:rFonts w:ascii="arial" w:eastAsia="arial" w:hAnsi="arial" w:cs="arial"/>
          <w:i/>
          <w:color w:val="6D6E71"/>
          <w:sz w:val="18"/>
          <w:lang w:val="en-US" w:eastAsia="en-US" w:bidi="ar-SA"/>
        </w:rPr>
        <w:t>Amezcua</w:t>
      </w:r>
      <w:r>
        <w:rPr>
          <w:rFonts w:ascii="arial" w:eastAsia="arial" w:hAnsi="arial" w:cs="arial"/>
          <w:color w:val="6D6E71"/>
          <w:sz w:val="18"/>
          <w:lang w:val="en-US" w:eastAsia="en-US" w:bidi="ar-SA"/>
        </w:rPr>
        <w:t xml:space="preserve"> at para. 51</w:t>
      </w:r>
    </w:p>
    <w:p>
      <w:pPr>
        <w:spacing w:before="120" w:after="20" w:line="240" w:lineRule="atLeast"/>
        <w:ind w:left="720" w:hanging="360"/>
        <w:jc w:val="both"/>
        <w:rPr>
          <w:rFonts w:ascii="arial" w:eastAsia="arial" w:hAnsi="arial" w:cs="arial"/>
          <w:sz w:val="20"/>
          <w:lang w:val="en-US" w:eastAsia="en-US" w:bidi="ar-SA"/>
        </w:rPr>
      </w:pPr>
      <w:bookmarkStart w:id="198" w:name="Forward_fnref_fnr-13"/>
      <w:hyperlink w:anchor="Backward_fnref_fnr-13" w:history="1">
        <w:r>
          <w:rPr>
            <w:rFonts w:ascii="arial" w:eastAsia="arial" w:hAnsi="arial" w:cs="arial"/>
            <w:b/>
            <w:color w:val="BE161D"/>
            <w:sz w:val="18"/>
            <w:shd w:val="clear" w:color="auto" w:fill="FFFFFF"/>
            <w:lang w:val="en-US" w:eastAsia="en-US" w:bidi="ar-SA"/>
          </w:rPr>
          <w:t>13</w:t>
        </w:r>
      </w:hyperlink>
      <w:bookmarkEnd w:id="198"/>
      <w:r>
        <w:rPr>
          <w:rFonts w:ascii="arial" w:eastAsia="arial" w:hAnsi="arial" w:cs="arial"/>
          <w:sz w:val="20"/>
          <w:lang w:val="en-US" w:eastAsia="en-US" w:bidi="ar-SA"/>
        </w:rPr>
        <w:tab/>
      </w:r>
      <w:hyperlink r:id="rId457" w:history="1">
        <w:r>
          <w:rPr>
            <w:rFonts w:ascii="arial" w:eastAsia="arial" w:hAnsi="arial" w:cs="arial"/>
            <w:i/>
            <w:color w:val="0077CC"/>
            <w:sz w:val="18"/>
            <w:u w:val="single"/>
            <w:shd w:val="clear" w:color="auto" w:fill="FFFFFF"/>
            <w:lang w:val="en-US" w:eastAsia="en-US" w:bidi="ar-SA"/>
          </w:rPr>
          <w:t>2005 BCCA 297</w:t>
        </w:r>
      </w:hyperlink>
      <w:r>
        <w:rPr>
          <w:rFonts w:ascii="arial" w:eastAsia="arial" w:hAnsi="arial" w:cs="arial"/>
          <w:color w:val="6D6E71"/>
          <w:sz w:val="18"/>
          <w:lang w:val="en-US" w:eastAsia="en-US" w:bidi="ar-SA"/>
        </w:rPr>
        <w:t xml:space="preserve"> at para. 8</w:t>
      </w:r>
    </w:p>
    <w:p>
      <w:pPr>
        <w:spacing w:before="120" w:after="20" w:line="240" w:lineRule="atLeast"/>
        <w:ind w:left="720" w:hanging="360"/>
        <w:jc w:val="both"/>
        <w:rPr>
          <w:rFonts w:ascii="arial" w:eastAsia="arial" w:hAnsi="arial" w:cs="arial"/>
          <w:sz w:val="20"/>
          <w:lang w:val="en-US" w:eastAsia="en-US" w:bidi="ar-SA"/>
        </w:rPr>
      </w:pPr>
      <w:bookmarkStart w:id="199" w:name="Forward_fnref_fnr-14"/>
      <w:hyperlink w:anchor="Backward_fnref_fnr-14" w:history="1">
        <w:r>
          <w:rPr>
            <w:rFonts w:ascii="arial" w:eastAsia="arial" w:hAnsi="arial" w:cs="arial"/>
            <w:b/>
            <w:color w:val="BE161D"/>
            <w:sz w:val="18"/>
            <w:shd w:val="clear" w:color="auto" w:fill="FFFFFF"/>
            <w:lang w:val="en-US" w:eastAsia="en-US" w:bidi="ar-SA"/>
          </w:rPr>
          <w:t>14</w:t>
        </w:r>
      </w:hyperlink>
      <w:bookmarkEnd w:id="199"/>
      <w:r>
        <w:rPr>
          <w:rFonts w:ascii="arial" w:eastAsia="arial" w:hAnsi="arial" w:cs="arial"/>
          <w:sz w:val="20"/>
          <w:lang w:val="en-US" w:eastAsia="en-US" w:bidi="ar-SA"/>
        </w:rPr>
        <w:tab/>
      </w:r>
      <w:hyperlink r:id="rId458" w:history="1">
        <w:r>
          <w:rPr>
            <w:rFonts w:ascii="arial" w:eastAsia="arial" w:hAnsi="arial" w:cs="arial"/>
            <w:i/>
            <w:color w:val="0077CC"/>
            <w:sz w:val="18"/>
            <w:u w:val="single"/>
            <w:shd w:val="clear" w:color="auto" w:fill="FFFFFF"/>
            <w:lang w:val="en-US" w:eastAsia="en-US" w:bidi="ar-SA"/>
          </w:rPr>
          <w:t>(1988) 25 B.C.L.R. (2d) 17</w:t>
        </w:r>
      </w:hyperlink>
      <w:r>
        <w:rPr>
          <w:rFonts w:ascii="arial" w:eastAsia="arial" w:hAnsi="arial" w:cs="arial"/>
          <w:color w:val="6D6E71"/>
          <w:sz w:val="18"/>
          <w:lang w:val="en-US" w:eastAsia="en-US" w:bidi="ar-SA"/>
        </w:rPr>
        <w:t xml:space="preserve"> at p. 25</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8" style="position:absolute;z-index:251899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Residential Ready-Mix Ltd. v. BTR Concrete and Construction Ltd., [2003] B.C.J. No. 2033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9 and 10, 2002 and June 19 and 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C990657 and A991735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2033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1350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C.L.R. (3d) 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1054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Residential Ready-Mix Ltd., plaintiff, and BTR Concrete and Construction Ltd. and Pacific Starlight Development Ltd., defendants, and Pacific Starlight Development Ltd., third party, and Edmund Wong Engineering Ltd., Edmund Wong, Endeavour Projects Ltd. and Richfield Reinforcing Ltd., defendants by counterclaim, and Edmund Wong Engineering Ltd., Edmund Wong, fourth parties (Vancouver Registry No. C990657) And between BTR Concrete and Construction Ltd., plaintiff, and Pacific Starlight Development Ltd. and Endeavour Projects Ltd., defendants (Vancouver Registry No. A991735)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9"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0" w:name="Keywords_27"/>
      <w:bookmarkEnd w:id="200"/>
      <w:r>
        <w:rPr>
          <w:rFonts w:ascii="arial" w:eastAsia="arial" w:hAnsi="arial" w:cs="arial"/>
          <w:b/>
          <w:color w:val="000000"/>
          <w:sz w:val="20"/>
          <w:lang w:val="en-US" w:eastAsia="en-US" w:bidi="ar-SA"/>
        </w:rPr>
        <w:t>Practice — Pleadings — Amendment of pleadings — To remedy deficiency — Building contracts — Actions against the owner — For breach of contract — By subcontractor — Practice — Judgments and orders — Summary judgments — Bars — Issue to be tried.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1" w:name="Case Summary_22"/>
            <w:bookmarkEnd w:id="2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Pacific Starlight, the owner and developer of a condominium property, to amend its counterclaim to include two sub-contractors, Residential Ready-Mix and Richfield Reinforcing, in the style of cause of its counterclaim. The plaintiff, Residential, applied for summary judgment against Pacific for the amount owing for concrete supplied and to dismiss or strike out Pacific's counterclaim. The defendant by counterclaim, Richfield, also applied to dismiss the counterclaim against it. BTR Concrete applied for summary judgment against Pacific for amounts owing for BTR's work pouring the ground-floor slab. The dispute centred on alleged deficiencies in the ground-floor slab, resulting in claims and counterclaims alleging breach of contract. Pacific's counterclaim described the alleged breaches by Residential and Richfield, and it claimed that its failure to include those two parties in the style of clause was mere inadvertence. Residential argued that Pacific was making an unreasonable claim against it for pure economic loss, while Richfield argued that whether its installation of the rebar in the slab was improper constituted a discreet issue.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2" w:name="Holdings of Court_17"/>
            <w:bookmarkEnd w:id="202"/>
            <w:r>
              <w:rPr>
                <w:rFonts w:ascii="arial" w:eastAsia="arial" w:hAnsi="arial" w:cs="arial"/>
                <w:color w:val="000000"/>
                <w:sz w:val="20"/>
                <w:lang w:val="en-US" w:eastAsia="en-US" w:bidi="ar-SA"/>
              </w:rPr>
              <w:t>HELD: Pacific's application was allowed and the other applications were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Pacific was granted leave to amend its counterclaim to name Residential and Richfield in the style of cause, as the amendment simply formalized the allegations set out in the counterclaim. The omission was mere oversight. However, the court was unable to determine on a motion for summary judgment the validity of the claims by Residential and BTR. Such matters were inextricably linked with Pacific's set-off claims and other issues in its counterclaim. While Richfield was correct that the rebar matter was a discreet issue, resolution in Richfield's favour would lead to the conclusion that the project engineer, another defendant, was liable to Pacific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would amount to an intrusion on the trial judge's province. As well, the expert evidence concerning the rebar was divergent.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3" w:name="Legislation Cited_19"/>
      <w:bookmarkEnd w:id="2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0"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19(7),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4" w:name="Counsel_27"/>
      <w:bookmarkEnd w:id="20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1"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Glenn J. Niemela, for Residential Ready-Mix Ltd. Kenneth Friesen, for BTR Concrete and Construction Ltd. Barry B. Kerfoot and Ian A. Hobbs, for Pacific Starlight Development Ltd. Seema Chaskar, for Edmund Wong Engineering Ltd. and Edmund Wong. Brock Beazley, for Richfield Reinforcing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5" w:name="Judgment_26"/>
      <w:bookmarkEnd w:id="205"/>
      <w:r>
        <w:pict>
          <v:line id="_x0000_s1162" style="position:absolute;z-index:2518394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6" w:name="NEILSON J."/>
            <w:bookmarkEnd w:id="206"/>
            <w:r>
              <w:rPr>
                <w:rFonts w:ascii="arial" w:eastAsia="arial" w:hAnsi="arial" w:cs="arial"/>
                <w:b/>
                <w:color w:val="000000"/>
                <w:sz w:val="30"/>
                <w:lang w:val="en-US" w:eastAsia="en-US" w:bidi="ar-SA"/>
              </w:rPr>
              <w:t>NEILSON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hearing involved a number of applications made by several parties in two of three actions arising from the construction of a four storey condominium in Vancouver in 1997 and 1998 (the "Project"). The focus of these two actions is alleged deficiencies in the reinforced concrete slab forming the ground floor of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Pacific Starlight Development Ltd. ("Pacific Starlight") was the owner and developer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Endeavour Projects Ltd. ("Endeavour") was the general contractor, pursuant to an oral agreement with Pacific Starlight.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Edmund Wong Engineering Ltd. and Edmund Wong (collectively "Wong") contracted with Endeavour to be the structural engineers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Richfield Reinforcing Ltd. ("Richfield") supplied reinforcing steel or rebar for the ground floor concrete slab, pursuant to a contract with Geogenic Work Group, Endeavour's predecessor.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BTR Concrete and Construction Ltd. ("BTR") contracted with Endeavour to pour and place the concrete for the ground floor slab.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Residential Ready-Mix Ltd. ("Residential") contracted with BTR to supply the concrete for the ground floor slab.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Claims in Action No. C990657 (the "Residential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February 5, 1999, Residential commenced this action against BTR and Pacific Starlight, claiming debt and a builder's lien respectively in the amount of $30,838.39 owed for the concrete it supplied. Subsequent pleadings have made this the most extensive action arising from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its statement of defence, BTR claims a set-off, and has also filed a counterclaim against Residential, for breach of contract in failing to provide concrete that met its specifications. BTR has also filed a third party notice against Pacific Starlight, claiming contribution and indemnity from Pacific Starlight if Residential is successful in its claim against BTR.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Pacific Starlight filed a statement of defence claiming a set-off against Residential for concrete deficiencies in the amount of approximately $62,000. It also filed a counterclaim that, following amendments, includes allegations against Wong, Endeavour, Richfield, BTR, and Residential, although the names of BTR and Residential were inadvertently left out of the style of cause. These claim economic loss of over $1 million, alleging that the defendants by counterclaim breached their various contracts with other parties, creating deficiencies and damage that presented a real and substantial danger to occupants of the building, the remediation of which led to significant delays and related costs. The amended counterclaim also alleges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Endeavour,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against Wong,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Richfield.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Richfield has issued a fourth party notice against Wong, claiming contribution and indemnity on the basis that Wong failed to adequately instruct it with respect to placement of the rebar.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Claims in Action #A991735 (the "BTR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June 30, 1999, BTR sued Pacific Starlight and Endeavour for breach of contract and a claim of builder's lien respectively, in the amount of $55,462.81. That includes the materials supplied by Residential, which are the subject of Residential's action. Thus, the claim of BTR alone is approximately $25,000, owed for unpaid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Pacific Starlight has filed a statement of defence claiming a set-off for deficiencies. Endeavour did not appear, and BTR obtained judgment in default against it on April 15,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Phase Mechanical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a third action arising from the project, brought by Phase Mechanical Systems against Endeavour and Pacific Starlight. It does not involve the deficiencies in the concrete slab. It has, however, been ordered to be tried at the same time as the other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Present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Pacific Starlight brings an application to amend its counterclaim to include Residential and BTR in the style of cause and prayer for relief. This is opposed by Residential and BTR.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Residential brings the following applications: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under Rule 18A for judgment on its claims of debt and builder's lien against BTR and Pacific Starlight, and an order for payment of the judgment from funds held in court on the Phase action. This application is opposed by Pacific Starlight. BTR does not oppose it, as long as any judgment is satisfied by payment from the funds held in court.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under Rule 18A for dismissal of Pacific Starlight's counterclaim against it. This is opposed by Pacific Starlight and Wong.</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an application under Rule 19(7) and 19(24) to strike Pacific Starlight's counterclaim against it. This is opposed by Pacific Starlight and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BTR brings an application under Rule 18A for judgment against Pacific Starlight with respect to its claim of lien. This application is opposed by Pacific Starlight.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Richfield brings an application under Rule 18A for dismissal of Pacific Starlight's counterclaim against it. This is opposed by Pacific Starlight.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July 1997, Endeavour's predecessor, Geogenics, retained Richfield to install rebar for the concrete components of the project. Richfield placed the rebar for the ground floor slab in accordance with drawings and instructions from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end of 1997, BTR ordered ready-mix concrete from Residential to be used for the ground floor slab. The specifications required it to be 35 MPa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Residential delivered the concrete for the ground floor three times between December 30, 1997 and January 28, 1998, and BTR placed the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Concrete strength was not tested when it was poured. On January 21 and 28, 1998, Metropolitan Testing Laboratories Ltd. did testing of drilled core samples. These revealed the MPa of the ground floor slab to be between 21.72 and 29.3.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April, 1998, Wong became concerned enough about deficiencies in the concrete ground floor slab that he stopped work on the Project while these were investigated.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architects on the Project retained John Bryson of Jones Kristofferson Ltd. to provide an opinion as to the structural adequacy of the concrete structure for the ground floor. Mr. Bryson produced a report on August 20, 1998 (the "Bryson report"). This shed doubt on Wong's concerns, as it concluded that the ground floor slab was "structurally adequate to support all design loads required by the Vancouver Building Bylaw". Nevertheless, Mr. Bryson made several recommendations designed to confirm his opinion and strengthen the ground floor slab, including engaging a structural engineer to "put to bed" any remaining concerns Wong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receipt of the Bryson report, Wong was dismissed, and Bryson took on the role of structural engineer for the balance of the Project. Pacific Starlight's largest claim is for over $1 million in damages it says were caused by the delay arising from the shutdown Wong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Pacific Starlight also retained Levelton Engineering Ltd. to investigate concrete defects and strength at the Project between May and July 1998. Levelton provided a report on January 15, 1999 (the "Levelton report") that identified concrete defects that may affect structural performance, and described a number of deficiencies in the ground floor slab. It recommended repairs to restore the structural integrity of the defective areas to a level consistent with surrounding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Levelton also did its own testing on 10 drilled core samples that were at least six months old. These showed MPa between 26.6 and 40.8. Levelton concluded that the concrete "marginally meets the 35MPa strength specified".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Pacific Starlight undertook the repairs recommended by Levelton, at a cost of $62,060.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City of Vancouver granted an occupancy permit for the building on August 10,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These actions were commenced in the first half of 1999. The trial was originally scheduled for July 31, 2001, but was adjourned by consent. It is now set for eight days in December,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Rule 18A applications of Residential and BTR were originally scheduled to be heard on April 26, 2002 before Mr. Justice Sigurdson. He found, however, that he was unable to determine them at that time, largely because the details of Pacific Starlight's claims were unclear. He gave directions with respect to amending pleadings and other matters under Rule 18A(13), and gave Residential and BTR liberty to renew their applications after 90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parties obtained further expert opinions in preparation for these motions. Richfield retained Tolson Benson of Hanscomb Ltd. to provide an opinion. Mr. Benson provided affidavits of November 6, 2002, and June 17, 2003, as well as two reports, dated March 28, 2002 and June 17, 2003 (collectively the "Benson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Wong retained Mr. Neill of James Neill &amp; Associates Ltd. to provide an opinion on whether the concrete supplied by Residential conformed to the project specifications, and whether it was appropriate for Wong to have stopped work on the project to investigate the concrete slab in April, 1998. Mr. Neill provided a report dated November 14, 2002 (the "Neill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hearing of the present applications began on December 9 and 10, 2002. It was adjourned to permit Residential to obtain an additional expert opinion to reply to the Neill report, as the latter had been served only days before the hearing. Residential retained Dr. D.R. Morgan, who provided a report dated April 15, 2003 (the "Morgan report"). The hearing resumed on June 19 and 20,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Pacific Starlight's application to amend its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Pacific Starlight filed a counterclaim on August 10, 1999. While it stated that BTR supplied and installed concrete provided by Residential, and that the concrete did not meet specifications, it did not specifically mention BTR or Residential as defendants by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the hearing before Mr. Justice Sigurdson on April 26, 2002, he ordered Pacific Starlight to amend its pleadings within 45 days, if it intended to pursue a right of set-off or counterclaim against Residential or BTR, and directed that it specifically plead the alleged defect in the concrete, the facts it relied on, and the costs it incurred in curing the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Pacific Starlight did file an amended counterclaim on June 7, 2002. While this set out more detailed allegations against Residential and BTR, it inadvertently excluded them as defendants by counterclaim in the style of cause, and in the prayer for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Pacific Starlight accordingly applies to further amend its counterclaim to include Residential and BTR as defendants by counterclaim in the style of cause and in the prayer for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grant the application. It simply formalizes the allegations already set out in the amended counterclaim as directed by Mr. Justice Sigurdson. The omission was a mere oversight, and it is evident that, at least since the hearing on April 26, 2002, if not before, Residential and BTR were aware that Pacific Starlight intended to name them as defendants by counterclaim. They were served with the amended counter-claim containing the allegations against them. I see no prejudice or element of surprise to allowing these amendments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18A applications for judgment by Residential and BTR as plaintiffs in their respective actions, and Rule 18A application by Residential for dismissal of Pacific Starlight's counterclaim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amounts claimed by Residential and BTR in their actions are relatively small, and I am sympathetic to their attempt to obtain a final resolution of their claims under Rule 18A, rather than having to participate in an extensive trial. I have therefore reached my conclusion on these applications with some regret. I find, however, that I am unable to determine these matters under Rule 18A for two reasons. First, the issues raised on these applications are not suitable for determination under Rule 18A, as any findings I make would be embarrassing to the trial judge who must hear the remaining issues, in particular, those involving Wong's liability. Second, I am unable to find the facts necessary to decide the issues presented, based on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With respect to the first point, the Court of Appeal of this province has made it clear that, in deciding if some part of a case is appropriate for determination under Rule 18A, a significant consideration is whether the trial judge who will hear the remaining issues would be burdened by findings made on the Rule 18A proceeding with respect to the very issues that he or she must also determine, or may be embarrassed by being asked to make findings of fact that conflict with the earlier determination under Rule 18A: Kaba v. Cambridge Western Leaseholds Ltd., </w:t>
      </w:r>
      <w:hyperlink r:id="rId466" w:history="1">
        <w:r>
          <w:rPr>
            <w:rFonts w:ascii="arial" w:eastAsia="arial" w:hAnsi="arial" w:cs="arial"/>
            <w:i/>
            <w:color w:val="0077CC"/>
            <w:sz w:val="20"/>
            <w:u w:val="single"/>
            <w:shd w:val="clear" w:color="auto" w:fill="FFFFFF"/>
            <w:lang w:val="en-US" w:eastAsia="en-US" w:bidi="ar-SA"/>
          </w:rPr>
          <w:t>[1997] B.C.J. No. 2152</w:t>
        </w:r>
      </w:hyperlink>
      <w:r>
        <w:rPr>
          <w:rFonts w:ascii="arial" w:eastAsia="arial" w:hAnsi="arial" w:cs="arial"/>
          <w:color w:val="000000"/>
          <w:sz w:val="20"/>
          <w:lang w:val="en-US" w:eastAsia="en-US" w:bidi="ar-SA"/>
        </w:rPr>
        <w:t xml:space="preserve"> (C.A.) at para. 8; Jervis Court Development Ltd. v. Ricci, </w:t>
      </w:r>
      <w:hyperlink r:id="rId467" w:history="1">
        <w:r>
          <w:rPr>
            <w:rFonts w:ascii="arial" w:eastAsia="arial" w:hAnsi="arial" w:cs="arial"/>
            <w:i/>
            <w:color w:val="0077CC"/>
            <w:sz w:val="20"/>
            <w:u w:val="single"/>
            <w:shd w:val="clear" w:color="auto" w:fill="FFFFFF"/>
            <w:lang w:val="en-US" w:eastAsia="en-US" w:bidi="ar-SA"/>
          </w:rPr>
          <w:t>[1993] B.C.J. No. 157</w:t>
        </w:r>
      </w:hyperlink>
      <w:r>
        <w:rPr>
          <w:rFonts w:ascii="arial" w:eastAsia="arial" w:hAnsi="arial" w:cs="arial"/>
          <w:color w:val="000000"/>
          <w:sz w:val="20"/>
          <w:lang w:val="en-US" w:eastAsia="en-US" w:bidi="ar-SA"/>
        </w:rPr>
        <w:t xml:space="preserve"> (C.A.) at paras. 12 and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Fraser, J. usefully summarized the problems presented by such situations in Calder v. King </w:t>
      </w:r>
      <w:hyperlink r:id="rId468" w:history="1">
        <w:r>
          <w:rPr>
            <w:rFonts w:ascii="arial" w:eastAsia="arial" w:hAnsi="arial" w:cs="arial"/>
            <w:i/>
            <w:color w:val="0077CC"/>
            <w:sz w:val="20"/>
            <w:u w:val="single"/>
            <w:shd w:val="clear" w:color="auto" w:fill="FFFFFF"/>
            <w:lang w:val="en-US" w:eastAsia="en-US" w:bidi="ar-SA"/>
          </w:rPr>
          <w:t>(1994), 91 B.C.L.R. (2d) 336</w:t>
        </w:r>
      </w:hyperlink>
      <w:r>
        <w:rPr>
          <w:rFonts w:ascii="arial" w:eastAsia="arial" w:hAnsi="arial" w:cs="arial"/>
          <w:color w:val="000000"/>
          <w:sz w:val="20"/>
          <w:lang w:val="en-US" w:eastAsia="en-US" w:bidi="ar-SA"/>
        </w:rPr>
        <w:t xml:space="preserve"> (S.C.) at 338: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were to grant judgment to the defendants today, that could potentially embarrass the trial judge on the trial of the cross-action, in the sense that there would be a determination of liability by me which the trial judge might not see as warranted, based on the oral testimony before him or her. Where there is to be a trial in any event involving the same parties and involving the same transaction, a court should be slow on an application based on affidavits to arrive at determinations of fact which fetter the hands of the later trial judge. That, in my view, is sufficient reason on its own for dismissal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these actions, questions concerning the existence, cause, and extent of deficiencies in the concrete slab are raised in three contexts.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First, they form the basis of Pacific Starlight's claim for set-off in the Residential action and the BTR action. Pacific Starlight says that, at the least, the remediation costs of $62,000 for deficiencies in the concrete should be set-off against the amounts claimed by both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Second, these issues are central to Pacific Starlight's counterclaim against not just Residential, but also BTR, Richfield, and Wong. Pacific Starlight's only contract on the project was with Endeavour. Endeavour is apparently impecunious, and has not participated in this litigation. Pacific Starlight has therefore filed a counterclaim seeking damages for economic loss from the remaining parties, with whom it had no contractual relationship. Its claim is based on the proposition that deficiencies in the concrete slab presented a real and substantial danger to the health and safety of the occupants of the building, and it is therefore entitled to recover its losses from parties with whom it had no contractual relationship, based on the decision of the Supreme Court of Canada in Winnipeg Condominium Corp. No. 36 v. Bird Construction Co., </w:t>
      </w:r>
      <w:hyperlink r:id="rId469"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At 121 the Court summarized the basis for such a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conclude that the law in Canada has now progressed to the point where it can be said that contractors (as well as subcontractors, architects and engineers) who take part in the design and construction of a building will owe a duty in tort to subsequent purchasers of the building if it can be shown that it was foreseeable that a failure to take reasonable care in constructing the building would create defects that pose a substantial danger to the health and safety of the occupants. Where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established and such defects manifest themselves before any damage to persons or property occurs, they should, in my view, be liable for the reasonable cost of repairing the defects and putting the building back into a non-dangerous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Third, perceived deficiencies in the concrete slab were at the root of Wong's decision to halt the project in April, 1998 due to safety concerns. The largest part of Pacific Starlight's claim relates to costs allegedly suffered due to the resulting delay of the Project. Thus concrete deficiencies are integral to the issues between Wong and Pacific Starlight.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Residential and BTR nevertheless argue that it is possible to isolate the issues concerning concrete deficiencies that affect the claims by and against them, and determine these without impinging on the issues among the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disagree. I am unable to see how one could reach any conclusion on whether there were concrete deficiencies, their cause, and their implications for the structural integrity of the building, without making findings that would intrude on the balance of the issues to be tried, in particular, those dealing with Wong's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judging these same considerations in April,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By way of illustration, in its statement of defence to the counterclaim, Wong claims the concrete provided by Residential failed to meet its specified strength of 35 MPa. Residential and BTR, on the present applications, urge me to find that the concrete did meet that specification. If I acceded to their argument, my finding would clearly intrude on the issues that remain to be heard at the trial, where Wong will be advancing the contrary position, before another judge, but presumably based on substantially the same experts' reports that I have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Another illustration of the potential difficulty of determining these issues now arises from the fact that to deal with the counterclaim against Residential now, I would have to determine whether the concrete deficiencies posed a real and substantial danger within the meaning of that term in the Winnipeg Condominium case. I find it would be inappropriate to determine that issue against only one of the defendants by counterclaim on these applications, when the same issue would remain outstanding against the other defendants by counterclaim. Moreover, a determination of that issue has clear implications for Wong's perception of the safety concerns raised by the concrete slab, when he shut the project down, yet that critical issue remains to be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 final example of potential difficulty arises from the fact that Wong has plead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in his defence to Pacific Starlight's counterclaim. This leaves open the possibility that the trial judge will be asked to consider apportioning liability for damages between Wong and the other participants in the Project, and that this would require reconsideration of how, if at all, Residential and BTR contributed to any concrete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conclude that the issues related to the concrete deficiencies which I am being asked to determine on these applications are inextricably interlinked with those that remain to be determined at trial. I accordingly find it inappropriate to determine them on these Rule 18A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That is sufficient to determine these applications, but I will briefly mention the second difficulty I encountered in trying to decide them. The evidence before me includes reports from six experts dealing with aspects of the concrete slab in question: Metro Testing Laboratories Ltd., the Bryson report, the Levelton report, Mr. Benson's opinion, the Neill report, and the Morgan report. These deal with the rebar placed by Richfield that underlies the slab, the quality of the concrete supplied by Residential, the manner in which it was placed by BTR, and the nature, extent, and import of the alleged deficiencies that were discovered subsequently.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Residential and BTR argued that these experts' opinions are not in conflict, and support a conclusion that neither of them was responsible for any deficiencies in the concrete, or if they were, these deficiencies did not present a real and substantial danger of the nature that would support Pacific Starlight's claim for economic loss. Pacific Starlight, relying on the same reports, argues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was taken through these opinions in meticulous detail by counsel, and I have reviewed them again several times in preparing these reasons. They include many observations as to the concept of concrete strength, the methods of testing it when poured or when firm, the role of age and curing in interpreting the test results, the nature and cause of deficiencies that may arise in concrete, the structural implications of such defects, and the steps required to remediate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These were couched to a considerable extent in technical terms and propositions. Given the fact that I have decided these applications are inappropriate for determination under Rule 18A, and that the matter will therefore be proceeding to trial, I will not comment extensively on the reports. However, it was my view that some of their nuances, and the distinctions made by the parties as to their correct interpretation, were difficult to assess without the experts being present to explain aspects of their reports, and to be cross-examined as to the significance of the differences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To provide just one example of this, the Bryson report concluded that the concrete slab was structurally adequate, but recommended further measures to confirm that and put remaining concerns to rest. The Levelton report found a number of concrete defects "which may affect the structural performance", and concluded that "the structural integrity of the defective areas can be restored to a level consistent with the surrounding concrete if proper repair materials and procedures are used". It recommended a number of repairs and these were undertaken before the Project continued. The Neill report viewed these repairs as "reinstating the safety and structural integrity of the Level 1 slab". The Morgan report, in considering whether the defects posed a foreseeable and substantial danger to the building occupants stated, "...the concrete defects have been adequately dealt with and there is thus no [such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Clearly there were deficiencies in the concrete, and clearly they were repaired. I find, however, that the various opinions are inconsistent, or at least unclear, as to whether these deficiencies constituted a danger of the nature to entitle Pacific Starlight to claim economic loss under the principles in Winnipeg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short, I am forced to conclude that, without assistance in interpreting the experts' opinions, I cannot find the facts necessary to decide these applications with the precision required to ensure fairness to all parties. That assistance will presumably be available to the trial judge, who will hear the experts testify and explain their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Residential application to strike Pacific Starlight counterclaim under Rule 19(7) or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previously stated, on April 26, 2002, Mr. Justice Sigurdson gave Pacific Starlight 45 days to amend its counterclaim in connection with Residential to specifically set out the alleged defect in the concrete, the facts relied on to support the defect, and the remediation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primary allegations against Residential in the amended counterclaim filed by Pacific Starlight on June 7, 2002 are set out in paragraphs 51-53:</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Residential Ready-Mix Ltd. ("Residential"), provided BTR with concrete for the Slab.</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its contract, Residential supplied and delivered concrete in a manner which led Wong and Wong Engineering to believe the concrete did not meet the required specifications for the Slab.</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its contract with BRT [sic] Residential delivered concrete to the underground parking structure of the Development not of a strength of 35 MPA, contrary to the Engineer's design and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Looking at these paragraphs alone, it is difficult to discern the basis of Pacific Starlight's claim against Residential. However, with some effort, these paragraphs can be related back to paragraphs 9, 11, 13, 18(a) and 18(b) of the statement of claim, in a manner that links Residential's failure to supply concrete of 35 MPa to "construction deficiencies" as defined in the statement of claim, and to allegedly create a "real and substantial danger" as that term is used in the Winnipeg Condominium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Residential argues that a claim for pure economic loss against it is unreasonable, and should be struck out pursuant to Rule 19(24)(a). I have considered that position in the preceding section, and for the reasons given there, I am not prepared to strike the counterclaim against Residential alone on the basis that Pacific Starlight's claim for pure economic loss is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Residential also argues that paragraph 53 of the amended counterclaim should be struck under Rule 19(7), as it is inconsistent with paragraph 52. Residential says that paragraph 52 implies that the concrete supplied met the necessary specifications, while paragraph 53 says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am unable to agree. I do not interpret paragraphs 52 and 53 as being necessarily inconsistent. While the relationship between them is unclear, in my view, paragraph 52 does not preclude a finding that the concrete supplied by Residential was deficient. I read it as an allegation going to Wong's statement of mind, rather than to the quality of concrete supplied by Residential.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conclude that Residential's application to strike the counterclaim against it under Rule 19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Richfield's application under Rule 18A for dismissal of Pacific Starlight's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Richfield argues that Pacific Starlight's claim against it deals with a discrete issue - the adequacy of the rebar underlying the concrete in the ground floor slab - and that this can be dealt with under Rule 18A in isolation from the other claims. Pacific Starlight opposes its application. The other parties take no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Pacific Starlight alleges that Richfield was negligent or in breach of contract in placing the rebar too close together for the ground floor slab, thereby contributing to the "Construction Deficiencies", in particular, honeycombing of the concrete. The nature of the claim, as in the case of the other defendants by counterclaim, is economic loss under the principles of Winnipeg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its statement of defence, Richfield says that it placed the rebar as instructed by the engineer on the Project, Wong. It has issued a fourth party notice against Wong claiming contribution and indemnity, on the basis that Wong failed to adequately instruct it, or inspect its compliance with Wong's instructions. Wong has filed a statement of defence to the fourth party notice, setting out a general denial, and claiming he met the standards of a professional structural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Essentially, Richfield's position, supported by the Benson opinion, is that its only obligation was to place the rebar in accordance with Wong's design and instructions. It did this, Wong inspected and formally approved its work, and there is no basis for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agree with Richfield that the factual matrix underlying its claim is relatively clear. Those parts of the experts' opinions dealing with the rebar do not involve the same complexities as the issues concerning Residential or BTR. There appears to be a consensus among the experts that the rebar placed by Richfield for the ground floor slab was "bundled", or closely spaced. They also agree that bundled rebar may be a cause of honeycombing in the concrete, as the concrete may not flow and consolidate properly around it. The difficulty in resolving responsibility for this on a summary judgment application in this litigation is succinctly summarized by a statement at page 7 of the Morgan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[closely spaced rebar] constitutes either a design deficiency, or alternatively if the design provided adequate spacing between rebar, it constitutes a construction tolerance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other words, the rebar may be congested because it was wrongly placed by Richfield, or because of defective design or inspection by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Thus, acceptance of Richfield's argument, and dismissal of the counterclaim against it, would effectively constitute a finding that Wong was negligent in his design or inspection of the rebar placement. In my view, such a finding would intrude on the territory of the trial judge, who will be dealing with all of the allegations against Wong, and it is therefore inappropriate to deal with it on a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well, the experts' opinions diverge as to what role the bundled rebar played in the concrete deficiencies, what steps could or should have been taken to accommodate it, and whose responsibility it was to take those steps. Granting Richfield's application implies acceptance of the Benson opinion to the exclusion of others. This decision again may present difficulty for the trial judge, if he or she reaches different conclusions on the weight of the experts' testimony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Finally, Wong has pleaded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in his statement of defence to the counterclaim, and has denied Richfield's claim in his statement of defence to the fourth party notice. These pleadings raise the possibility that the trial judge may be asked to examine Richfield's role in placing the rebar, even though Wong is taking no position on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conclude, again with some regret, that I am unable to grant Richfield's application, and it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Russell v. Parks, [2012] B.C.J. No. 2753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Abrioux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19093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Cranbrook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2753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2012 BCSC 1962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225 A.C.W.S. (3d) 52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44 C.P.C. (7th) 405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2012 CarswellBC 4027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Lenord Russell, Plaintiff, and Kenneth Manson Parks,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4"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7" w:name="Keywords_28"/>
      <w:bookmarkEnd w:id="207"/>
      <w:r>
        <w:rPr>
          <w:rFonts w:ascii="arial" w:eastAsia="arial" w:hAnsi="arial" w:cs="arial"/>
          <w:b/>
          <w:color w:val="000000"/>
          <w:sz w:val="20"/>
          <w:lang w:val="en-US" w:eastAsia="en-US" w:bidi="ar-SA"/>
        </w:rPr>
        <w:t>Civil litigation — Civil procedure — Costs — Particular circumstances — Where success divided — Offers to settle — Determination of costs — The plaintiff Russell was struck by the defendant Parks' vehicle — Russell was found two-thirds contributorily negligent — The award against Parks was $28,305 — Russell had already received slightly more than that in statutory benefits — Parks made an unaccepted offer to settle for an additional $25,000 — It was not unreasonable for Russell to refuse the offer and he was in dire financial circumstances — Russell was entitled to 75 per cent of his costs up to the offer to settle and the parties were to bear their own costs after that date — Supreme Court Civil Rules, Rule 9-1(6).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Costs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Miscellaneous issues — Determination of costs — The plaintiff Russell was struck by the defendant Parks' vehicle — Russell was found two-thirds contributorily negligent — The award against Parks was $28,305 — Russell had already received slightly more than that in statutory benefits — Parks made an unaccepted offer to settle for an additional $25,000 — It was not unreasonable for Russell to refuse the offer and he was in dire financial circumstances — Russell was entitled to 75 per cent of his costs up to the offer to settle and the parties were to bear their own costs after that date — Supreme Court Civil Rules, Rule 9-1(6).</w:t>
      </w:r>
    </w:p>
    <w:p>
      <w:pPr>
        <w:jc w:val="both"/>
        <w:rPr>
          <w:rFonts w:ascii="arial" w:eastAsia="arial" w:hAnsi="arial" w:cs="arial"/>
          <w:sz w:val="20"/>
          <w:lang w:val="en-US" w:eastAsia="en-US" w:bidi="ar-SA"/>
        </w:rPr>
      </w:pPr>
      <w:bookmarkStart w:id="208" w:name="Legislation Cited_20"/>
      <w:bookmarkEnd w:id="2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5"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478" w:history="1">
        <w:r>
          <w:rPr>
            <w:rFonts w:ascii="arial" w:eastAsia="arial" w:hAnsi="arial" w:cs="arial"/>
            <w:i/>
            <w:color w:val="0077CC"/>
            <w:sz w:val="20"/>
            <w:u w:val="single"/>
            <w:shd w:val="clear" w:color="auto" w:fill="FFFFFF"/>
            <w:lang w:val="en-US" w:eastAsia="en-US" w:bidi="ar-SA"/>
          </w:rPr>
          <w:t>RSBC 1996, CHAPTER 231, s. 25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(Vehicle) Act, RSBC 1996, CHAPTER 23, s. 83(4), s. 83(5)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Regulation, </w:t>
      </w:r>
      <w:hyperlink r:id="rId479" w:history="1">
        <w:r>
          <w:rPr>
            <w:rFonts w:ascii="arial" w:eastAsia="arial" w:hAnsi="arial" w:cs="arial"/>
            <w:i/>
            <w:color w:val="0077CC"/>
            <w:sz w:val="20"/>
            <w:u w:val="single"/>
            <w:shd w:val="clear" w:color="auto" w:fill="FFFFFF"/>
            <w:lang w:val="en-US" w:eastAsia="en-US" w:bidi="ar-SA"/>
          </w:rPr>
          <w:t>B.C. Reg. 447/83, ss. 78</w:t>
        </w:r>
      </w:hyperlink>
      <w:r>
        <w:rPr>
          <w:rFonts w:ascii="arial" w:eastAsia="arial" w:hAnsi="arial" w:cs="arial"/>
          <w:color w:val="000000"/>
          <w:sz w:val="20"/>
          <w:lang w:val="en-US" w:eastAsia="en-US" w:bidi="ar-SA"/>
        </w:rPr>
        <w:t>-104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303" w:history="1">
        <w:r>
          <w:rPr>
            <w:rFonts w:ascii="arial" w:eastAsia="arial" w:hAnsi="arial" w:cs="arial"/>
            <w:i/>
            <w:color w:val="0077CC"/>
            <w:sz w:val="20"/>
            <w:u w:val="single"/>
            <w:shd w:val="clear" w:color="auto" w:fill="FFFFFF"/>
            <w:lang w:val="en-US" w:eastAsia="en-US" w:bidi="ar-SA"/>
          </w:rPr>
          <w:t>RSBC 1996, CHAPTER 333, s. 2</w:t>
        </w:r>
      </w:hyperlink>
      <w:r>
        <w:rPr>
          <w:rFonts w:ascii="arial" w:eastAsia="arial" w:hAnsi="arial" w:cs="arial"/>
          <w:color w:val="000000"/>
          <w:sz w:val="20"/>
          <w:lang w:val="en-US" w:eastAsia="en-US" w:bidi="ar-SA"/>
        </w:rPr>
        <w:t>, 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1-3, Rule 9-1(5), Rule 9-1(6), Rule 14-1, Rule 14-1(9)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9" w:name="Counsel_28"/>
      <w:bookmarkEnd w:id="2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6"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M.G. Temple.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C. Cavanagh.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0" w:name="Judgment_27"/>
      <w:bookmarkEnd w:id="210"/>
      <w:r>
        <w:pict>
          <v:line id="_x0000_s1167"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1" w:name="P. ABRIOUX J."/>
            <w:bookmarkEnd w:id="211"/>
            <w:r>
              <w:rPr>
                <w:rFonts w:ascii="arial" w:eastAsia="arial" w:hAnsi="arial" w:cs="arial"/>
                <w:b/>
                <w:color w:val="000000"/>
                <w:sz w:val="30"/>
                <w:lang w:val="en-US" w:eastAsia="en-US" w:bidi="ar-SA"/>
              </w:rPr>
              <w:t>P. ABRIOUX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arises from a motor vehicle accident (the "Accident") which occurred on August 21, 2008. The plaintiff was walking in a mall parking lot and was struck by the defendant's vehicle. In reasons for judgment indexed at </w:t>
      </w:r>
      <w:r>
        <w:rPr>
          <w:rFonts w:ascii="arial" w:eastAsia="arial" w:hAnsi="arial" w:cs="arial"/>
          <w:i/>
          <w:color w:val="000000"/>
          <w:sz w:val="20"/>
          <w:lang w:val="en-US" w:eastAsia="en-US" w:bidi="ar-SA"/>
        </w:rPr>
        <w:t>Russell v. Parks</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2012 BCSC 1128</w:t>
        </w:r>
      </w:hyperlink>
      <w:r>
        <w:rPr>
          <w:rFonts w:ascii="arial" w:eastAsia="arial" w:hAnsi="arial" w:cs="arial"/>
          <w:color w:val="000000"/>
          <w:sz w:val="20"/>
          <w:lang w:val="en-US" w:eastAsia="en-US" w:bidi="ar-SA"/>
        </w:rPr>
        <w:t>, I found the plaintiff to be two-thirds contributorily negligent. I assessed his damages at $85,000. The award against the defendant, accordingly, was $28,305.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a result of the submissions of counsel and an affidavit filed since the delivery of my reasons for judgment which deals with Part 7 benefits paid to the plaintiff, there are several issues which need to be addressed regarding the form of the order and the question of costs. The following constitutes my decision on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timeline of events is as follows. The Accident occurred on August 21, 2008. The plaintiff received $28,695.51 in statutory benefits (paid under Part 7 of the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B.C. Reg. 447/83, ss. 78</w:t>
        </w:r>
      </w:hyperlink>
      <w:r>
        <w:rPr>
          <w:rFonts w:ascii="arial" w:eastAsia="arial" w:hAnsi="arial" w:cs="arial"/>
          <w:color w:val="000000"/>
          <w:sz w:val="20"/>
          <w:lang w:val="en-US" w:eastAsia="en-US" w:bidi="ar-SA"/>
        </w:rPr>
        <w:t>-104 [Regulation]) from the defendant's insurer following the Accident until January 4, 2012. This is $390.51 more than the amount owed to the plaintiff by the defendant pursuant to my reasons for judgment. In other words, as of January 4, 2012, the plaintiff had received the full amount of what I would later award him, although it was impossible for either party to know that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Furthermore, on April 13, 2012, an offer to settle was made by the defendant for $25,000. The plaintiff did not accept that offer, and made his own offer to settle on May 29, 2012, for $75,000. Both these offers to settle amounts were "New Money", meaning they were in addition to the $28,695.51 already paid to the plaintiff by the defendant's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action proceeded to trial from June 12 to 15 and June 18 to 20,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 submits that as a result of section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R.S.B.C. 1996, c. 23</w:t>
        </w:r>
      </w:hyperlink>
      <w:r>
        <w:rPr>
          <w:rFonts w:ascii="arial" w:eastAsia="arial" w:hAnsi="arial" w:cs="arial"/>
          <w:color w:val="000000"/>
          <w:sz w:val="20"/>
          <w:lang w:val="en-US" w:eastAsia="en-US" w:bidi="ar-SA"/>
        </w:rPr>
        <w:t xml:space="preserve"> ["Act"], the plaintiff's action should be dismissed. The plaintiff disagrees. His position is that the amount awarded to him is exclusive of costs. When costs are taken into account he will have been awarded an amount greater than what had been paid to him by January 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so far as the amount of costs are concerned, the plaintiff's position is that he is entitled to have the defendant pay at least 90% of his costs and disbursements up until the date of the defendant's offer to settle, being April 13, 2012. He should also receive his disbursements after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submits that although the plaintiff's action should be dismissed, he should pay the plaintiff one-third of his costs and disbursements up to January 4, 2012. From that date until the offer to settle of April 13, 2012, the defendant says his costs should be paid by the plaintiff. From April 13, 2012 thereafter, the defendant seeks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Rule 14-1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which was formerly Rule 57, applies. Costs follow the event unless otherwise ordered: R. 14-1(9). A new feature of the current Rules is the application of the principle of proportionality to the object of the Rules, being "to secure the just, speedy and inexpensive determination of every proceeding on its merits" (R.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Rule 9-1 replaces former R. 37B pertaining to costs and settlement offers. In </w:t>
      </w:r>
      <w:r>
        <w:rPr>
          <w:rFonts w:ascii="arial" w:eastAsia="arial" w:hAnsi="arial" w:cs="arial"/>
          <w:i/>
          <w:color w:val="000000"/>
          <w:sz w:val="20"/>
          <w:lang w:val="en-US" w:eastAsia="en-US" w:bidi="ar-SA"/>
        </w:rPr>
        <w:t>Danicek v. Li</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2011 BCSC 444</w:t>
        </w:r>
      </w:hyperlink>
      <w:r>
        <w:rPr>
          <w:rFonts w:ascii="arial" w:eastAsia="arial" w:hAnsi="arial" w:cs="arial"/>
          <w:color w:val="000000"/>
          <w:sz w:val="20"/>
          <w:lang w:val="en-US" w:eastAsia="en-US" w:bidi="ar-SA"/>
        </w:rPr>
        <w:t>, Kelleher J. sets out the history of this rule: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Rule 37B(5) of the Rules of Court came into effect on July 1, 2008. It provided:</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in whole or in part, of any or all of the costs, including any or all of the disbursements, to which the party would otherwise be entitled in respect of all or some of the steps taken in the proceeding after the date of delivery of the offer to settle;</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of the offer to settle.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On July 1, 2009, it was amended by adding paragraphs (c) and (d):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of the offer to settle.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new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came into effect on July 1, 2010. Rule 9-1 replaced Rule 37B(5). They are identical in wording and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are essentially three issues before me. The first is the form of the order, which is predicated on whether the action should be dismissed. I will then deal with the issue of costs in relation to those incurred before and after the date of the defendant's offer to settle, being April 13,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Action Deemed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Act replaced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Section 83 of the Act applies. It contains substantially the same wording as its predecessor, being section 25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Subsections 83(4) and (5)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in respect of bodily injury or death caused by a vehicle or the use or operation of a vehicle, the amount of benefits paid, or to which the person referred to in subsection (2) is or would have been entitled, must not be referred to or disclosed to the court or jury until the court has assessed the award of damages.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assessing the award of damages under subsection (4), the amount of benefits referred to in that subsection must be disclosed to the court, and taken into account, or, if the amount of benefits has not been ascertained, the court must estimate it and take the estimate into account, </w:t>
      </w:r>
      <w:r>
        <w:rPr>
          <w:rFonts w:ascii="arial" w:eastAsia="arial" w:hAnsi="arial" w:cs="arial"/>
          <w:color w:val="000000"/>
          <w:sz w:val="20"/>
          <w:u w:val="single"/>
          <w:lang w:val="en-US" w:eastAsia="en-US" w:bidi="ar-SA"/>
        </w:rPr>
        <w:t>and the person referred to in subsection (2) is entitled to enter judgment for the balance only.</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legislative intent of the Act "is to prevent double recovery, that is, to prevent a plaintiff from recovering the same amount of monies both by way of the defendant through a tort action and by way of no-fault insurance coverage": </w:t>
      </w:r>
      <w:r>
        <w:rPr>
          <w:rFonts w:ascii="arial" w:eastAsia="arial" w:hAnsi="arial" w:cs="arial"/>
          <w:i/>
          <w:color w:val="000000"/>
          <w:sz w:val="20"/>
          <w:lang w:val="en-US" w:eastAsia="en-US" w:bidi="ar-SA"/>
        </w:rPr>
        <w:t>Kirk v. Kloosterman</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2011 BCSC 228</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Part 7 of the Regulation provides that "... [ICBC] shall pay benefits to an insured in respect of death or injury caused by an accident that arises out of the use or operation of a vehicle and that occurs in Canada or the United States of America ..." (s. 79(1)). The benefits provided for under that part include disability benefits for employed persons, disability benefits for homemakers, medical or rehabilitation benefits, funeral expense benefits, death benefits and survivor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this case, the only evidence of the Part 7 benefits paid to Mr. Russell was the affidavit of an ICBC adjuster. It contains a computer printout showing a "loss paid" of $28,695.51, plus certain expenses with the handwritten notation "Part 7 TTD payments", which I assume refers to temporary total disability benefits. There is no requirement for any deductions to match certain specific heads of damages: see </w:t>
      </w:r>
      <w:r>
        <w:rPr>
          <w:rFonts w:ascii="arial" w:eastAsia="arial" w:hAnsi="arial" w:cs="arial"/>
          <w:i/>
          <w:color w:val="000000"/>
          <w:sz w:val="20"/>
          <w:lang w:val="en-US" w:eastAsia="en-US" w:bidi="ar-SA"/>
        </w:rPr>
        <w:t>Gurniak v. Nordquist</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2003 SCC 59</w:t>
        </w:r>
      </w:hyperlink>
      <w:r>
        <w:rPr>
          <w:rFonts w:ascii="arial" w:eastAsia="arial" w:hAnsi="arial" w:cs="arial"/>
          <w:color w:val="000000"/>
          <w:sz w:val="20"/>
          <w:lang w:val="en-US" w:eastAsia="en-US" w:bidi="ar-SA"/>
        </w:rPr>
        <w:t>. Nor does the plaintiff apparently dispute the fact he received this amount of Part 7 benefits. I am satisfied the sum of $28,695.51 is an amount which must be "taken into account" by me pursuant to section 83(5) of the Act. Accordingly the plaintiff is entitled to enter judgment "for the balance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has established the monies paid to the plaintiff by ICBC exceed the amount of the damages the plaintiff has been awarded. He is notionally entitled to have judgment entered for the balance of $0.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Court of Appeal discussed what consequences flow from such a situation in </w:t>
      </w:r>
      <w:r>
        <w:rPr>
          <w:rFonts w:ascii="arial" w:eastAsia="arial" w:hAnsi="arial" w:cs="arial"/>
          <w:i/>
          <w:color w:val="000000"/>
          <w:sz w:val="20"/>
          <w:lang w:val="en-US" w:eastAsia="en-US" w:bidi="ar-SA"/>
        </w:rPr>
        <w:t>McElroy v. Embleton</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(1996), 19 B.C.L.R. (3d) 1</w:t>
        </w:r>
      </w:hyperlink>
      <w:r>
        <w:rPr>
          <w:rFonts w:ascii="arial" w:eastAsia="arial" w:hAnsi="arial" w:cs="arial"/>
          <w:color w:val="000000"/>
          <w:sz w:val="20"/>
          <w:lang w:val="en-US" w:eastAsia="en-US" w:bidi="ar-SA"/>
        </w:rPr>
        <w:t xml:space="preserve"> (C.A.). In that case, $24,000 was provided to the plaintiff by the defendant's insurer. An agreement was made between the parties with respect to those funds. It was agreed: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 2) that if the payee litigates to judgment a claim arising from the above accident, the amount of this interim payment shall be disclosed to the court after damages have been assessed, and, subject to the next clause herein, judgment shall be entered only for the net balance after deducting the interim payment from the gross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trial, the plaintiff was awarded $17,000. Southin J.A. discussed the consequences of a negative net judgment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obvious that the sum of $24,000 paid in 1991 far exceeded the verdict of the jury. The question is what ought then to have followed. In my view, in light of paragraph two of that agreement the net result was that that judgment ought not to have been entered for the appellant at all because it is not conceivable that one can enter a judgment in any sort of action for zero. When there is nothing to be recovered, an action ought to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my view, this reasoning applies to this case, where the application of section 83(5) of the Act results in there being an award of $0 to the plaintiff. Accordingly, the action is dismissed and this should be reflected in the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Pre-Settlement Offer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dismissal of the action does not necessarily mean the plaintiff is disentitled to any costs: see </w:t>
      </w:r>
      <w:r>
        <w:rPr>
          <w:rFonts w:ascii="arial" w:eastAsia="arial" w:hAnsi="arial" w:cs="arial"/>
          <w:i/>
          <w:color w:val="000000"/>
          <w:sz w:val="20"/>
          <w:lang w:val="en-US" w:eastAsia="en-US" w:bidi="ar-SA"/>
        </w:rPr>
        <w:t>McElroy v. Embleton</w:t>
      </w:r>
      <w:r>
        <w:rPr>
          <w:rFonts w:ascii="arial" w:eastAsia="arial" w:hAnsi="arial" w:cs="arial"/>
          <w:color w:val="000000"/>
          <w:sz w:val="20"/>
          <w:lang w:val="en-US" w:eastAsia="en-US" w:bidi="ar-SA"/>
        </w:rPr>
        <w:t>,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first question is, putting aside for the moment the issue of Part 7 benefits paid, how should costs be apportioned from the time of the commencement of the action until April 13, 2012? At trial, I found the defendant to be one-third liable for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paragraph 104 of my reasons for judgment I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[104] The parties will have their respective costs of this action at Scale B in accordance with the apportionment of liability unless there are other factors which may impact the question of costs. If such is the case, either party has liberty to apply to speak to the matter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My initial finding the parties would receive their costs "in accordance with the apportionment of liability" was incorrect. The effect of sections 2 and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is that when a plaintiff is contributorily negligent and the defendant has made no claim for damages, then the plaintiff may be entitled to only that portion of costs for which the defendant is found liable. The plaintiff will not have to pay the defendant's costs when he/she has not suffered any damage or loss: </w:t>
      </w:r>
      <w:r>
        <w:rPr>
          <w:rFonts w:ascii="arial" w:eastAsia="arial" w:hAnsi="arial" w:cs="arial"/>
          <w:i/>
          <w:color w:val="000000"/>
          <w:sz w:val="20"/>
          <w:lang w:val="en-US" w:eastAsia="en-US" w:bidi="ar-SA"/>
        </w:rPr>
        <w:t>Flatley v. Denike</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(1997), 32 B.C.L.R. (3d) 97</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starting point, therefore, is that the defendant shall pay the plaintiff one-third of his costs.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preserves the court's discretion to award a plaintiff an amount other than the proportional share of costs, but there must be reasons connected to the case to do so: </w:t>
      </w:r>
      <w:r>
        <w:rPr>
          <w:rFonts w:ascii="arial" w:eastAsia="arial" w:hAnsi="arial" w:cs="arial"/>
          <w:i/>
          <w:color w:val="000000"/>
          <w:sz w:val="20"/>
          <w:lang w:val="en-US" w:eastAsia="en-US" w:bidi="ar-SA"/>
        </w:rPr>
        <w:t>Peters v. Davidson</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(1981), 125 D.L.R. (3d) 753</w:t>
        </w:r>
      </w:hyperlink>
      <w:r>
        <w:rPr>
          <w:rFonts w:ascii="arial" w:eastAsia="arial" w:hAnsi="arial" w:cs="arial"/>
          <w:color w:val="000000"/>
          <w:sz w:val="20"/>
          <w:lang w:val="en-US" w:eastAsia="en-US" w:bidi="ar-SA"/>
        </w:rPr>
        <w:t xml:space="preserve"> (B.C.S.C.), aff'd. </w:t>
      </w:r>
      <w:hyperlink r:id="rId394" w:history="1">
        <w:r>
          <w:rPr>
            <w:rFonts w:ascii="arial" w:eastAsia="arial" w:hAnsi="arial" w:cs="arial"/>
            <w:i/>
            <w:color w:val="0077CC"/>
            <w:sz w:val="20"/>
            <w:u w:val="single"/>
            <w:shd w:val="clear" w:color="auto" w:fill="FFFFFF"/>
            <w:lang w:val="en-US" w:eastAsia="en-US" w:bidi="ar-SA"/>
          </w:rPr>
          <w:t>(1982), 141 D.L.R. (3d) 763</w:t>
        </w:r>
      </w:hyperlink>
      <w:r>
        <w:rPr>
          <w:rFonts w:ascii="arial" w:eastAsia="arial" w:hAnsi="arial" w:cs="arial"/>
          <w:color w:val="000000"/>
          <w:sz w:val="20"/>
          <w:lang w:val="en-US" w:eastAsia="en-US" w:bidi="ar-SA"/>
        </w:rPr>
        <w:t xml:space="preserve"> (B.C.C.A.). The principle consideration in the exercise of discretion is whether an injustice will result in adhering to the usual rule: </w:t>
      </w:r>
      <w:r>
        <w:rPr>
          <w:rFonts w:ascii="arial" w:eastAsia="arial" w:hAnsi="arial" w:cs="arial"/>
          <w:i/>
          <w:color w:val="000000"/>
          <w:sz w:val="20"/>
          <w:lang w:val="en-US" w:eastAsia="en-US" w:bidi="ar-SA"/>
        </w:rPr>
        <w:t>Forsyth v. Sikorsky Aircraft Corp.</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2002 BCCA 231</w:t>
        </w:r>
      </w:hyperlink>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100 B.C.L.R. (3d) 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2009 BCSC 505</w:t>
        </w:r>
      </w:hyperlink>
      <w:r>
        <w:rPr>
          <w:rFonts w:ascii="arial" w:eastAsia="arial" w:hAnsi="arial" w:cs="arial"/>
          <w:color w:val="000000"/>
          <w:sz w:val="20"/>
          <w:lang w:val="en-US" w:eastAsia="en-US" w:bidi="ar-SA"/>
        </w:rPr>
        <w:t xml:space="preserve">, aff'd. </w:t>
      </w:r>
      <w:hyperlink r:id="rId486" w:history="1">
        <w:r>
          <w:rPr>
            <w:rFonts w:ascii="arial" w:eastAsia="arial" w:hAnsi="arial" w:cs="arial"/>
            <w:i/>
            <w:color w:val="0077CC"/>
            <w:sz w:val="20"/>
            <w:u w:val="single"/>
            <w:shd w:val="clear" w:color="auto" w:fill="FFFFFF"/>
            <w:lang w:val="en-US" w:eastAsia="en-US" w:bidi="ar-SA"/>
          </w:rPr>
          <w:t>2011 BCCA 279</w:t>
        </w:r>
      </w:hyperlink>
      <w:r>
        <w:rPr>
          <w:rFonts w:ascii="arial" w:eastAsia="arial" w:hAnsi="arial" w:cs="arial"/>
          <w:color w:val="000000"/>
          <w:sz w:val="20"/>
          <w:lang w:val="en-US" w:eastAsia="en-US" w:bidi="ar-SA"/>
        </w:rPr>
        <w:t>, Goepel J. considered the following when assessing pre-settlement offer costs when the plaintiff had been found 10% liable for her own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w:t>
      </w:r>
      <w:r>
        <w:rPr>
          <w:rFonts w:ascii="arial" w:eastAsia="arial" w:hAnsi="arial" w:cs="arial"/>
          <w:i/>
          <w:color w:val="000000"/>
          <w:sz w:val="20"/>
          <w:lang w:val="en-US" w:eastAsia="en-US" w:bidi="ar-SA"/>
        </w:rPr>
        <w:t>Bourelle v. Andrychuk</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(1998), 118 B.C.A.C. 318</w:t>
        </w:r>
      </w:hyperlink>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61 B.C.L.R. (3d) 191</w:t>
        </w:r>
      </w:hyperlink>
      <w:r>
        <w:rPr>
          <w:rFonts w:ascii="arial" w:eastAsia="arial" w:hAnsi="arial" w:cs="arial"/>
          <w:color w:val="000000"/>
          <w:sz w:val="20"/>
          <w:lang w:val="en-US" w:eastAsia="en-US" w:bidi="ar-SA"/>
        </w:rPr>
        <w:t xml:space="preserve"> (B.C. C.A.), concerned an appeal where the trial judge had awarded the plaintiff 100% of his costs, even though a jury had found him 90% at fault for the accident. The Court of Appeal agreed that in the circumstances in the case it was appropriate for the trial judge to have exercised his discretion in favour of the plaintiff but reduced the plaintiff's recovery for costs from 100% down to two-thirds. In doing so, the court noted that approximately two-thirds of the trial time was devoted to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In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2009 BCCA 82</w:t>
        </w:r>
      </w:hyperlink>
      <w:r>
        <w:rPr>
          <w:rFonts w:ascii="arial" w:eastAsia="arial" w:hAnsi="arial" w:cs="arial"/>
          <w:color w:val="000000"/>
          <w:sz w:val="20"/>
          <w:lang w:val="en-US" w:eastAsia="en-US" w:bidi="ar-SA"/>
        </w:rPr>
        <w:t xml:space="preserve"> (B.C. C.A.), the plaintiff was found 65% at fault for the accident but awarded 90% of the costs because 90% of the trial was devoted to the issue of damages. The Court of Appeal reduced the cost recovery to 75%, in part because the trial judge had failed to consider the defendant's significant degree of success on the claim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In this case, less than five percent of the trial dealt with liability. The liability deduction was but 10%. Given the minimal time spent on liability and the minor degree of fault allocated to the plaintiff, I find that in the circumstances of this case it is appropriate that the plaintiff recover 100% of her costs up to February 1, 2008, the date of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2009 BCCA 82</w:t>
        </w:r>
      </w:hyperlink>
      <w:r>
        <w:rPr>
          <w:rFonts w:ascii="arial" w:eastAsia="arial" w:hAnsi="arial" w:cs="arial"/>
          <w:color w:val="000000"/>
          <w:sz w:val="20"/>
          <w:lang w:val="en-US" w:eastAsia="en-US" w:bidi="ar-SA"/>
        </w:rPr>
        <w:t>, Smith J.A. held it inappropriate for a trial judge to consider the amount of legal fees incurred by the parties or their financial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Having considered these authorities, and subject to my findings below regarding the Part 7 benefits, I find the plaintiff is entitled to 75% of his costs up to the date of the settlement offer of April 13, 2012. This reflects the fact that although the amount of time spent on determining liability at the trial was not "minimal", more time was spent regarding the assessment of damages. This was shown in the medical evidence led, the reports which were obtained and the like. It would be unjust not to exercise my discretion to depart from the default rule referred to in paragraph 26 above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next issue is whether the payment of the Part 7 benefits should affect the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Where Part 7 benefits exceed the eventual amount to be paid to the plaintiff, the defendant may be awarded costs: </w:t>
      </w:r>
      <w:r>
        <w:rPr>
          <w:rFonts w:ascii="arial" w:eastAsia="arial" w:hAnsi="arial" w:cs="arial"/>
          <w:i/>
          <w:color w:val="000000"/>
          <w:sz w:val="20"/>
          <w:lang w:val="en-US" w:eastAsia="en-US" w:bidi="ar-SA"/>
        </w:rPr>
        <w:t>Sandhu v. Kang</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2005 BCSC 1475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Sandhu v. Kang</w:t>
      </w:r>
      <w:r>
        <w:rPr>
          <w:rFonts w:ascii="arial" w:eastAsia="arial" w:hAnsi="arial" w:cs="arial"/>
          <w:color w:val="000000"/>
          <w:sz w:val="20"/>
          <w:lang w:val="en-US" w:eastAsia="en-US" w:bidi="ar-SA"/>
        </w:rPr>
        <w:t xml:space="preserve"> was decided prior to the present amendments to the Rules. It is distinguishable from this case in that the plaintiff in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had received a greater amount than the damages awarded following the trial </w:t>
      </w:r>
      <w:r>
        <w:rPr>
          <w:rFonts w:ascii="arial" w:eastAsia="arial" w:hAnsi="arial" w:cs="arial"/>
          <w:color w:val="000000"/>
          <w:sz w:val="20"/>
          <w:u w:val="single"/>
          <w:lang w:val="en-US" w:eastAsia="en-US" w:bidi="ar-SA"/>
        </w:rPr>
        <w:t>prior</w:t>
      </w:r>
      <w:r>
        <w:rPr>
          <w:rFonts w:ascii="arial" w:eastAsia="arial" w:hAnsi="arial" w:cs="arial"/>
          <w:color w:val="000000"/>
          <w:sz w:val="20"/>
          <w:lang w:val="en-US" w:eastAsia="en-US" w:bidi="ar-SA"/>
        </w:rPr>
        <w:t xml:space="preserve"> to the commencement of the action. In addition, some of the pre-trial payments made to the plaintiff were by way of tort advances and payments against special damages, whereas in the present case, the payments were all Part 7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Carey v. McLean</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1999 BCCA 222</w:t>
        </w:r>
      </w:hyperlink>
      <w:r>
        <w:rPr>
          <w:rFonts w:ascii="arial" w:eastAsia="arial" w:hAnsi="arial" w:cs="arial"/>
          <w:color w:val="000000"/>
          <w:sz w:val="20"/>
          <w:lang w:val="en-US" w:eastAsia="en-US" w:bidi="ar-SA"/>
        </w:rPr>
        <w:t>, it was found that the trial had been unnecessary and the plaintiff's action ought to have been dismissed because he had recovered nothing in damages. Donald J.A. stated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judgment the advance ought to have been treated in the same way as an offer to settle, resembling as it does in all important respects the characteristics of the former procedure of a payment into court. The receipt of monies on account of damages before trial places an obligation on the plaintiff to realistically assess the value of his claim knowing that proceeding to trial carries a risk in costs. I can see no reason why the rationale for offers to settle -- encouragement of settlement and avoidance of unnecessary trials -- should not apply to the present circumstances. The plaintiff put the defendant to the expense of defending a trial for no advantage. His decision to proceed should carry appropriate consequences in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that case, the defendant had applied to adjourn the trial. The Master granted the application on the condition the plaintiff receive an advance payment of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clear that a plaintiff, upon receipt of an advance payment, must realistically assess his or her claim knowing that proceeding to trial carries a risk in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Specht v. Yeo</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1999 BCCA 499</w:t>
        </w:r>
      </w:hyperlink>
      <w:r>
        <w:rPr>
          <w:rFonts w:ascii="arial" w:eastAsia="arial" w:hAnsi="arial" w:cs="arial"/>
          <w:color w:val="000000"/>
          <w:sz w:val="20"/>
          <w:lang w:val="en-US" w:eastAsia="en-US" w:bidi="ar-SA"/>
        </w:rPr>
        <w:t>, McEachern C.J.B.C. considered this issue within the context of the different form of payments which can be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I will mention the three cases very briefly. The first case is </w:t>
      </w:r>
      <w:r>
        <w:rPr>
          <w:rFonts w:ascii="arial" w:eastAsia="arial" w:hAnsi="arial" w:cs="arial"/>
          <w:i/>
          <w:color w:val="000000"/>
          <w:sz w:val="20"/>
          <w:lang w:val="en-US" w:eastAsia="en-US" w:bidi="ar-SA"/>
        </w:rPr>
        <w:t>McElroy v. Embleton</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(1996), 19 B.C.L.R. (3d) 1</w:t>
        </w:r>
      </w:hyperlink>
      <w:r>
        <w:rPr>
          <w:rFonts w:ascii="arial" w:eastAsia="arial" w:hAnsi="arial" w:cs="arial"/>
          <w:color w:val="000000"/>
          <w:sz w:val="20"/>
          <w:lang w:val="en-US" w:eastAsia="en-US" w:bidi="ar-SA"/>
        </w:rPr>
        <w:t xml:space="preserve"> (B.C. C.A.), second, </w:t>
      </w:r>
      <w:r>
        <w:rPr>
          <w:rFonts w:ascii="arial" w:eastAsia="arial" w:hAnsi="arial" w:cs="arial"/>
          <w:i/>
          <w:color w:val="000000"/>
          <w:sz w:val="20"/>
          <w:lang w:val="en-US" w:eastAsia="en-US" w:bidi="ar-SA"/>
        </w:rPr>
        <w:t>Baxter v. Brown</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(1997), 28 B.C.L.R. (3d) 351</w:t>
        </w:r>
      </w:hyperlink>
      <w:r>
        <w:rPr>
          <w:rFonts w:ascii="arial" w:eastAsia="arial" w:hAnsi="arial" w:cs="arial"/>
          <w:color w:val="000000"/>
          <w:sz w:val="20"/>
          <w:lang w:val="en-US" w:eastAsia="en-US" w:bidi="ar-SA"/>
        </w:rPr>
        <w:t xml:space="preserve"> (B.C. C.A.), and third, </w:t>
      </w:r>
      <w:r>
        <w:rPr>
          <w:rFonts w:ascii="arial" w:eastAsia="arial" w:hAnsi="arial" w:cs="arial"/>
          <w:i/>
          <w:color w:val="000000"/>
          <w:sz w:val="20"/>
          <w:lang w:val="en-US" w:eastAsia="en-US" w:bidi="ar-SA"/>
        </w:rPr>
        <w:t>Carey v. McLean</w:t>
      </w:r>
      <w:r>
        <w:rPr>
          <w:rFonts w:ascii="arial" w:eastAsia="arial" w:hAnsi="arial" w:cs="arial"/>
          <w:color w:val="000000"/>
          <w:sz w:val="20"/>
          <w:lang w:val="en-US" w:eastAsia="en-US" w:bidi="ar-SA"/>
        </w:rPr>
        <w:t xml:space="preserve"> (April 7, 1999), Doc. Vancouver CA022968 (B.C. C.A.). In my judgment, those cases make it clear that in the circumstances such as we have here, the proper course is for the action to be dismissed and for costs to be awarded to the defendant if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advances in </w:t>
      </w:r>
      <w:r>
        <w:rPr>
          <w:rFonts w:ascii="arial" w:eastAsia="arial" w:hAnsi="arial" w:cs="arial"/>
          <w:i/>
          <w:color w:val="000000"/>
          <w:sz w:val="20"/>
          <w:lang w:val="en-US" w:eastAsia="en-US" w:bidi="ar-SA"/>
        </w:rPr>
        <w:t>McElroy v. Embleton</w:t>
      </w:r>
      <w:r>
        <w:rPr>
          <w:rFonts w:ascii="arial" w:eastAsia="arial" w:hAnsi="arial" w:cs="arial"/>
          <w:color w:val="000000"/>
          <w:sz w:val="20"/>
          <w:lang w:val="en-US" w:eastAsia="en-US" w:bidi="ar-SA"/>
        </w:rPr>
        <w:t xml:space="preserve"> were "interim payments" made under an agreement between ICBC and the plaintiff. In </w:t>
      </w:r>
      <w:r>
        <w:rPr>
          <w:rFonts w:ascii="arial" w:eastAsia="arial" w:hAnsi="arial" w:cs="arial"/>
          <w:i/>
          <w:color w:val="000000"/>
          <w:sz w:val="20"/>
          <w:lang w:val="en-US" w:eastAsia="en-US" w:bidi="ar-SA"/>
        </w:rPr>
        <w:t>Baxter v. Brown</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(1997), 28 B.C.L.R. (3d) 351</w:t>
        </w:r>
      </w:hyperlink>
      <w:r>
        <w:rPr>
          <w:rFonts w:ascii="arial" w:eastAsia="arial" w:hAnsi="arial" w:cs="arial"/>
          <w:color w:val="000000"/>
          <w:sz w:val="20"/>
          <w:lang w:val="en-US" w:eastAsia="en-US" w:bidi="ar-SA"/>
        </w:rPr>
        <w:t xml:space="preserve"> (C.A.), the plaintiff received Part 7 payments of $1,980 plus an interim payment of $3,636 and was awarded $3,000 in damages. As noted above, the advance payments in </w:t>
      </w:r>
      <w:r>
        <w:rPr>
          <w:rFonts w:ascii="arial" w:eastAsia="arial" w:hAnsi="arial" w:cs="arial"/>
          <w:i/>
          <w:color w:val="000000"/>
          <w:sz w:val="20"/>
          <w:lang w:val="en-US" w:eastAsia="en-US" w:bidi="ar-SA"/>
        </w:rPr>
        <w:t>Carey v. McLean</w:t>
      </w:r>
      <w:r>
        <w:rPr>
          <w:rFonts w:ascii="arial" w:eastAsia="arial" w:hAnsi="arial" w:cs="arial"/>
          <w:color w:val="000000"/>
          <w:sz w:val="20"/>
          <w:lang w:val="en-US" w:eastAsia="en-US" w:bidi="ar-SA"/>
        </w:rPr>
        <w:t xml:space="preserve"> were not for Part 7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It should also be noted that in </w:t>
      </w:r>
      <w:r>
        <w:rPr>
          <w:rFonts w:ascii="arial" w:eastAsia="arial" w:hAnsi="arial" w:cs="arial"/>
          <w:i/>
          <w:color w:val="000000"/>
          <w:sz w:val="20"/>
          <w:lang w:val="en-US" w:eastAsia="en-US" w:bidi="ar-SA"/>
        </w:rPr>
        <w:t>McElroy v. Embleton</w:t>
      </w:r>
      <w:r>
        <w:rPr>
          <w:rFonts w:ascii="arial" w:eastAsia="arial" w:hAnsi="arial" w:cs="arial"/>
          <w:color w:val="000000"/>
          <w:sz w:val="20"/>
          <w:lang w:val="en-US" w:eastAsia="en-US" w:bidi="ar-SA"/>
        </w:rPr>
        <w:t>, the successful defendant did not recover his costs for the sole reason the effect of an advance payment was being considered by the Court for the first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my view, it would be unjust in this case for there to be the same result with respect to costs as occurred in either </w:t>
      </w:r>
      <w:r>
        <w:rPr>
          <w:rFonts w:ascii="arial" w:eastAsia="arial" w:hAnsi="arial" w:cs="arial"/>
          <w:i/>
          <w:color w:val="000000"/>
          <w:sz w:val="20"/>
          <w:lang w:val="en-US" w:eastAsia="en-US" w:bidi="ar-SA"/>
        </w:rPr>
        <w:t>McElroy v. Embleton</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Carey v. McLean</w:t>
      </w:r>
      <w:r>
        <w:rPr>
          <w:rFonts w:ascii="arial" w:eastAsia="arial" w:hAnsi="arial" w:cs="arial"/>
          <w:color w:val="000000"/>
          <w:sz w:val="20"/>
          <w:lang w:val="en-US" w:eastAsia="en-US" w:bidi="ar-SA"/>
        </w:rPr>
        <w:t xml:space="preserve">. That is because the entire amount received by the plaintiff in this case related to Part 7 benefits. Furthermore, in </w:t>
      </w:r>
      <w:r>
        <w:rPr>
          <w:rFonts w:ascii="arial" w:eastAsia="arial" w:hAnsi="arial" w:cs="arial"/>
          <w:i/>
          <w:color w:val="000000"/>
          <w:sz w:val="20"/>
          <w:lang w:val="en-US" w:eastAsia="en-US" w:bidi="ar-SA"/>
        </w:rPr>
        <w:t>McElroy v. Embleton</w:t>
      </w:r>
      <w:r>
        <w:rPr>
          <w:rFonts w:ascii="arial" w:eastAsia="arial" w:hAnsi="arial" w:cs="arial"/>
          <w:color w:val="000000"/>
          <w:sz w:val="20"/>
          <w:lang w:val="en-US" w:eastAsia="en-US" w:bidi="ar-SA"/>
        </w:rPr>
        <w:t>, the plaintiff had received more funds prior to commencing the action than was eventually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this case, the last Part 7 benefit payment was made only six months before the trial. The total of the Part 7 benefits paid was also only approximately $400 more than the amount of my assessment of damages taking into account my conclusions regarding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Tangaro v. Riley</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(1995), 30 C.C.L.I. (2d) 232</w:t>
        </w:r>
      </w:hyperlink>
      <w:r>
        <w:rPr>
          <w:rFonts w:ascii="arial" w:eastAsia="arial" w:hAnsi="arial" w:cs="arial"/>
          <w:color w:val="000000"/>
          <w:sz w:val="20"/>
          <w:lang w:val="en-US" w:eastAsia="en-US" w:bidi="ar-SA"/>
        </w:rPr>
        <w:t xml:space="preserve"> at para. 12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 7 claim is intended by the legislation to allow a person involved in a motor vehicle accident summary and relatively quick and inexpensive access to, amongst other relief, nominal compensation to offset some portion at least of income loss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Unlike a settlement offer, or a tort advance, payments under Part 7 are statutory no fault benefits. It would be unreasonable to expect a plaintiff, such as Mr. Russell, to decline Part 7 payments offered to him on the basis he feared paying the defendant's costs in the context of a trial whose outcome was not readily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alternative, if I were to consider the payments made to the plaintiff until January 2012 to be akin to a form of settlement offer, which I do not, it is difficult to conceive how it could be unreasonable for the plaintiff to decline this putative offer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is not an appropriate case, in my view, to conclude as is submitted by the defendant that the plaintiff should not have proceeded to trial. It was not readily foreseeable to either party what the result was going to be with respect to liability or the quantum of damages. In so far as liability is concerned, I noted at para. 31 of my reasons for judgment that cases dealing with competing duties of pedestrians and operators of motor vehicles are highly fact specific.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Taking all of these factors into account, I conclude that for the time period up to the defendant's settlement offer of April 13, 2012, the plaintiff shall be awarded 75% of his costs and disbursements.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Post-Settlement Offer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What is the effect of the settlement offer made by the defendant for $25,000 of "New Money" as defined in counsel's correspondence dated April 13, 2012? The New Money was in addition to the Part 7 benefits already received by the plaintiff. No objection was taken by the plaintiff to the form of the defendant's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Rule 9-1(5) and (6)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or service of the offer to settle.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factors in Rule 9-1(6) need to be considered in light of the purpose of the Rules. In </w:t>
      </w:r>
      <w:r>
        <w:rPr>
          <w:rFonts w:ascii="arial" w:eastAsia="arial" w:hAnsi="arial" w:cs="arial"/>
          <w:i/>
          <w:color w:val="000000"/>
          <w:sz w:val="20"/>
          <w:lang w:val="en-US" w:eastAsia="en-US" w:bidi="ar-SA"/>
        </w:rPr>
        <w:t>Dempsey v. Oh</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2011 BCSC 627</w:t>
        </w:r>
      </w:hyperlink>
      <w:r>
        <w:rPr>
          <w:rFonts w:ascii="arial" w:eastAsia="arial" w:hAnsi="arial" w:cs="arial"/>
          <w:color w:val="000000"/>
          <w:sz w:val="20"/>
          <w:lang w:val="en-US" w:eastAsia="en-US" w:bidi="ar-SA"/>
        </w:rPr>
        <w:t xml:space="preserve"> at para. 19, it was said that "[i]t is not the court's function to ensure that a plaintiff makes a net recovery from an action when it has ignored a reasonable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After considering the R. 9-1(6) factors in </w:t>
      </w:r>
      <w:r>
        <w:rPr>
          <w:rFonts w:ascii="arial" w:eastAsia="arial" w:hAnsi="arial" w:cs="arial"/>
          <w:i/>
          <w:color w:val="000000"/>
          <w:sz w:val="20"/>
          <w:lang w:val="en-US" w:eastAsia="en-US" w:bidi="ar-SA"/>
        </w:rPr>
        <w:t>Cairns v. Gill</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2011 BCSC 420</w:t>
        </w:r>
      </w:hyperlink>
      <w:r>
        <w:rPr>
          <w:rFonts w:ascii="arial" w:eastAsia="arial" w:hAnsi="arial" w:cs="arial"/>
          <w:color w:val="000000"/>
          <w:sz w:val="20"/>
          <w:lang w:val="en-US" w:eastAsia="en-US" w:bidi="ar-SA"/>
        </w:rPr>
        <w:t>, Arnold-Bailey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A further consideration, that the defendants' anticipated costs far exceed the plaintiff's judgment at trial, also informs my decision on this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[59].To make such an order would have a very negative effect on the plaintiff, and have the broader effect of further discouraging those with legitimate claims from bringing their actions in this Court when the defendant, funded by an insurer, has deeper pockets with which to bear the risk of a plaintiff achieving only a minor or, indeed, a pyrrhic victory.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referring to the purpose of the Rules, Arnold-Bailey J., in dismissing the defendants' claim for costs after the date of the offer to settle,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[62].In this case, pursuing a valid, although exaggerated, personal injury claim to trial, where the offer to settle did not provide a genuine incentive to settle in the circumstances, may, in the face of a defence funded by ICBC, cost the plaintiff almost twenty times what was awarded at trial. It seems consistent with the object of the Rules generally, and of Rules 9-1 and 14-1(10), to have regard to the need to emphasize litigation decisions that direct cases to the appropriate forum without disproportionately penalizing a party that had some success, however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With these principles in mind I will now examine the factors set out in Rule 9-1(6) and apply them to the circumstances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Was the offer one that should reasonably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following from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offer to settle has a value of approximately $620,000, a sum well in excess of the gross judgment. The offer is, however, but a small fraction of the $4 million the plaintiff sought at trial. As noted in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63 C.P.C. (6th) 291</w:t>
        </w:r>
      </w:hyperlink>
      <w:r>
        <w:rPr>
          <w:rFonts w:ascii="arial" w:eastAsia="arial" w:hAnsi="arial" w:cs="arial"/>
          <w:color w:val="000000"/>
          <w:sz w:val="20"/>
          <w:lang w:val="en-US" w:eastAsia="en-US" w:bidi="ar-SA"/>
        </w:rPr>
        <w:t>, this analysis is not one to be done based on hindsight once the final result is known. The reasonableness of the plaintiff's decision not to accept the offer to settle must be assessed without reference to the court's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view it was not unreasonable for the plaintiff in this case to anticipate an apportionment of liability against the defendant which was greater than I ultimately decided. Had liability been apportioned two-thirds against the defendant, for example, the plaintiff would have received a judgment in excess of the offer to settle even after the Part 7 benefits had been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settlement offer, taking into account the Part 7 benefits paid amounted to $53,695.51. This was considerably less than what the plaintiff was seeking at trial, being $236,000, not including the cost of future care. The plaintiff and defendant had very different views as to what constituted a reasonable range of potential damages which could be awarded, quite apart from the liability issues. Accordingly, I have concluded it was not unreasonable for the plaintiff to refuse the defendant's offer of April 13,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Relationship between the offer and the final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This factor weighs in favour of the defendant. The award, once liability and the Part 7 payments were taken into account, was nil.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Financial circumstance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 v. Insurance Corp.</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2010 BCSC 1369</w:t>
        </w:r>
      </w:hyperlink>
      <w:r>
        <w:rPr>
          <w:rFonts w:ascii="arial" w:eastAsia="arial" w:hAnsi="arial" w:cs="arial"/>
          <w:color w:val="000000"/>
          <w:sz w:val="20"/>
          <w:lang w:val="en-US" w:eastAsia="en-US" w:bidi="ar-SA"/>
        </w:rPr>
        <w:t>, Kloegman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plaintiff's counsel and court costs are all paid by ICBC, which some case authorities say is not a factor to consider, but more recent British Columbia Court of Appeal authority suggests that it is a factor to consider: </w:t>
      </w:r>
      <w:r>
        <w:rPr>
          <w:rFonts w:ascii="arial" w:eastAsia="arial" w:hAnsi="arial" w:cs="arial"/>
          <w:i/>
          <w:color w:val="000000"/>
          <w:sz w:val="20"/>
          <w:lang w:val="en-US" w:eastAsia="en-US" w:bidi="ar-SA"/>
        </w:rPr>
        <w:t>Smith v. Tedford</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2010 BCCA 302</w:t>
        </w:r>
      </w:hyperlink>
      <w:r>
        <w:rPr>
          <w:rFonts w:ascii="arial" w:eastAsia="arial" w:hAnsi="arial" w:cs="arial"/>
          <w:color w:val="000000"/>
          <w:sz w:val="20"/>
          <w:lang w:val="en-US" w:eastAsia="en-US" w:bidi="ar-SA"/>
        </w:rPr>
        <w:t xml:space="preserve"> (B.C. C.A.). Here, as in </w:t>
      </w:r>
      <w:r>
        <w:rPr>
          <w:rFonts w:ascii="arial" w:eastAsia="arial" w:hAnsi="arial" w:cs="arial"/>
          <w:i/>
          <w:color w:val="000000"/>
          <w:sz w:val="20"/>
          <w:lang w:val="en-US" w:eastAsia="en-US" w:bidi="ar-SA"/>
        </w:rPr>
        <w:t>Smith v. Tedford</w:t>
      </w:r>
      <w:r>
        <w:rPr>
          <w:rFonts w:ascii="arial" w:eastAsia="arial" w:hAnsi="arial" w:cs="arial"/>
          <w:color w:val="000000"/>
          <w:sz w:val="20"/>
          <w:lang w:val="en-US" w:eastAsia="en-US" w:bidi="ar-SA"/>
        </w:rPr>
        <w:t>, it is clear that the financial ability to defend is much greater than the financial ability to prosecute.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defence in this case submits that if I consider that the defendant is being represented by an insurer, all ICBC-insured defendants will be at a disadvantage under this heading. In </w:t>
      </w:r>
      <w:r>
        <w:rPr>
          <w:rFonts w:ascii="arial" w:eastAsia="arial" w:hAnsi="arial" w:cs="arial"/>
          <w:i/>
          <w:color w:val="000000"/>
          <w:sz w:val="20"/>
          <w:lang w:val="en-US" w:eastAsia="en-US" w:bidi="ar-SA"/>
        </w:rPr>
        <w:t>Smith v. Tedford</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2010 BCCA 302</w:t>
        </w:r>
      </w:hyperlink>
      <w:r>
        <w:rPr>
          <w:rFonts w:ascii="arial" w:eastAsia="arial" w:hAnsi="arial" w:cs="arial"/>
          <w:color w:val="000000"/>
          <w:sz w:val="20"/>
          <w:lang w:val="en-US" w:eastAsia="en-US" w:bidi="ar-SA"/>
        </w:rPr>
        <w:t>, Lowry J.A. dealt with this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The defendant contends that, for good policy reasons, insurance coverage is not to be taken into account in considering the relative financial circumstances of the parties. She says coverage limits are not universal and will vary between individuals. The defence of an action may be conducted by an insurer under a reservation of rights. Further, there will always be a substantial difference between the financial circumstances of most plaintiffs seeking personal injury damages and defendants' insurers such that the considerations under Rule 37B(6)(c) will always favour such plaintiffs, and this is a consequence that could not have been legislatively intended.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While I recognize arguments over the implications of a defendant's insurance coverage being considered in relation to an award of costs may go back and forth, like the judge I consider precluding such from consideration renders an assessment of the parties' relative financial circumstances, at least in a case of this kind, very artificial indeed. Clearly, with ICBC having assumed the defence, the financial ability to defend was much greater than the financial ability to prosecute, and that is of no small importance to considering whether and to what extent the financial circumstances of the parties, relative to each other, bear on an award of costs where, as here, there has been an offer of settlement made ten days before a trial for the assessment of personal injury damages which was not accepted until the seventh day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Wafler v. Trinh</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2012 BCSC 1708</w:t>
        </w:r>
      </w:hyperlink>
      <w:r>
        <w:rPr>
          <w:rFonts w:ascii="arial" w:eastAsia="arial" w:hAnsi="arial" w:cs="arial"/>
          <w:color w:val="000000"/>
          <w:sz w:val="20"/>
          <w:lang w:val="en-US" w:eastAsia="en-US" w:bidi="ar-SA"/>
        </w:rPr>
        <w:t xml:space="preserve">, Voith J. citing </w:t>
      </w:r>
      <w:r>
        <w:rPr>
          <w:rFonts w:ascii="arial" w:eastAsia="arial" w:hAnsi="arial" w:cs="arial"/>
          <w:i/>
          <w:color w:val="000000"/>
          <w:sz w:val="20"/>
          <w:lang w:val="en-US" w:eastAsia="en-US" w:bidi="ar-SA"/>
        </w:rPr>
        <w:t>Smith v. Telford</w:t>
      </w:r>
      <w:r>
        <w:rPr>
          <w:rFonts w:ascii="arial" w:eastAsia="arial" w:hAnsi="arial" w:cs="arial"/>
          <w:color w:val="000000"/>
          <w:sz w:val="20"/>
          <w:lang w:val="en-US" w:eastAsia="en-US" w:bidi="ar-SA"/>
        </w:rPr>
        <w:t xml:space="preserve"> stated, at para. 37, "it is now clear that the court may consider whether the defendant has insurance when weighing the financial circumstances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case at bar, the plaintiff is in dire financial circumstances. The evidence at trial regarding his income proved as much. Any award of costs against him will certainly have serious consequences.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Any other factor the Court deems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are no specific additional factors which, in my view, need to be considered. There was, for example, no blameworthy conduct by either party in the manner the action was brought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purpose of R. 9-1 is to encourage settlement. At no time had the plaintiff closed his mind to that option. In fact, he made a $75,000 settlement offer before trial, which was not accepted. That offer was after taking the Part 7 payments into account. Accordingly it was for approximately $103,500. This was simply a case where the apportionment of liability and the assessment of damages would depend on the manner in which the evidence was presented and viewed by the Court. Both offers were within that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Wafler v. Trinh</w:t>
      </w:r>
      <w:r>
        <w:rPr>
          <w:rFonts w:ascii="arial" w:eastAsia="arial" w:hAnsi="arial" w:cs="arial"/>
          <w:color w:val="000000"/>
          <w:sz w:val="20"/>
          <w:lang w:val="en-US" w:eastAsia="en-US" w:bidi="ar-SA"/>
        </w:rPr>
        <w:t>, Voith J. also considered the issue of when double costs ought to be awarded: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Object of Rule 9-1 and an Award of Double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14 B.C.L.R. (5th) 33</w:t>
        </w:r>
      </w:hyperlink>
      <w:r>
        <w:rPr>
          <w:rFonts w:ascii="arial" w:eastAsia="arial" w:hAnsi="arial" w:cs="arial"/>
          <w:color w:val="000000"/>
          <w:sz w:val="20"/>
          <w:lang w:val="en-US" w:eastAsia="en-US" w:bidi="ar-SA"/>
        </w:rPr>
        <w:t>, the court summarized the import of a number of earlier decisions and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[25] An award of double costs is a punitive measure against a litigant for that party's failure, in all of the circumstances, to have accepted an offer to settle that should have been accepted. Litigants are to be reminded that costs rules are in place "to encourage the early settlement of disputes by rewarding the party who makes a reasonable settlement offer and penalizing the party who declines to accept such an offer"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2009 BCSC 505</w:t>
        </w:r>
      </w:hyperlink>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91 B.C.L.R. (4th) 372</w:t>
        </w:r>
      </w:hyperlink>
      <w:r>
        <w:rPr>
          <w:rFonts w:ascii="arial" w:eastAsia="arial" w:hAnsi="arial" w:cs="arial"/>
          <w:color w:val="000000"/>
          <w:sz w:val="20"/>
          <w:lang w:val="en-US" w:eastAsia="en-US" w:bidi="ar-SA"/>
        </w:rPr>
        <w:t xml:space="preserve"> at para. 61, citing </w:t>
      </w:r>
      <w:r>
        <w:rPr>
          <w:rFonts w:ascii="arial" w:eastAsia="arial" w:hAnsi="arial" w:cs="arial"/>
          <w:i/>
          <w:color w:val="000000"/>
          <w:sz w:val="20"/>
          <w:lang w:val="en-US" w:eastAsia="en-US" w:bidi="ar-SA"/>
        </w:rPr>
        <w:t>MacKenzie v. Brooks,</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1999 BCCA 623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Radke v. Parry,</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2008 BCSC 1397</w:t>
        </w:r>
      </w:hyperlink>
      <w:r>
        <w:rPr>
          <w:rFonts w:ascii="arial" w:eastAsia="arial" w:hAnsi="arial" w:cs="arial"/>
          <w:color w:val="000000"/>
          <w:sz w:val="20"/>
          <w:lang w:val="en-US" w:eastAsia="en-US" w:bidi="ar-SA"/>
        </w:rPr>
        <w:t xml:space="preserve">). In this regard, Mr. Justice Frankel's comments in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are apposite: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[74] The purposes for which costs rules exist must be kept in mind in determining whether appellate intervention is warranted. In addition to indemnifying a successful litigant, those purposes have been described as follows by this Court:</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[D]eterring frivolous actions or defences": </w:t>
      </w:r>
      <w:r>
        <w:rPr>
          <w:rFonts w:ascii="arial" w:eastAsia="arial" w:hAnsi="arial" w:cs="arial"/>
          <w:i/>
          <w:color w:val="000000"/>
          <w:sz w:val="20"/>
          <w:lang w:val="en-US" w:eastAsia="en-US" w:bidi="ar-SA"/>
        </w:rPr>
        <w:t>Houweling Nurseries Ltd. v. Fisons Western Corp.</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at 25 (C.A.), leave ref'd, </w:t>
      </w:r>
      <w:hyperlink r:id="rId499" w:history="1">
        <w:r>
          <w:rPr>
            <w:rFonts w:ascii="arial" w:eastAsia="arial" w:hAnsi="arial" w:cs="arial"/>
            <w:i/>
            <w:color w:val="0077CC"/>
            <w:sz w:val="20"/>
            <w:u w:val="single"/>
            <w:shd w:val="clear" w:color="auto" w:fill="FFFFFF"/>
            <w:lang w:val="en-US" w:eastAsia="en-US" w:bidi="ar-SA"/>
          </w:rPr>
          <w:t>[1988] S.C.C.A. No. 200</w:t>
        </w:r>
      </w:hyperlink>
      <w:r>
        <w:rPr>
          <w:rFonts w:ascii="arial" w:eastAsia="arial" w:hAnsi="arial" w:cs="arial"/>
          <w:color w:val="000000"/>
          <w:sz w:val="20"/>
          <w:lang w:val="en-US" w:eastAsia="en-US" w:bidi="ar-SA"/>
        </w:rPr>
        <w:t>, [1988] 1 S.C.R. ix;</w:t>
      </w:r>
    </w:p>
    <w:p>
      <w:pPr>
        <w:numPr>
          <w:numId w:val="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encourage conduct that reduces the duration and expense of litigation and to discourage conduct that has the opposite effect":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at para. 28 (C.A.);</w:t>
      </w: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[E]ncouraging litigants to settle whenever possible, thus freeing up judicial resources for other cases: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86 B.C.L.R. (4th) 343</w:t>
        </w:r>
      </w:hyperlink>
      <w:r>
        <w:rPr>
          <w:rFonts w:ascii="arial" w:eastAsia="arial" w:hAnsi="arial" w:cs="arial"/>
          <w:color w:val="000000"/>
          <w:sz w:val="20"/>
          <w:lang w:val="en-US" w:eastAsia="en-US" w:bidi="ar-SA"/>
        </w:rPr>
        <w:t xml:space="preserve"> at para. 33;</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have a winnowing function in the litigation process" by "requir[ing] litigants to make a careful assessment of the strength or lack thereof of their cases at the commencement and throughout the course of the litigation", and by "discourag[ing] the continuance of doubtful cases or defences": </w:t>
      </w:r>
      <w:r>
        <w:rPr>
          <w:rFonts w:ascii="arial" w:eastAsia="arial" w:hAnsi="arial" w:cs="arial"/>
          <w:i/>
          <w:color w:val="000000"/>
          <w:sz w:val="20"/>
          <w:lang w:val="en-US" w:eastAsia="en-US" w:bidi="ar-SA"/>
        </w:rPr>
        <w:t>Catalyst Paper Corporation v. Companhia de Navegaço Norsul</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88 B.C.L.R. (4th) 17</w:t>
        </w:r>
      </w:hyperlink>
      <w:r>
        <w:rPr>
          <w:rFonts w:ascii="arial" w:eastAsia="arial" w:hAnsi="arial" w:cs="arial"/>
          <w:color w:val="000000"/>
          <w:sz w:val="20"/>
          <w:lang w:val="en-US" w:eastAsia="en-US" w:bidi="ar-SA"/>
        </w:rPr>
        <w:t xml:space="preserve"> at para. 16.</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on Post-Offer to Settle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Upon considering the factors in R. 9-1(6), I do not accept the defendant's submission that double costs are appropriate. There is no reason for the plaintiff to be subject to a punitive measure. He was not unreasonable in rejecting the settlement offer. The issues at trial made the apportionment of liability quite uncertain. There was also a considerable range in the amount of damages which could have been awarded. The plaintiff's finances would be greatly impacted if an order for double costs was made against him. In addition, the end result was effectively a nil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Taking into account the legal principles to which I have referred and the particular circumstances which exist in this case, I conclude each party should bear their respective costs after the date of the defendant's offer to settle. The plaintiff has already suffered some financial consequences for proceeding to trial in that I have decided he shall not receive 100% of his costs until the defendant's offer to settle, but rather 75% of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shall recover 75% of his costs up to April 13, 2012. The parties shall bear their own costs thereafter, including those of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8"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R. v. McAndrew, [2004] B.C.J. No. 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8 - 11, 15 - 17,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71333-2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50 M.V.R. (4th) 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60 W.C.B. (2d) 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CarswellBC 3291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Kyle Scott Keith McAndrew</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9"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2" w:name="Keywords_29"/>
      <w:bookmarkEnd w:id="212"/>
      <w:r>
        <w:rPr>
          <w:rFonts w:ascii="arial" w:eastAsia="arial" w:hAnsi="arial" w:cs="arial"/>
          <w:b/>
          <w:color w:val="000000"/>
          <w:sz w:val="20"/>
          <w:lang w:val="en-US" w:eastAsia="en-US" w:bidi="ar-SA"/>
        </w:rPr>
        <w:t>Criminal law — Offences against person and reputation — Motor vehicles — Dangerous driving — Causing death or bodily harm — Offences against the administration of law and justice — Obstructing or perverting course of justice — What constitutes.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3" w:name="Case Summary_23"/>
            <w:bookmarkEnd w:id="2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of McAndrew on charges of dangerous driving causing death, and obstruction of justice. McAndrew met a woman in a bar and left with her in his car. All of the evidence suggested that he was not impaired, although the woman was very much so. McAndrew's vehicle left the road where the municipality was in the process of reconfiguring a curve. The lighting and signage were not completely in place, and the vehicle hit a berm such that it became airborne at 53 kilometres per hour. It crashed nose first into a concrete guard rail and the woman died of a fractured skull. McAndrew fled the scene and arrived at a friend's house, covered in dirt and blood. He told the friend that he had not realized that the roadway was undergoing changes. The friend helped McAndrew calm down and loaned him clean clothing. The friend's wife washed McAndrew's clothes and McAndrew turned himself into police. When the police said they wanted his clothes, he responded that they already had the clothing. The Crown alleged that this amounted to obstruction of justice given that the police were talking about the clothes McAndrew was wearing at the time of the crash, not the clothes he wore when he visited the police station. McAndrew pleaded guilty to leaving the scene of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4" w:name="Holdings of Court_18"/>
            <w:bookmarkEnd w:id="214"/>
            <w:r>
              <w:rPr>
                <w:rFonts w:ascii="arial" w:eastAsia="arial" w:hAnsi="arial" w:cs="arial"/>
                <w:color w:val="000000"/>
                <w:sz w:val="20"/>
                <w:lang w:val="en-US" w:eastAsia="en-US" w:bidi="ar-SA"/>
              </w:rPr>
              <w:t>HELD: McAndrew was found guilty of leaving the scene but not guilty on the other counts.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inadvertence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McAndrew to miss the curve, his inadvertence was reasonably possible in the circumstances of the reconfigured intersection. His manner of driving was not objectively dangerous except for his split-second decision to brake rather than steer away from the berm. The evidence did not show beyond a reasonable doubt that he deliberately misled the police as to his clothing.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5" w:name="Counsel_29"/>
      <w:bookmarkEnd w:id="2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0"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 Fisher, for the Crown. A. Watt, for the defence.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6" w:name="Judgment_28"/>
      <w:bookmarkEnd w:id="216"/>
      <w:r>
        <w:pict>
          <v:line id="_x0000_s1171" style="position:absolute;z-index:25179136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January 21, 2004;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7" w:name="D.M. SMITH J."/>
            <w:bookmarkEnd w:id="217"/>
            <w:r>
              <w:rPr>
                <w:rFonts w:ascii="arial" w:eastAsia="arial" w:hAnsi="arial" w:cs="arial"/>
                <w:b/>
                <w:color w:val="000000"/>
                <w:sz w:val="30"/>
                <w:lang w:val="en-US" w:eastAsia="en-US" w:bidi="ar-SA"/>
              </w:rPr>
              <w:t>D.M.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Kyle Scott McAndrew was charged on a six count indictment with dangerous driving causing death, impaired driving causing death, leaving the scene of an accident, and three counts of obstruction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Crown conceded there was insufficient evidence to establish beyond a reasonable doubt the offence of impaired driving causing death and a not guilty verdict was entered on that count. The Crown also conceded that not guilty verdicts should be entered on two of three charges for obstruction of justice. Those counts involved allegations that Mr. McAndrew attempted to influence or bribe friends to whose house he ran after the accident. Based on their testimony the allegations were not substantiated.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conclusion of the evidence, Mr. McAndrew admitted the offence of leaving the scene of the accident and a guilty verdict was entered on that 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remaining two counts to be determined are the charge of dangerous driving causing death and a single charge of obstruction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circumstances of the alleged offences arise out of a tragic incident on February 12, 2002, in which a 19-year-old woman was killed in a single motor vehicle accident. The accident occurred at the intersection of Tranquille Road and Ord Road near the airport in Kamloops ("the intersection"). Mr. McAndrew was the driver of a small pick-up truck. The young woman who died in the accident was his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occurred at about 5:00 a.m. There was little traffic on the road at the time. Although still dark, road conditions and visibility were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Between 12:00 a.m. and 2:00 a.m. that morning Mr. McAndrew had attended at a local bar. While at the bar he had two or three one-ounce drinks. He left the bar at about 2:00 a.m. The bartender, a man of some 12 years experience, described Mr. McAndrew as a quiet customer who was sober and coherent when 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about 1:00 a.m. the young woman came into the bar. The bartender described her as grossly intoxicated and appearing high on something. A post-mortem toxicology report determined that her blood alcohol level at the time of her death was well above the legal limit. The bartender asked her to leave when she was unable to produce identification. About five minutes later she left but returned before closing. She approached Mr. McAndrew and struck up a conversation with him. Together, they left the bar at about 2:00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They were next seen by a truck driver at about 3:30 a.m. some 3.5 kilometres up Red Lake Road. This is a radio-controlled road which is accessed from the western end of Tranquille Road. It is frequented by truck drivers hauling logs from a loading dock located 35 kilometres from the base of the road. On the morning of the accident Red Lake Road was very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truck driver hauling a load of logs down Red Lake Road came across Mr. McAndrew's vehicle stalled in a shallow ditch at the side of the road. He was unable to assist Mr. McAndrew as he did not have an extra wrapper. He radioed to the truck driver behind him who did have one and was able to pull Mr. McAndrew's vehicle from the ditch. The young woman thanked the second truck driver and gave him a hug for his efforts. He said he smelled alcohol on her breath. Neither truck driver reported any signs of intoxication or impairment on Mr. McAndrew.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about 5:00 a.m. an airport employee on the way to work came across Mr. McAndrew's abandoned vehicle on the east side of Tranquille Road, just south of the intersection. It was apparent the vehicle had been in an accident. Upon closer inspection he saw a female lying on the ground beside the passenger side of the truck. He determined she was deceased and immediately called 911. A few minutes later a fellow employee stopped as did two local doctors en route to the airport. One of the doctors confirmed the young woman was recently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airport employee did not see anyone in the immediate vicinity of the truck. However, he noticed an individual, who was later identified as Mr. McAndrew, running through a field away from the accident scene. Later that morning a police dog unit tracked Mr. McAndrew's scent from the accident scene, across the field, to a location close to where Mr. McAndrew resided with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couple who were friends of Mr. McAndrew lived a few blocks from Mr. McAndrew's residence. About an hour after the accident Mr. McAndrew knocked on their front door. They described his appearance as dishevelled, messy and dirty. His hands and clothes were covered in blood and he had marks on his face. He was very distraught. The husband said Mr. McAndrew kept repeating that his passenger had grabbed the wheel from him, that the road had been changed, and that there was now a mound of dirt where the road had previously gone straight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McAndrew told the husband he thought the young woman with him had been killed in the accident. He said that after the accident, when he held her in his arms, he had a feeling of emptiness.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husband's evidence in regard to Mr. McAndrew's alleged impairment was based largely on assumptions and hearsay evidence. His credibility was impeached on cross-examination and contributed to the Crown conceding that the evidence could not support a conviction against Mr. McAndrew for impaired driving causing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husband said he tried to comfort Mr. McAndrew who was very upset. He took him upstairs so that he could wash the blood off his hands. He gave him a glass of water to drink and an apple to eat. He offered him a set of clean clothes to replace his soiled and ripped clothing. He dropped Mr. McAndrew's clothes into the laundry basket. Later that day his wife washed the clothes and returned them to Mr. McAndrew the following week. The husband arranged for Mr. McAndrew to have a short nap on the couch in their basement. He then convinced Mr. McAndrew to go with him downtown in order to speak with a lawyer and turn himself in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lawyer's office was not open when they arrived so they waited at a nearby park. Their conversation was dominated by Mr. McAndrew's account of the accident. Mr. McAndrew told the husband he was out having a good time that night, had picked up this girl at a bar, they went somewhere to fool around, and suddenly there was an accident. He said he was scared about what had happened and ran until he reached their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consulting with the lawyer Mr. McAndrew turned himself in at the police station at 10:35 a.m. that morning. He was arrested for dangerous driving causing death and leaving the scene of an accident. Later that day he was released from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March 13, 2002, the police executed a search warrant at Mr. McAndrew's residence. They seized a leather jacket. Mr. McAndrew told the police that the blood on the seized jacket had nothing to do with the accident but came from an incident two years earlier when he had been assaulted. The assault incident he referred to was corroborated by a subsequent search of police files, which established that Mr. McAndrew had been wearing the jacket on that earlier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the execution of the warrant Mr. McAndrew asked the police officer why they were seizing the jacket. The officer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explained to Kyle that we were there to seize the clothing that he had been wearing the night of the accident. He replied that we already had all the clothing that he was wearing and I replied, "No, we have the clothing you were wearing when you turned yourselves (sic) in. We want the clothing you were wearing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officer did not testify what, if any, reply Mr. McAndrew made to these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accident occurred at the intersection of Ord Road and Tranquille Road. The intersection had been changed before the accident because of its non-standard design and limited sight distances. A section of Ord Road was also upgraded. Work had started in August, 2001, and was completed in September, 2001. The reconfigured intersection was activated on September 14,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Ord Road travels in an east-west direction with a posted speed limit of 50 kph. South of Ord Road is the CN railroad tracks which also run in an east-west direction, generally parallel to Ord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its most westerly point, north of the railroad tracks, Ord Road curves to the left at a 90 degree angle, changing to a north-south direction. Travelling west on Ord Road there is a posted speed advisory of 20 kph in advance of this curve. South of the curve there is no posted speed sign and the speed limit defaults to 50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vicinity of the accident site, Tranquille Road travels in a north-south direction. South of the railroad tracks it curves to the west, at a 90 degree angle, and changes to an east-west direction. It continues in a westerly direction, generally parallel to the railroad tracks. Tranquille Road intersects with Ord Road where it curves to the west and changes from a north-south to an east-west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Before September, 2001, the section of Ord Road south of the 90 degree curve was narrow and uneven. It crossed the railroad tracks, dipped, and ended at a stop sign. At some earlier time the stop sign had replaced a yield sign. The north-south section of Ord Road was called Farm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Before the road changes, Tranquille Road had intersected with Farm Road at two locations. Vehicles travelling south on Farm Road accessed the north-south section of Tranquille Road by continuing straight through from the stop sign; they accessed the east-west section of Tranquille Road by making a 90 degree right-hand turn from the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reconfigured intersection changed the approach to, and angle of, the intersection. Farm Road was renamed and became the north-south continuation of Ord Road. Vehicles travelling south on Ord Road now approached both the north-south and east-west sections of Tranquille Road from a single 45 degree curve to the west, which intersected with Tranquille Road at a stop sign. There, traffic could turn right to travel west on Tranquille Road or left to travel south on Tranquille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north-south section of Ord Road (the old Farm Road) was upgraded by widening the road and adding shoulders. The dip in the road south of the railroad tracks was levelled and the road was divided by a set of double solid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Two berms or dirt mounds were positioned where the sections of Farm Road, that had accessed the east-west and north-south sections of Tranquille Road, had been cut off by the reconfigured intersection. The berms were built on the east and north sides of Tranquille Road. They were quite high and had a 31 degree grade on their slopes. They were to act as visual obstructions for southbound and westbound traffic. In particular, the berm installed on the east side of Tranquille Road was to be a visual obstruction for southbound Ord Road traffic. The berms were difficult to see as they blended in with the dirt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Around the end of October, 2001, the City of Kamloops received a complaint from a member of the public about the new intersection. As a result of that complaint a site review was conducted and a number of changes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proposed changes included the addition of concrete, no-post guard rails ("no-posts") along the east and north side of Tranquille Road at the reconfigured intersection. The no-posts were to run parallel to the direction of travel and protect vehicles from veering off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no-posts installed along the east side of Tranquille Road did not block the old access to the north-south section of Tranquille Road. It was believed that extending them that far north would make them perpendicular to the southbound traffic on Ord Road, which might create more of a hazard for vehicles hitting them. This design created an opening for southbound Ord Road traffic to drive straight off onto the old access to the north-south section of Tranquille Road, where the berm was now located. Landscaping of the two berms was recommended to make them more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Artificial lighting aligned the west side of Ord Road and the east side of Tranquille Road. Additional lighting was recommended around the no-posts in order to better illuminate the reconfigured right-hand curve and intersection. Also recommended were street sweeping and signage indicating a right-hand curve for southbound Ord Road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the time of the accident some, but not all, of the recommended changes had been completed. The no-posts had been installed and the area had been swept. However, neither the additional street lighting nor the signage indicating a right-hand curve for southbound Ord Road traffic had been installed. As well, the berms had not been landscaped because of the lateness of the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were no witnesses to the accident. Constable Poitras, a 13 year veteran of the R.C.M.P., with expertise in accident reconstruction, was tasked to conduct an analysis of the accident and prepare a written report outlining his opinion as to how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determined that Mr. McAndrew's vehicle had been driving south on Ord Road at a constant speed of 53 kph. The vehicle had driven around the 90 degree left-hand curve on Ord Road where the road changes from an east-west to a north-south direction. Travelling south on Ord Road the vehicle crossed the railroad tracks and the double solid lines. As it approached the reconfigured curve to the right it continued straight off of Ord Road and onto the frozen shoulder of the road. It continued up the berm. Tire marks ran from the bottom to the top of the berm where they vanished. At that point the vehicle became air-borne at a speed of 50 kph. It vaulted over the berm and landed nose first, at a speed of 31 kph, onto the no-posts positioned on the east side of Tranquille Road. It slid nose first along the no-posts colliding with a sign at the end of the guard rails. It fell off the no-posts with the rear of the vehicle rotating in a counter clockwise direction on its lateral axis and pointing in a northerly direction. It landed on the north shoulder of Tranquille Road where it rolled onto the passenger side, then onto the driver's side, and continued its rotation from the driver's side onto its wheels. It came to rest on the shoulder facing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young woman was a front seat passenger in the vehicle and was unrestrained. When the vehicle was air-borne and hit the no-posts she was forced forward and to the right, towards the right front corner of the vehicle. As the vehicle collided with the no-posts her knee came into contact with the dash directly in front of the passenger seat breaking her kneecap. She was thrust into the "A" pillar, a metal support connecting the windshield with the passenger door. The impact fractured her skull. There was no evidence she was thrown from the vehicle as the passenger door was still latched. In Cst. Poitras' opinion she was pulled from the vehicle after it came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McNaughton, the pathologist who conducted the autopsy, agreed the young woman was not wearing a seatbelt when the accident occurred. He concluded that she suffered massive skull fractures when her head hit the "A" pillar of the vehicle; that the fractures caused significant bleeding into and around the brain which rendered her unconscious; and, that her head came to rest on the passenger door armrest. Death ensued within minutes. In his opinion, the marks on her torso were consistent with her body having been dragged over broken glass and the uneven surface of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was Cst. Poitras' opinion that driver inattention was the major cause of the accident. This conclusion was based on Mr. McAndrew's apparent failure to perceive the right-hand curve to the west on Ord Road and his continued driving straight off of Ord Road onto the shoulder of what had been the old access road to the north-south section of Tranquille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Cst. Poitras also noted in his report that "Artificial lighting on the west side of Ord Road and the east side of Tranquille Road may have given the impression that the roadway was straight for southbound Ord Road traffic" (page 14). He agreed that it was possible for a driver to perceive the road continued on straight rather than curving to the right. He found no evidence of steering having been employed as an evasive manoeuvre or indeed any evasive manoeuvre before the vehicle started up the berm. In his opinion, the tire marks on the north slope of the berm were suggestive of braking. He dismissed the possibility that they were suggestive of acceleration as there was no evidence that Mr. McAndrew had deliberately driven up the berm. That theory, in his view, would have been an unreasonable assumption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Cst. Poitras' view the lack of signage of a right-hand curve for southbound traffic, as well as the lack of artificial lighting on the no-posts, were minor contributing factors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Cst. Poitras' opinion that driver inattention was the major cause of the accident was premised on three time-distance scenarios he constructed. The scenarios were based on three stimuli on the road that in his opinion should have alerted Mr. McAndrew to changes in the road: the railroad tracks, the double solid lines, and the change in road surface when Mr. McAndrew's vehicle left the asphalt pavement. The scenarios were also based on a number of assumptions which were not challenged: (i) that Mr. McAndrew was travelling at a constant speed of 53 kph; (ii) that Mr. McAndrew had a standard perception-reaction time of 1.5 seconds; iii) that the braking efficiency for Mr. McAndrew's vehicle was 80%; and, (iv) that Mr McAndrew's headlights were operational.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first scenario Cst. Poitras hypothesized that had Mr. McAndrew braked when he crossed the railroad tracks he would have been able to stop his vehicle before reaching the frozen shoulder where the old road had travelled. If he had been driving the old road at 54 kph his vehicle would have been air-borne when crossing the railway tracks because of the dip in the road. At an actual speed of 53 kph he would have been projected forward. Therefore, the officer reasoned, because the railroad crossing on the upgraded road was more level than the old road, Mr. McAndrew should have noticed the smoother crossing although going over the tracks would still have been bumpy. The bumpiness of the crossing in Cst. Poitras' opinion should have alerted Mr. McAndrew to the road and its changes. Cst. Poitras agreed there was no evidence of bad driving over the railroad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second scenario Cst. Poitras hypothesized that had Mr. McAndrew braked upon crossing the visible double solid lines, a short distance past the railroad crossing, he would have been able to stop his vehicle by the time it reached the top of the berm. In his opinion, Mr. McAndrew should have noticed the double solid lines on the road and had he done so they would have alerted him to the changes in the road. He calculated the driving time from the railroad tracks to the double solid lines at .96 of a second. He also agreed that a person believing the road continued straight could have failed to notice the double solid lines if he had been momentarily distracted.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third scenario Cst. Poitras hypothesized that had Mr. McAndrew braked when he drove off the asphalt pavement onto the shoulder of the road, Mr. McAndrew's vehicle would still have become air-borne and vaulted off the top of the berm, but at a slower speed of 31 kph, which would have caused it to slide into the no-posts but not hit them head on in a nose dive. In his opinion, the change in road surface should have alerted Mr. McAndrew to the changes in the road and caused him to take evasive action at that point. While an accident would still have resulted with the vehicle hitting the no-posts, it would have been a minor one. Cst. Poitras calculated the driving time from the double solid lines to the edge of the pavement at .81 of a second. There, the paved road changed to a gravel shoulder and then a dirt shoulder. Cst. Poitras agreed that Mr. McAndrew might not have noticed the difference from the paved road to the gravel shoulder because the gravel surface was smooth and fairly level to the asphalt. However, in his view Mr. McAndrew should have noticed the change from the gravel to the dirt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 fourth scenario was put to Cst. Poitras on cross-examination. He was asked to calculate a time-distance scenario that placed Mr. McAndrew's perception-reaction at a point 1.5 seconds before the first tire mark on the berm. That point approximated where the shoulder of the road changed from gravel to dirt. The difference in time between a perception-reaction based on the third scenario and one based on the fourth scenario was calculated to be .33 of a second. In Cst. Poitras' opinion, if Mr. McAndrew had reacted to the change in the road when his vehicle reached the dirt shoulder he would not have been able to avoid the accident by using braking as the only evasive manoeuvre.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summary, Cst. Poitras was of the view that Mr. McAndrew drove negligently when he failed to negotiate the curve to the west on Ord Road and continued driving straight between the railroad tracks and the edge of the paved road, a period he calculated at 1.77 seconds. In his opinion, he also drove negligently for .33 of a second, which is the driving time he calculated from the edge of the pavement to a point that approximated the change in the gravel to the dirt surface of the shoulder, or 1.5 seconds back of the first tire mark on the berm. During these 2.10 seconds of negligent driving, in Cst. Poitras' opinion, certain stimuli should have alerted Mr. McAndrew to the changes in the road. If Mr. McAndrew had taken appropriate evasive action that included braking or steering at those points in the road, the accident could have been avoided. However, the only evasive action Mr. McAndrew took was to brake when his vehicle hit the berm. While Mr. McAndrew might not have felt the change in the road surface from the asphalt pavement to the gravel shoulder, in Cst. Poitras' view Mr. McAndrew should have felt the change from the gravel to the dirt surface of the shoulder. Unfortunately, by that point the accident was unavoidable unless in .33 of a second Mr. McAndrew had chosen to steer away from the berm rather than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accident occurred when Mr. McAndrew failed to negotiate a 45 degree curve to the west, as he drove south on Ord Road after crossing the CN railroad tracks. This court must determine whether at law, in the circumstances of this case, that failure constitutes the criminal offence of dangerous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tragic consequences of this motor vehicle accident do not displace the duty of the court to consider matters in accordance with the law. See R. v. Sweeney </w:t>
      </w:r>
      <w:hyperlink r:id="rId507" w:history="1">
        <w:r>
          <w:rPr>
            <w:rFonts w:ascii="arial" w:eastAsia="arial" w:hAnsi="arial" w:cs="arial"/>
            <w:i/>
            <w:color w:val="0077CC"/>
            <w:sz w:val="20"/>
            <w:u w:val="single"/>
            <w:shd w:val="clear" w:color="auto" w:fill="FFFFFF"/>
            <w:lang w:val="en-US" w:eastAsia="en-US" w:bidi="ar-SA"/>
          </w:rPr>
          <w:t>(1992), 33 M.V.R. (2d) 1</w:t>
        </w:r>
      </w:hyperlink>
      <w:r>
        <w:rPr>
          <w:rFonts w:ascii="arial" w:eastAsia="arial" w:hAnsi="arial" w:cs="arial"/>
          <w:color w:val="000000"/>
          <w:sz w:val="20"/>
          <w:lang w:val="en-US" w:eastAsia="en-US" w:bidi="ar-SA"/>
        </w:rPr>
        <w:t xml:space="preserve"> (B.C.C.A.) at [paragraphs] 26-28. Given the considerable publicity over this trial, in my view it is necessary to review some of the law that governs our criminal justice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criminal law is governed by two fundamental principles: the presumption of innocence and proof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An accused person is presumed innocent until the trier of fact - which may be a judge alone or a jury - is satisfied beyond a reasonable doubt that he has committed the offence with which he is charged. The burden of proof rests with the prosecution throughout the trial to prove the guilt of the accused beyond a reasonable doubt. The accused has no obligation to prove he is not guilty and is under no obligation to explain the evidence offered by the Crown. The law presumes innocence until a body of evidence establishes the accused's guilt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burden of proof beyond a reasonable doubt is linked to the presumption of innocence. The presumption of innocence means that no person may be found guilty of an offence until the Crown proves each and every element of that offence beyond a reasonable doubt. Proof that an accused is probably guilty is not sufficient although proof beyond any doubt or proof to an absolute certainty is not required. A reasonable doubt is a doubt based upon reason and common sense. It is not an imaginary or frivolous doubt but is logically connected to the evidence or absence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wish also to speak briefly about the role of an expert witness. Witnesses that are qualified as expert witnesses are allowed to give their opinions about a matter in the area of their expertise. Their opinions are offered to provide assistance to the court on matters that are outside the ordinary experience of the court. The parameters of their role was summarized by Madam Justice Newbury (as she then was) in R. v. Yewdale </w:t>
      </w:r>
      <w:hyperlink r:id="rId508" w:history="1">
        <w:r>
          <w:rPr>
            <w:rFonts w:ascii="arial" w:eastAsia="arial" w:hAnsi="arial" w:cs="arial"/>
            <w:i/>
            <w:color w:val="0077CC"/>
            <w:sz w:val="20"/>
            <w:u w:val="single"/>
            <w:shd w:val="clear" w:color="auto" w:fill="FFFFFF"/>
            <w:lang w:val="en-US" w:eastAsia="en-US" w:bidi="ar-SA"/>
          </w:rPr>
          <w:t>(1995), 3 B.C.L.R. (3d) 240</w:t>
        </w:r>
      </w:hyperlink>
      <w:r>
        <w:rPr>
          <w:rFonts w:ascii="arial" w:eastAsia="arial" w:hAnsi="arial" w:cs="arial"/>
          <w:color w:val="000000"/>
          <w:sz w:val="20"/>
          <w:lang w:val="en-US" w:eastAsia="en-US" w:bidi="ar-SA"/>
        </w:rPr>
        <w:t xml:space="preserve"> (S.C.) at [paragraph]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special privilege accorded to experts to testify as to their opinions, they must not become advocates. They must express their opinions as opinions and must leave for the court the required conclusions of law. In theory at least, the court "knows the law" - in practise it has the responsibility of finding and applying it. Thus the expert should express his or her opinion in an objective and impartial manner, and must not present argument in the guise of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Lastly, proof of a criminal offence requires not only proof of the actus reas or the criminal act, but also the mens rea or the intent to commit the criminal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Criminal Code defines the act of dangerous driving as driving a motor vehicle "in a manner that is dangerous to the public, having regard to all the circumstances, including the nature, condition and use of the place at which the motor vehicle is being operated and the amount of traffic that at the time is or might reasonably be expected to be at that place." The mens rea requirement for dangerous driving was outlined in the seminal decision of R. v. Hundal, </w:t>
      </w:r>
      <w:hyperlink r:id="rId509" w:history="1">
        <w:r>
          <w:rPr>
            <w:rFonts w:ascii="arial" w:eastAsia="arial" w:hAnsi="arial" w:cs="arial"/>
            <w:i/>
            <w:color w:val="0077CC"/>
            <w:sz w:val="20"/>
            <w:u w:val="single"/>
            <w:shd w:val="clear" w:color="auto" w:fill="FFFFFF"/>
            <w:lang w:val="en-US" w:eastAsia="en-US" w:bidi="ar-SA"/>
          </w:rPr>
          <w:t>[1993] 1 S.C.R. 867</w:t>
        </w:r>
      </w:hyperlink>
      <w:r>
        <w:rPr>
          <w:rFonts w:ascii="arial" w:eastAsia="arial" w:hAnsi="arial" w:cs="arial"/>
          <w:color w:val="000000"/>
          <w:sz w:val="20"/>
          <w:lang w:val="en-US" w:eastAsia="en-US" w:bidi="ar-SA"/>
        </w:rPr>
        <w:t>. At [paragraph] 30 the court described it as "... a marked departure from the standard of care that a reasonable person would observe in the accused's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This is a modified objective test which the Supreme Court of Canada applied in Hundal for the offence of dangerous driving. It did so by adopting the mens rea requirement as described in the earlier Supreme Court of Canada decision in R. v. Tutton, </w:t>
      </w:r>
      <w:hyperlink r:id="rId510" w:history="1">
        <w:r>
          <w:rPr>
            <w:rFonts w:ascii="arial" w:eastAsia="arial" w:hAnsi="arial" w:cs="arial"/>
            <w:i/>
            <w:color w:val="0077CC"/>
            <w:sz w:val="20"/>
            <w:u w:val="single"/>
            <w:shd w:val="clear" w:color="auto" w:fill="FFFFFF"/>
            <w:lang w:val="en-US" w:eastAsia="en-US" w:bidi="ar-SA"/>
          </w:rPr>
          <w:t>[1989] 1 S.C.R. 1392</w:t>
        </w:r>
      </w:hyperlink>
      <w:r>
        <w:rPr>
          <w:rFonts w:ascii="arial" w:eastAsia="arial" w:hAnsi="arial" w:cs="arial"/>
          <w:color w:val="000000"/>
          <w:sz w:val="20"/>
          <w:lang w:val="en-US" w:eastAsia="en-US" w:bidi="ar-SA"/>
        </w:rPr>
        <w:t xml:space="preserve"> at [paragraph]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an objective test ... may not be made in a vacuum. Events occur within the framework of other events and actions and when deciding on the nature of the questioned conduct, surrounding circumstances must be considered. The decision must be made on a consideration of the facts existing at the time and in relation to the accused's perception of those facts. Since the test is objective, the accused's perception of the facts is not to be considered for the purpose of assessing malice or intention on the accused's part but only to form a basis for a conclusion as to whether or not the accused's conduct, in view of his perception of the facts, was reasonable .... If an accused ... has an honest and reasonably held belief in the existence of certain facts, it may be a relevant consideration in assessing the reasonableness of his conduct. For example, a welder who is engaged to work in a confined space believing on the assurance of the owner of the premises that no combustible or explosive material is stored nearby, should be entitled to have his perception, as to the presence or absence of dangerous materials, before the jury on a charge of manslaughter when his welding torch causes an explosion and a consequent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If the driving of an accused, when viewed objectively, is found to be dangerous, the court must then consider any explanation offered by the accused for his driving. As noted in Hundal at [paragraph] 33, "... in order to convict the trier of fact must be satisfied that a reasonable person in similar circumstances ought to have been aware of the risk and of the danger involved in the conduct manifested by the accused." The objective test of the standard of care of a reasonable person becomes modified by the requirement that it must be applied in the context of all of the circumstances surrounding the incident. A reasonable doubt as to the mens rea of dangerous driving may arise if the belief of an accused as to the circumstances in which the driving occurred was honest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This defence recognizes the distinction between the civil standard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 objective test alone is sufficient to establish liability for an accident, and the criminal standard for dangerous driving that requires an examination of the accused's driving in the context of the circumstances understood by the accused, provided that understanding was reasonable. This was succinctly stated in Hundal at [paragraph]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it is clear that the basis of liability for dangerous driving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question to be asked is not what the accused subjectively intended but rather whether, viewed objectively, the accused exercised the appropriate standard of care. It is not overly difficult to determine when a driver has fallen markedly below the acceptable standard of care. There can be no doubt that the concept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well understood and readily recognised by most Canadians. Negligent driving can be thought of as a continuum that progresses, or regresses, from momentary lack of attention giving rise to civil responsibility through careless driving under a provincial Highway Traffic Act to dangerous driving under the 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Shortly after Hundal, the Supreme Court of Canada revisited the issue of the mens rea for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 v. Creighton, </w:t>
      </w:r>
      <w:hyperlink r:id="rId511" w:history="1">
        <w:r>
          <w:rPr>
            <w:rFonts w:ascii="arial" w:eastAsia="arial" w:hAnsi="arial" w:cs="arial"/>
            <w:i/>
            <w:color w:val="0077CC"/>
            <w:sz w:val="20"/>
            <w:u w:val="single"/>
            <w:shd w:val="clear" w:color="auto" w:fill="FFFFFF"/>
            <w:lang w:val="en-US" w:eastAsia="en-US" w:bidi="ar-SA"/>
          </w:rPr>
          <w:t>[1993] 3 S.C.R. 3</w:t>
        </w:r>
      </w:hyperlink>
      <w:r>
        <w:rPr>
          <w:rFonts w:ascii="arial" w:eastAsia="arial" w:hAnsi="arial" w:cs="arial"/>
          <w:color w:val="000000"/>
          <w:sz w:val="20"/>
          <w:lang w:val="en-US" w:eastAsia="en-US" w:bidi="ar-SA"/>
        </w:rPr>
        <w:t>, at [paragraph] 113,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as stated in Martineau, </w:t>
      </w:r>
      <w:hyperlink r:id="rId512" w:history="1">
        <w:r>
          <w:rPr>
            <w:rFonts w:ascii="arial" w:eastAsia="arial" w:hAnsi="arial" w:cs="arial"/>
            <w:i/>
            <w:color w:val="0077CC"/>
            <w:sz w:val="20"/>
            <w:u w:val="single"/>
            <w:shd w:val="clear" w:color="auto" w:fill="FFFFFF"/>
            <w:lang w:val="en-US" w:eastAsia="en-US" w:bidi="ar-SA"/>
          </w:rPr>
          <w:t>[1990] 2 S.C.R. 633</w:t>
        </w:r>
      </w:hyperlink>
      <w:r>
        <w:rPr>
          <w:rFonts w:ascii="arial" w:eastAsia="arial" w:hAnsi="arial" w:cs="arial"/>
          <w:color w:val="000000"/>
          <w:sz w:val="20"/>
          <w:lang w:val="en-US" w:eastAsia="en-US" w:bidi="ar-SA"/>
        </w:rPr>
        <w:t xml:space="preserve">, it is appropriate that those who cause harm intentionally should be punished more severely than those who cause harm inadvertently. Moreover, the constitutionality of crimes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also subject to the caveat that acts of ordinary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not suffice to justify imprisonment: R. v. City of Sault Ste. Marie, </w:t>
      </w:r>
      <w:hyperlink r:id="rId513" w:history="1">
        <w:r>
          <w:rPr>
            <w:rFonts w:ascii="arial" w:eastAsia="arial" w:hAnsi="arial" w:cs="arial"/>
            <w:i/>
            <w:color w:val="0077CC"/>
            <w:sz w:val="20"/>
            <w:u w:val="single"/>
            <w:shd w:val="clear" w:color="auto" w:fill="FFFFFF"/>
            <w:lang w:val="en-US" w:eastAsia="en-US" w:bidi="ar-SA"/>
          </w:rPr>
          <w:t>[1978] 2 S.C.R. 1299</w:t>
        </w:r>
      </w:hyperlink>
      <w:r>
        <w:rPr>
          <w:rFonts w:ascii="arial" w:eastAsia="arial" w:hAnsi="arial" w:cs="arial"/>
          <w:color w:val="000000"/>
          <w:sz w:val="20"/>
          <w:lang w:val="en-US" w:eastAsia="en-US" w:bidi="ar-SA"/>
        </w:rPr>
        <w:t xml:space="preserve">; R. v. Sansregret, </w:t>
      </w:r>
      <w:hyperlink r:id="rId514" w:history="1">
        <w:r>
          <w:rPr>
            <w:rFonts w:ascii="arial" w:eastAsia="arial" w:hAnsi="arial" w:cs="arial"/>
            <w:i/>
            <w:color w:val="0077CC"/>
            <w:sz w:val="20"/>
            <w:u w:val="single"/>
            <w:shd w:val="clear" w:color="auto" w:fill="FFFFFF"/>
            <w:lang w:val="en-US" w:eastAsia="en-US" w:bidi="ar-SA"/>
          </w:rPr>
          <w:t>[1985] 1 S.C.R. 570</w:t>
        </w:r>
      </w:hyperlink>
      <w:r>
        <w:rPr>
          <w:rFonts w:ascii="arial" w:eastAsia="arial" w:hAnsi="arial" w:cs="arial"/>
          <w:color w:val="000000"/>
          <w:sz w:val="20"/>
          <w:lang w:val="en-US" w:eastAsia="en-US" w:bidi="ar-SA"/>
        </w:rPr>
        <w:t xml:space="preserve">. To put it in the terms used in Hundal,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constitute a "marked departure" from the standard of the reasonable person. The law does not lightly brand a person as a criminal.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of the law to the facts</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Dangerous driving causing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Crown submits that Mr. McAndrew did not meet the standard of care of a prudent driver when he failed to notice the curve to the west created by the upgrade of Ord Road and the reconfigured intersection, and drove straight off onto the frozen shoulder of the road and up the berm. Based on Cst. Poitras' time-distance scenarios, Crown counsel submits that Mr. McAndrew should have become aware of the changes to the road in at least three places: the railroad tracks, the double solid lines and the change in the road surface when his vehicle left the asphalt pavement. Had he taken appropriate evasive action at any of those points in the road, Mr. McAndrew could have avoided the accident that took the life of the young woman. He could also have avoided the accident as late as when his vehicle hit the dirt shoulder of the road, if he had steered away from the berm rather than braked.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Crown relies on Mr. McAndrew's inadvertence in failing to notice the right-hand curve in the road as determinative of the mens rea requirement that his driving constituted a marked departure from the standard of care of a reasonable driver. In the absence of any explanation for Mr. McAndrew's negligent driving such an inference could reasonably be drawn. There is no doubt that his failure to notice the curve in the road meets the civil standard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 as the standard of careless driving under the provincial Motor Vehicle Act. However, in the criminal context the court must examine the explanation provided by Mr. McAndrew for his inadvertence in order to determine if the mens rea requirement for the offence has been established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McAndrew's explanation is found in the evidence of the husband. After arriving at his friend's house in a distraught state, Mr. McAndrew told the husband that he had not realized the road had been changed and a berm installed on the straight through portion of the old road. This explanation is supported by the lack of evidence of any evasive manoeuvre before the berm and by Mr. McAndrew's calculated constant rate of speed of 53 kph. Both factors suggest that Mr. McAndrew believed he was on the old road. His only evasive action was to brake when his vehicle hit the berm.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court must next assess the reasonableness of Mr. McAndrew's explanation for his inadvertence. Cst. Poitras conceded that the lack of artificial lighting on the west side of Ord Road and the lack of signage for the right-hand curve, might have given the impression that the road continued on straight for southbound Ord Road traffic rather than curving to the right. This perception, in his view, was reasonably possible given the time of day, the lack of lighting and signage, and the recent reconfiguration of the road. While Mr. McAndrew's failure to notice the curve in the road was negligent, his belief that he was driving the old road instead of the new road was one that could reasonably exist in the particular circumstances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reasonableness of Mr. McAndrew's belief is critical to determining whether the mens rea for the offence of dangerous driving has been established beyond a reasonable doubt. If his belief was reasonably possible in the circumstances, the modified objective test requires the court to examine the manner of Mr. McAndrew's driving in the context of how he perceived the road to be. The court must assess whether his driving in that context was a marked departure from the standard of care of a reasonable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manner of Mr. McAndrew's driving on what he thought was a straight through road cannot be said to have been objectively dangerous. He drove over the railroad tracks in a controlled manner. He was not speeding. There was no evidence that alcohol was a contributing factor to the accident. Although he crossed the double solid lines, that infraction did not pose any danger as there was little if any traffic on the road at the early hour of the morning. Cst. Poitras acknowledged that a momentary lapse might cause a driver to miss seeing the double solid lines. He also acknowledged that Mr. McAndrew might not have noticed the change from the paved road to the gravel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Accepting that Mr. McAndrew missed the curve in the road because he believed the road continued straight, in Cst. Poitras' view Mr. McAndrew's manner of driving did not meet the standard of care of a reasonable driver when he failed to take the appropriate evasive action upon reaching the dirt shoulder. In his view, Mr. McAndrew could have avoided the accident if at that point he had steered away from the berm rather than braked.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have concluded, however, that having reached the dirt shoulder before realizing the road had been changed, Mr. McAndrew's momentary lapse of judgement within .33 of a second does not meet the criminal standard of recklessness required to establish the offence of dangerous driving beyond a reasonable doubt. While his inadvertence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him to miss the curve, that inadvertence was reasonably possible in the circumstances of the reconfigured intersection. The manner of his driving was not objectively dangerous except for his split second decision to brake rather than steer away from the berm when he finally saw it. In these circumstances, I am unable to conclude beyond a reasonable doubt that Mr. McAndrew's driving constituted a marked departure from the standard of care of a reasonable driver when viewed in the context of how he perceived the road to be and in his instantaneous reaction upon being faced with the impending danger of the berm. Accordingly, Mr. McAndrew must be acquitted of this count in the indictment.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Obstruction of justice 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remaining count of obstruction of justice relates to the washing of the clothes worn by Mr. McAndrew on the night of the accident. The Crown alleges that Mr. McAndrew intentionally caused those clothes to be washed in order to dispose of any potential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Crown acknowledges the wife's evidence does not support such an allegation beyond a reasonable doubt. The evidence indicates that it was the husband's idea for Mr. McAndrew to change his clothes and the wife, not appreciating the significance of that evidence, acted out of kindness and washed his clothes.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Instead, the Crown relies on the evidence of the police officer who executed the search warrant. Counsel submits that after the police explained to Mr. McAndrew they were there to seize the clothing he had been wearing the night of the accident, Mr. McAndrew responded by telling the officer they already had all of the clothing he had been wearing that night. Based on that alleged representation, the Crown submits that Mr. McAndrew intentionally misled the police with respect to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However, a careful examination of a transcript of the officer's testimony does not support the Crown's submission that Mr. McAndrew made such a representation. When the officer explained to Mr. McAndrew that they were there to seize the clothing he had been wearing the night of the accident there is no evidence that Mr. McAndrew responded in the manner suggested, if indeed he responded at all. The only representation made by Mr. McAndrew regarding the jacket seized was that he had worn it during an earlier assault incident which was how some blood came to be on it. When that representation was investigated by the police, it proved to be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my view, the suggested evidence relied upon by the Crown to establish the charge of obstruction of justice does not exist and therefore the Crown has failed to prove beyond a reasonable doubt the offence as alleged. Accordingly, Mr. McAndrew is acquitted on that 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result, Mr. McAndrew is convicted of one count of leaving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SMITH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January 21,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is a corrigendum to my Reasons for Judgment dated January 20,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In paragraph 65 of my Reasons I refer to "Mr. Andrew's belief" and that should read "Mr. McAndrew's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2" style="position:absolute;z-index:2518415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Secord v. Doulis, [2002] B.C.J. No. 960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B973247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960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675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113 A.C.W.S. (3d) 219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[2002] B.C.T.C. 675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Jonah Gordon Secord, plaintiff, and Alexis George Doulis and Judith Thorne Doulis,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3"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8" w:name="Keywords_30"/>
      <w:bookmarkEnd w:id="218"/>
      <w:r>
        <w:rPr>
          <w:rFonts w:ascii="arial" w:eastAsia="arial" w:hAnsi="arial" w:cs="arial"/>
          <w:b/>
          <w:color w:val="000000"/>
          <w:sz w:val="20"/>
          <w:lang w:val="en-US" w:eastAsia="en-US" w:bidi="ar-SA"/>
        </w:rPr>
        <w:t>Practice — Costs — Party and party costs — Successful party, exceptions — Special orders — Limiting rules or orders.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9" w:name="Case Summary_24"/>
            <w:bookmarkEnd w:id="2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to determine whether Secord was entitled to recover more than 20 per cent of his costs following a jury's decision that Doulis was 20 per cent liable for the injuries sustained by Secord when he was struck by Doulis's vehicle. Secord was intoxicated and crossing the intersection against a red light when he was struck by Doulis's vehicle. The only issue at trial was whether Doulis was speeding and should have been able to avoid Secord. Doulis's insurer adamantly denied all liability throughout and threatened to counterclaim for damages to Doulis's vehicle if Secord pursued its claim. Despite the fact that there was a witness statement which indicated that Doulis's vehicle was travelling about 75 kilometres per hour and speeding up, Doulis maintained that there was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Doulis chose to have the issue of liability determined by a jury. Secord argued that it was unfair that he should only recover 20 per cent of his costs given these factors and the fact that he was forced to go to trial 51/2 years after the accident to obtain any recovery. Secord rejected a last minute settlement offer by Doulis.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0" w:name="Holdings of Court_19"/>
            <w:bookmarkEnd w:id="220"/>
            <w:r>
              <w:rPr>
                <w:rFonts w:ascii="arial" w:eastAsia="arial" w:hAnsi="arial" w:cs="arial"/>
                <w:color w:val="000000"/>
                <w:sz w:val="20"/>
                <w:lang w:val="en-US" w:eastAsia="en-US" w:bidi="ar-SA"/>
              </w:rPr>
              <w:t>HELD: Application granted and Secord was entitled to receive 100 per cent of his taxable costs and disbursements as well as the costs of the application.</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appropriate to stray from the usual principle that Doulis was only responsible for Secord's costs in the same proportion as he was liable for Secord's injuries. Secord's injuries were serious and he was impecunious. The difficulty that Secord experienced in pursuing his claim and the lack of any meaningful settlement attempts by Doulis were important factors in determining whether it would be unfair to award Secord only 20 per cent of his costs. It was not unreasonable for Secord to reject the settlement offer on the eve of trial. Accordingly, it was unjust for Secord to recover less than 100 per cent of his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1" w:name="Legislation Cited_21"/>
      <w:bookmarkEnd w:id="2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4"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3, 3(1).</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August 13, 2002. See </w:t>
            </w:r>
            <w:hyperlink r:id="rId522" w:history="1">
              <w:r>
                <w:rPr>
                  <w:rFonts w:ascii="arial" w:eastAsia="arial" w:hAnsi="arial" w:cs="arial"/>
                  <w:i/>
                  <w:color w:val="0077CC"/>
                  <w:sz w:val="18"/>
                  <w:u w:val="single"/>
                  <w:shd w:val="clear" w:color="auto" w:fill="FFFFFF"/>
                  <w:lang w:val="en-US" w:eastAsia="en-US" w:bidi="ar-SA"/>
                </w:rPr>
                <w:t>[2002] B.C.J. No. 1870</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2" w:name="Counsel_30"/>
      <w:bookmarkEnd w:id="2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5"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Robert C. Brun, for the plaintiff. Mary-Helen Wright,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3" w:name="Judgment_29"/>
      <w:bookmarkEnd w:id="223"/>
      <w:r>
        <w:pict>
          <v:line id="_x0000_s1176" style="position:absolute;z-index:2518425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4" w:name="ALLAN J."/>
            <w:bookmarkEnd w:id="224"/>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Secord, was seriously injured when he was struck by a vehicle driven by the defendant, Mr. Doulis, in the intersection at Davie and Howe Streets in Vancouver on November 25, 1995. It was admitted that the plaintiff was intoxicated and crossing the intersection against a red light. Mr. Doulis clearly had the right of way and the only live issues were whether he was speeding and should have been able to avoid Mr. Secord. In September 2001, a jury found the plaintiff to be 80% at fault and the defendant to be 20%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application was brought to determine whether the plaintiff should recover more than 20% of his taxable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Section 3(1)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(the "Act"), provides that "unless the court otherwise directs, the liability for costs of the parties to every action is in the same proportion as their respective liability to make good the damage or loss"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It is settled law that where, as here, the defendant suffered no damage or loss, and liability was divided, the plaintiff is not liable to pay any portion of the defendant's costs: Flatley v. Denike </w:t>
      </w:r>
      <w:hyperlink r:id="rId390" w:history="1">
        <w:r>
          <w:rPr>
            <w:rFonts w:ascii="arial" w:eastAsia="arial" w:hAnsi="arial" w:cs="arial"/>
            <w:i/>
            <w:color w:val="0077CC"/>
            <w:sz w:val="20"/>
            <w:u w:val="single"/>
            <w:shd w:val="clear" w:color="auto" w:fill="FFFFFF"/>
            <w:lang w:val="en-US" w:eastAsia="en-US" w:bidi="ar-SA"/>
          </w:rPr>
          <w:t>(1997), 32 B.C.L.R. (3d) 97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Flatley, McEachern C.J., speaking on behalf of a panel of five judges, held that an award of costs to an uninjured party was an error in law in the construction of s. 3 of the Act. It was held that a defendant must pay the plaintiff the same proportion of the plaintiff's costs as the defendant is liable for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Applying that principle to this case, the defendant would pay 20% of the plaintiff's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Brown v. Black Top Cabs Ltd. </w:t>
      </w:r>
      <w:hyperlink r:id="rId523" w:history="1">
        <w:r>
          <w:rPr>
            <w:rFonts w:ascii="arial" w:eastAsia="arial" w:hAnsi="arial" w:cs="arial"/>
            <w:i/>
            <w:color w:val="0077CC"/>
            <w:sz w:val="20"/>
            <w:u w:val="single"/>
            <w:shd w:val="clear" w:color="auto" w:fill="FFFFFF"/>
            <w:lang w:val="en-US" w:eastAsia="en-US" w:bidi="ar-SA"/>
          </w:rPr>
          <w:t>(1997), 43 B.C.L.R. (3d) 76</w:t>
        </w:r>
      </w:hyperlink>
      <w:r>
        <w:rPr>
          <w:rFonts w:ascii="arial" w:eastAsia="arial" w:hAnsi="arial" w:cs="arial"/>
          <w:color w:val="000000"/>
          <w:sz w:val="20"/>
          <w:lang w:val="en-US" w:eastAsia="en-US" w:bidi="ar-SA"/>
        </w:rPr>
        <w:t xml:space="preserve"> (C.A.), a panel of five judges reaffirmed that principle. The Court rejected the plaintiff's argument that because she was impecunious and unemployable, she should receive 100% of her costs even though she was 60% liable for a motor vehicle accident. The Court held, at p. 79, that such a discretionary award of costs "seeks to elevate needy circumstances to a principle of law." The considerations to be borne in mind arise from the nature and conduct of the litigation and not from the personal characteristics and circumstances of the litigants.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Tompkins v. Barden </w:t>
      </w:r>
      <w:hyperlink r:id="rId524" w:history="1">
        <w:r>
          <w:rPr>
            <w:rFonts w:ascii="arial" w:eastAsia="arial" w:hAnsi="arial" w:cs="arial"/>
            <w:i/>
            <w:color w:val="0077CC"/>
            <w:sz w:val="20"/>
            <w:u w:val="single"/>
            <w:shd w:val="clear" w:color="auto" w:fill="FFFFFF"/>
            <w:lang w:val="en-US" w:eastAsia="en-US" w:bidi="ar-SA"/>
          </w:rPr>
          <w:t>(2000), 140 B.C.A.C. 75</w:t>
        </w:r>
      </w:hyperlink>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2000 BCCA 381</w:t>
        </w:r>
      </w:hyperlink>
      <w:r>
        <w:rPr>
          <w:rFonts w:ascii="arial" w:eastAsia="arial" w:hAnsi="arial" w:cs="arial"/>
          <w:color w:val="000000"/>
          <w:sz w:val="20"/>
          <w:lang w:val="en-US" w:eastAsia="en-US" w:bidi="ar-SA"/>
        </w:rPr>
        <w:t>, the Court confirmed that basing a decision on hardship was contrary to the principles in Brown v. Black 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Zeleniski Estate v. Fairway </w:t>
      </w:r>
      <w:hyperlink r:id="rId525" w:history="1">
        <w:r>
          <w:rPr>
            <w:rFonts w:ascii="arial" w:eastAsia="arial" w:hAnsi="arial" w:cs="arial"/>
            <w:i/>
            <w:color w:val="0077CC"/>
            <w:sz w:val="20"/>
            <w:u w:val="single"/>
            <w:shd w:val="clear" w:color="auto" w:fill="FFFFFF"/>
            <w:lang w:val="en-US" w:eastAsia="en-US" w:bidi="ar-SA"/>
          </w:rPr>
          <w:t>(1998), 114 B.C.A.C. 270</w:t>
        </w:r>
      </w:hyperlink>
      <w:r>
        <w:rPr>
          <w:rFonts w:ascii="arial" w:eastAsia="arial" w:hAnsi="arial" w:cs="arial"/>
          <w:color w:val="000000"/>
          <w:sz w:val="20"/>
          <w:lang w:val="en-US" w:eastAsia="en-US" w:bidi="ar-SA"/>
        </w:rPr>
        <w:t xml:space="preserve"> (C.A.), the Court of Appeal again applied and followed the principles in Brown. The Court stated that the trial judge's discretion to determine costs must be exercised judicially, not arbitrarily or capriciously, with due regard for judicial comity.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relies on a number of cases that have awarded full costs to the plaintiff notwithstanding a division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Shahidi v. Oppersma </w:t>
      </w:r>
      <w:hyperlink r:id="rId526" w:history="1">
        <w:r>
          <w:rPr>
            <w:rFonts w:ascii="arial" w:eastAsia="arial" w:hAnsi="arial" w:cs="arial"/>
            <w:i/>
            <w:color w:val="0077CC"/>
            <w:sz w:val="20"/>
            <w:u w:val="single"/>
            <w:shd w:val="clear" w:color="auto" w:fill="FFFFFF"/>
            <w:lang w:val="en-US" w:eastAsia="en-US" w:bidi="ar-SA"/>
          </w:rPr>
          <w:t>(1999), 64 B.C.L.R. (3d) 336</w:t>
        </w:r>
      </w:hyperlink>
      <w:r>
        <w:rPr>
          <w:rFonts w:ascii="arial" w:eastAsia="arial" w:hAnsi="arial" w:cs="arial"/>
          <w:color w:val="000000"/>
          <w:sz w:val="20"/>
          <w:lang w:val="en-US" w:eastAsia="en-US" w:bidi="ar-SA"/>
        </w:rPr>
        <w:t xml:space="preserve"> (S.C.) it does not appear that the Brown case was cited to the trial judge and, in a later case, Ballingall v. Shaw, </w:t>
      </w:r>
      <w:hyperlink r:id="rId527" w:history="1">
        <w:r>
          <w:rPr>
            <w:rFonts w:ascii="arial" w:eastAsia="arial" w:hAnsi="arial" w:cs="arial"/>
            <w:i/>
            <w:color w:val="0077CC"/>
            <w:sz w:val="20"/>
            <w:u w:val="single"/>
            <w:shd w:val="clear" w:color="auto" w:fill="FFFFFF"/>
            <w:lang w:val="en-US" w:eastAsia="en-US" w:bidi="ar-SA"/>
          </w:rPr>
          <w:t>[2001] B.C.J. No. 2448</w:t>
        </w:r>
      </w:hyperlink>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2001 BCSC 1595</w:t>
        </w:r>
      </w:hyperlink>
      <w:r>
        <w:rPr>
          <w:rFonts w:ascii="arial" w:eastAsia="arial" w:hAnsi="arial" w:cs="arial"/>
          <w:color w:val="000000"/>
          <w:sz w:val="20"/>
          <w:lang w:val="en-US" w:eastAsia="en-US" w:bidi="ar-SA"/>
        </w:rPr>
        <w:t>, the trial judge distinguished the circumstances in Shahidi from those in Ballingall. He noted that in Shahidi, there were special circumstances: the usual rule would result in an injustice; the plaintiff was seriously injured and the defendant was not injured; the defendant made no claim for damage or loss; and there was no counterclaim, no payment into court, and no offer of settlement made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Tourigny v. McSween (1998), 20 C.P.C. (4th) 136 (B.C.S.C.) the trial judge held that the plaintiff's injury and financial position were not adequate grounds for the Court to exercise its discretion to vary from the usual order. However, the plaintiff had been forced to prosecute his case due to the defendant's failure to make a reasonable offer of settlement. An offer made the day of trial was for an amount far less than that recovered by the plaintiff at trial. The Court concluded that it would be unjust to deny the plaintiff his full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Cooper v. Spectra Food Corp., </w:t>
      </w:r>
      <w:hyperlink r:id="rId528" w:history="1">
        <w:r>
          <w:rPr>
            <w:rFonts w:ascii="arial" w:eastAsia="arial" w:hAnsi="arial" w:cs="arial"/>
            <w:i/>
            <w:color w:val="0077CC"/>
            <w:sz w:val="20"/>
            <w:u w:val="single"/>
            <w:shd w:val="clear" w:color="auto" w:fill="FFFFFF"/>
            <w:lang w:val="en-US" w:eastAsia="en-US" w:bidi="ar-SA"/>
          </w:rPr>
          <w:t>[1999] B.C.J. No. 480</w:t>
        </w:r>
      </w:hyperlink>
      <w:r>
        <w:rPr>
          <w:rFonts w:ascii="arial" w:eastAsia="arial" w:hAnsi="arial" w:cs="arial"/>
          <w:color w:val="000000"/>
          <w:sz w:val="20"/>
          <w:lang w:val="en-US" w:eastAsia="en-US" w:bidi="ar-SA"/>
        </w:rPr>
        <w:t xml:space="preserve"> (S.C.), the plaintiff recovered full costs, but she had made a formal offer to settle and exceeded that amount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 have also considered the recent decision of our Court of Appeal in Forsyth v. Sikorsky Aircraft Corp. </w:t>
      </w:r>
      <w:hyperlink r:id="rId397" w:history="1">
        <w:r>
          <w:rPr>
            <w:rFonts w:ascii="arial" w:eastAsia="arial" w:hAnsi="arial" w:cs="arial"/>
            <w:i/>
            <w:color w:val="0077CC"/>
            <w:sz w:val="20"/>
            <w:u w:val="single"/>
            <w:shd w:val="clear" w:color="auto" w:fill="FFFFFF"/>
            <w:lang w:val="en-US" w:eastAsia="en-US" w:bidi="ar-SA"/>
          </w:rPr>
          <w:t>[2002] B.C.J. No. 697</w:t>
        </w:r>
      </w:hyperlink>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2002 BCCA 231</w:t>
        </w:r>
      </w:hyperlink>
      <w:r>
        <w:rPr>
          <w:rFonts w:ascii="arial" w:eastAsia="arial" w:hAnsi="arial" w:cs="arial"/>
          <w:color w:val="000000"/>
          <w:sz w:val="20"/>
          <w:lang w:val="en-US" w:eastAsia="en-US" w:bidi="ar-SA"/>
        </w:rPr>
        <w:t>. The Court upheld an order awarding four plaintiffs 100% of their costs in an action in which the defendants had been held 50% liable for the plaintiffs' losses and three of the four plaintiffs had been held contributorily negligent. In a lengthy decision, the Court reviewed the relevant cases preceding and following "the usual rule" enunciated in Flatley, supra. Madam Justice Rowles, for the Court, stated that the trial judge did not misdirect himself in awarding the plaintiffs 100% of their costs. At paras. 40 and 41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respectful view, the trial judge did not misdirect himself when he considered the plaintiffs' application for 100% of their costs. In concluding that the plaintiffs ought to receive 100% of their costs, the trial judge took into account the seriousness of the injuries suffered by the plaintiffs in the accident, the difficulty facing the plaintiffs in establishing liability, and the fact that in settlement negotiations the amount the defendants offered was substantially below the ultimate award.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implicit in the trial judge's reasons that, on weighing the factors he mentioned, his overall conclusion was that the application of the usual or prima facie rule would result in an injustice to the plaintiffs in the circumstances of this case. It seems to me that an examination of the effect of the trial judge's ruling provides support for 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case at bar, Mr. Secord suffered serious injuries. The defendants' insurer adamantly denied all liability. The ICBC claims examiner stated, in a letter to Mr. Secord's solicitors in January 1996: "At present, it seems clear your client is 100% responsible for his own injuries. ...The Police are satisfied that Mr. Doulis, our insured driver, did nothing wrong. He wasn't speeding" (emphasis added). He expressed sympathy for the plaintiff's injuries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practice to strive for a negotiated settlement when there is some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 insured. Where there is no evidence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a straight denial, and early fair warning that if a client pursues litigation regardless of the early evidence and eventually quits suit or has an action dismissed, the defence will pursue its costs and disbursements. As well, in this case, there is a fair amount of damage to the Doulis vehicle. The full repair cost was $2,678.54. ... your client should be aware that a writ will no doubt generate a counter-claim greater than just the repair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author invited the plaintiff's lawyers to advise him of any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you have any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Doulis, then I would certainly appreciate knowledge of same early on. Obviously, it will mean a change in position on my part.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fact, when the adjuster wrote that letter, he had in his possession a witness statement from a Mrs. Bird, who stated that Mr. Doulis had passed her prior to the collision. She stated: "I would estimate the vehicle's speed at about 75 kmh, and I saw the vehicle was continuing to speed up." Nevertheless, the defendants continued to deny any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Two business days before the trial commenced, the same adjuster made an informal offer to settle the Mr. Secord's claims. Mr. Brun says that he engaged in some unsuccessful negotiations with the adjuster over the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Brun concedes that in 1999, defence counsel suggested severing the issues of liability and quantum, thus saving considerable expense. Of course, the defendant also benefited from that saving.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clear that sympathy for the plaintiff's injuries and impecuniousity cannot justify an award of full costs and disbursements. However, I consider the following additional factors to be relevant in this case:</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his pleadings, Mr. Secord alleged that the collision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Doulis; the defendants replied that the collision was caused by Mr. Secord's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 the alternative, that Mr. Secord was contributorily negligent.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insurer took the position from the beginning that the plaintiff was 100% liable for the accident and threatened to counterclaim if the plaintiff pursued an action.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denied that there was any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notwithstanding the existence of the Bird witness statement.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chose to have the issue of liability determined by a jury.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admitted at the start of the trial that Mr. Secord was partly to blame for the accident - he was drunk and had crossed against he lights. Thus the only issue before the jury was speed.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Secord was forced to go to trial five and a half years after the accident in order to obtain any recovery at all. It was not unreasonable to reject a settlement offer on the eve of trial.</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only evidence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Doulis arose from the evidence of Mrs. Bird, whose statement ICBC had obtained within days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those circumstances, I conclude that it would be unjust for Mr. Secord to receive less than 100% of his taxable costs and disbursements. The plaintiff is also entitled to the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7"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Secord v. Global Securities Corp., [2000] B.C.J. No. 2096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4 - 7, 10 - 13 and 17 - 20,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C966584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2096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1544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81 B.C.L.R. (3d) 235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B.L.R. (3d) 238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100 A.C.W.S. (3d) 370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Mary I. Secord and No. 299 Sailview Ventures Ltd., plaintiffs, and Global Securities Corporation, Robert Semple and Robert Tassone,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8"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5" w:name="Keywords_31"/>
      <w:bookmarkEnd w:id="225"/>
      <w:r>
        <w:rPr>
          <w:rFonts w:ascii="arial" w:eastAsia="arial" w:hAnsi="arial" w:cs="arial"/>
          <w:b/>
          <w:color w:val="000000"/>
          <w:sz w:val="20"/>
          <w:lang w:val="en-US" w:eastAsia="en-US" w:bidi="ar-SA"/>
        </w:rPr>
        <w:t xml:space="preserve">Professional occupations — Investments counsellors, management consultants, etc.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Advice, duty of care —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6" w:name="Case Summary_25"/>
            <w:bookmarkEnd w:id="2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Secord and Sailview Ventures against Global Securities, Semple and Tassone for damages for trading losses. Secord owned Sailview. Her net worth was $6 million. Semple and Tassone were investment advisors employed by Global. Secord received substantial assets through her divorce settlement. Semple became her investment manager. She told Semple that she wanted to have a conservative investment strategy, that she was inexperienced and that she was relying on him for his expertise. Separate accounts were opened for Secord and Sailview. Tassone was Semple's partner and was involved in the management of the accounts. Semple persuaded Secord to try some options trading. Secord was told by Semple and Tassone that options were risk-free. Secord instructed Global not to send her shareholder mailings from companies. She wanted to continue to receive confirmation slips and statements of account. Semple and Tassone delivered these items to her. Secord became unhappy with the performance of the account. She stopped the options trading and closed her accounts with Global. She then realized that the accounts had declined by $430,000. Secord and Sailview sought $386,000 for the lost opportunity to invest the funds elsewhere, and for punitive or aggravated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7" w:name="Holdings of Court_20"/>
            <w:bookmarkEnd w:id="22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Sailview was awarded damages of $50,000 Canadian and $107,500US. The defendants breached their fiduciary and contractual duties. They did not act in the plaintiffs' best interests when they brought them into options trading. Their advice was not given with sufficient care and they breached their duty of care. They further failed to provide Secord with advice and education as she built her portfolio. Global was vicariously liable for the acts of Semple and Tassone. It breached its duty of care by failing to properly supervise Semple and Tassone. The plaintiffs' damages had to be calculated as of the date of transfer of the funds from Global. After that date, the plaintiffs were obligated to mitigate their damages. The net loss of capital for Sailview was $107,500 US. This was the sum of the actual loss of capital from the options and the loss of capital from the drop in the value of the underlying equities. Sailview was awarded $30,000 for compensation for lost opportunities. This sum was modest because of the risks inherent in any equity portfolio. The defendants did not earn the commissions paid for options trading because of their breaches. Sailview was awarded $20,000 as compensation for the commissions that were attributable to options trading. Punitive or aggravated damages were not awarded. The defendants' conduct was not so outrageous that they required deterrence.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8" w:name="Counsel_31"/>
      <w:bookmarkEnd w:id="2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9"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M.G. Madryga and John Boyd, for the plaintiffs. H. Wiebach and Will Roberts,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9" w:name="Judgment_30"/>
      <w:bookmarkEnd w:id="229"/>
      <w:r>
        <w:pict>
          <v:line id="_x0000_s1180" style="position:absolute;z-index:2517934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0" w:name="C.L. SMITH J."/>
            <w:bookmarkEnd w:id="230"/>
            <w:r>
              <w:rPr>
                <w:rFonts w:ascii="arial" w:eastAsia="arial" w:hAnsi="arial" w:cs="arial"/>
                <w:b/>
                <w:color w:val="000000"/>
                <w:sz w:val="30"/>
                <w:lang w:val="en-US" w:eastAsia="en-US" w:bidi="ar-SA"/>
              </w:rPr>
              <w:t>C.L. SMITH J.</w:t>
            </w:r>
          </w:p>
        </w:tc>
      </w:tr>
    </w:tbl>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Mary Secord is the owner of the plaintiff No. 299 Sailview Ventures Ltd. ("Sailview"). She has a substantial portfolio of investments, some of which are in Sailview as her holding company. The defendants Robert Semple and Robert Tassone are investment advisors employed by the defendant Global Securities Corporation ("Global"). Ms. Secord placed some of her and Sailview's holdings (eventually several million dollars) in accounts with Global between November 1994 and August 1996. In February 1995 some of the plaintiffs' funds began to be used for options trading. Although initially the investments did well and produced profits in the accounts, in late 1995 the Sailview accounts, in particular, began to suffer losses. The total amounts transferred out by the plaintiffs in the end were less than those they originally transferred in. A major issue is whether the trading losses arose from any fault of the defendants, whether categorized as breach of fiduciary duty,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position is that there there was unauthorized trading and unsuitable investments, particularly in the Sailview options account. The defendants' position is that they fulfilled all of their duties to the plaintiffs. A second major issue is whether the plaintiffs are entitled to any damages even if there was a breach. The plaintiffs' position is that their losses should be measured from the date when Ms. Secord transferred the accounts to another broker, and they claim damages both for the difference between the value of the Global accounts at opening and at closing, and for the lost opportunity to invest those funds and obtain appropriate returns from them. The defendants' position is that the plaintiffs have suffered no losses because some of the shares in their accounts, acquired under the defendants' auspices, had greatly appreciated in value by the date of trial.</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I must decide are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duties did the defendants owe to the plaintiffs?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defendants breach any duties (contractual, fiduciary 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owed to the plaintiffs?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were any breaches of duty, did any damages flow from them?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damages did flow from breaches of duty by the defendants, what is the measure of those damages?</w:t>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My review of the evidence in this section will include findings of fact with respect to issues where the evidence was basically not in dispute. It will also include a review of the conflicting evidence on a number of issues. In the next section I will state my findings of fact in those areas of conflict.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Initial Meeting and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Mary Secord was divorced from her husband, a stockbroker, in 1990. He opened some accounts and managed them for her while they were married, but her evidence was that she did not personally gain much experience in trading in the stock market. In the divorce settlement, Ms. Secord acquired substantial assets. By the time she opened her accounts with Global in 1994 she had a net worth of $5 - $6 million dollars, about half in real estate and half in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Her personal circumstances in 1994 were that she had four children, two of whom were attending college or university and two in school. She was not employed and did not have the means of earning comparable wealth to that which she acquired in the divorce settlement. She intended to live off her investments for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Secord had previously dealt with RBC Dominion Securities. Most of her investments were in bonds. The bond market did badly in 1994 and Ms. Secord, unhappy with that fact and with what she felt was patronizing treatment from her broker, determined to find a new broker and to put some of her money into equities. As well, Ms. Secord had sold a revenue property and put the approximately $600,000 proceeds into her holding company, Sailview. She testified that she wanted that money to go into safe income-producing investments so that when the real estate market went down again she could quickly buy back in. Her friend, Lee Houghton, a real estate agent who had done business for Ms. Secord, recommended a friend, Robert Semple.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Robert Semple holds a M.B.A. and worked in business for a number of years. In his late 40's he moved into the securities trading field. He started with Global in 1994. Mary Secord was one of his first clients, and because of the size of her holdings, became the most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They met and had a fairly lengthy discussion. Ms. Secord testified that she explained her current situation and priorities, including her wish to keep the Sailview holdings separate and liquid. Mr. Semple's evidence was that Ms. Secord conveyed to him that she had been an investor for some period of time, was conversant with the workings of the market, and was looking to work with someone who would be able to increase her knowledge in the market. One of her prime goals, he said, was to participate in the decision-making in her accounts. He agreed that Ms. Secord told him she had sold a piece of real estate in her holding company and that she wanted to invest the proceeds, planning to get back into the real estate market not immediately but in the future through the holding company. He testified that Ms. Secord wanted to move toward an equity portfolio and participate in the decision-making about it, that she told him she had a TD Greenline account that she managed herself and a number of fairly substantial positions in equities, and that she conveyed that she wanted an overall analysis of her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their initial meeting, he wrote a letter dated November 18, 1994 in which he set out his understanding of her situation and priorities. It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approach to your financial management will be to include you in all discussions relating to your portfolio investment decisions. It is my firm belief that by taking a more interactive part in these decisions, you will increase your own knowledge of the workings of the investment world and will become less dependent on others for all of your investment advice. I believe that, in the long run, you will find this to be a far more satisfying solution.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basic objectives as outlined by yourself are: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You are wanting to better understand your portfolio situation.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Your present budget is met by your current income level.</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You are wanting to free up your time and remove the smaller disturbances so that you can enjoy such pursuits as painting.</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You are generally content with your present lifestyle and do not expect to make any significant changes in the near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attachment to the letter, Mr. Semple recommended that Ms. Secord open a trading account with Global in which she would invest the funds from the sale of the real estate (she notes on her copy beside this item "S.V.V. Ltd."), and move her RRSP account to Global. Below those two recommendations Mr. Semple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Note: It is my opinion that many of the above investments should be carefully examined, in light of your new financial decisions, and that we should work together to manage these funds to produce better returns while remaining relatively risk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concluded this section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assist you in implementing this program. I am only a phone call away. Following this program will increase returns (Quicker growth), simplify the whole process significantly, and allow you to take on a more strategically active part in your investment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Semple agreed that Ms. Secord made it clear to him that she saw their relationship as teacher and student and that he took on that assignment. He testified that he knew that she was living off her investments and that preservation of them was her most important objective. He testified, however, that in his view capital preservation does not mean the same thing to all clients, but depends on their individual circumstances. He summarized his core recommendations to Ms. Secord: she should make a slow move from the bond portfolio into a well-chosen blue-chip equity portfolio, gaining knowledge as she went along with his assistance. He said that he discussed risk, which he described as a "somewhat subjective topic". He testified that he told Ms. Secord that statistically, equities have a better rate of return over the long term (5 - 25 years) than bonds. She was familiar with the word "volatility", he said, and he told her that volatility is greater the shorter the length of time that you measure. He swore that he formed the view, without any doubt, that Ms. Secord understood what was involved in purchasing equities.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Secord testified that they also discussed commission rates, and that Mr. Semple said she would be charged .6 of 1% on a per transaction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Trading in options was not discussed at the first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Secord decided to invest the Sailview funds, and an initial $200,000 - $300,000 of her personal funds, through Global. The plaintiffs each opened Canadian and U.S. dollar margin-long and margin-short accounts with Global. Ms. Secord opened an R.R.S.P. account as well. The Account Information Forms described Ms. Secord's investment experience as "moderate" except with respect to options and commodities and futures, where her experience was described as "none". Her investment objectives were stated to be fifty percent capital preservation, forty percent moderate growth and ten percent speculative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Account Information Form for Sailview leaves blank the spaces for the experience of the investor and the investment objectives. Mr. Semple's evidence was that this reflected the fact that it was an adjunct, her holding company, and updated information was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Account Information Form includes a section headed "National Policy Statement #41 -- Form C -- Shareholder Communication Instructions" in which the account holder is asked to indicate whether she wishes to receive information from companies whose shares she holds. On her personal form Ms. Secord chose the second option, which stated, "I do not wish to exercise the right to vote and to receive material relating to annual or special meetings of security holders, or audited annual financial statements." She also indicated that she did not wish Global to disclose her name, address and security holdings to the issuer of the securities or other sender of material required by law to be delivered to her. Those portions of the Sailview Account Information Form are left blank.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agreement between client and firm contained in the "Client Account Agreement" attached to the form provides for deemed ratification of transactions. Paragraph 3.10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transaction referred to in a confirmation of transaction sent by GSC to the Client will be conclusively deemed to be authorized, ratified and confirmed by the Client, and every confirmation of a transaction will be conclusively deemed to be correct (except for any amount or security improperly credited to the Account) unless GSC receives notice in writing from the Client within 15 days from the time the confirmation was mailed or otherwise sent to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Secord testified that she was aware that she had a certain amount of time within which she could object to a trade and that thereafter she was bound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Secord also signed a "Customer's Cash/Margin Agreement" for herself and for Sailview, and a guarantee by herself of the Sailview account. Her evidence was that none of these documents was discussed or explained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a question on the form in which the client indicates whether she has authorized an employee of Global to use discretion in handling the account. For both Ms. Secord and Sailview the answer was "No". Ms. Secord swore she did not give any discretion to the defendants. Mr. Semple testified that "discretion" means that the client has allowed the advisor to make decisions without consultation with the client, and that he did not have, and still does not have, the authority to accept such discretion. He testified that he told Ms. Secord he could not take discretion and did not want it anyway. He swore that he told Ms. Secord that he would make recommendations, do analyses, do the leg work on any decisions that had to be made, and pass the information on to the client who makes the final decision on any investment. He testified that he thought he said to Ms. Secord, "I give the information, you make the decisions."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Initial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Semple recommended a number of stocks. His letter dated December 8, 1994,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find enclosed a list of the portfolio picks that we judge to be the best for your purposes. These are designed around the 299 Sail View account and your personal account and will be used to balance your overall portfolio.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portion of the overall portfolio would also be held in short term instruments for liquidity and to take advantage of any opportunities that might 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Secord testified she told Mr. Semple she wanted to hold larger numbers of fewer stocks because that would make it easier for her to get to know the stock and track it, and he agreed that would be a good idea. She testified she did not remember a discussion about the relative risk of that strategy. A certain number of investments were made, and Ms. Secord testified that up to January 1995 things were going as she expected, and that they seemed to be communicating very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March 1995 Ms. Secord transferred $1,000,000 from RBC Dominion to Yorkton Securities, and invested it there in mutual funds. Ms. Secord's evidence was that Mr. Semple was angry that she did not put the money with Global to invest; Mr. Semple's evidence was that he was not angry, but was astonished that the broker at Yorkton had put a client of this size into a deferred payment system when she could have done better to make a negotiated up-front payment. In any event, throughout their dealings there was a conflict between Mr. Semple's desire to take into account her total portfolio, including the mutual funds held at Yorkton, in achieving the desired balance in her holdings, and Ms. Secord's wish that Mr. Semple just deal with her personal accounts and the Sailview accounts and not concern himself with her other assets.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Involvement of Robert Tassone and Bruce McConnachie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second personal defendant, Robert Tassone, had done some stock analysis for Ms. Secord at the time she opened her first account with Global, but did not meet her until February, 1995. Mr. Tassone had achieved his Certified Financial Analyst designation in 1994. He was licensed to trade in securities and options, and had also been licensed to trade in commodities in Ontario. He had worked as a broker in 1989-90 at Midland Walwyn in Ontario. He started as a portfolio analyst with Global in 1994, became Mr. Semple's assistant in April 1995, and his partner in June,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cross-examination Mr. Tassone agreed that he had been disciplined in 1996 by the Toronto Stock Exchange pursuant to a settlement. I accepted evidence of the details of that matter not to support an inference that Mr. Tassone had misconducted himself in relation to the plaintiffs' accounts, but only for the limited purpose of assessing the plaintiffs' claim against Global that it had failed adequately to supervise its employees.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Bruce McConnachie and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Bruce McConnachie is a Director and Vice President of Global, and was the branch manager of the Delta office of Global at all relevant times. He was responsible for the supervision of the financial advisors working in that office. He said the compliance officer at the time of the events in question was Susan Jones, who is no longer with Global. Ms. Jones was not called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McConnachie on cross-examination said that Mr. Tassone had advised him of the difficulties he was having in Ontario and agreed that it is an industry standard that there must be closer supervision of persons who have had a history of questionable conduct. He said that what Mr. Tassone did would not fall within what he considered questionable conduct because of the nature of the settlement and the nature of the issue. He testified that he disagreed with Mr. Tassone about settling the Ontario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McConnachie agreed that he did not have regularly scheduled or formal reviews of Mr. Tassone.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Introduction of Options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Secord testified that Mr. Semple discussed options trading on several occasions and that initially she refused to get involved because, she said, "The only guy I knew who traded in options jumped out of tall buildings in a parachute". She testified that Mr. Semple said they are risk free, that you only "take in a little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early 1995 Mr. Semple persuaded Ms. Secord to try some options trading and accordingly she opened option accounts. Her evidence was that she believes she signed the application at the Global office in Ladner around February 10, 1995. She met there briefly with Wendell Nunes and Bruce McConnachie as well as with Mr. Semple. She testified that she was at the office 35 - 40 minutes, that there was not any greater detail in the discussion of options than had already taken place between herself and Mr. Semple, that the terms of the agreement were not explained to her before she signed and that no-one discussed any risks associated with options. She swore that in fact Mr. Semple said that options were risk free, and that Mr. Tassone, when she met him in April, reiterated that, saying they were risk free in the covered call situation. She said her understanding was that she would sell a call on stock she owned, thereby agreeing to sell it to the purchaser of the call at a price she would be happy to receive and taking in premium (the price for the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Secord's evidence was that she did not wish to trade options in Sailview, and believed that she had opened only a personal options account. Further, she said that she believed there would to be no trading in puts -- only sales of covered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McConnachie said he first met Ms. Secord when she opened the option account, and they spoke for about 30 seconds to a minute. He was asked whether he considered options trading to be a reasonable strategy for her, and answered that given her net worth and objectives, he would have thought it was quite appropriate. He was not present when options trading was explained to Ms. Secord.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McConnachie agreed that the Vancouver Stock Exchange policy is that the Designated Registered Options Principal must ensure that only registered individuals engage in trading or advising with respect to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February 10, 1995 Mr. Semple was not yet licensed to trade in options. Nor was Mr. Tassone. Therefore Wendell Nunes, who was the Designated Registered Options Principal, opened the accounts and took responsibility for the initial options trades. The Account Information Form for Sailview, which is unsigned, notes "none" with respect to options experience. It records: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time selling only covered call options. This will change with client familiarity and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Semple testified that Wendell Nunes discussed options with Ms. Secord because he would be doing the trading, but on cross-examination it appeared that Mr. Semple had no first-hand knowledge of such a discussion. He said he also discussed options with Ms. Secord himself on a couple of occasions before February 10, 1995, explaining to her that options' bad reputation has been earned by the high risk side, but that the kind of trading they were recommending was a "risk transference mechanism" whereby the client moves risk from their account to a speculator's account in return for giving that speculator a lot of the upside of the investment. The premium that comes in may be added to the return the stocks make, or may offset losses if there are some. Specifically, he said he recommended "covered calls", and analyzed those thoroughly with examples.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Semple testified that he told Ms. Secord that selling a put in every case is less risky, if it is a stock you wish to own, than purchasing it outright. He explained that the concept was "buying good quality stocks when they go on sale" through the selling of puts, and taking in premium to mitigate the cost. He testified that after the initial discussions, almost every discussion had something about puts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Semple said the discussions were initially brief because "it is complex at first and you don't want the client to glaze over". Then, he said, he "would get further into it, and re-discuss to ensure that the client was fully conversant with what was going on". He denied saying that options trading of any kind was "risk free". He estimated he spent 10 - 20 hours in that first year, maybe more, with Ms. Secord on the topic of options and expressed the opinion that Ms. Secord absolutely understood the concepts.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Secord signed an Options Trading Agreement between herself and Global. However, the only documentary evidence of an Options Trading Agreement between Sailview Ventures Ltd. and Global is a photocopy of the signed agreement between Ms. Secord and Global, with the words "299 Sailview Ventures Ltd." written in above Ms. Secord's name. Mr. Semple testified that he wrote those words in on a photocopy after it was signed -- he had omitted it previously. His evidence was that Ms. Secord clearly intended to open options accounts for both herself and Sailview, as part of a plan to begin options trading overall. He said that he and Mr. Tassone treated the Secord and Sailview accounts like one portfolio. He did not agree that Ms. Secord had asked for them to be kept separate, given her separate objectives for Sailview involving an eventual return to the real estate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An Account Information Form was filled out for Sailview's new options account, apparently by Wendell Nunes. The document records the investment objectives as 25% income and 75% moderate growth. Mr. Semple's evidence was that he was not present when it was done and he probably did not review it. Ms. Secord's evidence was that those were not her objectives for Sailview.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McConnachie agreed in cross-examination that the new client application form for Sailview in connection with the options account was not complete: there was no signature of the account holder, and no signed approval by the branch manager. He agreed that Global's policy is to require client signatures on new client application forms. As for the Sailview Options Agreement, when asked whether it conformed to Global's requirement that each client must have signed an Options Trading Agreement, he responded to the effect that "if we are presented with a document Ms. Secord is signing on behalf of her company and one on her own behalf we have two options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McConnachie agreed that a disclosure document must be provided to the client. The agreement reflects this in its final line, stating "The undersigned confirms that he has received the Disclosure Statement for Exchange Traded Options approved by the Ontario Securities Commission and other provincial securities regulators in Canada." Ms. Secord's evidence was that she does not remember being given, or ever seeing, the disclosure statement. She agreed that she did not always read the documents that were provided to her. She also testified that there was never any discussion that there would be losses with respect to options, let alone discussions about the maximum amounts she would be willing to risk 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"Disclosure Statement for Recognized Market Options" currently in use was produced in evidence. The defendants did not argue that any variations between it and the one in use in 1995 would make any difference. It sets out the following in the section "Risks in Options Trading":</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seller of a Put who does not have a corresponding short position (that is an obligation to deliver what he does not own) in the underlying interest will suffer a loss if the price of the underlying interest decreases below the exercise price, plus transaction costs minus the premium received. Under such circumstances, the seller of the Put will be required to purchase the underlying interest at a price above the market price, with the result that any immediate sale will give rise to a loss.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seller of a Call who owns the underlying interest is subject to the full risk of his investment position should the market price of the underlying interest decline during the life of the Call, or by the specified date for exercise, as the case may be, but will not share in any gain above the exercise price.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Transactions for certain Options may be carried out in a foreign currency. Accordingly, purchasers and sellers of these Options using Canadian dollars will be exposed to risks from fluctuations in the foreign exchange market as well as to risks from fluctuations in the price of the underlying interest.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can be no assurance that a liquid market will exist for a particular Option to permit an offsetting transaction. For example, there may be insufficient trading interest in the particular Option; or trading halts, suspensions or other restrictions may be imposed on the Option or the underlying interest; or some event may interrupt normal market operations; or a recognized market could for regulatory or other reasons decide or be compelled to discontinue or restrict trading in the Option. In such circumstances the purchaser of the Option would only have the alternative of exercising his Option in order to realize any profit, and the seller would be unable to terminate his obligation until the Option expired or until he performed his obligation upon being assigned an exercise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also states under "Additional Information"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buying or selling an Option an investor should discuss with his broker: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investment needs and objectives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risks he is prepared to take</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specifications of Options he may wish to trade</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Commission rates</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Margin requirements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matter of possible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Semple did not know if Mr. Nunes had given the disclosure statement to Ms. Secord and agreed that it was theoretically possible that it was never given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Secord's evidence was that there were no discussions with respect to specific securities transactions (including options) with either Mr. Nunes or Mr. McConnachie, and that she never considered either of them to be her broker. Mr. Nunes's office was on a different floor from those of Messrs. Semple and Tassone.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Tassone testified on cross-examination that he does not believe the question of how much Ms. Secord was willing to lose was discussed with her, and he did not exactly remember discussing the risks of particular options transactions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Nunes left Global in November 1996. He was not called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May 31, 1995, Mr. Semple wrote the necessary examination and as a result became licensed to advise and trade in options. He then took responsibility himself for the options trading in the plaintiffs' accounts.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"Hold Mail"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appears that despite her request on the Account Information Forms that she not receive shareholder mailings from companies, Ms. Secord initially received a good deal of this kind of material. She testified that she told Mr. Semple that she wanted this to stop, but that she did not say she wished to cease receiving confirmation slips and account statements. Mr. Semple's evidence was that when Ms. Secord made this request he told her that they could not discriminate among different kinds of mail, but that they could hold all mail. (I note that the Global Account Information Form suggests to the client that discriminating among kinds of mail is possible.) Mr. Semple testified that it was understood that all mail would be held, but that he and Mr. Tassone would personally drop off confirmation slips and statements of account at Ms. Secord's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April 12, 1995 Ms. Secord signed a Global Securities "Authorization to Hold Mail" form which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shall constitute your authority and direction to, at your discretion, hold at your offices all correspondence which you would normally send by mail to me. I agree that for the purposes of all agreements between us all such correspondence so held will be deemed to have been received by me on the second business day following the respective dates upon which in the absence of this authority and direction you would have posted the same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effect was that almost all of Ms. Secord's mail, including statements of account and confirmation slips, was held. However, her personal options account was missed and mail with respect to that account got through. Ms. Secord testified that by July or August, 1995 she told Mr. Semple or Mr. Tassone that she had not wanted to cut off the account statements and confirmation slips and asked them to remove the "hold mail". Her evidence was that nevertheless it was not until the following June, 1996, that her mail was reinstated. Mr. Semple and Mr. Tassone agreed that Ms. Secord asked to remove the "hold mail" but put the date of that request at January, 1996. Mr. Semple said that the delay in reinstating the flow of mail was caused by a glitch in the Global office. He referred to faxes he sent to the Global downtown office about the matter, but was unable to produce them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McConnachie agreed on cross-examination that Global has a policy with respect to holding mail. An extract from the current Global procedures manual was put to him,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Holding back client Statements or Contracts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Global's Policy is not to hold clients' mail.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client really needs their mail held...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require an original letter of instruction from the client received in head office before an account will be set up as hold mail. These should be for a specific period of time, not an indefinite hold [e.g. during a vacation, etc.]</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mail will be held by the back office only. They will send it to the client when the time period ends, or have them sign for it if they pick it up in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McConnachie was asked whether the policy at the time Ms. Secord was a client was any different, and he said he did not know; he had not found any previous policy regarding holding mail. He agreed that the document Ms. Secord signed did not comply with the policy in that it was not for a definite period of time. He also agreed that if the client has signed a "hold mail" and then says at some later date that she wants to receive her mail, Global should deal with it as soon as possible. He said there was no sensible reason it should take more than a week to make the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During this approximately 14-month period Mr. Semple and Mr. Tassone dropped off the account statements and confirmation slips at Ms. Secord's home from time to time. There is a dispute about how frequently this occurred. Ms. Secord testified that it was occasional, and that she received information in large "globs" - for example, three or four months' worth at a time. Mr. Semple's evidence was that the material was delivered at least monthly and that it would either be brought to Ms. Secord at one of their meetings or Mr. Tassone would drop it off on his way home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was no dispute that Ms. Secord received all of the documents with some minor exceptions. (Although initially Ms. Secord had denied receiving many of the statements and confirmation slips, she testified that just before the trial she found a bundle of the originals in a box.) There was a dispute as to the timeliness with which she received them, but it is common ground that for over a year they did not come by mail in the regular course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Secord testified that she began to wonder if the difficulties with her mail were coincidental, or part of a deliberate attempt to withhold information from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personal defendants' evidence was that the difficulty with the "hold mail" was an unfortunate irritant, but it did not prevent Ms. Secord from knowing what was going on in her and Sailview's accounts because of the frequency of the meetings and discussions she had with them. Ms. Secord testified that they spoke infrequently. Their evidence is that there were many telephone calls, formal in-person meetings and less formal in-person meetings when information was dropped off. Their evidence is supported by Mr. Semple's diary, which shows fairly frequent entries indicating calls or meetings.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Discretionary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Semple testified that the consequences for a broker who engaged in unauthorized discretionary investing could be serious, for example, suspension of the business licence. He denied that he engaged in any discretionary trading in Ms. Secord's or Sailview's accounts at any time. He said that the only occasions on which he purchased or sold securities without specific authorization were where this was required on completion of an option transaction. There, he said, the choice is gone from the client to the other party. He denied ever transferring money or a security from one account to another, or withdrawing money from an account, without instructions. His evidence was that, in general, instructions were given on the trading day, but sometimes there were instructions as much as a year in advance in connection with the overall management of the accounts. He swore that when Ms. Secord went out of town, he would obtain instructions in advance for the period of her absence, although sometimes this was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cross-examination Mr. Semple was asked about a note in his diary on August 16, 1995, which reads "take discretionary form". He explained that he had considered asking Ms. Secord to give Mr. McConnachie, his manager, some discretion to deal with her accounts but this proved not to be feasible.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Tassone similarly denied conducting any unauthorized trades and swore that there were frequent telephone calls and meetings with Ms. Secord and that each transaction was discussed in advance.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Options Trading Strategies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Semple and Mr. Tassone both gave evidence about the options trading strategy that was used in Ms. Secord's accounts. It consisted of writing "covered calls" and selling "puts". Definitions of those terms are provided in the Disclosure Document,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two types of Options: Calls and Puts. A Call gives the purchaser a right to buy, and a Put the right to sell, a specific underlying interest at a stated exercise price and within a specified period of time or on a specific date. An Option subjects the seller to an obligation to honour the right granted in the purchaser if exercised by the purchaser. Underlying interests can be shares of a specific corporation, bonds, notes, bill, certificates of deposit, commodities, foreign currency, the cash value of an interest in a stock index or any other interest provided for in the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From the evidence of the parties and of the expert witnesses it emerged that "writing a covered call" means selling an option to purchase stock that one already owns, at a price higher than the current market price (the "exercise price"). The price paid by the buyer is called a "premium". If the price never reaches the exercise price, the option is said to "expire worthless". If the price does go up, and the option is exercised, the seller must sell the stock at the exercise price but retains the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evidence was that the sale of "puts" means that the seller is, for a premium, agreeing to purchase stock in the future at a price lower than its current price, if it reaches that price by the exercise date. Witnesses for the defence would refer to "covered puts", by which they meant "puts" where the seller has sufficient cash to cover the eventual purchase of stock if it turns out to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Although there were two options accounts, the one in Ms. Secord's name was devoted to Canadian options and it was not particularly active. The Sailview account was used for U.S. options trading, and it became quite active. Sometimes several options positions were taken with respect to the same stock with different exercise dates and prices, and sometimes both calls and puts were written with respect to the same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is common ground that the options trading was initially very successful. However the Sailview account began to lose money toward the end of 1995 and the total outcome of the options trading during the period April 1995 to August 1996 was a significant loss of capital. Paul Fournier, C.A., whose report was tendered by the plaintiffs, calculated a loss of $363,395 US. As well, as a result of the options trading, Sailview became rather heavily invested in the "high-tech" sector, because a number of the put options that were exercised against Sailview were in that area. Ms. Secord's evidence was that she did not wish to invest heavily in the high-tech sector and was surprised when she saw such concentration in the Sailview account when she reviewed the statements in January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produced evidence that after Ms. Secord removed the accounts from Global Securities Ltd., she realized significant gains on some of the stocks that had been purchased for the account on Messrs. Semple's and Tassone's advice.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Removal of the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circumstances in which Ms. Secord made the decision to remove the accounts are relevant to some of the issues I must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Secord's evidence was that after the "hold mail" went on, she received statements and confirmation slips only from time to time. Therefore, she said, she assumed that nothing much was happening in her accounts. She said in that in December 1995, she received four months' statements and confirmation slips at once. She took her children to Mexico for Christmas. She then came back with the flu, and did not get around to reviewing the statements until near the end of January 1996. When she looked at them and saw the losses on the accounts, the high-tech concentration and the number of options trades she became most concerned. As it happened, she had recently gone to an educational program about options trading where it was stated, she said, that options were a risky proposition. She then telephoned Mr. Semple and told him to cease trading in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She drafted a letter at that time which she did not send but which she disclosed with her documents. The letter refers to a meeting the previous day. It complains that Mr. Semple had not told her in December 1995, when she talked to him about selling some "slow stocks" or "losers" at year end to offset capital gains of the same year, that there were no capital gains to offset. It also complains that Mr. Semple had developed a portfolio very heavy in "tech" stocks and expresses astonishment that he managed to fail to make money in the Sailview portfolio in an "up"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Cross-examined about the absence of any reference in the letter to the massive unauthorized trading that she later alleged, in particular with respect to the unauthorized options trading in Sailview, Ms. Secord said that the letter had never been finished.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March 11, 1996 Ms. Secord wrote to Messrs. Semple and Tassone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in writing that my option trading account of February 10, 1995 is to mature to final completion and be closed out as I do not wish to trade options at this time. If any housecleaning can be done in an advantageous way to expedite this matter please inform me immediately so that we may discuss.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request also that the discretionary part of your dealings in any and all of my or Sail View Ventures' accounts be removed. This is to prevent further trading in areas such as options, as well as your being able to make purchases i.e. the second 10,000 shares of Achieva at $1.19 without consulting me. I felt I was very clear when I bought the first 10,000 share [sic] of Achieva that the amount was 10,000 not 20,000 but you blundered ahead without checking with me which still holds very poorly with me. Therefore, though you will be able to manage the monies in my accounts and direct the funds you will not make any purchases or sales in any account without first phoning to discuss the matter. I am of the opinion that if you have done your work well this last year, the equities I now hold should be secure in the equities bull market we find ourselves currently 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you have made no new option trades since January 1996 and that you will soon be preparing me the results of the option trades and net balance of the options market as I experienced it. Please include also cost of commissions.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During the period between February and August 1996, the options trading was put on hold and the positions were closed out as they came due. The personal defendants suggested in their evidence that because of Ms. Secord's edict about no further trading they were unable to manage the accounts in a way that would minimize the losses. However, the evidence was unclear as to what quantifiable difference this made, and there was no documentation or specific evidence of the defendants making recommendations which would have reduced the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Secord closed the accounts with Global in August,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 letter dated August 26, 1996 from Ms. Secord to Global refers to a telephone conversation with Mr. McConnachie on August 14th and sets out the following complaints:</w:t>
      </w:r>
      <w:r>
        <w:rPr>
          <w:rFonts w:ascii="arial" w:eastAsia="arial" w:hAnsi="arial" w:cs="arial"/>
          <w:sz w:val="20"/>
          <w:lang w:val="en-US" w:eastAsia="en-US" w:bidi="ar-SA"/>
        </w:rPr>
        <w:cr/>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not receive contract (transaction) forms for individual trades after the first few and I did not receive monthly statements for many months at a time. A sign to me that nothing was being done in this account. They were given to me without much concern and after many requests. I was amazed when I read them.</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recall signing discretionary statements for this account. I did not sign anything which would allow my account to be dealt with in such an extremely high risk level. I was never phoned and consulted regarding the purchase of these items.</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account managers went through a transition from McConnachie/Nunes to Semple to Mlr/Semple/Tassone. I would like to know when each of the persons assuming to trade my account obtained their licences, especially Messrs. Semple and Tassone.</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Mr. R. Semple guaranteed me my account would be traded with the greatest amount of safety and simplicity - i.e. "write a few calls intending to take in a little premium to increase cash." I do not understand and have no previous experience of options but am told by others that the options trading went far beyond definition; certainly far beyond my understanding and the safety zone I had expressed.</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Commissions of 12% and 15% were charged on some trades. I have never experienced the .6 of 1% Mr. Semple told me would be the average commission when he opened my original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Secord met in early September, following her August 26th letter, with Mr. McConnachie, Mr. Semple and Mr. Tassone. Mr. McConnachie said there was discussion about the rate of commissions being charged, and he explained that there was a $70 minimum charge per options transaction. He testified that he viewed allegations of discretionary trading as a serious matter, and that he asked Ms. Secord to identify which trades had not been authorized. He swore that when Ms. Secord identified the first one it proved to be an assignment of an option while she was out of town, a transaction that occurs automatically without the broker's involvement. He swore that Ms. Secord could not identify other trades that were discretionary. He was asked whether Ms. Secord said that there was never to have been options trading in Sailview's account, and answered that he did not have that impression.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Secord sent a seven-page letter on September 6, 1996 recording her impressions of that meeting. She received no written reply to any of her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Secord testified that her last meeting with Mr. McConnachie was in September at her home. She said that he apologized but said there was nothing he could see doing about the situation except that he offered that if she wanted to continue trading at Global he would take the account and give her $60,000 in free commissions, an offer which she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McConnachie agreed with Ms. Secord's evidence that he went to see her again in late September or October and suggested that he, as a portfolio manager, could offer his services to look after her account for no compensation for a period of time in order to assist her and make right what she was concerned about. He said this was because he had a customer who was unhappy with Global and its representatives and he wanted to make that customer happy again. He disagreed that he had mentioned $60,000 or any other specific amount.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Two expert witnesses, one called by each side, provided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called Professor Eric Kirzner, who is a Professor of Finance in the Joseph L. Rotman School of Management at the University of Toronto. He teaches a course on portfolio management, investment selection and analysis and has been active in disseminating information about securities investing to the public, for example, through several editions, with R. Croft, of "The Beginner's Guide to Investing". He has not worked as a broker or as a securities advisor, although he is registered as a securities advisor. I accepted his qualifications to give opinion evidence in the field of portfolio analysis, including options, and the supervision of securities trading. Some aspects of his written report were objected to by the defendants, as expressing an opinion on the very issues which I must decide, and I have taken those objections into account in assessing the weight of Professor Kirzner's evidence. I review in this section his evidence regarding the consistency of the trading with the stated investment objectives and the suitability of the options trading. In later sections I will review his evidence regarding supervision and the calculation of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Professor Kirzner's report was prepared on the basis of the documentary evidence. He commented on the initial financial plan presented by Mr. Semple to Ms. Secord: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deduce from the wording of his recommendations that Semple may have been a novice in the field. For example, in his recommendations contained in his financial plan for Secord, Semple refers to the notion that "we should work together to manage these funds to produce better returns while remaining relatively risk free." It is a basic principle of investment finance that expected return and expected risk are related. Improving expected returns without a commensurate increase in expected risk is a na ve view of investment finance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 provided a summary of the seven different accounts of the plaintiffs that he examined. ["Keevil" was Ms. Secord's former married name but I substitute "Secord" for it in this quotation.] It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Account 44-4612-6: Mary [Secord], Canadian margin long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November 30/94 through August 1996 positions were almost exclusively blue-chip Canadian stocks and medium to high quality bonds and debentures. The net result: gain of $162,125.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Account #44-461U2-6: Mary [Secord] US margin long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account was closed in May 1995 and then all positions were transferred to Sailview 047-216U-3. Some limited trading took place in US stocks. The net result: loss of $2,216.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Account #055-4448-1: Mary [Secord] Self-Directed RRSP: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Positions were primarily in Canadian bonds and notes and US single country funds. The net result: gain of $68,407.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Account #013-7402-4: Mary [Secord] Canadian option trading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limited trading in Canadian option trading took place over the period. The net result: loss of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Account #047-2162-7: Sailview Canadian margin long: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positions were primarily T-bills and notes. The net result: gain of $15,553.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Account #047-216U-3: Sailview US Margin long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account held US common stocks. The net result: loss of $4,533.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Account #015-204U-4: Sailview Margin Long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account there were long positions in primarily US technology common stocks; extensive and extremely active trading in US option contracts, primarily as short positions. The net result: loss of $367,106.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Professor Kirzner commented that over the period November 1994 through August 1996, trading was conducted in all seven accounts, with extremely active trading in the option accounts. The net result, he said, was an aggregate loss of $129,774 over the period, with the losses primarily in the corporate account, attributable to losses on the concentrated U.S. stock holdings in the high technology sector.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response to the question whether the transactions made in the accounts were appropriate in view of the plaintiffs' investment goals, Professor Kirzner answered that her investment goals of 50% capital preservation, 40% moderate growth and 10% speculative investments would translate into an asset allocation of 50% income, 40% medium to high quality equities and 10% speculative securities such as junior oil and gas products. The allocation was a reasonable one, in his opinion, but it was not adhered to. Professor Kirzner stated that in the account review Mr. Semple provided to Ms. Secord he used the asset allocation: cash 4%, income 37%, preferred income 11%, Canadian equities 20% and US and foreign equities 28%. Professor Kirzner's opinion was that this was a reasonable asset allocation, sufficiently consistent with the plaintiff's investment goals, but it was not adhered to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Professor Kirzner stated the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found that the transactions made in the Secord accounts were, in the aggregate, inappropriate and unreasonable. The trading in Account #047-216U-3 and Account #015-204U-4, which constituted on average 30% of the trading were totally inappropriate investment strategies, given her objectives.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positions varied, the US stocks held in the accounts were virtually all in a single high-risk high volatility sector, namely that of high technology. The US stock holdings alone placed both the individual accounts and Secord's overall accounts well outside (i) the asset allocation as outlined in the KYC information; (ii) the proposed asset allocation as set out in Semple's proposal to Secord and (iii) a reasonable allocation for a person in her position, financial objectives and investment experience.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option trading in the accounts further exacerbated the situation. Semple and Tassone engaged in what can only be described as a massive amount of option trading. These trades were complex and opaque. Some trades were covered option writing strategies (which in itself would be a highly questionable strategy for an inexperienced investor) but the majority were in fact combination trades that contained naked positions. As such they were highly speculative and extremely risky transactions that exposed her accounts and personal wealth to danger.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risk exposure associated with short positions in options is enormous. These options were written on highly volatile stocks for which large price increases or decreases were possible at any time. Since the loss on a short sale is unlimited, Secord's wealth was in jeopardy. This strategy represented the most irresponsible of account management. The principles of asset allocation and portfolio diversification were not adhered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transactions in the US accounts and the overall portfolio structure were not appropriate ones, given both her financial goals and the asset allocation as transparently described in the KYC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Commenting on this aspect of the report in his testimony, Professor Kirzner added that his criticism of the concentration in the high-tech sector was both that it departed from the goal of diversifying, and that the high-tech sector was highly volatile. He explained that his description of the option positions as opaque and complex stemmed from the difficulty anyone without a computer and a spread sheet would have in figuring out what they amounted to taken as a whole: were they bullish or bearish? what would cause them to produce a profit? He said that when he looked at the statements he saw combination trades such that it would be difficult for most people to discern what the overall position was and what the risk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Asked to describe the options trading and any strategy that could be discerned, Professor Kirzner said that some of the trades were fully covered option writing positions. He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Covered option positions are trades in which the investor buys the underlying common stock and sells short call options equal in quantity to the common stock owned. For example, an investor might buy 1000 shares of Micron Technology at $60 per share and sell short 10 Micron call option contracts. This strategy works best when the underlying common stock is flat to slightly rising in value but can lose substantially when the common stock is falling. The strategy is aggressive as it has a large potential (albeit limited) risk. Since the trades in Secord's accounts were typically based on common stocks in one sector, namely the high technology sector, the danger of substantial losses due to the systemic risk in the positions was very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He described some of the positions in the accounts as buying the underlying common stock and writing both call options and put options equal to the underlying stock plus selling an additional number of puts or calls. He commented, "This is a highly speculative and dangerous position because the investor is exposed to an unlimited amount of risk." He also explained that in saying that "the loss on a short sale is unlimited", he meant to say it was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sum, Professor Kirzner stated the opinion that there were three serious problems with the investment strategy: (1) the composition of the portfolio itself was inappropriate because of the exposure to the systematic risk of the U.S. high technology sector; (2) the relatively high weights in technology stocks and options created an inordinate amount of risk exposure in her aggregate accounts; and (3) the speculative short position in options was indefensible.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cross-examination of Professor Kirzner revealed that in some respects this witness had overstated the facts and his opinion arising from them, and had made some errors in his calculation. Examples of overstatements were in his references to "unlimited" risk rather than "uncertain" risk, his statement that "virtually all" of the U.S. stocks held in the accounts were in the high technology sector (although "majority" may have been accurate, "virtually all" was not), and his statement that the option trading positions were highly speculative and extremely risky transactions that exposed the plaintiff's accounts and personal wealth to danger (the likelihood of all of the underlying stocks becoming valueless was extremely remote, as he eventually agreed, given that they were shares in highly capitalized, well-known companies, and the option-writing consisted almost entirely of selling covered calls or selling puts.) His error in the calculation of commissions was that he had taken the total amount of commissions and compared it against the average capital. For those reasons, and because of the tendency to advocacy they revealed, although I have not rejected Professor Kirzner's evidence entirely and did find some of it helpful, I reviewed it with some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permitted the defendants to produce evidence in reply to that of Professor Kirzner, from Mr. James Cripps. He is a Chartered Financial Analyst and Certified Financial Planner, who has worked in the financial planning and securities analysis field since 1973. I accepted him as qualified to give opinion evidence on financial planning and portfolio allocation. He was not tendered as an expert on supervisory standards. After submissions from counsel, certain portions of his report were excised as either not properly rebuttal evidence (because they proceeded on the basis of different assumptions from those used by Professor Kirzner) or as beyond his expertise. I have not considered those parts of his report. I will review his evidence regarding calculation of losses in a later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his report, Mr. Cripps took issue with much of what Professor Kirzner had to say. In particular, he emphasized that in his opinion writing covered calls is a well known risk reduction strategy. He pointed out the difference between "unlimited" and "indeterminate" potential losses, and argued that if the size of a potential loss is small relative to a person's overall wealth, their wealth is not exposed to a severe drawdown. He pointed out that selling an uncovered put limits a person's theoretical loss to the amount required to exercise the put (i.e., to purchase a number of shares at a known price) and that for stock which is optionable to become wholly worthless is an extremely unlikely event. He reviewed the history of the sale of puts in the Sailview account, on the basis of material prepared by Mr. Semple and Mr. Tassone showing month-by-month exposure to puts. The material shows, Mr. Cripps states, that September and October (1995) were the months of highest "put exposure" and during that period the combined cash in Sailview and Ms. Secord's personal and RRSP accounts was sufficient to honour the obligations of the puts in question. He then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practical matter, this cash could never need to be deployed because the Puts would simply be sold at a loss. Rather, this exercise is valuable because it reveals that the aggregate of Ms. Secord's accounts was exposed to no more risk by the strategy of selling Put options than it would have been if the shares had been acquired directly for cash at the Put Price, i.e. an all-equity or largely equity portfolio. Indeed, the sale of Puts reduced the risk relative to acquiring stock at the Strike Price somewhat because of the cash premium collected.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Utilizing another method of assessing the risk inherent in the strategy of selling puts and calls, Mr. Cripps examined the monthly statements of Sailview and determined that in the worst circumstance (December 1995) the cash required to liquidate all positions at month-end did not exceed $90,000. He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this amount is less than 3% of Ms. Secord's total liquid portfolio value and diversified mutual funds have been known to vary in value in excess of this amount in one month, such an exposure does not constitute an undue risk in these circumstances in my view. Nor does, in my view, such a potential loss expose Ms. Secord's wealth to the risk of a "severe drawdown."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Cripps also reviewed the trading history of each security to see if there was excessive speculation or uncovered call writing. He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 found was that most options trading was geared to writing Calls on shares already owned, on rolling Call options so that stock would not need to be delivered and repurchased (thereby potentially incurring unnecessary commissions), and on eliminating Put options when it was not considered desirable to acquire stock. A few situations, however, stand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Firstly, from time to time a Call would be written at a lower Strike Price before a previously written Call had expired, leaving one of the Calls uncovered. This occurred whenever the underlying stock had dropped sufficiently to render the exercise of the first Call extremely unlikely. Arguably, this approach was more desirable than incurring the trading cost of eliminating the nearly worthless "Out of the Money" original Call option. (An "Out of the Money" option is one which has no intrinsic value but only time value. A Put option with a Strike Price of $35 is Out of the Money whenever the stock is trading above $35. Likewise, a Call option with a Strike Price of $35 is Out of the Money whenever the stock is trading below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Secondly, in the summer of 1995 several sets of Call options were bought and sold on the S &amp; P 100 without any explicit covering assets. However, the argument can be advanced that Ms. Secord had sufficient other diversified equity investments (such as global mutual funds) to substantially offset the risk of purchasing these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Thus, Mr. Cripps opined, the portfolio had no uncovered put positions and any apparently uncovered call positions arose because the underlying stock had fallen sufficiently to render previously written calls so far "out of the money" that their prospect of being exercised was vanishingly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response to Professor Kirzner's questioning the appropriateness of covered option writing strategies for an inexperienced investor, Mr. Cripps said that "conceptually speaking, the strategies involved in selling covered Puts and Calls are not inordinately complex. If Ms. Secord did not understand her advisors' recommendations, she could and should have refused to do a trade." He characterized Professor Kirzner's description of the options trading as "highly speculative and extremely risky" as being "at variance with the known facts" and "egregiously irresponsible".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Cripps took issue with Professor Kirzner's criticism of the emphasis on high technology stocks, stating "It should be noted technology stocks are now reported to comprise 25% of the value of the S &amp; P index and being highly exposed to them over the past four years would have been very lucrative."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Later in his report, Mr. Cripps stated this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Brokerage trades are usually authorized by telephone after basic strategies have been set, often at one or more personal meetings. It is at such personal meetings that an investor is charged with the responsibility of understanding the fundamental characteristics of an investment strategy, namely the potential risks and rewards inherent therein. It is during subsequent telephone conversations with her broker that an investor must appraise the risks and rewards of a particular trade in the context of overall strategy. If the risk is found to be "unacceptable" then it should not be taken.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Informed consent does not require an intimate and detailed knowledge of the mechanics of an investment strategy but rather a broad outline of the process and a clear understanding of both the potential risks and rewards. In my view the options strategies described previously are not so complex as to prevent a moderately experienced investor from understanding their investment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observed that Mr. Cripps showed a tendency to advocacy in the tenor of his report and in some of his responses to questions on cross-examination. Accordingly, as with Professor Kirzner, I have reviewed his evidence with some caution.</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OF FACT ON MATERIAL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disputed issues about which I must make findings of fact are:</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Semple and Mr. Tassone conduct unauthorized trading in Ms. Secord's and Sailview's accounts?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advise Ms. Secord of the possible risks of options trading and convey sufficient information regarding the options trading strategies they were proposing?</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trading inconsistent with the plaintiffs' instructions or unsuitable for them and their objectives?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extent of Global's supervision of Mr. Semple and Mr. Tassone with respect to these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An initial discussion about credibility is necessary. My impression was that none of the litigant witnesses was completely candid in his or her testimony. I think that Ms. Secord was not as inexperienced an investor as she attempted to suggest at trial or in her examination for discovery (where she actually claimed at one point that she did not know stocks could go down in value). I found her denial of frequent telephone calls from or to the defendants implausible. Similarly, I found Mr. Semple's evidence about his discussions of the risks of options trading with Ms. Secord to be lacking in detail and plausibility, and without documentary confirmation. I had comparable concerns with respect to some of Mr. Tassone's testimony, particularly in the area of Ms. Secord's level of understanding of options trading. Mr. McConnachie's evidence about his role in the events was sometimes vague and unconvincing.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reaching conclusions I have considered the extent to which testimony was consistent with the available documents or with other evidence and its inherent plausibility or implausibility as well the witnesses' manner of testifying. I have not taken into account, with respect to Mr. Tassone, the Toronto Stock Exchange discipline.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There was also the question of the missing witness, Wendell Nunes. As the Global representative who completed the Account Information Form and who was responsible for advising Ms. Secord at the time she opened the options accounts and for advising her and executing options trades until the end of May, 1995, Mr. Nunes would likely have had highly material evidence to give and it is troubling that this evidence was not made available to the court. From what counsel said, it appeared that it was not that he was out of the jurisdiction or unable to testify, but that neither side chose to call him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Although counsel for the plaintiffs suggested I could draw an adverse inference against the defendants because of his absence, I decline to do so given that he is no longer an employee of Global and that the plaintiffs could equally have issued a subpoena and called him as a witness.</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Semple and Mr. Tassone conduct unauthorized trading in Ms. Secord's and Sailview's accounts?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It was common ground that, for a trade to be authorized, the client must agree to the price, the stock and the date of that trade unless the sale/purchase was required on completion of an option transaction. It was also common ground that neither Mr. Semple nor Mr. Tassone was qualified to act as a portfolio manager and to accept discretion from a client to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Secord denied that she had given instructions for most of the specific trades that took place. She agreed that she had given instructions for some that were put to her but testified that she did not receive frequent phone calls from the Global brokers, that they did not seek instructions from her to buy or sell or take positions with respect to particular stock at particular prices at particular times and that when she realized the amount of unauthorized discretionary trading that had been going on she was outraged and began the move to close her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Both Mr. Semple and Mr. Tassone testified that they did not and would never have engaged in unauthorized trading, knowing well that it was a very serious offence in the eyes of the Vancouver Stock Exchange and the industry generally. They testified that there were frequent and detailed telephone conversations with Ms. Secord and that every transaction was made with her instructions. Their counsel argued that the confirmation slips were documentary evidence of the trades that were made with the client's approval. Ms. Secord agreed that she was aware that the contract between herself and Global provided her with a limited number of days after receipt of the confirmation slip to complain that there had been an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Despite Mr. Semple's inexperience as a broker, he must have known that unauthorized trading was a serious matter. The same would be the case with Mr. Tassone.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There was no mention by Ms. Secord of unauthorized trading until the March, 1996 letter with the exception of an earlier complaint about one particular trade in a stock called "Achieva". Mr. Semple's evidence was that in that instance although he had believed he was authorized to purchase a second 10,000 shares in Achieva, that was not Ms. Secord's view. He had accordingly agreed to reverse the trade if she wished. He did not concede that there was unauthorized trading. As well, Ms. Secord found it difficult to provide illustrations of unauthorized trading in her meeting with Mr. McConnachie.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note that although the defendants tendered evidence from Ms. Secord's former broker, Harry Dunbar, that he had not carried on unauthorized trading in her accounts in order to support an inference that either she did not understand what unauthorized trading was or that she habitually blames brokers after the fact for losses in her accounts, I do not place any weight on that evidence. The inference depends for its strength on an assumption that Mr. Dunbar did not conduct unauthorized trading and while there is no reason to doubt his word on that point there was no trial of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If there had been unauthorized trading in Ms. Secord's or Sailview's accounts, given her expressed desire to be more in control of her portfolio rather than less, she would have complained about it. She did not complain, with the single exception of the Achieva purchase, despite having received statements of accounts and summaries showing all of these 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conclude that I should accept the evidence of Mr. Semple and Mr. Tassone on this matter. It seems to me highly implausible that they would have engaged in wholesale unauthorized trading given the magnitude of this account, the clarity with which Ms. Secord had conveyed that she wished personal involvement in the decision-making, and the likely professional consequences for them. I found their denials believable. On the other hand, I did not find Ms. Secord's evidence believable on this point. There is no doubt that she received statements of account and confirmation slips, whether through the mail or by hand delivery. Even though they were not delivered in a timely way and even if she did not read all of this material immediately, and was preoccupied with other things, massive unauthorized trading would not have escaped her and she would have complained about it at a much earlier date than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conclude that Ms. Secord did authorize the individual trades and transactions in the accounts.</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Options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Secord's evidence was that she agreed to trade options only on a limited, trial basis, only in her personal account, and only through the method of the "covered call". She denied that she wanted to trade options in Sailview and denied any knowledge before January 1996 that this was taking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Semple's evidence, on the other hand, was that Ms. Secord was well aware that options trading was going on in the Sailview account. He said that they had discussed it at numerous meetings, that Ms. Secord had knowingly instructed him to carry out the recommended trades at the meetings and in telephone calls, and that it was shown clearly on the statements he delivered and on the performance review summaries that Mr. Tassone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Semple's evidence is supported to some extent by that of Lee Houghton, who had lunch with Ms. Secord at some time in 1995. Ms. Houghton testified that Ms. Secord told her that she was trading in options and was happy with the results. She seemed quite enthusiastic about it, said Ms. Houghton, and knowledgeable about options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Tassone testified that there were between five and ten account summary meetings during the period they had the Secord/Sailview accounts, and his estimate seems consistent with the evidence as a whole. Ms. Secord's explanation is that she thought that the options trading that was going on was limited to her personal account and was limited to covered calls. However, the personal account had only five options positions, all in Canadian securities, and there was very little activity in it. The account summaries that were discussed by the brokers at their meetings with the client and the great bulk of the account statements and confirmation slips related to the Sailview account. Ms. Secord initially denied ever having received account statements and confirmation slips for many of these transactions, but at trial produced the originals. Her explanation for her lack of knowledge that there was options trading in Sailview was that she failed to look at the addressee on the envelopes and assumed that the options trading that she saw in the accounts was actually in her personal account. She acknowledged meeting with Mr. Semple and Mr. Tassone and reviewing the options positions, and making notes about them, but swore that she did not register the fact that they were talking about her Sailview account even though the documents clearly show "Sailview" as the account 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It was put to Ms. Secord in cross-examination that in the draft letter she wrote but did not send in January 1996, and in her March 1996 letter, she complained of the outcome of the options trading, not of the fact that the options trading was going on in the Sailview account. Her explanation was that the January letter was not completed and that the March letter did not purport to be exhaustive. Her counsel also pointed to the reference in the March letter to the "discretionary" part of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Taking all of the evidence into account, I do not accept Ms. Secord's evidence that she was unaware of the options trading in the Sailview account until January 1996. She agreed that she was aware of options trading, all of which was disclosed in the performance charts that Mr. Tassone prepared, and in the account statements and confirmation slips that she received from time to time. She either knew it was being done in the Sailview account, or was herself treating all of her accounts as one so that it did not matter whether it was her personal or corporate account that was used for any given purpose. Although the Options Trading Agreement between Sailview and Global was not properly executed as a separate document, I find that there was an agreement between them for such trading to be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Because I have concluded that the plaintiff was in fact aware of the options trading in Sailview and that the defendants had authorization for individual trades, it is not necessary to discuss the question of ratification. However, I state my finding of fact that Ms. Secord asked for the "hold mail" to be removed at the end of August 1995. It was the defendants' responsibility to re-instate the flow of mail and they did not do so. Therefore, from at least mid-September 1995 on, the ratification provision in the contract which depends upon the client receiving confirmation slips in a timely way from the brokerage head office, could not assist the defendants in any event.</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advise Ms. Secord of the possible risks of options trading and convey sufficient information regarding the options trading strategies they were proposing?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find that Ms. Secord relied heavily on the defendants for investment advice, particularly with respect to options trading, and that the defendants were well aware of her almost total reliance. The brokers were making recommendations about individual trades, and trading strategies, upon which they knew Ms. Secord was placing great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There are risks and disadvantages even in the lower-risk kind of options trading employed by the defendants. One disadvantage with covered calls is that the upside potential in holding stock is limited - if it rises in value to the strike price, it is called away. Risks also flow from the pre-determination of stock selections through the sale of puts - if the stock is on a downward trajectory that is unpredictably sharp the seller of the put can find herself required to purchase a large quantity of by-then-unwanted equities, as Sailview did in the case of the Broderbund shares. Combination positions, with multiple puts or multiple calls or both puts and calls on the same stocks, create complexity and make it difficult to monitor the state of the portfolio and to take the necessary decisions to close out an option position or continue to hold it. The utilization of options can accelerate concentrations in a portfolio, as occurred with respect to the high-tech sector in the Sailview account. To manage an active options account requires close attention and analysis. Finally, the undisputed evidence was that options are a commission-rich field, where the transaction costs are higher than in ordinary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Evidence led by the defendants, both from Messrs. Semple and Tassone and from Mr. Cripps, showed that there are some clear advantages to this kind of options trading: the income reduces the net amount at risk with respect to purchases of shares. The evidence also showed that some of the risks of options trading are manageable: there is a market for options, and the holder can often reverse course and buy back the options before they are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However, I do not accept the evidence of the defendants that they carefully explained the disadvantages and potential risks of options trading to Ms. Secord. Nor do I accept their evidence that she understood the strategies they were employing.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First, the documentation does not support their evidence. The initial proposal, put together by Mr. Semple after their first meeting, in which he was attempting to secure these large accounts, does not mention options trading. Later, when the options accounts were opened, Global's policy required that a disclosure statement be given to Ms. Secord. Mr. Semple testified that he knows he must have given a disclosure statement to Ms. Secord when she opened the options accounts because it is his invariable practice to do so. However, he was not "options eligible" at the time she opened the account, and he agreed that this was the first time he had provided the materials regarding the opening of options accounts. Thus, a reference to his invariable practice does not carry much weight. Mr. Nunes, who actually opened the account, and executed the trades on it until Mr. Semple became options eligible in May, was not called as a witness. I conclude on the evidence that Ms. Secord did not receive the disclosure statement. Thus, the possible risks in options trading were not brought to her attention through that mechanism.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Second, the evidence as a whole does not show any attention to the question of risks. There are some traces in the documents of "lessons" on options trading - Ms. Secord made notes, for example, on summaries her brokers gave her, of the definitions of "calls" and "puts". A few written scenarios are found, in which the potential benefits of options trading are illustrated. However, there is no indication that the potential risks were similarly illustrated. Tellingly, when Mr. Semple gave his evidence in chief about what he discussed with Ms. Secord prior to her opening the options accounts, he described telling her that selling covered calls was a risk transference device and that selling puts was less risky than buying shares and amounted to buying stock on sale. He did not describe any discussion of the disadvantages or risks aside from his evidence that he told Ms. Secord that she would be giving up some of the up-side in the context of his description of "covered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Third, despite the months of active trading in her accounts, it does not follow that Ms. Secord must have gained a better understanding of options trading as time passed. For most of the time that there was active trading in options, the account statements and confirmation slips were not reaching Ms. Secord through the mail, but through hand deliveries. Even if they had been arriving regularly through the mail, when the trading became active the statements began to show a number of different options positions including "combination positions", and they became less than transparent. Further, there were seven active accounts with fairly frequent transfers from one to another, including, from time to time, transfers of shares to "cover" the writing of calls and cash to "cover" the sale of puts. This did not facilitate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Semple's and Mr. Tassone's testimony was that they met with Ms. Secord regularly and reviewed performance charts prepared by Mr. Tassone; five of those performance charts were produced. I accept Ms. Secord's evidence that those charts did not convey to her an understanding of what the strategies and risks were. It appeared to me that even Mr. Semple and Mr. Tassone found those summaries somewhat difficult to follow. This was illustrated by portions of his Examination for Discovery that were put to Mr. Tassone - he had trouble deciphering one of the charts on that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have considered the possibility that Ms. Secord is actually an astute student of the market, well-versed by now in options trading, and as well a clever actress who was able to convey lack of understanding in a convincing way during her testimony. I reject that possibility. Ms. Secord may well understand more about options trading than she admitted, but I accept that she did not achieve, at the relevant times, the level of understanding that Mr. Semple and Mr. Tassone now say she had. To teach is not only to state information; it is to take all reasonable steps to ensure that the student learns. The evidence shows that neither Mr. Semple nor anyone else at Global took such steps in this case. Without the disclosure statement, without more than occasional "lessons" illustrated with trades that were described as "low-risk" and as opportunities to "take in a little premium", without clear descriptions of the total impact of the various positions that were being taken in her accounts, and without a clear statement of what the risks and disadvantages of options trading are, Ms. Secord was not able to assess the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conclude that the defendants did not adequately advise the plaintiffs of the risks in options trading and did not convey sufficient information about the options trading strategies they were proposing.</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trading inconsistent with the plaintiffs' instructions or unsuitable for their investment objectives?</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find that Ms. Secord told the defendants that she wished to have a conservative investment strategy. At the same time, one of her major objectives was to move from bonds into equities. They knew she was dependent on her investments and that capital preservation was a paramount goal. Ms. Secord wished to have balance in her portfolio at Global. She made it clear to the defendants that she did not seek their advice with respect to her investments overall.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evidence as a whole, including that of Professor Kirzner, did not persuade me that the composition of the portfolio aside from the options portion was inconsistent with Ms. Secord's investment objectives for herself or Sailview, or that it created an inordinate amount of risk exposure in the aggregate accounts such that it was unsuitable for these clients. Ms. Secord wanted to invest in equities and, as I have found, authorized the individual trades. I find that Ms. Secord was not an experienced or sophisticated investor but that she was sufficiently well-versed in the investment world that she understood the potential risks and rewards of an equity portfolio. The stocks were almost all in large, highly capitalized companies. Aside from the Sailview options account, the equities were profitable for her during the relevant period. The testimony of Mr. Semple and Mr. Tassone showed that the stocks were selected on a rational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 secondary issue is that Ms. Secord says that she made it clear to Mr. Semple that she had different investment objectives for her personal account than she did for Sailview, where liquidity was very important. Mr. Semple's evidence was that he had understood Ms. Secord might wish to get back into the real estate market, but not in the short term. Further, he felt that, in any event, equities and options are liquid. Ms. Secord testified that when she received an early set of statements, noticed that there had been equities purchased in Sailview and complained, Mr. Semple transferred them out of Sailview and into her personal account. The documentary evidence shows that transfer being made. Mr. Semple's explanation for the transfer is that it was advantageous for tax reasons to have those securities in Ms. Secord's personal account. I accept Ms. Secord's evidence in this regard. I find that she did initially have different investment objectives for Sailview and conveyed those to Mr. Semple.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However, I find that her investment objectives shifted over time. She authorized the individual trades in Sailview and reviewed on at least five occasions the overall composition of all of the accounts. There was no evidence that at any point it would have been difficult to cash out the options and shares in the Sailview account, and I conclude that there was not a problem with liquidity.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think that the defendants did fail to keep in mind that Ms. Secord considered Sailview to be a distinct entity, which indeed it is, and to pursue its investment objectives separately from hers. However, it does not appear that any losses flow from the defendants' breach in this regard. The real issue is the options trading itself, not where it was conducted.</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Options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defendants' position is that the options strategy was entirely suitable for the plaintiffs and that it generated income at a time when the bond portfolio that had paid income was converted to mutual funds. Mr. Wiebach argued that it was not a risky strategy in that the puts were always covered by cash or bonds elsewhere within the plaintiff's portfolio at Global, so that she could not be compelled to liquidate other assets in the event all outstanding puts were assigned. Mr. Cripps's evidence was that at worst, the plaintiffs could have closed all outstanding option positions for about $90,000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 good deal of the options trading consisted in writing covered calls, where the risk of losing money was less than that in simply purchasing stock and holding it because of the off-setting effect of the premiums paid for the options, or in selling puts (in a situation where there was cash somewhere in the portfolio that could cover the purchases if they were required), where the risk of losing money was less than in simply purchasing the stock. But as Professor Kirzner pointed out, comparisons between buying shares outright on the one hand, and buying shares while writing calls against them or through selling puts to purchase them, are not completely accurate. Writing covered calls is a strategy for producing income (through the premiums one receives) at the cost of giving up much of the potential up-side of the equities. Selling puts is also an income-production strategy, at the cost of locking in stock selections for the future. The point that emerged in Professor Kirzner's testimony is that while options trading of this kind is a legitimate income-producing strategy, it is not consistent with the objectives inherent in a long-term equity portfolio. Those objectives, in his opinion, are best furthered by holding a well-diversified portfolio, across sectors and globally, in which the up-side potential is not given up in favour of income. I accept his evidence in this regard and find that the options trading was not consistent with the investment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Further, as the options strategies became complex and opaque, they became inconsistent with the objective of Ms. Secord having meaningful input into the decisions affecting her wealth. Professor Kirzner, in my opinion, was correct in his assessment of the difficulty of understanding the positions, whether on the basis of the account statements alone or on the basis of the statements plus Mr. Tassone's performance review documents. To follow what was happening with them, and to make sensible decisions about them, would have required not only a computer and a spread sheet but also a thorough education in the concepts.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On cross-examination, Mr. Cripps agreed that there was some complexity to the options trading strategies. He was asked about his emphasis on the client's responsibility and agreed that the investment advisor also has an obligation, which he described as to take all reasonable steps to explain matters to the client, and then to decide whether the client really does understand. This, he said, was an aspect of the "know your client" rule as it currently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Bearing in mind the original objectives recorded in Mr. Semple's letter after their first meeting, options trading was not the kind of trading in which Ms. Secord was going to be able to take a greater part in the investment decisions. It was relatively technical. It appeared to require sustained and detailed concentration. Mr. Cripps opined that it was not inordinately complex, but "inordinately" is a qualitative judgment, and I disagree. I think it was inordinately complex for this investor, in the light of the needs which she made known to the brokers, in the light of the information with which they provided her, and in the light of her personal situation and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cannot accept Professor Kirzner's opinion insofar as it suggested that the options strategy was inherently highly speculative and dangerous. However I do find that as executed in this case, it was inconsistent with the objectives of the investor. This is because (a) it was inconsistent with the objective of Ms. Secord learning more about how to manage a portfolio and taking a larger role herself; and (b) it was inconsistent with the goal of building a long-term equity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conclude, on the evidence and with the assistance of the opinions of both expert witnesses, that the overall portfolio aside from options was suitable but that the options trading strategy was not suitable for Ms. Secord in the light of her total inexperience with options and her investment objectives. She did not achieve a clear understanding of both the potential risks and rewards. Messrs. Semple and Tassone took the initiative in involving Ms. Secord in options trading but failed to provide her with information and education such that she had a fair opportunity to understand its investment consequences.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extent of Global's supervision of Mr. Semple and Mr. Tassone with respect to these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found nothing in the evidence to indicate that Global took any active role in supervising these brokers and these accounts. No one ensured that there was ever a properly executed Options Trading Agreement with Sailview. The Account Information Form for Sailview inaccurately recorded the client's objectives as 25% income and 75% moderate growth. The options trading in the accounts began before Mr. Semple was "options eligible", and the evidence before me indicates that Mr. Nunes took only a nominal role. Essentially, Ms. Secord received her advice about options trading, from the outset, from Mr. Semple and Mr. Tassone. Given Mr. Semple's lack of experience and the Toronto Stock Exchange discipline of Mr. Tassone, Global should have monitored the trading in the accounts, particularly when it became very active. Further, the client's information was not updated as it should have been. The defendants' position is that the clients' investment objectives "evolved" as time passed. However, this was not recorded in her file. The point is not so much about record-keeping as it is that, as the thrust of the portfolio evolved, no-one discussed with Ms. Secord the original objectives and the extent to which the new directions were consistent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McConnachie did not regularly review the accounts himself. He did not have regular meetings or reviews with either of the brokers and there is no evidence that anyone else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conclude that Global's supervision of the accounts was minimal.</w:t>
      </w:r>
      <w:r>
        <w:rPr>
          <w:rFonts w:ascii="arial" w:eastAsia="arial" w:hAnsi="arial" w:cs="arial"/>
          <w:sz w:val="20"/>
          <w:lang w:val="en-US" w:eastAsia="en-US" w:bidi="ar-SA"/>
        </w:rPr>
        <w:cr/>
      </w:r>
    </w:p>
    <w:p>
      <w:pPr>
        <w:numPr>
          <w:numId w:val="3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Mr. Madryga for the plaintiffs submitted that they are entitled to damages from the defendants on three bases: breach of fiduciary duty,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argued that the damages should be calculated at the date the Secord and Sailview accounts were transferred out of Global, because that was when the defendants ceased to have any control over the accounts. Thus, the amount awarded to the plaintiffs should not take into account the current value of the equities that the defendants purchased for the plaintiffs'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defendants' position was that they provided careful, competent, considered professional advice, that they were not in breach of fiduciary or contractual duties, nor were they negligent. Mr. Wiebach argued that the defendants worked with Ms. Secord to develop an options strategy consistent with her investment objectives but that Ms. Secord abandoned this strategy at the first turn in the market. He pointed to the statements in the jurisprudence to the effect that a broker is not a "guarantor", "custodian" or "insurer", indicating that a broker is not liable for honest errors in judgment, but is only required to exercise skill and knowledge and to advise the client fully, honestly and in good faith.</w:t>
      </w:r>
      <w:r>
        <w:rPr>
          <w:rFonts w:ascii="arial" w:eastAsia="arial" w:hAnsi="arial" w:cs="arial"/>
          <w:sz w:val="20"/>
          <w:lang w:val="en-US" w:eastAsia="en-US" w:bidi="ar-SA"/>
        </w:rPr>
        <w:cr/>
      </w:r>
    </w:p>
    <w:p>
      <w:pPr>
        <w:numPr>
          <w:numId w:val="3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duties did the defendants owe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 begin with the question of the relationship between the parties. The core of the relationship between a stockbroker and client is that of agent and principal: Reed v. McDermid St. Lawrence Ltd. </w:t>
      </w:r>
      <w:hyperlink r:id="rId536" w:history="1">
        <w:r>
          <w:rPr>
            <w:rFonts w:ascii="arial" w:eastAsia="arial" w:hAnsi="arial" w:cs="arial"/>
            <w:i/>
            <w:color w:val="0077CC"/>
            <w:sz w:val="20"/>
            <w:u w:val="single"/>
            <w:shd w:val="clear" w:color="auto" w:fill="FFFFFF"/>
            <w:lang w:val="en-US" w:eastAsia="en-US" w:bidi="ar-SA"/>
          </w:rPr>
          <w:t>(1990), 52 B.C.L.R. (2d) 265</w:t>
        </w:r>
      </w:hyperlink>
      <w:r>
        <w:rPr>
          <w:rFonts w:ascii="arial" w:eastAsia="arial" w:hAnsi="arial" w:cs="arial"/>
          <w:color w:val="000000"/>
          <w:sz w:val="20"/>
          <w:lang w:val="en-US" w:eastAsia="en-US" w:bidi="ar-SA"/>
        </w:rPr>
        <w:t xml:space="preserve"> (C.A.). In Hodgkinson v. Simms </w:t>
      </w:r>
      <w:hyperlink r:id="rId537" w:history="1">
        <w:r>
          <w:rPr>
            <w:rFonts w:ascii="arial" w:eastAsia="arial" w:hAnsi="arial" w:cs="arial"/>
            <w:i/>
            <w:color w:val="0077CC"/>
            <w:sz w:val="20"/>
            <w:u w:val="single"/>
            <w:shd w:val="clear" w:color="auto" w:fill="FFFFFF"/>
            <w:lang w:val="en-US" w:eastAsia="en-US" w:bidi="ar-SA"/>
          </w:rPr>
          <w:t>(1994), 117 D.L.R. (4th) 161</w:t>
        </w:r>
      </w:hyperlink>
      <w:r>
        <w:rPr>
          <w:rFonts w:ascii="arial" w:eastAsia="arial" w:hAnsi="arial" w:cs="arial"/>
          <w:color w:val="000000"/>
          <w:sz w:val="20"/>
          <w:lang w:val="en-US" w:eastAsia="en-US" w:bidi="ar-SA"/>
        </w:rPr>
        <w:t xml:space="preserve"> (S.C.C.), LaForest J. wrote at p. 177: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relation to the advisory context, then, there must be something more than a simple undertaking by one party to provide information and execute orders for the other for a relationship to be enforced as fiduciary. For example, most everyday transactions between a bank customer and banker are conducted on a creditor-debtor basis .... Similarly, the relationship of an investor to his or her discount broker will not likely give rise to a fiduciary duty, where the broker is simply a conduit of information and an order taker. There are, however, other advisory relationships where, because of the presence of elements such as trust, confidentiality, and the complexity and importance of the subject matter, it may be reasonable for the advisee to expect that the advisor is in fact exercising his or her special skills in that other party's best interests, unless the contrary is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Later he commented (at pp. 179-80):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precise legal or equitable duties the law will enforce in any given relationship are tailored to the legal and practical incidents of a particular relationship. To repeat a phrase used by Lord Scarman, "there is no substitute in this branch of the law for a 'meticulous examination of the facts'": see National Westminster Bank plc v. Morgan, [1985] 1 All E.R. 821 (H.L.) at p. 831.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Court of Appeal for British Columbia in Rhoads v. Prudential-Bache Securities Canada </w:t>
      </w:r>
      <w:hyperlink r:id="rId344" w:history="1">
        <w:r>
          <w:rPr>
            <w:rFonts w:ascii="arial" w:eastAsia="arial" w:hAnsi="arial" w:cs="arial"/>
            <w:i/>
            <w:color w:val="0077CC"/>
            <w:sz w:val="20"/>
            <w:u w:val="single"/>
            <w:shd w:val="clear" w:color="auto" w:fill="FFFFFF"/>
            <w:lang w:val="en-US" w:eastAsia="en-US" w:bidi="ar-SA"/>
          </w:rPr>
          <w:t>(1992), 63 B.C.L.R. (2d) 256</w:t>
        </w:r>
      </w:hyperlink>
      <w:r>
        <w:rPr>
          <w:rFonts w:ascii="arial" w:eastAsia="arial" w:hAnsi="arial" w:cs="arial"/>
          <w:color w:val="000000"/>
          <w:sz w:val="20"/>
          <w:lang w:val="en-US" w:eastAsia="en-US" w:bidi="ar-SA"/>
        </w:rPr>
        <w:t xml:space="preserve"> (C.A.) in considering a claim by a retired couple against their former brokers, stated at pp. 261-62: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stockbroker who merely makes sales and purchases on the instructions of clients may well have no responsibility for the wisdom of the transactions involved. The broker may, if asked, agree to give opinions on purchases or sales, and may make it apparent to the client, if not already well understood between them, that these constitute no more than personal opinions, and are not in the nature of considered investment advice. Where, however, as here, the firm and its employees seek to enhance their business by offering guidance to would-be investors -- on "growing and managing retirement wealth" and "keeping investments safe," and to serve in "ways that no one else can" through the advice of "two financial advisors with 22 years of combined investment and taxation experience" -- they must expect that their advice may be relied on as that of skilled, independent professional advisors. Stockbrokers who carry on business in this way accept responsibilities beyond those involved in bringing together buyers and sellers. They undertake the duty of providing careful, competent, considered professional advice of a sort in which clients, especially those who have no experience of their own to guide them, may well place their complete reliance.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only by their advertisements and the seminars which they offered, but also by the manner in which the judge found that they represented their services to Mr. and Mrs. Rhoads, Mr. and Mrs. Yzenbrandt must be taken to have accepted advisory responsibilities requiring the exercise of skill and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such circumstances a financial advisor must be taken to assume duties similar to those of any other professional advisor -- doctor, accountant, engineer, lawyer -- in the sense of being obliged to take reasonable steps to ensure that customers or clients are aware of the available options, and of the main potential benefits and risks associated with them. Considerable discretion is, of course, allowed to the professional advisor in deciding, as a matter of judgment, on the nature and scope of the advice appropriate to any case. When called on to account the advisor is not, of course, answerable as "guarantor," "custodian" or "insurer" -- the terms used by counsel for the appellants in this case -- but only to show that he or she reasonably applied the skill and care appropriate to the task undertaken and to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As the decision in Rhoads v. Prudential-Bache shows, the obligations of a person who gives professional advice, even if not described as a fiduciary, may be demanding. At the same time, to advise professionally is not thereby to guarantee success if the advice is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Supreme Court of Canada in Hodgkinson v. Simms cited with approval the following comments in Varcoe v. Sterling, Dean Witter Reynolds (Canada) Inc. </w:t>
      </w:r>
      <w:hyperlink r:id="rId345" w:history="1">
        <w:r>
          <w:rPr>
            <w:rFonts w:ascii="arial" w:eastAsia="arial" w:hAnsi="arial" w:cs="arial"/>
            <w:i/>
            <w:color w:val="0077CC"/>
            <w:sz w:val="20"/>
            <w:u w:val="single"/>
            <w:shd w:val="clear" w:color="auto" w:fill="FFFFFF"/>
            <w:lang w:val="en-US" w:eastAsia="en-US" w:bidi="ar-SA"/>
          </w:rPr>
          <w:t>(1992), 7 O.R. (3d) 204</w:t>
        </w:r>
      </w:hyperlink>
      <w:r>
        <w:rPr>
          <w:rFonts w:ascii="arial" w:eastAsia="arial" w:hAnsi="arial" w:cs="arial"/>
          <w:color w:val="000000"/>
          <w:sz w:val="20"/>
          <w:lang w:val="en-US" w:eastAsia="en-US" w:bidi="ar-SA"/>
        </w:rPr>
        <w:t xml:space="preserve"> (Ont. Gen. Div.) at pp. 234-235: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elements of trust and confidence and reliance on skill and knowledge and advice are present, the relationship is fiduciary and the obligations that attach are fiduciary. ... The circumstances can cover the whole spectrum from total reliance to total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Where there is a fiduciary relationship the stockbroker has a duty to take reasonable steps to ensure that the client is aware of the options, and of the main potential benefits and risks associated with them: Rhoads v. Prudential-Bache Securities Canada Ltd., supra, at p. 261. In any event, if the circumstances are such that the client is relying on the broker to give careful, considered and competent advice, the broker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 failure to meet the appropriate standard of care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defendants' position is that the mere giving of investment advice is not sufficient to give rise to a fiduciary duty even if it is understood the advice is to be relied upon, citing Harland v. Williams, </w:t>
      </w:r>
      <w:hyperlink r:id="rId538" w:history="1">
        <w:r>
          <w:rPr>
            <w:rFonts w:ascii="arial" w:eastAsia="arial" w:hAnsi="arial" w:cs="arial"/>
            <w:i/>
            <w:color w:val="0077CC"/>
            <w:sz w:val="20"/>
            <w:u w:val="single"/>
            <w:shd w:val="clear" w:color="auto" w:fill="FFFFFF"/>
            <w:lang w:val="en-US" w:eastAsia="en-US" w:bidi="ar-SA"/>
          </w:rPr>
          <w:t>[1993] B.C.J. No. 1047</w:t>
        </w:r>
      </w:hyperlink>
      <w:r>
        <w:rPr>
          <w:rFonts w:ascii="arial" w:eastAsia="arial" w:hAnsi="arial" w:cs="arial"/>
          <w:color w:val="000000"/>
          <w:sz w:val="20"/>
          <w:lang w:val="en-US" w:eastAsia="en-US" w:bidi="ar-SA"/>
        </w:rPr>
        <w:t xml:space="preserve"> (S.C.) at p. 13; Hugie v. R.B.C. Dominion Securities Inc., </w:t>
      </w:r>
      <w:hyperlink r:id="rId539" w:history="1">
        <w:r>
          <w:rPr>
            <w:rFonts w:ascii="arial" w:eastAsia="arial" w:hAnsi="arial" w:cs="arial"/>
            <w:i/>
            <w:color w:val="0077CC"/>
            <w:sz w:val="20"/>
            <w:u w:val="single"/>
            <w:shd w:val="clear" w:color="auto" w:fill="FFFFFF"/>
            <w:lang w:val="en-US" w:eastAsia="en-US" w:bidi="ar-SA"/>
          </w:rPr>
          <w:t>[1993] S.J. No. 377</w:t>
        </w:r>
      </w:hyperlink>
      <w:r>
        <w:rPr>
          <w:rFonts w:ascii="arial" w:eastAsia="arial" w:hAnsi="arial" w:cs="arial"/>
          <w:color w:val="000000"/>
          <w:sz w:val="20"/>
          <w:lang w:val="en-US" w:eastAsia="en-US" w:bidi="ar-SA"/>
        </w:rPr>
        <w:t xml:space="preserve"> (Q.B.) at para. 31; and Fogo v. F.C.G. Securities Corp., </w:t>
      </w:r>
      <w:hyperlink r:id="rId540" w:history="1">
        <w:r>
          <w:rPr>
            <w:rFonts w:ascii="arial" w:eastAsia="arial" w:hAnsi="arial" w:cs="arial"/>
            <w:i/>
            <w:color w:val="0077CC"/>
            <w:sz w:val="20"/>
            <w:u w:val="single"/>
            <w:shd w:val="clear" w:color="auto" w:fill="FFFFFF"/>
            <w:lang w:val="en-US" w:eastAsia="en-US" w:bidi="ar-SA"/>
          </w:rPr>
          <w:t>[1998] N.S.J. No. 455</w:t>
        </w:r>
      </w:hyperlink>
      <w:r>
        <w:rPr>
          <w:rFonts w:ascii="arial" w:eastAsia="arial" w:hAnsi="arial" w:cs="arial"/>
          <w:color w:val="000000"/>
          <w:sz w:val="20"/>
          <w:lang w:val="en-US" w:eastAsia="en-US" w:bidi="ar-SA"/>
        </w:rPr>
        <w:t xml:space="preserve"> (S.C.) at para. 42. The essential ingredient in a fiduciary relationship, according to the defendants, is that the broker be authorized to exercise discretion, that is, to act without instructions. The defendants cite the following comments in Fogo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it is too easy for a disappointed plaintiff to say that because he/she counted on the broker's advice and never rejected a recommendation made, their relationship is somehow elevated to the fiduciary level. All of the circumstances of their relationship must be examined so as to determine, as a question of fact, whether the parties' dealings were such as to give rise to a fiduciary duty on the part of the advisor. In this case (among other things): the level and frequency of contact, the strategy [the client] endorsed, the extent to which she was kept fully informed, and her clear understanding that she could reject any transaction or change her investment strategy at any time, have led me to conclude that the elements of discretion, influence, vulnerability and trust - so often said to characterize a fiduciary relationship - are lacking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any event, counsel for the defendants argued, a finding of fiduciary duty adds very little to the analysis, other than opening the door to equitable relief. No equitable relief is in fact sought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defendants' position is that the equities held in Sailview were, with one exception, senior securities, all highly capitalized and highly liquid. The fact that they fell in value for a time did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 breach of any contractual or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determining whether the defendants were in a fiduciary relationship here, I note that there is a spectrum in financial advisor - investor relationships, with the mere "order-taker" and the portfolio manager at opposite ends of that spectrum.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These defendants were not portfolio managers: they were not given discretion by the plaintiffs over the trading in the accounts, nor did they assume to exercise it. They were certainly not mere order-takers. Instead, they were at an intermediate point, but one toward the portfolio manager end of the spectrum.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Tassone was Mr. Semple's assistant and then partner. There was no evidence or argument that Mr. Tassone's role should be differentiated from that of Mr. Semple.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evidence is clear that the defendants took on the responsibility of giving careful, competent, considered professional advice to the plaintiffs. Although they were not entrusted with all, or even the majority, of her assets, they were given a substantial amount of them and they knew that she intended to live on her assets for the rest of her life. Their advice was given in that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Moreover, Mr. Semple took on the responsibility of being Ms. Secord's "teacher". He knew that she was not a sophisticated investor in general and that she was wholly inexperienced with options in particular. He agreed to advise her in the investing of her funds using his expertise and experience. He persuaded her to try options trading. He knew that she was reliant upon him for advice and for education in the workings of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defendants also knew that Ms. Secord was reliant upon them in another way: she signed a "hold mail" form that gave Global discretion in what mail to forward to her. For more than a year Mr. Semple and Mr. Tassone had the responsibility of delivering confirmation slips and account statements to her, providing the basic information about the status of her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conclude that in these circumstances Mr. Semple and Mr. Tassone, and through them Global, were in a fiduciary relationship with the plaintiffs and had obligations consistent with that role. In the words used by the court in Hodgkinson v. Simms, there were elements such as trust, confidentiality, and the complexity and importance of the subject matter, such that it was reasonable for the plaintiffs to expect that the defendants were in fact exercising their special skills in the plaintiffs'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Additionally, as professional advisors, the defendants undertook "the duty of providing careful, competent, considered professional advice of a sort in which clients, especially those who have no experience of their own to guide them, may well place their complete reliance" and the obligation "to take reasonable steps to ensure that customers or clients are aware of the available options, and of the main potential benefits and risks associated with them", in the words of the Court of Appeal in the Rhoads case. They knew that Ms. Secord was relying on them to provide such advice and to take such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defendants also had a contractual obligation to the plaintiffs which required them to exercise care and skill in providing them with advice and carrying out their instructions.</w:t>
      </w:r>
      <w:r>
        <w:rPr>
          <w:rFonts w:ascii="arial" w:eastAsia="arial" w:hAnsi="arial" w:cs="arial"/>
          <w:sz w:val="20"/>
          <w:lang w:val="en-US" w:eastAsia="en-US" w:bidi="ar-SA"/>
        </w:rPr>
        <w:cr/>
      </w:r>
    </w:p>
    <w:p>
      <w:pPr>
        <w:numPr>
          <w:numId w:val="3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defendants breach any duties (contractual, fiduciary 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owed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defendants were in breach of their duties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personal defendants did not act in the plaintiffs' best interests when they brought them into active and complex options trading; they were thereby in breach of their fiduciary duties. Their advice, upon which they knew Ms. Secord relied, was not given with sufficient care and they were thereby in breach of their duty of care. They failed to provide her with advice and education as she built a long-term equity portfolio and they were thereby in breach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As for Global, it was not contested that as the employer of the personal defendants it is vicariously liable for their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Further, Global's supervision of the personal defendants with respect to the plaintiffs' accounts was minimal. Professor Kirzner's opinion was that, given the high level of activity and turnover in the accounts, industry standards required investigation and intervention by the firm's compliance officer. I accept that evidence and find, therefore, that Global was in breach of its duty of care to the plaintiffs in that it failed properly to supervise the personal defendants' work with respect to the trading in the plaintiffs' accounts.</w:t>
      </w:r>
      <w:r>
        <w:rPr>
          <w:rFonts w:ascii="arial" w:eastAsia="arial" w:hAnsi="arial" w:cs="arial"/>
          <w:sz w:val="20"/>
          <w:lang w:val="en-US" w:eastAsia="en-US" w:bidi="ar-SA"/>
        </w:rPr>
        <w:cr/>
      </w:r>
    </w:p>
    <w:p>
      <w:pPr>
        <w:numPr>
          <w:numId w:val="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were any breaches of duty, did any damages flow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defendants' position is that the plaintiffs have suffered no loss. Mr. Wiebach refers to Hussey v. Eels, [1990] 1 All E.R. 449 (C.A.) for the proposition that where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also causes a profit, then such profit must be characterized as part of a continuous transaction and therefore deducted from the damages claimed. He submits that the reason why there is a dearth of authorities on damages in situations such as the present one is that typically persons in the position of these plaintiffs do not sue or proceed to trial because they have really suffered no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plaintiffs' position is that when they closed out their accounts with Global they took responsibility for those accounts. They could have sold all of the securities and recovered damages for the difference between the value of the accounts at the beginning and the end of the period. They chose not to, and chose to take the risk from that point on. If the value of the securities had declined, they would not have been able to pursue the defendants for further losses, because it was their decision to retain the securities. By the same token, the fact that the securities increased in value should not go to the defendants'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Should the plaintiffs be entitled to keep the profits they made on the shares purchased for their accounts by the defendants? Or would it amount to double recovery such that it is unfair in this situation? The answers to these questions are not simple or straightforward. They require examination of some basic principles regarding damages: the time at which damages should be assessed; the duty to mitigate; and the treatment of potential losses that do not materialize because they are avoided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Cassels, Remedies: The Law of Damages (2000), the author summarizes the basic principle at pp. 359-60: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starting point for measuring damages in tort and contract is the time of the wrong. Thus, in cases involving the sale of goods and property, damages are measured by the difference between the contract price and the value of the property at the time of the breach. The "time of breach" rule (which is codified in the Sale of Goods Acts) is a corollary of the rule of mitigation. At that point the disappointed party is expected to go into the market and purchase substitute goods. Any additional loss resulting from changes in price after that time are caused not by the breach but by the buyer's failure to mitigate. Similarly, the vendor of goods is expected to resell the goods at the time of the breach and if the price subsequently falls, the vendor may not claim the additional loss.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 in tort is similar. Where the plaintiff suffers a tortious injury, he is expected to act expeditiously to mitigate damages, and increases in the loss suffered after that time may not be recoverable. For example, where the plaintiff's property has been damaged or destroyed by the defendant's tort, damages are assessed as the cost of repairs or replacement at the time of the wrong. If the plaintiff does not repair or replace the property until a later date, and the cost is then higher, the plaintiff will ordinarily be unable to claim the increased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Cassels goes on to comment at p. 361: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an interesting corollary to the time of the wrong rule. Just as the plaintiff is not generally entitled to claim additional losses incurred after the breach, the plaintiff is entitled to retain additional gains realized after the date of the breach. In other words, the plaintiff takes the risk of additional losses after the breach and receives the benefit of a favourable turn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Jamal v. Moolla Dawood, Sons &amp; Co., [1916] 1 A.C. 175 (P.C.) the buyer breached a contract to purchase shares from the plaintiff vendor, resulting in a loss to the plaintiff of the difference between the contract price and the (lower) market price as of that day. In the following six months, the plaintiff sold the shares into the market. Although he realized less than he would have under the breached contract, his overall loss was less than his date-of-breach loss thanks to improving market conditions. The Privy Council refused to give the defendant the benefit of the plaintiff's later sales and awarded the plaintiff the full date-of-breach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While affirming that a plaintiff who sues for damages must take all reasonable steps to mitigate the loss, the court held at p. 179 that "the loss to be ascertained is the loss </w:t>
      </w:r>
      <w:r>
        <w:rPr>
          <w:rFonts w:ascii="arial" w:eastAsia="arial" w:hAnsi="arial" w:cs="arial"/>
          <w:i/>
          <w:color w:val="000000"/>
          <w:sz w:val="20"/>
          <w:lang w:val="en-US" w:eastAsia="en-US" w:bidi="ar-SA"/>
        </w:rPr>
        <w:t>at the date of the breach</w:t>
      </w:r>
      <w:r>
        <w:rPr>
          <w:rFonts w:ascii="arial" w:eastAsia="arial" w:hAnsi="arial" w:cs="arial"/>
          <w:color w:val="000000"/>
          <w:sz w:val="20"/>
          <w:lang w:val="en-US" w:eastAsia="en-US" w:bidi="ar-SA"/>
        </w:rPr>
        <w:t>" [emphasis in original]. The court summarized the question it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contract for sale of negotiable securities, is the measure of damages for breach the difference between the contract price and the market price at the date of the breach - with an obligation on the part of the seller to mitigate the damages by getting the best price he can at the date of the breach - or is the seller bound to reduce the damages, if he can, by subsequent sales at better prices? If he is, and if the purchaser is entitled to the benefit of subsequent sales, it must also be true that he must bear the burden of subsequent losses. The latter proposition is in their Lordships' opinion impossible, and the former is equally unsound. If the seller retains the shares after the breach, the speculation as to the way the market will subsequently go is the speculation of the seller, not of the buyer; the seller cannot recover from the buyer the loss below the market price at the date of the breach if the market falls, nor is he liable to the purchaser for the profit if the market 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essence of that analysis is that the mitigation period, at least in the context of sales of shares, is very brief. The actual loss is the loss at the date of the breach, and subsequent gains or losses in the share value are to the benefit or detriment of the plaintiff. This is so despite the fact that the plaintiff in Jamal would not have possessed the shares, and thus would not have been in a position to resell them, but for the defendant's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However, the rule that the loss to be ascertained is the loss at the date of the breach is not absolute. It permits of exceptions which are framed by two other principles: the duty to mitigate and its corollary, the necessity to account for avoided loss. In sum, where the circumstances are such that the plaintiff has a duty to mitigate his or her losses, he or she will be given a reasonable time to do so and if, during that period, the plaintiff takes steps in mitigation which in fact avoid losses, the plaintiff is only permitted to recover for the losses he or she has actually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Mitigation of damages is the principle that a plaintiff may not recover losses that have been avoided through subsequent action or losses that could have been avoided by the plaintiff taking reasonable steps after the wrong: British Westinghouse Electric &amp; Manufacturing Co. Ltd. v. Underground Electric Rlys Co. of London Ltd., [1912] A.C. 673 (H.L.) at p. 689; Asamera Oil Corp. v. Sea Oil &amp; General Corp. </w:t>
      </w:r>
      <w:hyperlink r:id="rId541" w:history="1">
        <w:r>
          <w:rPr>
            <w:rFonts w:ascii="arial" w:eastAsia="arial" w:hAnsi="arial" w:cs="arial"/>
            <w:i/>
            <w:color w:val="0077CC"/>
            <w:sz w:val="20"/>
            <w:u w:val="single"/>
            <w:shd w:val="clear" w:color="auto" w:fill="FFFFFF"/>
            <w:lang w:val="en-US" w:eastAsia="en-US" w:bidi="ar-SA"/>
          </w:rPr>
          <w:t>(1978), 89 D.L.R. (3d) 1</w:t>
        </w:r>
      </w:hyperlink>
      <w:r>
        <w:rPr>
          <w:rFonts w:ascii="arial" w:eastAsia="arial" w:hAnsi="arial" w:cs="arial"/>
          <w:color w:val="000000"/>
          <w:sz w:val="20"/>
          <w:lang w:val="en-US" w:eastAsia="en-US" w:bidi="ar-SA"/>
        </w:rPr>
        <w:t xml:space="preserve"> (S.C.C.). For example, where a defendant vendor fails to complete a sale of shares or real estate in a rising market, the plaintiff is usually obliged to mitigate his or her loss by purchasing replacements on the market within a reasonable time (Asamera). In Red Deer College v. Michaels </w:t>
      </w:r>
      <w:hyperlink r:id="rId542" w:history="1">
        <w:r>
          <w:rPr>
            <w:rFonts w:ascii="arial" w:eastAsia="arial" w:hAnsi="arial" w:cs="arial"/>
            <w:i/>
            <w:color w:val="0077CC"/>
            <w:sz w:val="20"/>
            <w:u w:val="single"/>
            <w:shd w:val="clear" w:color="auto" w:fill="FFFFFF"/>
            <w:lang w:val="en-US" w:eastAsia="en-US" w:bidi="ar-SA"/>
          </w:rPr>
          <w:t>(1975), 57 D.L.R. (3d) 386</w:t>
        </w:r>
      </w:hyperlink>
      <w:r>
        <w:rPr>
          <w:rFonts w:ascii="arial" w:eastAsia="arial" w:hAnsi="arial" w:cs="arial"/>
          <w:color w:val="000000"/>
          <w:sz w:val="20"/>
          <w:lang w:val="en-US" w:eastAsia="en-US" w:bidi="ar-SA"/>
        </w:rPr>
        <w:t xml:space="preserve"> (S.C.C.), Laskin C.J.C. described the mitigation principle as follows (at p. 390):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primary rule in breach of contract cases, that a wronged plaintiff is entitled to be put in as good a position as he would have been if there had been proper performance by the defendant, is subject to the qualification that the defendant cannot be called upon to pay for avoidable losses which would result in an increase in the quantum of damages payable to the plaintiff. The reference in the case law to a "duty" to mitigate should be understood in this sense.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a wronged plaintiff is entitled to recover damages for the losses he has suffered but the extent of those losses may depend upon whether he has taken reasonable steps to avoid their unreasonable accumulation.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A broad view of the compensatory goal of damages suggests that profits the plaintiff earns within a state of affairs created by the defendant's wrongful conduct should reduce the losses suffered, even if those gains come later in time. This was the view taken in British Westinghouse and Canadian cases that have followed that decision: e.g. Erie County Natural Gas &amp; Fuel Co. v. Carroll, [1911] A.C. 105 (P.C.); Cockburn v. Trusts &amp; Guarantee Co. (1917), 37 D.L.R. 701 (S.C.C.) and Trizec Equities Ltd. v. Ellis-Don Management Services Ltd., </w:t>
      </w:r>
      <w:hyperlink r:id="rId543" w:history="1">
        <w:r>
          <w:rPr>
            <w:rFonts w:ascii="arial" w:eastAsia="arial" w:hAnsi="arial" w:cs="arial"/>
            <w:i/>
            <w:color w:val="0077CC"/>
            <w:sz w:val="20"/>
            <w:u w:val="single"/>
            <w:shd w:val="clear" w:color="auto" w:fill="FFFFFF"/>
            <w:lang w:val="en-US" w:eastAsia="en-US" w:bidi="ar-SA"/>
          </w:rPr>
          <w:t>[1999] 5 W.W.R. 1</w:t>
        </w:r>
      </w:hyperlink>
      <w:r>
        <w:rPr>
          <w:rFonts w:ascii="arial" w:eastAsia="arial" w:hAnsi="arial" w:cs="arial"/>
          <w:color w:val="000000"/>
          <w:sz w:val="20"/>
          <w:lang w:val="en-US" w:eastAsia="en-US" w:bidi="ar-SA"/>
        </w:rPr>
        <w:t xml:space="preserve"> (Alta. Q.B.). In each of these cases, the court viewed the loss caused by the wrongful conduct as suspended until a later date when the subsequent gains occurred. With the benefit of hindsight, the "actual loss" was deemed to be the net effect upon the plaintiff after those gains were taken into account. Thus, where the plaintiff has taken action to subtract from an existing fixed loss and has benefited, the mitigating benefit may be deducted from the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point is well illustrated by British Westinghouse. The case involved a contract to supply turbines. They proved to be defective and not in accordance with the contract. The purchaser used them for a time, but ultimately replaced them with other turbines of a different make and increased capacity. An arbitrator found that the purchase of the better turbines was a reasonable and prudent course for the mitigation of damages and that even if the original turbines had complied with the contract, it would still have been economically sensible for the purchaser to replace them with the others due to their greater efficiency. On appeal from a special case stated for the opinion of the court, Lord Haldane wrote at pp. 690-91: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this decision [Staniforth v. Lyall 7 Bing. 169] illustrates a principle which has been recognized in other cases, that, provided the course taken to protect himself by the plaintiff in such an action was one which a reasonable and prudent person might in the ordinary course of business properly have taken, and in fact did take whether bound to or not, a jury or an arbitrator may properly look at the whole of the facts and ascertain the result in estimating the quantum of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 principle which applies here is that which makes it right for the jury or arbitrator to look at what actually happened, and to balance loss and gain. The transaction was not res inter alios acta, but one in which the person whose contract was broken took a reasonable and prudent course quite naturally arising out of the circumstances in which he was placed by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Thus, the House of Lords said, the arbitrator should consider, in assessing damages, not only the cost of the replacement turbines, but also the pecuniary advantage they brought to the plaintiff once they were acquired and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Similar results were reached in the early Canadian cases of Erie County Natural Gas and Cockburn. The latter involved a plaintiff who had lost his employment upon the liquidation of the company that employed him. The court held that his damages for wrongful dismissal were to be reduced by the profit he had made on the sale of goods he had purchased at his employer's liquidation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 defendants have emphasized that line of cases, arguing that the securities that eventually made Ms. Secord and Sailview a profit were the very ones the defendants had purchased for her through the options trading of which she now complains. They argue that it is consistent with those cases to take into account those profits when calculating her actual losses. The defendants also refer to Uncle Ben's Tartan Holdings Ltd. v. Northwest Sports Enterprises Ltd. </w:t>
      </w:r>
      <w:hyperlink r:id="rId544" w:history="1">
        <w:r>
          <w:rPr>
            <w:rFonts w:ascii="arial" w:eastAsia="arial" w:hAnsi="arial" w:cs="arial"/>
            <w:i/>
            <w:color w:val="0077CC"/>
            <w:sz w:val="20"/>
            <w:u w:val="single"/>
            <w:shd w:val="clear" w:color="auto" w:fill="FFFFFF"/>
            <w:lang w:val="en-US" w:eastAsia="en-US" w:bidi="ar-SA"/>
          </w:rPr>
          <w:t>(1974), 46 D.L.R. (3d) 280</w:t>
        </w:r>
      </w:hyperlink>
      <w:r>
        <w:rPr>
          <w:rFonts w:ascii="arial" w:eastAsia="arial" w:hAnsi="arial" w:cs="arial"/>
          <w:color w:val="000000"/>
          <w:sz w:val="20"/>
          <w:lang w:val="en-US" w:eastAsia="en-US" w:bidi="ar-SA"/>
        </w:rPr>
        <w:t xml:space="preserve"> (B.C.S.C.) which concerned damages for fraud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case where the shares purchased by the plaintiff had been re-sold at a price higher than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plaintiffs, however, emphasize the principles in the Jamal line of cases (although Jamal was not cited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two lines of cases may seem inconsistent at first impression. Why did the defendant in Westinghouse benefit from the plaintiff's purchase of different and better turbines while the defendant in Jamal was not allowed to benefit from the plaintiff's retention of the shares? Indeed, in Jamal the court appears to contradict the result in cases such as British Westinghouse and Cockburn when it states at p. 180: "the fact that by reason of the loss of the contract which the defendant has failed to perform the plaintiff obtains the benefit of another contract which is of value to him does not entitle the defendant to the benefit of the latter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One of the lines drawn in the cases is between those situations in which the benefit later realized by the plaintiff arises naturally from the circumstances in which the breach occurred - so that the breach is causally connected to the profit - and those in which it is not. That line does not necessarily provide a distinction, however: surely there was a weaker causal connection between the breach and the profits flowing from the purchase of the more efficient turbines in Westinghouse than there was between the breach and the profits flowing from the retention of the shares in Jamal.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Looking at the cases overall, it appears that: (1) gains earned from the use of superior equipment or licenses purchased after the original equipment or license vendor's breach of contract are to be set off against the plaintiff's loss (British Westinghouse and Erie County Natural Gas); (2) gains earned from the use of replacement structures acquired after the original developer's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contract are to be set off against the plaintiff's loss (Trizec Equities); (3) gains earned at an employer's liquidation sale are to be set off against damages for wrongful dismissal where that dismissal was a result of the employer's bankruptcy (Cockburn); but (4) gains earned from the sale of shares into an improved market following the original buyer's breach of contract are not to be discounted from the plaintiff's loss (Jamal).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apparent inconsistency can be explained. Shares or other securities are so readily transferable that the period for mitigation of loss following a tort or breach of contract in respect of those shares will generally be very brief. Assets that have a substantial physical bulk or lack an active market (such as structures and heavy equipment) will carry a more lengthy mitigation period; and gains that are made by dealing with the assets following the defendant's wrongful conduct in respect of those assets will be accounted for where they occur within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 attribution of a brief mitigation period (and thus a brief period for assessing actual loss) to situations involving the purchase and sale of securities is supported by recent authority. In Burke v. Cory </w:t>
      </w:r>
      <w:hyperlink r:id="rId545" w:history="1">
        <w:r>
          <w:rPr>
            <w:rFonts w:ascii="arial" w:eastAsia="arial" w:hAnsi="arial" w:cs="arial"/>
            <w:i/>
            <w:color w:val="0077CC"/>
            <w:sz w:val="20"/>
            <w:u w:val="single"/>
            <w:shd w:val="clear" w:color="auto" w:fill="FFFFFF"/>
            <w:lang w:val="en-US" w:eastAsia="en-US" w:bidi="ar-SA"/>
          </w:rPr>
          <w:t>(1959), 19 D.L.R. (2d) 252</w:t>
        </w:r>
      </w:hyperlink>
      <w:r>
        <w:rPr>
          <w:rFonts w:ascii="arial" w:eastAsia="arial" w:hAnsi="arial" w:cs="arial"/>
          <w:color w:val="000000"/>
          <w:sz w:val="20"/>
          <w:lang w:val="en-US" w:eastAsia="en-US" w:bidi="ar-SA"/>
        </w:rPr>
        <w:t xml:space="preserve"> (Ont. C.A.), the plaintiff was induced to buy certain securities under a misrepresentation and breach of fiduciary relationship. After stating approval of the Jamal decision, the Ontario Court of Appeal held that when the plaintiff learned the true facts concerning his shares he had a duty to mitigate his loss "by selling his shares at once" (at pp. 263-64). Any losses occurring after that point were to be borne by the plaintiff, not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Court of Appeal for British Columbia in Hongkong Bank of Canada v. Richardson Greenshields of Canada Ltd. </w:t>
      </w:r>
      <w:hyperlink r:id="rId546" w:history="1">
        <w:r>
          <w:rPr>
            <w:rFonts w:ascii="arial" w:eastAsia="arial" w:hAnsi="arial" w:cs="arial"/>
            <w:i/>
            <w:color w:val="0077CC"/>
            <w:sz w:val="20"/>
            <w:u w:val="single"/>
            <w:shd w:val="clear" w:color="auto" w:fill="FFFFFF"/>
            <w:lang w:val="en-US" w:eastAsia="en-US" w:bidi="ar-SA"/>
          </w:rPr>
          <w:t>(1990), 48 B.C.L.R. (2d) 139</w:t>
        </w:r>
      </w:hyperlink>
      <w:r>
        <w:rPr>
          <w:rFonts w:ascii="arial" w:eastAsia="arial" w:hAnsi="arial" w:cs="arial"/>
          <w:color w:val="000000"/>
          <w:sz w:val="20"/>
          <w:lang w:val="en-US" w:eastAsia="en-US" w:bidi="ar-SA"/>
        </w:rPr>
        <w:t xml:space="preserve"> (C.A.), considered a case in which the plaintiff had brought action as a result of the defendant's failure to follow instructions to sell $10 million worth of government bonds. A week after the settlement date the bank sold the bonds into a falling market and suffered nearly $500,000 in losses, an amount it was awarded at trial. The Court of Appeal reduced that award to $300,000, the amount that would have been lost had the bank "acted with greater promptitude" and sold the bonds as soon as it learned of the defendant's failure to sell. The court reviewed the general principle of mitigation as discussed in the Red Deer College and Asamera Oil cases, then reviewed the Jamal and Burke decisions. It held that a reasonable mitigation period would generally be shorter in a case involving securities than it would in a sale of goods case (at p. 143):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market conditions and the plaintiff's knowledge and familiarity with the market, greater promptitude in mitigation will be expected in a case involving the purchase or sale of marketable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Thus, the bank's losses due to market fluctuations were deemed to be at the bank's own risk only two business days after the defendant's wrong. The corollary to that result is that any gains the bank may have earned on the bonds beyond those two days would have been to the bank's benefit, and not subtracted from the damage award. This is so despite the fact that the bonds would not have been in the bank's possession but for the wrongful conduct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It is important to note that the two day mitigation period allowed in Hongkong Bank was based on both market conditions and the sophistication of the plaintiff. In Vanderburgh v. ScotiaMcLeod Inc. (1992), </w:t>
      </w:r>
      <w:hyperlink r:id="rId547" w:history="1">
        <w:r>
          <w:rPr>
            <w:rFonts w:ascii="arial" w:eastAsia="arial" w:hAnsi="arial" w:cs="arial"/>
            <w:i/>
            <w:color w:val="0077CC"/>
            <w:sz w:val="20"/>
            <w:u w:val="single"/>
            <w:shd w:val="clear" w:color="auto" w:fill="FFFFFF"/>
            <w:lang w:val="en-US" w:eastAsia="en-US" w:bidi="ar-SA"/>
          </w:rPr>
          <w:t>4 Alta. L.R. (3d) 138</w:t>
        </w:r>
      </w:hyperlink>
      <w:r>
        <w:rPr>
          <w:rFonts w:ascii="arial" w:eastAsia="arial" w:hAnsi="arial" w:cs="arial"/>
          <w:color w:val="000000"/>
          <w:sz w:val="20"/>
          <w:lang w:val="en-US" w:eastAsia="en-US" w:bidi="ar-SA"/>
        </w:rPr>
        <w:t xml:space="preserve"> (Q.B.), the court followed the principles set out in Hongkong Bank and decided upon a three month mitigation period. The court held that during that time, the individual plaintiff could consider his position, obtain any legal advice, and sell the shares that the defendant had negligently induced him to purchase. A much longer period might be warranted where there is no readily available market for the asset in question: see Richmond Wineries Western Ltd. v. Simpson, </w:t>
      </w:r>
      <w:hyperlink r:id="rId548" w:history="1">
        <w:r>
          <w:rPr>
            <w:rFonts w:ascii="arial" w:eastAsia="arial" w:hAnsi="arial" w:cs="arial"/>
            <w:i/>
            <w:color w:val="0077CC"/>
            <w:sz w:val="20"/>
            <w:u w:val="single"/>
            <w:shd w:val="clear" w:color="auto" w:fill="FFFFFF"/>
            <w:lang w:val="en-US" w:eastAsia="en-US" w:bidi="ar-SA"/>
          </w:rPr>
          <w:t>[1940] S.C.R. 1</w:t>
        </w:r>
      </w:hyperlink>
      <w:r>
        <w:rPr>
          <w:rFonts w:ascii="arial" w:eastAsia="arial" w:hAnsi="arial" w:cs="arial"/>
          <w:color w:val="000000"/>
          <w:sz w:val="20"/>
          <w:lang w:val="en-US" w:eastAsia="en-US" w:bidi="ar-SA"/>
        </w:rPr>
        <w:t xml:space="preserve"> and Mines Limited v. Woodworth, </w:t>
      </w:r>
      <w:hyperlink r:id="rId549" w:history="1">
        <w:r>
          <w:rPr>
            <w:rFonts w:ascii="arial" w:eastAsia="arial" w:hAnsi="arial" w:cs="arial"/>
            <w:i/>
            <w:color w:val="0077CC"/>
            <w:sz w:val="20"/>
            <w:u w:val="single"/>
            <w:shd w:val="clear" w:color="auto" w:fill="FFFFFF"/>
            <w:lang w:val="en-US" w:eastAsia="en-US" w:bidi="ar-SA"/>
          </w:rPr>
          <w:t>[1940] 3 W.W.R. 200</w:t>
        </w:r>
      </w:hyperlink>
      <w:r>
        <w:rPr>
          <w:rFonts w:ascii="arial" w:eastAsia="arial" w:hAnsi="arial" w:cs="arial"/>
          <w:color w:val="000000"/>
          <w:sz w:val="20"/>
          <w:lang w:val="en-US" w:eastAsia="en-US" w:bidi="ar-SA"/>
        </w:rPr>
        <w:t xml:space="preserve"> (B.C.S.C.). However, where the case involves securities for which there is a readily available market, the Jamal, Burke and Hongkong Bank decisions suggest that a brief mitigation period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Applying these principles to the facts of the case before me, I note that the shares were all in large widely traded companies. The plaintiffs and their new advisors took control of the accounts at the end of August 1996 when they were transferred out of Global. Had the shares declined in value, the plaintiffs would have been hard-pressed to claim damages from the defendants for losses beyond the market value on the day of the transfer because of their duty, and ability, to mitigate. As in the Hongkong Bank case, the time for assessment of loss should be taken to be the time at which the plaintiffs could have entered the market. The date of transfer is the appropriate one.</w:t>
      </w:r>
      <w:r>
        <w:rPr>
          <w:rFonts w:ascii="arial" w:eastAsia="arial" w:hAnsi="arial" w:cs="arial"/>
          <w:sz w:val="20"/>
          <w:lang w:val="en-US" w:eastAsia="en-US" w:bidi="ar-SA"/>
        </w:rPr>
        <w:cr/>
      </w:r>
    </w:p>
    <w:p>
      <w:pPr>
        <w:numPr>
          <w:numId w:val="3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damages did flow from breaches of duty by the defendants, what is the measure of those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Damages for breach of contract aim to put the plaintiff in the position he or she would have been in had the contract been properly performed. In Wertheim v. Chicoutimi Pulp Co., </w:t>
      </w:r>
      <w:hyperlink r:id="rId550" w:history="1">
        <w:r>
          <w:rPr>
            <w:rFonts w:ascii="arial" w:eastAsia="arial" w:hAnsi="arial" w:cs="arial"/>
            <w:i/>
            <w:color w:val="0077CC"/>
            <w:sz w:val="20"/>
            <w:u w:val="single"/>
            <w:shd w:val="clear" w:color="auto" w:fill="FFFFFF"/>
            <w:lang w:val="en-US" w:eastAsia="en-US" w:bidi="ar-SA"/>
          </w:rPr>
          <w:t>[1911] A.C. 301</w:t>
        </w:r>
      </w:hyperlink>
      <w:r>
        <w:rPr>
          <w:rFonts w:ascii="arial" w:eastAsia="arial" w:hAnsi="arial" w:cs="arial"/>
          <w:color w:val="000000"/>
          <w:sz w:val="20"/>
          <w:lang w:val="en-US" w:eastAsia="en-US" w:bidi="ar-SA"/>
        </w:rPr>
        <w:t xml:space="preserve"> (P.C.), the court stated at p. 307: "[I]t is the general intention of the law that, in giving damages for breach of contract, the party complaining should, so far as it can be done by money, be placed in the same position as he would have been in if the contract had been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 goal of damages in tort is to restore the plaintiff to the position that the plaintiff would have been in had the wrong not occurred. In BC Checo International Ltd. v. British Columbia Hydro &amp; Power Authority, </w:t>
      </w:r>
      <w:hyperlink r:id="rId551"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the Supreme Court of Canada explained that in contract "the plaintiff is to be put in the position it would have been in had the contract been performed as agreed," whereas in tort "the plaintiff is to be put in the position it would have been in had the misrepresentation not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Although I have found that there was a fiduciary relationship, the remedies the plaintiffs seek are in damages only and it is unnecessary therefore to discuss special considerations arising from the breach of fiduciary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plaintiffs say that the loss in the total value of the plaintiffs' accounts was $430,999, comprised of $363,395 plus $67,604 in commissions. They also seek $386,488 for the lost opportunity to invest the funds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plaintiffs seek in addition punitive or aggravated damages in an unspecified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What is necessary to put the plaintiffs in the same position, or as good a position, as if the defendants had not involved them in options trading? This is the question that arises, whether the breach is considered to be in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answer is complicated by the fact that the options trading frequently involved the purchase of the underlying equities, and I was not persuaded on the evidence that the defendants were in breach of their duties through the selection of the equities per 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plaintiffs sought damages for the loss of capital on their accounts overall (personal and Sailview together). Using the defendants' calculations, the net loss of capital in the aggregate was $107,595. However, given the basis upon which I have found the defendants to be liable, a more appropriate approach would be to look at the capital losses in the Sailview options account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evidence of Paul Fournier, C.A., showed that in the Sailview options account $47,823 US was lost on the options purchased and $9,596 US was lost on the options sold. Those amounts, totalling $57,419 US, should be recovered by the plaintiff Sailview.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addition, some part of the losses on the underlying stocks should be restored. Mr. Fournier calculated the total lost on the stocks in the options account to be $207,834 US. The stocks were almost all in highly capitalized, widely traded companies, whose shares it was reasonable to purchase. Yet the plaintiffs would not likely have found themselves with such intensive ownership of some of those stocks or with such concentration in the "high-tech" sector if it had not been for the effects of the options trading strategy implemented by the defendants. Loss of capital on this approach I assess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sum of the actual loss of capital on the options ($57,419) and the loss of capital due to the drop in value of the underlying equities for which the defendants should be held responsible ($50,000) is $107,419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assess damages of $107,500 US for the plaintiff Sailview's loss of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assessing the cost of the lost opportunity I bear in mind that the basis for the defendants' liability is not with respect to their advice or conduct overall, but only with respect to their advice about and conduct of the options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Professor Kirzner was asked to calculate the rate of return on investment the plaintiffs could have expected during the time that their investment portfolio was maintained at Global. He stated the opinion that the losses were due to the unique nature of the high technology sector and securities selected rather than systematic market effects. Assuming a portfolio mix of 10% safety, 40% income and 50% growth, which he said would be in keeping with the portfolio asset allocation, he used monthly returns on 91-day Canada T-bills for the 10% safety, monthly total returns on Canadian short, mid and long-term bonds as compiled by Scotia McLeod for the 40% income, and monthly returns on the TSE 300 Composite Index Total Return Index for the 50% growth, on a capital-weighted basis. He commented that the choice of the TSE Composite Index was a conservative choice for the growth portion; a globally diversified portfolio would have made more. Thus, he said, his calculation of opportunity loss was conservative. It came to $386,488.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According to his calculations the net losses in all the accounts were $516,262 including the opportunity loss. In Sailview alone, according to his calculations, the net loss including loss of capital and opportunity loss was about $760,000.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Mr. Cripps commented on Professor Kirzner's calculation of the returns the plaintiffs could have expected during the period their portfolio was maintained at Global. He stated these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posit that anyone is entitled to expect a single rate of return over any particular time frame is a false proposition. All that people are entitled to expect is a return that falls within a certain range and the shorter the time period, the greater the range in possible annualized returns. Furthermore, not all strategies that make sense in the long run show good performance over every time frame. Indeed, this behaviour of differing strategies delivering different return patterns over time if the essence of successful diversification.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period from December 1994 to August 1996 when Secord was receiving Semple and Tassone's advice and the three accounts managed by Global contained significant assets, I estimate that they contained average assets of approximately $1.4 million. (See overall Profit &amp; Loss Analysis for Keevil &amp; Sailview prepared by Semple et al ...) Using information from the same source I make out that the total loss on the three accounts experienced during the period was $107,595. Assuming that both the Greenline and Mutual Fund accounts were flat during this period, at the value reported on October 26, 1995, yields average total invested assets of $1.40 + $1.06 + $0.29 = $2.75 million.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Relative to the total assets, the loss incurred in the Global accounts during the approximately 21 month period under consideration was ($1.07595/$2,750)*100 = 3.9%. The same calculation for the assets in the Global accounts alone was 6.4%....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experience, these loss percentages for a 21-month period fall well within the acceptable, normal range for actively traded accounts composed largely of equity and in fact would be acceptable for more conservatively structured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Despite Mr. Cripps's opinion that the losses fell within the acceptable, normal range for actively traded accounts composed largely of equities, I conclude that the plaintiff Sailview is entitled to some compensation for loss of opportunity to invest its capital differently during the relevant period. The evidence showed that it was a period of growth in the market. Professor Kirzner's calculations were conservative in that he chose the TSE Composite index for the 50% growth component; he did not select particular stocks with the benefit of hindsight.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However, compensation for lost opportunity should not be in the full amount claimed by the plaintiff. It should be a relatively modest sum because of the risks inherent in any equity portfolio and because the plaintiff Sailview is also to be compensated for part for its nominal loss of capital. I assess damages for the plaintiff Sailview's lost opportunity to place its capital more productively at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plaintiffs also seek the refund of all commissions paid to the defendants. The evidence was that options trading is a commission-rich area. The total commissions were $67,604. The defendants did not earn the commissions paid for the options trading because of the breaches of duty I have found. The plaintiff Sailview will have $20,000 in damages representing that portion of the commissions paid to the defendants which I assess would be attributable to the options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Although the plaintiffs also sought punitive or aggravated damages, I do not find this is an appropriate case for such awards. They are to be made, according to the Supreme Court of Canada in Hill v. Church of Scientology of Toronto, </w:t>
      </w:r>
      <w:hyperlink r:id="rId552"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 1208, only in cases where the misconduct of the defendant is so outrageous that such damages are rationally required to act as deterrence. This is not such a case.</w:t>
      </w:r>
      <w:r>
        <w:rPr>
          <w:rFonts w:ascii="arial" w:eastAsia="arial" w:hAnsi="arial" w:cs="arial"/>
          <w:sz w:val="20"/>
          <w:lang w:val="en-US" w:eastAsia="en-US" w:bidi="ar-SA"/>
        </w:rPr>
        <w:cr/>
      </w:r>
    </w:p>
    <w:p>
      <w:pPr>
        <w:numPr>
          <w:numId w:val="3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plaintiff Sailview is awarded a total of $50,000 Canadian and $107,500 US in damages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 will hear submissions from counsel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1"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Skinner v. Guo, [2009] B.C.J. No. 2670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Harvey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25,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M082571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2670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1828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185 A.C.W.S. (3d) 255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3633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Charles Skinner, Plaintiff, and Qi Guo and Min Ying Fu,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2"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1" w:name="Keywords_32"/>
      <w:bookmarkEnd w:id="23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Stopping — Application for summary dismissal of plaintiff's action allowed — Plaintiff's vehicle struck defendant's vehicle from the rear while defendant's vehicle was stationary on a three lane highway — Accident occurred at night on well lit straight stretch of road with posted speed limit of 90 kilometres per hour — Court found that although defendant was negligent in failing to remove vehicle from roadway or in activating emergency lights, accident was solely caused by plaintiff — Defendant's vehicle was visible to plaintiff for 40 seconds — Inability to determine that vehicle was stationary was a result of plaintiff's inattention — Motor Vehicle Act, s. 187.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Highways and roads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for summary dismissal of plaintiff's action allowed — Plaintiff's vehicle struck defendant's vehicle from the rear while defendant's vehicle was stationary on a three lane highway — Accident occurred at night on well lit straight stretch of road with posted speed limit of 90 kilometres per hour — Court found that although defendant was negligent in failing to remove vehicle from roadway or in activating emergency lights, accident was solely caused by plaintiff — Defendant's vehicle was visible to plaintiff for 40 seconds — Inability to determine that vehicle was stationary was a result of plaintiff's inattention — Motor Vehicle Act, s. 187.</w:t>
      </w:r>
    </w:p>
    <w:p>
      <w:pPr>
        <w:jc w:val="both"/>
        <w:rPr>
          <w:rFonts w:ascii="arial" w:eastAsia="arial" w:hAnsi="arial" w:cs="arial"/>
          <w:sz w:val="20"/>
          <w:lang w:val="en-US" w:eastAsia="en-US" w:bidi="ar-SA"/>
        </w:rPr>
      </w:pPr>
      <w:bookmarkStart w:id="232" w:name="Legislation Cited_22"/>
      <w:bookmarkEnd w:id="2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3"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 Rule 18A, Rule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560" w:history="1">
        <w:r>
          <w:rPr>
            <w:rFonts w:ascii="arial" w:eastAsia="arial" w:hAnsi="arial" w:cs="arial"/>
            <w:i/>
            <w:color w:val="0077CC"/>
            <w:sz w:val="20"/>
            <w:u w:val="single"/>
            <w:shd w:val="clear" w:color="auto" w:fill="FFFFFF"/>
            <w:lang w:val="en-US" w:eastAsia="en-US" w:bidi="ar-SA"/>
          </w:rPr>
          <w:t>RSBC 1996, CHAPTER 318, s. 187</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3" w:name="Counsel_32"/>
      <w:bookmarkEnd w:id="2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4"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Marcoux.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as Agent for Ada Lam: K. Armstrong.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4" w:name="Judgment_31"/>
      <w:bookmarkEnd w:id="234"/>
      <w:r>
        <w:pict>
          <v:line id="_x0000_s1185"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5" w:name="J.S. HARVEY J. (orally)"/>
            <w:bookmarkEnd w:id="235"/>
            <w:r>
              <w:rPr>
                <w:rFonts w:ascii="arial" w:eastAsia="arial" w:hAnsi="arial" w:cs="arial"/>
                <w:b/>
                <w:color w:val="000000"/>
                <w:sz w:val="30"/>
                <w:lang w:val="en-US" w:eastAsia="en-US" w:bidi="ar-SA"/>
              </w:rPr>
              <w:t>J.S. HARVEY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a motor vehicle accident which occurred on August 11, 2006. There are two applications before the court. The first is the application of the plaintiff for an order striking those portions of the statement of defence which relate to the denial of liability, on the grounds that the defendant driver, Mr. Guo, failed to attend a scheduled appointment for examination for discovery. It is conceded by counsel on behalf of the two defendants that each has left the country and neither will be available for attendance at discovery or trial. Neither of the defendants have been served with the originating process in this action, but an appearance and defence has been entered by their agent, ICBC. I find that the defendants, particularly the defendant driver Mr. Guo, are unaware of the action and the intended discovery. Mr. Guo's non-attendance at the discovery was neither wilful or knowing.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of this matter is scheduled to proceed in late October under Rule 66. The defendant, in response to the motion of the plaintiff, points to Rule 1(5), which notes that the purpose of the rules is to provide for the just, speedy, and inexpensive resolution of the litigation. Counsel for ICBC says it would be unfair to impose the severe remedy of striking the defence or a portion thereof because of its inability to discover the whereabouts of Mr. Guo.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second application is the request of the defendant for a determination of the issue of liability by way of trial pursuant to Rule 18A. Counsel for the plaintiff, while not conceding the matter is appropriate for disposition by way of 18A summary trial, has agreed to have the matter heard within 42 days from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hearing the application of the plaintiff, I advised counsel that I would proceed to hear the application for summary trial under Rule 18A and deal with both matters at the same time. Having been referred to the evidence in this matter, it is my view that it is capable of resolution by way of summary disposition and that I can determine the issue of liability without hearing oral evidence or providing the plaintiff a right of discovery of the defendant driver. In doing so, I have concluded that in the circumstances of this accident, the defendant's absence is more disadvantageous to the defence than to the prosecution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facts giving rise to that accident are not in dispute. In making findings of fact, I have paid heed only to the plaintiff's affidavit evidence in the response to the motion and his discovery evidence adduced in support of the application for dismissal, together with the photographic evidence contained in the affidavit of Carl Richmond and the evidence of Constable McKinney, who attended the scene. I have not considered or relied upon any of these statements attributed to Mr. Guo in the affidavit of Constable McKinney.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Given this evidence, I find that the accident occurred in the far right lane of westbound traffic on Highway 1 at or near the Sprott Street overpass. Mr. Guo was driving a white Rav 4. The plaintiff was driving a 1997 Mazda sedan. The roadway at the scene of the accident is three lanes wide with shoulders on both sides. The highway is divided by a median that separates the westbound and eastbound lanes of traffic. The posted speed for the area is 90 kilometres per hour. The accident occurred on August 11, 2006, at approximately 1 a.m. The plaintiff testified that just prior to the accident, he was driving at approximately 80 kilometres per hour and he observed the defendant's vehicle pass him at a speed significantly in excess of his own. From the sworn evidence of Constable McKinney and the photographs depicting the area attached to the affidavit of Carl Richmond, I can determine that the road approaching the area of the roadway where the accident occurred, from the nearest overpass at Kensington Avenue, is straight and reasonably well lit. There are no twists or curves in the road that obscure the vision of a westbound driver for the approximately one kilometre distance between the Kensington Avenue and Sprott Street overpasses.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accident which occurred was a rear-end collision. The plaintiff's vehicle struck the defendant's vehicle from the rear as the defendant's vehicle sat stationary on the travelled portion of the highway in the far right lane. The defendant's tail lights were on, but he had neither turn signal on nor had he activated his emergency flashers indicating that he had stopped his vehicle in the travelled portion of the roadway. As such, the defendant was in contravention of his obligation under s. 187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(3), if outside of a business or residence district it is practicable to stop, park or leave a vehicle off the roadway, a person must not stop, park or leave the vehicle either unattended or attended on the roadway.</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(3), a person must not park a vehicle so as to obstruct the free passage of traffic on the highway.</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Subsections (1) and (2) do not apply when a vehicle is so disabled that it is not practicable to avoid stopping and temporarily leaving it on a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has given no explanation for stopping other than the remarks he made to the officer at the time. I have not considered that evidence. If there is a lawful excuse for his breach of s. 187, it is not in evidence. Accordingly, I find that he was negligent by failing to remove his vehicle from the roadway in a timely fashion and/or in activating his emergency flashers.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That, however, does not end the matter. In determining the issue of liability for the accident, I must determine whether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was the proximate cause or materially contributed to the occurrence of the collision. I am able to infer from the evidence at the scene and the evidence of the plaintiff as to what was said by the defendant after they spoke following the collision that the defendant's vehicle struck a coyote that was lying dead by the side of the road. I accept the statements attributed to the defendant concerning a dog, which were referred to in the evidence of the plaintiff, as evidence I can consider as part of the </w:t>
      </w:r>
      <w:r>
        <w:rPr>
          <w:rFonts w:ascii="arial" w:eastAsia="arial" w:hAnsi="arial" w:cs="arial"/>
          <w:i/>
          <w:color w:val="000000"/>
          <w:sz w:val="20"/>
          <w:lang w:val="en-US" w:eastAsia="en-US" w:bidi="ar-SA"/>
        </w:rPr>
        <w:t>res gestae</w:t>
      </w:r>
      <w:r>
        <w:rPr>
          <w:rFonts w:ascii="arial" w:eastAsia="arial" w:hAnsi="arial" w:cs="arial"/>
          <w:color w:val="000000"/>
          <w:sz w:val="20"/>
          <w:lang w:val="en-US" w:eastAsia="en-US" w:bidi="ar-SA"/>
        </w:rPr>
        <w:t>. However, there is no direct evidence as to how long the defendant's vehicle was stopped, whether his vehicle was operable before being struck by the plaintiff, nor any explanation as to why his emergency flashers were not activated. I infer from the evidence of plaintiff that the defendant's vehicle had passed him approximately one and a half to two and a half kilometres down the road from where the collision occurred and, as a result, the defendant's vehicle could not have been at the location of the collision for a significant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respect of the actions of the defendant, I find that he stopped his car on the travelled portion of Highway 1 and had been stopped at or near the Sprott Street overpass prior to the plaintiff's vehicle passing the Kensington overpass approximately one kilometre to the east. I make this finding based on the evidence of the plaintiff who said he did not at any time see the defendant's brake lights activated. I conclude that the defendant would have applied his brakes after or perhaps while striking the coyote. The defendant's vehicle was white in colour and, as noted earlier, the tail lights were on at all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in his own evidence said he could see the defendant's vehicle for as far as one could see. While I cannot conclude with any precision what distance that would be, I can conclude that the defendant's vehicle was visible to the plaintiff from at or near the time he passed the Kensington on-ramp described in the affidavit of Constable McKinney. Constable McKinney described the scene of the collision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I received the dispatch call, I drove eastbound on Highway 1 and saw two vehicles parked in the opposing westbound lanes of Highway 1. I turned my vehicle around via Kensington Avenue, approximately a kilometre away from the site of the accident. As I completed my loop around to the westbound lanes, I could see the back of the vehicle from a distance under the Sprott Street overpass. I don't recall if the four-way flashers of the rear vehicle were on, I just saw the tail lights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is precisely the view of the roadway the plaintiff would have had as he passed Kensington Avenue some kilometre or so to the east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gave evidence that there was no other traffic by which to reference the fact that the defendant's vehicle was stopped and, as such, he was only able to come to that conclusion when he was some two to three car lengths away. The defendant's vehicle was stopped under, or in close proximity to, the Sprott Street overpass, which would have, or should have, provided some frame of reference for the plaintiff. The plaintiff estimates his speed at approximately 80 kilometres per hour, which means it would have taken in excess of 40 seconds from the time he passed the Kensington overpass to travel to the point of impact. In all of this time he presumably failed to observe that the defendant's vehicle was stationary. The defendant's vehicle was stationary with its rear lights activated. When the plaintiff realized that the defendant's vehicle was not moving, he slammed his brakes and skidded into the defendant's car. He took no evasive measures, such as moving into the center lane of the highway, so as to avoid the collision. No measurements of the skid marks left by the plaintiff's vehicle were taken. Constable McKinney estimates they were some 10 metres long; the plaintiff estimates longer than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While I find that the defendant, without lawful excuse, stopped his vehicle on the travelled portion of the highway, thus falling below the standard of care expected of a driver in like situations, I find that his vehicle was there to be seen and was, in fact, seen by the plaintiff as far as one thousand metres down the road. I can only conclude the plaintiff's inability to determine that the defendant's vehicle was stationary was as a result of his inattention to the road before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All of the cases referred to me by counsel note that there is a high onus on a following driver, as stated in </w:t>
      </w:r>
      <w:r>
        <w:rPr>
          <w:rFonts w:ascii="arial" w:eastAsia="arial" w:hAnsi="arial" w:cs="arial"/>
          <w:i/>
          <w:color w:val="000000"/>
          <w:sz w:val="20"/>
          <w:lang w:val="en-US" w:eastAsia="en-US" w:bidi="ar-SA"/>
        </w:rPr>
        <w:t>Molson v. Squamish Transfer Ltd.</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(1969), 7 D.L.R. (3d) 553</w:t>
        </w:r>
      </w:hyperlink>
      <w:r>
        <w:rPr>
          <w:rFonts w:ascii="arial" w:eastAsia="arial" w:hAnsi="arial" w:cs="arial"/>
          <w:color w:val="000000"/>
          <w:sz w:val="20"/>
          <w:lang w:val="en-US" w:eastAsia="en-US" w:bidi="ar-SA"/>
        </w:rPr>
        <w:t xml:space="preserve"> (B.C.S.C.). One principle to be extracted from the rear-end cases is that when one car runs into another from behind, the onus is on the driver of the rear car to show that the collision was not occasioned by his fault. However, each case must be decided upon its facts, and I have been referred to cases where substantial liability has been imposed upon the front driver and others where the following driver has been assessed one hundred percent of the claim. I do not find this case similar to the authorities referred to me by counsel for the plaintiff, which include </w:t>
      </w:r>
      <w:r>
        <w:rPr>
          <w:rFonts w:ascii="arial" w:eastAsia="arial" w:hAnsi="arial" w:cs="arial"/>
          <w:i/>
          <w:color w:val="000000"/>
          <w:sz w:val="20"/>
          <w:lang w:val="en-US" w:eastAsia="en-US" w:bidi="ar-SA"/>
        </w:rPr>
        <w:t>McMillan v. Siemens</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[1994] B.C.J. No. 2546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Lloyd v. Fox</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(1991), 57 B.C.L.R. (2d) 332</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W.K. Enterprises Ltd. v. Stetar</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[1976] B.C.J. No. 484</w:t>
        </w:r>
      </w:hyperlink>
      <w:r>
        <w:rPr>
          <w:rFonts w:ascii="arial" w:eastAsia="arial" w:hAnsi="arial" w:cs="arial"/>
          <w:color w:val="000000"/>
          <w:sz w:val="20"/>
          <w:lang w:val="en-US" w:eastAsia="en-US" w:bidi="ar-SA"/>
        </w:rPr>
        <w:t xml:space="preserve"> (S.C.). In each of those cases the hazard created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who had stopped his vehicle was not apparent for either reasons of weather conditions or the design of the roadway until a point where the plaintiff's vehicle was much closer than was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Baker v. Cade</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[1999] B.C.J. No. 239</w:t>
        </w:r>
      </w:hyperlink>
      <w:r>
        <w:rPr>
          <w:rFonts w:ascii="arial" w:eastAsia="arial" w:hAnsi="arial" w:cs="arial"/>
          <w:color w:val="000000"/>
          <w:sz w:val="20"/>
          <w:lang w:val="en-US" w:eastAsia="en-US" w:bidi="ar-SA"/>
        </w:rPr>
        <w:t xml:space="preserve"> (S.C.), has facts which are most analogous to the case at bar. There, the collision involved two cars and a motorcycle. The first car stopped in the middle of a bridge, and the car immediately behind that car came to a stop as well, without activating emergency flashers. The plaintiffs were following behind on a motorcycle. The stopped vehicles were approximately 800 feet away when the plaintiff crested the bridge and had a view of what was happening. The plaintiffs were unable to stop the motorcycle and collided with the rear of the second vehicle, suffering significant injury. The role of the driver of the second vehicle in that situation is analogous to that of the defendant in this case. While Drost J. concluded that the driver of the second vehicle was negligent, he held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the proximate cause of the accident. I reach the same conclusion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only distinguishing factor in this case is that the accident occurred at night. However, I find as a fact that the area was well lit and the sight line of the plaintiff would have allowed him to the defendant's stationary vehicle approximately a kilometre away. Indeed, the plaintiff says he did see the defendant's vehicle, but that he did not determine until it was too late that it was stopped. Despite his description of the traffic, he took no evasive manoeuvres to avoid striking the rear of the defendant's vehicle. He believes he was some 20 to 30 yards away when he slammed on the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Accordingly, the action is dismissed. There will be costs to the defendants. Having reached the conclusion that I can determine the issue of liability in this application, it is unnecessary for me to rule on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Is there anything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ARMSTRONG: I don't know. If there is anything, I suspect Ms. Lam will seek an opportunity to reappear.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COURT: All right. I can't imagine that there would be anything further, but in the circumstances if there is something that arises, then there will be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MARCOUX: My Lord, just on the issue of costs, the plaintiff was put in a difficult position because the defendant never showed up to an examination for discovery to answer any questions and to fully investigate liability on his own. Perhaps in this situation an order for costs may be overly -- it may be a reason to move from the general principle of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COURT: Well, I found that certainly in terms of costs, there would be -- I will make this order -- I'm sorry, I should have allowed you to address this before I ruled peremptorily on that matter. The plaintiff should receive the costs of any non-attendance of Mr. Guo at the discovery, and those will be offset against the costs of the action. There will be no costs of your application, that wasn't dealt with, so there will be no costs of the application. And this application was estimated as being two hours in length, so as to somewhat ameliorate and address the concerns you've raised, Mr. Marcoux, I will order the costs of the application be set as if it took a half day, the 18A application, but I do want to note to you that I have considered in reaching the decision I have that it is my view the evidence of Mr. Guo would not have assisted you. It could only have provided some explanation as to why he was sitting where he was. I have found his actions to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is the proximate cause to the happening of the accident for the reasons I have outlined.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So the costs will be subject to those two items, the costs of yesterday's attendance and today will be limited to a half day as the application was set for two hours, there will be no costs of the plaintiff's application to either party, and you will be entitled to offset the costs of preparation time and the appearance at the discovery at which Mr. Guo did not attend. I will grant liberty to apply if further clarification is needed with respect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ARMSTRONG: My Lord, I foolishly failed to make inquiries as to whether or not there was an offer that would have any effect 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All right. Well, that's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ARMSTRONG: That's what -- that's what I'm alluding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That may be germane and in the circumstances it may not, because certainly I have a discretion 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MARCOUX: I can advise you there was a one dollar offer that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COURT: That is not going to affect the determination of Scale of costs, so you can advise Ms. Lam that even were there an offer of something modest, in the circumstances of Mr. Guo and all of what has gone on I would not depart from the rule of a single set of costs and I have, as I say, ameliorated that somewhat by virtue of the remarks I have just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CLERK: For the record, My Lord, do you wish to specify the 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CLERK: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ARMSTRONG: I will so inform Ms.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All right. Very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6"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Skutnik v. British Columbia, [2012] B.C.J. No. 1530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R. McDiarmid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9 and June 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44015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1530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1081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Wolfgang Skutnik, Plaintiff, and Her Majesty the Queen in Right of the Province of British Columbia: the (Ministry of the Attorney General), the (Ministry of Agriculture and Lands), the (Ministry of Transportation and Infrastructure), B.C. Hydro and Power Authority,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7"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6" w:name="Keywords_33"/>
      <w:bookmarkEnd w:id="236"/>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Action by Skutnik against the Province of BC and BC Hydro for damages for failing to maintain the Highline Road and for making grants outside the public bidding process, dismissed — Defendants' agreement to contribute funds towards maintenance of road did not constitute a contract to maintain road — Further, providing grants was within Province's mandate and did not constitute contracting for transportation-related projects — Because Highline Road was not a recognized "highway", there was no statutory duty on either defendant to maintain it — Moreover, defendants' not sufficiently proximate to plaintiff to found cause of action for economic loss.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Torts by the Crown — Actions against the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Skutnik against the Province of BC and BC Hydro for damages for failing to maintain the Highline Road and for making grants outside the public bidding process, dismissed — Defendants' agreement to contribute funds towards maintenance of road did not constitute a contract to maintain road — Further, providing grants was within Province's mandate and did not constitute contracting for transportation-related projects — Because Highline Road was not a recognized "highway", there was no statutory duty on either defendant to maintain it — Moreover, defendants' not sufficiently proximate to plaintiff to found cause of action for economic loss.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7" w:name="Case Summary_26"/>
            <w:bookmarkEnd w:id="2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Skutnik against the Province of British Columbia and BC Hydro for damages for failing to maintain the Highline Road and for making grants outside the public bidding process mandated by legislation. The plaintiff owned property along the Highline Road. Highline Road was not recognized as a "highway". BC Hydro had a non-exclusive right-of-way over portions of the Highline Road. The Province and BC Hydro each contributed funds on an annual basis to the maintenance of the Highline Road on the understanding that the local Chamber of Commerce would make the necessary arrangements for the maintenance. The terms of the funding agreement were set out in a memorandum of understanding (MOU). The plaintiff alleged that the Highline Road was not properly maintained. He argued that he was unable to deliver produce from his farm undamaged to market and that his customer base had declined because the road had become too hazardous for customers to travel. The plaintiff also alleged that he suffered damage because the defendants did not put out the maintenance for competitive bid. The defendants asked for the plaintiff's claim to be struck in its entirety, arguing that it disclosed no reasonable cause of action. The main issues before the Court were (1) whether funding through the MOU breached the Province and BC Hydro's statutory obligations to ensure competitive and fair bidding; and, (2) whether the defendants' failure to ensure that the road was properly maintained caused economic loss to the plaintiff.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8" w:name="Holdings of Court_21"/>
            <w:bookmarkEnd w:id="23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First, providing grants to various Chambers of Commerce was something that was within the Province's mandate and did not constitute contracting for transportation-related projects. Moreover, the defendants' commitment to provide funding did not in itself constitute a contract to maintain the road. In any event, a breach of s. 4 of the Transportation Act did not give rise to a cause of action enabling the plaintiff to sue for damages. Second, there was no obligation to maintain and improve roads which were not arterial roads in BC. Since Highline Road was not considered a "highway", there was no statutory duty on either defendant to maintain the road. Moreover, there was no actual injury alleged by the plaintiff. Thus, the defendants did not owe a duty of care to the plaintiff, as they were not sufficiently proximate to the plaintiff to found a cause of action for economic loss.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9" w:name="Legislation Cited_23"/>
      <w:bookmarkEnd w:id="2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8"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Judicial Review Procedure Act, </w:t>
      </w:r>
      <w:r>
        <w:rPr>
          <w:rFonts w:ascii="arial" w:eastAsia="arial" w:hAnsi="arial" w:cs="arial"/>
          <w:i/>
          <w:color w:val="000000"/>
          <w:sz w:val="20"/>
          <w:lang w:val="en-US" w:eastAsia="en-US" w:bidi="ar-SA"/>
        </w:rPr>
        <w:t>RSBC 1996, CHAPTER 241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 Act, </w:t>
      </w:r>
      <w:hyperlink r:id="rId573" w:history="1">
        <w:r>
          <w:rPr>
            <w:rFonts w:ascii="arial" w:eastAsia="arial" w:hAnsi="arial" w:cs="arial"/>
            <w:i/>
            <w:color w:val="0077CC"/>
            <w:sz w:val="20"/>
            <w:u w:val="single"/>
            <w:shd w:val="clear" w:color="auto" w:fill="FFFFFF"/>
            <w:lang w:val="en-US" w:eastAsia="en-US" w:bidi="ar-SA"/>
          </w:rPr>
          <w:t>RSBC 1996, CHAPTER 250, s. 75</w:t>
        </w:r>
      </w:hyperlink>
      <w:r>
        <w:rPr>
          <w:rFonts w:ascii="arial" w:eastAsia="arial" w:hAnsi="arial" w:cs="arial"/>
          <w:color w:val="000000"/>
          <w:sz w:val="20"/>
          <w:lang w:val="en-US" w:eastAsia="en-US" w:bidi="ar-SA"/>
        </w:rPr>
        <w:t>, s. 75(1), s. 75(3)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3, s. 3(2), s.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7-1(11)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Transportation Act, </w:t>
      </w:r>
      <w:hyperlink r:id="rId574" w:history="1">
        <w:r>
          <w:rPr>
            <w:rFonts w:ascii="arial" w:eastAsia="arial" w:hAnsi="arial" w:cs="arial"/>
            <w:i/>
            <w:color w:val="0077CC"/>
            <w:sz w:val="20"/>
            <w:u w:val="single"/>
            <w:shd w:val="clear" w:color="auto" w:fill="FFFFFF"/>
            <w:lang w:val="en-US" w:eastAsia="en-US" w:bidi="ar-SA"/>
          </w:rPr>
          <w:t>SBC 2004, CHAPTER 44, s. 2</w:t>
        </w:r>
      </w:hyperlink>
      <w:r>
        <w:rPr>
          <w:rFonts w:ascii="arial" w:eastAsia="arial" w:hAnsi="arial" w:cs="arial"/>
          <w:color w:val="000000"/>
          <w:sz w:val="20"/>
          <w:lang w:val="en-US" w:eastAsia="en-US" w:bidi="ar-SA"/>
        </w:rPr>
        <w:t>(1)(d), s. 2(1) (e), s. 4, s. 84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0" w:name="Counsel_33"/>
      <w:bookmarkEnd w:id="2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9"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Wolfgang Skutnik appeared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British Columbia: K.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B.C. Hydro and Power Authority: M. Fancourt-Smith.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1" w:name="Judgment_32"/>
      <w:bookmarkEnd w:id="241"/>
      <w:r>
        <w:pict>
          <v:line id="_x0000_s1190"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2" w:name="MASTER R. McDIARMID"/>
            <w:bookmarkEnd w:id="242"/>
            <w:r>
              <w:rPr>
                <w:rFonts w:ascii="arial" w:eastAsia="arial" w:hAnsi="arial" w:cs="arial"/>
                <w:b/>
                <w:color w:val="000000"/>
                <w:sz w:val="30"/>
                <w:lang w:val="en-US" w:eastAsia="en-US" w:bidi="ar-SA"/>
              </w:rPr>
              <w:t>MASTER R. McDIARMID</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Applications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notice of application filed April 3, 2012, the self-represented plaintiff sought documents from both of the defendants, and also sought an order compelling the defendant, B.C. Hydro and Power Authority ("B.C. Hydro"), to provide a list of documents. In the "orders sought" portion of the plaintiff's notice of application, paragraphs 2 through 74 inclusive give details of the documents, or the nature of the documents requested to be provided from B.C. Hydro. Paragraphs 75 through to 99 give details of documents requested to be provided by the other defendants, Her Majesty the Queen in Right of the Province of British Columbia: the (Ministry of the Attorney General); the (Ministry of Agriculture and Lands); the (Ministry of Transportation and Infrastructure) (the "Province"). Paragraph 100 seeks an order that the court provide a deadline for the documents to be made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As noted, the plaintiff is self-represented, and unsurprisingly is not intimately familiar with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As was set out in the application responses of B.C. Hydro and the Province, B.C. Hydro had given notice in early 2011 that it wished to bring an application to strike out the plaintiff's claim against B.C. Hydro. In response the plaintiff requested a list of documents. No further steps had been taken in the action until the plaintiff filed and served 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With respect to the documents applied for from the Province, no demand had been made of the Province pursuant to Rule 7-1(11)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The Province had provided a list of documents dated November 10, 2010 shortly after it had filed its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Accordingly, the plaintiff's application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By notice of application filed April 26, 2012, the Province sought the following orders:</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dismissing the Plaintiff's claim against the Province in its entirety;</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an order limiting any relief claimed by operation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and the event the action is not dismissed, an order staying the action until the hearing and disposition of the Plaintiff's Petition in Kamloops Registry No. 44941, scheduled for hearing on November 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notice of application filed April 26, 2012, B.C. Hydro sought the following orders: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claims as against British Columbia Hydro and Power Authority ("Hydro") be struck out in their entirety;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that the claims as against Hydro be summarily dismissed as disclosing no triable issue;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that the within action be referred to a Case Planning Conference in order to coordinate this Action with the conduct of additional proceedings commenced by the Plaintiff in respect of the same subject matter, i.e. SCBC Kamloops Registry Action No. 44941 (the "Petition");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Procedural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matter was initially commenced by a petition filed March 10, 2010. The petition sought damages and not declaratory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By court order made June 1, 2010, the petition was converted to an action and Mr. Skutnik, the petitioner (now plaintiff), was required to file a writ of summons and statement of claim, which he did on June 10,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 case planning conference took place on September 13, 2010, at which time the plaintiff was ordered to amend his pleadings to make them accord with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and file a notice of civil claim, which the plaintiff did on September 24, 2010. The Province filed a response to the notice of civil claim on October 29, 2010. B.C. Hydro filed a response to the notice of civil claim on October 26,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November 10, 2010, the plaintiff commenced another petition in the Supreme Court of British Columbia, Kamloops Registry File No. 44941, seeking a declaration that what I will refer to hereafter as the "Highline Road", between D'Arcy and Seton-Portage, British Columbia, is a public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have been several case planning conferences at which I presided with respect to Kamloops Registry File No. 44941. The scope of that petition was changed and clarified. Most pre-hearing matters have now been concluded. The hearing of that petition is presently set for November 5, 2010. The status of that portion of the Highline Road which is now being dealt with in the hearing of that petition (essentially the portion of the road which is not within Indian Reserves) will presumably be determined by this court following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is the owner of District Lot 1803, which was sold by the Province to the plaintiff's father, Ludwig Skutnik, in 1979. Ludwig Skutnik had initially leased lot 1803 from the Province. The map I was referred to shows lot 1803 situate approximately eight kilometres southwest of the community of Seton Portage, between the Highline Road and the shore of Anderson Lake, south and west of Sandquist Creek, and just slightly north and east of Six Mile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Highline Road is the name given to the road which connects the communities of D'Arcy and Seton Portage, north and east of Whistler and Pemberton, and west and south of Lillooet. In 2004, the Squamish-Lillooet Regional District gave all properties along the Highline Road a civic address under the name "Douglas Trail Road". The property owned by the plaintiff was given the address of 19500 Douglas Trail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1978, the Province granted B.C. Hydro a right-of-way over portions of the Highline Road by way of an indenture made March 1, 1978. The right-of-way granted to B.C. Hydro was not exclusive. It did not give B.C. Hydro a fee-simple right over any portion of the Highline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that same year, on November 17, 1978, the Province confirmed that the plaintiff's father had been issued a lease for vineyard purposes. The documentation shows that the lease went back earlier in the 1970s. The Province gave him the right to purchase Lot 1803 for $275.00, plus two additional fees of $30.00 for the certificate of purchase, and $50.00 for the Crown grant fee. The evidence confirms that Ludwig Skutnik did complete the purchase, and Lot 1803 was conveyed to him by Crown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various times, efforts were made by persons living along the Highline Road and by persons in the Seton Portage area, to have the Highline Road properly maintained and kept open year-round.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For the purposes of the applications to strike this claim, I assume that the facts, as pleaded by the plaintiff, can be proven. The plaintiff, in his notice of civil claim filed September 24, 2010, in Part 1 of the statement of facts, sets out 68 paragraphs, some of them divided into sub-paragraphs. For ease of reference and to ensure persons reading this decision are aware of the facts I have assumed to be true, I am attaching Part 1 of the notice of civil claim to these reasons as an annexure.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particular facts set out in Part 1, paragraphs 1 to 14, 16 to 18, 20 to 23, 25, 26, 28 to 64, and 65(c) are assumed by me to be true. It is the </w:t>
      </w:r>
      <w:r>
        <w:rPr>
          <w:rFonts w:ascii="arial" w:eastAsia="arial" w:hAnsi="arial" w:cs="arial"/>
          <w:color w:val="000000"/>
          <w:sz w:val="20"/>
          <w:u w:val="single"/>
          <w:lang w:val="en-US" w:eastAsia="en-US" w:bidi="ar-SA"/>
        </w:rPr>
        <w:t>facts</w:t>
      </w:r>
      <w:r>
        <w:rPr>
          <w:rFonts w:ascii="arial" w:eastAsia="arial" w:hAnsi="arial" w:cs="arial"/>
          <w:color w:val="000000"/>
          <w:sz w:val="20"/>
          <w:lang w:val="en-US" w:eastAsia="en-US" w:bidi="ar-SA"/>
        </w:rPr>
        <w:t xml:space="preserve"> as pleaded in those paragraphs I assume are true - the referenced paragraphs at times include opinions, argument, and/or conclusions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case law requires me to assume, for the purposes of applications to strike, that the facts pleaded can be proven by the pleader, or put another way, to assume they are true. The plaintiff, in his affidavits (primarily his affidavits sworn and filed March 10, 2010 and May 2, 2012), has provided evidence which substantiate many of the facts he has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have not assumed as true some of what is set out in paragraphs 15, 24, 27, 65 (a) and (b), 66, 67, and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respect to paragraph 15, that is in reference to a letter dated October 19, 2001 from Mike Gwilliam, P.Eng., Area Manager for B.C. Hydro for Lower Mainland/Vancouver Island Transmission, sent to Mr. Charley Derban, Member, Seton Portage-Shalalth District Chamber of Commerce. The body of the letter in its entirety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Charley: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 Modified Highline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11 September Jane Newlands and I attended your Seton Portage Shalalth District Chamber of Commerce (CC) meeting at the Seton Portage Fire Hall. The purpose of the meeting was to discuss your March 2001 proposal for future road maintenance of the modified Highline Road between D'Arcy and Seton Portage. In accordance with the proposal, BC Hydro (BCH) is prepared to provide an annual contribution to the CC for future road maintenance based on the following:</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offer is made without prejudice. By making this offer, BCH accepts no responsibility for road maintenance. Also, BCH does not approve of the use of the road by the public or by others. This relates to a term in our agreements with the Crown granting Hydro its powerline rights of way in this area.</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CC will accept responsibility for all road maintenance, upgrades, plowing, etc as outlined in the proposal.</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user of the road, BCH is prepared to contribute up to $20,000 annually, consisting of 1/4 of the overall costs in any calendar year beginning with 2001.</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will be made by BCH to the CC based on actual work completed and on receipt of invoices from the CC.</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arrangement will be reviewed every October and either party may withdraw from this agreement at that time. This will not affect Hydro's payment of costs in accordance with this letter for work done before any such withdrawal.</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CC will arrange for appropriate signage to be installed on the road to advise users of the general condition of and hazards on the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understood that you will be contacting the other key stakeholders to determine their willingness to share the road maintenance costs. I look forward to continuing to work with you to reach a mutually acceptable solution for future road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document speaks for itself. It is not an "untendered contract for all maintenance and upgrades". It is a "without prejudice" offer to provide an annual contribution to the Chamber of Commerce for future road maintenance based on what is set out in the letter. It does not state "no public or others are to use the Highline Road." To the contrary, as can be seen from the last "bullet" which requires the Chamber of Commerce to arrange for signage to advise users of the general condition of and hazards of the road, it contemplates public usage. The first bullet relates to a term in the indenture referred to in para. 13 above. Section 21 of the indenture which prohibits B.C. Hydro from extending "to other parties any right to the use of such road or roads." Simply put, B.C. Hydro is offering to make an annual contribution towards maintenance on the terms of the letter Mr. Gwilliam sent to the Seton Portage-Shalalth District Chamber of Commerce.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Paragraph 24 refers to a meeting which took place between Mickey Macri, a Director of the Shuswap-Lillooet Regional District Area B, Kevin Falcon, Minister of Transportation, and John Les, Minister of Small Business and Economic Development, along with high level representatives from the Ministry of Forests, Ministry of Public Safety and Solicitor General, Ministry of Water, Land and Air Protection, and B.C. Hydro. It would appear that at that meeting Mr. Falcon confirmed that his ministry was prepared to contribute $20,000.00 per year as its share of maintenance of the road. A draft letter was placed in evidence purporting to confirm this agreement. The draft letter is addressed to "Honourable C. Hanson ???? Minister of Transportation &amp; Highways". Mr. Falcon was at all times in 2004 and 2005 the Minister, not Mr. Hanson. A review of the documents confirm that there was a discussion about funding to be directed from British Columbia to the Seton Portage/Shalalth &amp; District Chamber of Commerce in the sum of $20,000.00 annually to help maintain the Highline Road. There was no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Paragraph 27 refers to a memorandum of understanding headlined "Interim Agreement" produced as part of Mr. Skutnik's affidavit sworn and filed March 10, 2010, exhibit pages 30 to 30-1, together with a schedule exhibited at pages 30-2 to 30-4.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memorandum of understanding is between the Ministry of Transportation and the "Seton Chamber of Commerce". The stated purpose in the document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establish a cooperative agreement on the manner in which the Parties will work towards maintaining, repairing and improving the conditions of the Highline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Its stated term is from April 1, 2005 to March 31, 2010. The salient portion from the perspective of the plaintiff is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Seton Chamber of Commerce will oversee all aspects of the maintenance and repair of the Highline Road. These improvements will be funded through an annual fiscal allocation of $42,000 from the MoT to the 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funds that may be surplus to annual maintenance expenditures shall be maintained in a Highline Road Maintenance account by the SCC and shall be carried forward from one fiscal year to the next. Prior to the following fiscal year's allocation, a project closeout report and a detailed financial statement must be submitted to the MoT for review and acceptance. The financial statement must be prepared by a Chartered Accountant retained by the 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specific requirements for maintenance/improvement works and planning are as set out in Schedule A to this MOU.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relevant portion of Schedule A is under the heading "Assignment of Maintenance Responsibilities - Routine road and bridge maintenance" and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funding permits, road and bridge maintenance shall be the responsibility of the Seton Chamber of Commerce (SCC). The SCC will either provide these maintenance services directly or will engage [contractors] through a competitive process to undertake this work. To the extent permitted, consideration will also be given to hiring qualified contractors or local labour from the D'Arcy-Seton Portage Area for this work. The maximum compensation for Individual Hired Equipment contractors will be based on the rates established in the B.C. Road Builders &amp; Construction Association Blue Book for the year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respect to paragraph 65 (a), the following facts as pleaded are assumed by me to be true: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bad winter of 1996-1997 when the entire Province of British Columbia had road closures for days, The Douglas Trail Road (Highline Road) was closed for two months. No Ministry or B.C. Hydro was willing to open the road. As this wasn't the first time that the Douglas Trail Road (Highline Road) was closed for extended periods of time, I swore to myself never to be in that position again. I was finally able to purchase a Backhoe and this enabled me at my own expense to keep the Douglas Trail Road (Highline Road) open year round. I began to build myself a Backhoe Business (Skutnik Backhoe Service). ... The final blow to my Backhoe Business was when the load limit on Connel Creek Bridge was reduced to nine [tonnes]. This is just under the weight of my Backhoe. My insurance will not allow me to cross this bridge to access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assume, for the purposes of this application, that others doing maintenance and upgrade work on the Highline Road do cross the Connel Creek Bridge with equipment to access such repair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With respect to paragraph 66, I assume the following facts: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when I was issued a Civic Address under the new name "Douglas Trail Road" I began to put everything I had into the Farm (Skutnik Farms) and began to grow Organic Heritage Tomatoes. I sold produce at the Whistler Farmers Market and had customers coming to the Farm to purchase produce. The business began to grow very well. It was then decided that with my Mother's knowledge as a Chef and myself running the Farm that I would create a running farm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Further, I assume for the purposes of this application the Highline Road has deteriorated to such an extent that Mr. Skutnik was not able to deliver tomatoes undamaged to market, and as the Highline Road became hazardous for customers to travel, Mr. Skutnik's customer base to the farm has reduced to near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balance of paragraphs 65, 66, 67 and 68 consist or argument, opinion, or particularization of heads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facts set out in the pleadings, if proven, would confirm the following:</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Highline Road was not properly maintained at times;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lack of maintenance at times made the road hazardous for travel;</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method both the Crown and B.C. Hydro used to utilize their funds for road maintenance did not constitute a competitive process as is required by s. 4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respect to the claims against B.C. Hydro, there is no pleading that B.C. Hydro prevented Mr. Skutnik from travelling on the Highline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Paragraph 56 makes reference to a letter written by the President of B.C. Hydro dated September 18, 2008. This letter is evidenced at exhibit pages 75 to 75-1 of the plaintiff's affidavit sworn and filed May 10, 2010. The letter, addressed to Wolfgang Skutnik at 19500 Douglas Trail Road, Box 2088, Seton Portage, B.C. VOE 3BO, contains two paragraphs wherein Mr. Elton writes "First, the Highline Road is not the Douglas Trail Road." The letter goes on to state that in Mr. Elton's view, the road between D'Arcy and Seton Portage is a private road owned by B.C. Hydro. In the letter he states that "B.C. Hydro must not permit other parties to use the Road." The letter does not threaten any action if Mr. Skutnik were to use the road. The letter contains inaccurate statements about B.C. Hydro's rights. Mr. Elton views the rights granted to B.C. Hydro as akin to fee-simple rights, which is inconsistent with the terms of the indenture.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However, nothing in the letter threatens any action should Mr. Skutnik continue to use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are no pleadings, nor any evidence, suggesting that either of the defendants have at any time prevented the plaintiff from using the Highline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While the pleadings make reference to the road being dangerous due to lack of maintenance and snow removal, there is no allegation of any injury to person or property. There is no allegation or any evidence that the plaintiff has suffered any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Skutnik provided a 52-page written argument which I have read. In his argument, he summarizes the history of the road. He sets out how the defendants' actions have affected him. He comments on the efforts to create the Skutnik Estate Vinery, Skutnik Farms and Skutnik Backhoe Service. He provides evidence to show that three entities (he refers to them as "companies"), the Seton Portage-Shalalth and District Chamber of Commerce, the Shalalth and District Chamber of Commerce, and the Seton Chamber of Commerce, have been given funds from the defendants. He alleges that these entities are companies created by the defendants, and that the defendants are hiding behind the Chamber of Commerce names to pay his competitors for equipment and for services by way of untendered contracts to maintain and upgrade the Highline Road, which for the purposes of this proceeding I am to assume is a provincial public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From my review of the financial records, I conclude that funds from the defendants are going to these various Chambers of Commerce. These various Chambers of Commerce are possibly incorporated societies, although it is not clear that all three of them are. It is odd, and perhaps somewhat suspicious, that there are three Chambers of Commerce apparently operating in the Seton Portage area, which is not a municipal corporation, and which has an area population, including the local First Nations Reserves, of somewhere in and around 500 people. Only one of these entities appears to be listed in the British Columbia Chamber of Commerce directory, and that is the Seton Portage-Shalalth and District Chamber of Commerce.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He points to the provisions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and in particular s. 75, which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Requirements for subdivisions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(1) A subdivision must comply with the following, and all other, requirements in this Part: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of the owner's control, there must be a sufficient highway to provide necessary and reasonable access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all new parcels,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 the land subdivided to land lying beyond or around the subdivided land;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highways provided for in a subdivision plan or otherwise legally established on lands adjoining, lying beyond or around the land subdivided must be continued without unnecessary jogs and must be cleared, drained, constructed and surfaced to the approving officer's satisfaction, or unless, in circumstances the approving officer considers proper, security is provided in an amount and in a form acceptable to the approving officer;</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land subdivided borders on</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body of water, the bed of which is owned by the Crown,</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boundary of a strip of land established as the boundary of a water reservoir, where the strip of land and reservoir are owned by the Crown, or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strip of Crown land 20 m or less in width contiguous to a natural boundary as defined in the </w:t>
      </w:r>
      <w:r>
        <w:rPr>
          <w:rFonts w:ascii="arial" w:eastAsia="arial" w:hAnsi="arial" w:cs="arial"/>
          <w:i/>
          <w:color w:val="000000"/>
          <w:sz w:val="20"/>
          <w:lang w:val="en-US" w:eastAsia="en-US" w:bidi="ar-SA"/>
        </w:rPr>
        <w:t>Land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access must be given by highways 20 m wide to the body of water and to the strips at distances not greater than 200 m between centre lines, or, in a rural area where the parcels into which the land is subdivided all exceed 0.5 ha, at distances not greater than 400 m between centre lines;</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land subdivided borders on a body of water, the bed of which is owned by a person other than the Crown and,</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lake or pond, the surface of the body of water at mean annual high water is at least 1.5 ha, and the mean depth at mean annual high water is at least 0.6 m, or</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river, creek or watercourse, the average width at mean annual high water is at least 6 m and the average depth at mean annual high water is at least 0.6 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access must be given by highways 20 m wide to the body of water and to the strips at distances not greater than 200 m between centre lines, or, in a rural area where the parcels into which the land is subdivided all exceed 0.5 ha, at distances not greater than 400 m between centre lines;</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suitable lanes must be provided in continuation of existing lanes and in every case where lanes are considered necessary by the approving officer.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considering the sufficiency of a highway shown on a plan and to be dedicated to the Crown, the approving officer must consider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location and width of the highway;</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suitability of the highway in relation to the existing use of the subdivided land and the use intended by the subdivision;</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configuration of the land subdivided;</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 of the highway to be dedicated to an existing main highway or approach, whether by land or water, and local circumstances;</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question of width, the extent of the use, present and future, to which the highway may be put;</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likely or possible role of the highway in a future highway network serving the area in which the subdivided land is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no doubt that the plaintiff feels aggrieved that the Highline Road has not been properly maintained. He believes that failure to properly maintain the Highline Road has caused him damage as set out in the facts he has pleaded. He also believes he has been caused damage by the failure of the defendants to put out for competitive bid what maintenance has been done as set out in the facts he has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Defendants'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Limitation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claims of the plaintiff are for economic losses in circumstances where there is no physical injury. The claims for economic loss are limited in terms of the time within which they must be brought by s. 3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The applicable provisions are found in s. 3(2)(a) and 3(5). They are as follows:</w:t>
      </w:r>
      <w:r>
        <w:rPr>
          <w:rFonts w:ascii="arial" w:eastAsia="arial" w:hAnsi="arial" w:cs="arial"/>
          <w:sz w:val="20"/>
          <w:lang w:val="en-US" w:eastAsia="en-US" w:bidi="ar-SA"/>
        </w:rPr>
        <w:cr/>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expiration of 2 years after the date on which the right to do so arose a person may not bring any of the following actions: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 (k), for damages in respect of injury to person or property, including economic loss arising from the injury, whether based on contract, tort or statutory duty;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action not specifically provided for in this Act or any other Act may not be brought after the expiration of 6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Although counsel for the Province argued that a two-year limitation was applicable, it is apparent from the pleadings and from the affidavit evidence before me, that there is no injury to person or property here. There is no allegation of direct damage to person or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interpretation of the applicable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was definitively settled by a decision of a five judge panel of the Court of Appeal in </w:t>
      </w:r>
      <w:r>
        <w:rPr>
          <w:rFonts w:ascii="arial" w:eastAsia="arial" w:hAnsi="arial" w:cs="arial"/>
          <w:i/>
          <w:color w:val="000000"/>
          <w:sz w:val="20"/>
          <w:lang w:val="en-US" w:eastAsia="en-US" w:bidi="ar-SA"/>
        </w:rPr>
        <w:t>Workers' Compensation Board of British Columbia v. Genstar Corp. (B.C.C.A.).</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[1988] 4 W.W.R. 184</w:t>
        </w:r>
      </w:hyperlink>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24 B.C.L.R. (2d) 157</w:t>
        </w:r>
      </w:hyperlink>
      <w:r>
        <w:rPr>
          <w:rFonts w:ascii="arial" w:eastAsia="arial" w:hAnsi="arial" w:cs="arial"/>
          <w:color w:val="000000"/>
          <w:sz w:val="20"/>
          <w:lang w:val="en-US" w:eastAsia="en-US" w:bidi="ar-SA"/>
        </w:rPr>
        <w:t>, where McLachlin, J.A., as she then was, giving the court's decision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Which Limitation Period is Applicable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This case illustrates the unfortunate ambiguities which remain in the Limitation Act, notwithstanding recent attempts to clarify its provisions. Genstar contends that its joinder is governed by s. 3(1)(a) of the Act which provides for a two-year limitation period. Section 3(1)(a) reads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3.(1) After the expiration of 2 years after the date on which the right to do so arose a person shall not bring an action</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damages in respect of injury to person or property, including economic loss arising from injury, whether based on contract, tort or statutory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It is evident that s. 3(1)(a) applies only if the action is for damages in respect of "injury to property". Genstar contends that the claim against it falls within this phrase. The Workers' Compensation Board, on the other hand, contends that it does not, with the result that the six-year limitation period provided by s. 3(4) governs:</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action not specifically provided for in this Act or any other Act shall not be brought after the expiration of 6 years after the date on which the right to do so arose.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 cannot accept Genstar's contention that the action against it is for damages for "injury to property". I am persuaded by the authorities that "injury to property" refers to the situation where property is damaged by an extrinsic act, and not to the situation where a claim is made for damage occasioned by defects in the property itself. In Alberni District Credit Union and ADCU Development Ltd. v. Cambridge Properties Ltd. et al. </w:t>
      </w:r>
      <w:hyperlink r:id="rId576" w:history="1">
        <w:r>
          <w:rPr>
            <w:rFonts w:ascii="arial" w:eastAsia="arial" w:hAnsi="arial" w:cs="arial"/>
            <w:i/>
            <w:color w:val="0077CC"/>
            <w:sz w:val="20"/>
            <w:u w:val="single"/>
            <w:shd w:val="clear" w:color="auto" w:fill="FFFFFF"/>
            <w:lang w:val="en-US" w:eastAsia="en-US" w:bidi="ar-SA"/>
          </w:rPr>
          <w:t>(1985), 65 B.C.L.R. 297</w:t>
        </w:r>
      </w:hyperlink>
      <w:r>
        <w:rPr>
          <w:rFonts w:ascii="arial" w:eastAsia="arial" w:hAnsi="arial" w:cs="arial"/>
          <w:color w:val="000000"/>
          <w:sz w:val="20"/>
          <w:lang w:val="en-US" w:eastAsia="en-US" w:bidi="ar-SA"/>
        </w:rPr>
        <w:t xml:space="preserve"> (B.C.C.A.), the issue, as in the case at bar, was whether the limitation period applicable to a claim for defects in the building was the two-year limitation period provided by s. 3(1)(a) of the Limitation Act, or the six-year limitation period provided by s. 3(4). Esson J.A., speaking for the Court, held that the action was not one in respect of "injury to property", as the "building simply has not, in plain language, been injured". Accordingly, the six-year limitation period was held to apply. Counsel for Genstar seeks to distinguish the Alberni case on the grounds that the claim there was for breach of contract rather than in tort. In my opinion, that distinction cannot be sustained. Whether the action is brought in contract or tort, damage is an essential element of it. The question in each case is whether that damage comes within the phrase "injury to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Other authorities support the same view. In British Columbia Hydro &amp; Power Authority v. Homco International Ltd. </w:t>
      </w:r>
      <w:hyperlink r:id="rId577" w:history="1">
        <w:r>
          <w:rPr>
            <w:rFonts w:ascii="arial" w:eastAsia="arial" w:hAnsi="arial" w:cs="arial"/>
            <w:i/>
            <w:color w:val="0077CC"/>
            <w:sz w:val="20"/>
            <w:u w:val="single"/>
            <w:shd w:val="clear" w:color="auto" w:fill="FFFFFF"/>
            <w:lang w:val="en-US" w:eastAsia="en-US" w:bidi="ar-SA"/>
          </w:rPr>
          <w:t>(1980), 25 B.C.L.R. 181</w:t>
        </w:r>
      </w:hyperlink>
      <w:r>
        <w:rPr>
          <w:rFonts w:ascii="arial" w:eastAsia="arial" w:hAnsi="arial" w:cs="arial"/>
          <w:color w:val="000000"/>
          <w:sz w:val="20"/>
          <w:lang w:val="en-US" w:eastAsia="en-US" w:bidi="ar-SA"/>
        </w:rPr>
        <w:t xml:space="preserve"> (C.A.), this Court held that the phrase "injury to property" did not apply to a claim for damages arising from defective gas fitting tees that fractured during testing procedures. The court stated that to fall within the ambit of the phrase "injury to property", an action must be one for physical injury or for direct damage to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cases relied upon by Genstar do not assist it. In Attorney General of Ontario v. Fatehi et al., </w:t>
      </w:r>
      <w:hyperlink r:id="rId578" w:history="1">
        <w:r>
          <w:rPr>
            <w:rFonts w:ascii="arial" w:eastAsia="arial" w:hAnsi="arial" w:cs="arial"/>
            <w:i/>
            <w:color w:val="0077CC"/>
            <w:sz w:val="20"/>
            <w:u w:val="single"/>
            <w:shd w:val="clear" w:color="auto" w:fill="FFFFFF"/>
            <w:lang w:val="en-US" w:eastAsia="en-US" w:bidi="ar-SA"/>
          </w:rPr>
          <w:t>[1984] 2 S.C.R. 536</w:t>
        </w:r>
      </w:hyperlink>
      <w:r>
        <w:rPr>
          <w:rFonts w:ascii="arial" w:eastAsia="arial" w:hAnsi="arial" w:cs="arial"/>
          <w:color w:val="000000"/>
          <w:sz w:val="20"/>
          <w:lang w:val="en-US" w:eastAsia="en-US" w:bidi="ar-SA"/>
        </w:rPr>
        <w:t xml:space="preserve">, the claim was for damages to a road arising from external causes. The cases of Carwald Concrete &amp; Gravel Co. Ltd. v. General Security Insurance Co. of Canada et al. </w:t>
      </w:r>
      <w:hyperlink r:id="rId579" w:history="1">
        <w:r>
          <w:rPr>
            <w:rFonts w:ascii="arial" w:eastAsia="arial" w:hAnsi="arial" w:cs="arial"/>
            <w:i/>
            <w:color w:val="0077CC"/>
            <w:sz w:val="20"/>
            <w:u w:val="single"/>
            <w:shd w:val="clear" w:color="auto" w:fill="FFFFFF"/>
            <w:lang w:val="en-US" w:eastAsia="en-US" w:bidi="ar-SA"/>
          </w:rPr>
          <w:t>(1985), 24 D.L.R. (4th) 58</w:t>
        </w:r>
      </w:hyperlink>
      <w:r>
        <w:rPr>
          <w:rFonts w:ascii="arial" w:eastAsia="arial" w:hAnsi="arial" w:cs="arial"/>
          <w:color w:val="000000"/>
          <w:sz w:val="20"/>
          <w:lang w:val="en-US" w:eastAsia="en-US" w:bidi="ar-SA"/>
        </w:rPr>
        <w:t xml:space="preserve"> (Alta. C.A.) and Ocean Construction Supplies Limited v. Continental Insurance Company </w:t>
      </w:r>
      <w:hyperlink r:id="rId580" w:history="1">
        <w:r>
          <w:rPr>
            <w:rFonts w:ascii="arial" w:eastAsia="arial" w:hAnsi="arial" w:cs="arial"/>
            <w:i/>
            <w:color w:val="0077CC"/>
            <w:sz w:val="20"/>
            <w:u w:val="single"/>
            <w:shd w:val="clear" w:color="auto" w:fill="FFFFFF"/>
            <w:lang w:val="en-US" w:eastAsia="en-US" w:bidi="ar-SA"/>
          </w:rPr>
          <w:t>(1980), 21 B.C.L.R. 194</w:t>
        </w:r>
      </w:hyperlink>
      <w:r>
        <w:rPr>
          <w:rFonts w:ascii="arial" w:eastAsia="arial" w:hAnsi="arial" w:cs="arial"/>
          <w:color w:val="000000"/>
          <w:sz w:val="20"/>
          <w:lang w:val="en-US" w:eastAsia="en-US" w:bidi="ar-SA"/>
        </w:rPr>
        <w:t xml:space="preserve"> (C.A.) do not assist since they involve the construction, not of limitation statutes, but of insurance policies. Quite different principles of construction apply to a statute of limitation and insurance policies drafted by the insurer.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Policy considerations support the conclusion that "injury to property" refers to damage caused by an identifiable external event. A short limitation period of two years is appropriate where the claim is based on an event which causes direct injury to property. Such a short limitation period may not be appropriate for a claim based on defects in the property which may not manifest themselves clearly for some time, even though with the benefit of hindsight one may be able to say that their onset was revealed at an earlier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claim against Genstar is based on the allegation that the beams it supplied to the Workers' Compensation Board were defective. These defects do not fall within the phrase "injury to property". It follows that the matter is governed by s. 3(4) of the Limitation Act and that the limitation period is six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The issue of when the six-year limitation period commences is reserved for determination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British Columbia Hydro and Power Authority v. Homco International Ltd.</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(1981), 25 B.C.L.R. 181</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Alberni District Credit union v. Cambridge Properties Ltd.</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(1985), 65 B.C.L.R. 297</w:t>
        </w:r>
      </w:hyperlink>
      <w:r>
        <w:rPr>
          <w:rFonts w:ascii="arial" w:eastAsia="arial" w:hAnsi="arial" w:cs="arial"/>
          <w:color w:val="000000"/>
          <w:sz w:val="20"/>
          <w:lang w:val="en-US" w:eastAsia="en-US" w:bidi="ar-SA"/>
        </w:rPr>
        <w:t xml:space="preserve">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Substantive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Province argues that its actions were lawful. It argues that s. 2(1)(d)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grants to the Minister the power to:</w:t>
      </w:r>
      <w:r>
        <w:rPr>
          <w:rFonts w:ascii="arial" w:eastAsia="arial" w:hAnsi="arial" w:cs="arial"/>
          <w:sz w:val="20"/>
          <w:lang w:val="en-US" w:eastAsia="en-US" w:bidi="ar-SA"/>
        </w:rPr>
        <w:cr/>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grants and contributions;</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enter into arrangements or agreements, including, without limitation, arrangements or agreements for the exchange of information, or for the payment or sharing of the cost of anything related to provincial public undertakings or to transportation, with any person, including, without limitation, any of the following:</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of Canada, the government of a province or territory within Canada or the government of a jurisdiction outside of Canada, or an agent, agency, department or official of any of those governments;</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local government body, educational body or health care body, as those terms are defined in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first nation;</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body prescribed by regulation as a public authority for the purposes of one or more provisions of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Province argues that the giving of grants to these various Chambers of Commerce is within its mandate, and does not constitute contracting for transportation-related projects, and thus does not breach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Province goes on to argue that no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in this case. The Ministry of Transportation does not have a duty to maintain the road, nor to provide funding for that purpose. However, in this case, it did provide some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submissions of B.C. Hydro are essentially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issue then, is whether in considering the facts as pleaded, is there a duty of care owed by the Province and/or B.C. Hydro to the plaintiff? In essence, the plaintiff is saying that there is a duty of care in two aspects:</w:t>
      </w:r>
      <w:r>
        <w:rPr>
          <w:rFonts w:ascii="arial" w:eastAsia="arial" w:hAnsi="arial" w:cs="arial"/>
          <w:sz w:val="20"/>
          <w:lang w:val="en-US" w:eastAsia="en-US" w:bidi="ar-SA"/>
        </w:rPr>
        <w:cr/>
      </w:r>
    </w:p>
    <w:p>
      <w:pPr>
        <w:numPr>
          <w:numId w:val="4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funding through the memorandum of understanding breached s. 4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the funding provided by B.C. Hydro as set out in paras. 21 and 22 above similarly breached statutory obligations to ensure competitive and fair bidding; and</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ensure that the road was properly maintained by the defendants has caused economic loss to the plaintiff by impacting on the business activities and the business/farming activities carried on by him on District Lot 1803.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From a review of the authorities set out in para. 45 above, the applicable limitation period is six years. The claims of the plaintiff pre-dating March 10, 2004, six years before the issuance of these proceedings, are statute barred by operation of s. 3(5)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Dealing next with the funding and alleged avoidance of the competitive process provisions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the commitment to provide funding does not constitute any contract. Rather, it is a "grant and contribution", or alternatively, or additionally, an arrangement or an agreement that is not a contract to have another party maintain a portion of the Highline Road. It does appear that whoever was actually paid and carried out the work did not go through any tendering process. There is evidence that Mr. Skutnik was not given any opportunity to fairly bid on the work done using the funding provided by the defendants to the various iterations of Chambers of Commerce.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determination of whether or not these various funding offers and memoranda of understanding are contracts is to some extent moot, because the law is settled that breach of s. 4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does not give rise to a cause of action enabling the plaintiff to sue for damages. It gives the plaintiff the right to bring a petition under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I can do no better than quote from the Province's notice of application as follows:</w:t>
      </w:r>
      <w:r>
        <w:rPr>
          <w:rFonts w:ascii="arial" w:eastAsia="arial" w:hAnsi="arial" w:cs="arial"/>
          <w:sz w:val="20"/>
          <w:lang w:val="en-US" w:eastAsia="en-US" w:bidi="ar-SA"/>
        </w:rPr>
        <w:cr/>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Ministry acted improperly or without statutory authority in entering into the MOU, that did not create a legal cause of action in favour of the Plaintiff. At best, the Plaintiff was entitled to seek judicial review of the Ministry's decision to enter into the MOU. In those proceedings, it could have been established whether the decision was reviewable, whether the Plaintiff had standing to bring such a petition, and if so, whether the Ministry's course of action was lawful.</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[2008] 2 S.C.R. 551</w:t>
        </w:r>
      </w:hyperlink>
      <w:r>
        <w:rPr>
          <w:rFonts w:ascii="arial" w:eastAsia="arial" w:hAnsi="arial" w:cs="arial"/>
          <w:color w:val="000000"/>
          <w:sz w:val="20"/>
          <w:lang w:val="en-US" w:eastAsia="en-US" w:bidi="ar-SA"/>
        </w:rPr>
        <w:t xml:space="preserve"> a group of game farmers sued the provincial government for damages relating to the wrongful downgrading of the status of their game herds. The farmers successfully challenged the government in earlier judicial review proceedings. Saskatchewan did not, however, amend the herd status to bring it into compliance with the outcome of the judicial review proceedings. Nor did it compensate the plaintiffs for loss of the value of the herd. The plaintiffs sued the government for negligent breach of statutory duty. The Supreme Court of Canada upheld the Saskatchewan Court of Appeal in striking the lawsuit, holding: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to date has not recognized an action for negligent breach of statutory duty. It is well established that mere breach of a statutory duty does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Queen in Right of Canada v. Saskatchewan Wheat Pool</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The proper remedy for breach of statutory duty by a public authority, traditionally viewed is judicial review for invalidity. The appellant pursued this remedy before Gerein, C.J.Q.B. and obtained a declaration that the government's action in reducing the herd certification status was unlawful and invalid. </w:t>
      </w:r>
      <w:r>
        <w:rPr>
          <w:rFonts w:ascii="arial" w:eastAsia="arial" w:hAnsi="arial" w:cs="arial"/>
          <w:color w:val="000000"/>
          <w:sz w:val="20"/>
          <w:u w:val="single"/>
          <w:lang w:val="en-US" w:eastAsia="en-US" w:bidi="ar-SA"/>
        </w:rPr>
        <w:t>No parallel action lies in tort."</w:t>
      </w:r>
      <w:r>
        <w:rPr>
          <w:rFonts w:ascii="arial" w:eastAsia="arial" w:hAnsi="arial" w:cs="arial"/>
          <w:color w:val="000000"/>
          <w:sz w:val="20"/>
          <w:lang w:val="en-US" w:eastAsia="en-US" w:bidi="ar-SA"/>
        </w:rPr>
        <w:t xml:space="preserve"> (Paragraph 9) (emphasis added).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Accordingly, the Plaintiff here cannot sue the Province for losses which are alleged to arise from negligent breaches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If the Plaintiff had a remedy with respect to challenging the MOU, it was, subject to a determination of his standing and reviewability generally, through judicial review proceedings. No tort action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 of B.C. Hydro is, in law, identical.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That is a complete answer to all the claims which the plaintiff has arising from what the plaintiff considers to be suspicious dealings between the defendants and these various Chambers of Commerce.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balance of the plaintiff's claims relate to the failure of the defendants to recognize that Highline Road is a highway, and the failure to properly maintain Highline Road to enable it to be easily passed by the plaintiff and by persons accessing District Lot 1803 for commercial purposes. The starting point for analysis is the two-stage test set out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considered by the Supreme Court of Canada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was a case where an investor alleged that the registrar of mortgage brokers, a statutory regulator, was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oversee the conduct of an investment company, Eron Mortgage Corporation, and thus owed a private law duty of care to members of the investing public giving rise to liability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economic losses that the investors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As was set out by McLachlin C.J. and Major J., in para. 30 of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is best understood as follows.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two questions arise: (1) was the harm that occurred the reasonably foreseeable consequence of the defendant's act? and (2) are there reasons, notwithstanding the proximity between the parties established in the first part of this test, that tort liability should not be recognized here? The proximity analysis involved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focuses on factors arising from the relationship between the plaintiff and the defendant. These factors include questions of policy, in the broad sense of that word. If foreseeability and proximity are established at the first stage, a prima facie duty of care arises. At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question still remains whether there are residual policy considerations outside the relationship of the parties that may negative the imposition of a duty of care.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There are no obligations to maintain and improve roads which are not arterial highways in British Columbia. The law with respect to this issue was succinctly summarized by Justice Josephson in </w:t>
      </w:r>
      <w:r>
        <w:rPr>
          <w:rFonts w:ascii="arial" w:eastAsia="arial" w:hAnsi="arial" w:cs="arial"/>
          <w:i/>
          <w:color w:val="000000"/>
          <w:sz w:val="20"/>
          <w:lang w:val="en-US" w:eastAsia="en-US" w:bidi="ar-SA"/>
        </w:rPr>
        <w:t>Winskowski v. Coldstream (District)</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[1996] B.C.J. No. 1088</w:t>
        </w:r>
      </w:hyperlink>
      <w:r>
        <w:rPr>
          <w:rFonts w:ascii="arial" w:eastAsia="arial" w:hAnsi="arial" w:cs="arial"/>
          <w:color w:val="000000"/>
          <w:sz w:val="20"/>
          <w:lang w:val="en-US" w:eastAsia="en-US" w:bidi="ar-SA"/>
        </w:rPr>
        <w:t>, Kamloops Registry 21730 at paras. 12-16: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 turn finally to whether the court should render mandatory injunction orders requiring the defendants to maintain the road to certain levels.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In my respectful view, the answer is no for these reasons: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84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44</w:t>
      </w:r>
      <w:r>
        <w:rPr>
          <w:rFonts w:ascii="arial" w:eastAsia="arial" w:hAnsi="arial" w:cs="arial"/>
          <w:color w:val="000000"/>
          <w:sz w:val="20"/>
          <w:lang w:val="en-US" w:eastAsia="en-US" w:bidi="ar-SA"/>
        </w:rPr>
        <w:t>, specifically states that there is no such duty under that Act.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defendants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users of the road for damages flowing from their neglect relating to the maintenance of the road, there is no standalone duty owed to the applicant or other at large.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does not apply in these circumstances, and even if it did, it would only apply to users of the road who suffered damages as a result of a breach of that Act, as is the case for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legislation granting the defendants the authority in relation to highways is permissive in nature with no positive duty being imposed. Tort law imposes a duty on the defendants only in the sense that the rules of foreseeability and proximity may render them liable for damages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upkeep and maintenance of a highway. There is no duty owed generally to other such as the applicant: </w:t>
      </w:r>
      <w:r>
        <w:rPr>
          <w:rFonts w:ascii="arial" w:eastAsia="arial" w:hAnsi="arial" w:cs="arial"/>
          <w:i/>
          <w:color w:val="000000"/>
          <w:sz w:val="20"/>
          <w:lang w:val="en-US" w:eastAsia="en-US" w:bidi="ar-SA"/>
        </w:rPr>
        <w:t>Charleswood Homeowners'Assn v. Winnipeg (City)</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[1983] M.J. No. 58</w:t>
        </w:r>
      </w:hyperlink>
      <w:r>
        <w:rPr>
          <w:rFonts w:ascii="arial" w:eastAsia="arial" w:hAnsi="arial" w:cs="arial"/>
          <w:color w:val="000000"/>
          <w:sz w:val="20"/>
          <w:lang w:val="en-US" w:eastAsia="en-US" w:bidi="ar-SA"/>
        </w:rPr>
        <w:t xml:space="preserve">, upheld at </w:t>
      </w:r>
      <w:hyperlink r:id="rId585" w:history="1">
        <w:r>
          <w:rPr>
            <w:rFonts w:ascii="arial" w:eastAsia="arial" w:hAnsi="arial" w:cs="arial"/>
            <w:i/>
            <w:color w:val="0077CC"/>
            <w:sz w:val="20"/>
            <w:u w:val="single"/>
            <w:shd w:val="clear" w:color="auto" w:fill="FFFFFF"/>
            <w:lang w:val="en-US" w:eastAsia="en-US" w:bidi="ar-SA"/>
          </w:rPr>
          <w:t>[1983] M.J. No. 90</w:t>
        </w:r>
      </w:hyperlink>
      <w:r>
        <w:rPr>
          <w:rFonts w:ascii="arial" w:eastAsia="arial" w:hAnsi="arial" w:cs="arial"/>
          <w:color w:val="000000"/>
          <w:sz w:val="20"/>
          <w:lang w:val="en-US" w:eastAsia="en-US" w:bidi="ar-SA"/>
        </w:rPr>
        <w:t xml:space="preserve">, leave to appeal to the Supreme Court of Canada denied at </w:t>
      </w:r>
      <w:hyperlink r:id="rId586" w:history="1">
        <w:r>
          <w:rPr>
            <w:rFonts w:ascii="arial" w:eastAsia="arial" w:hAnsi="arial" w:cs="arial"/>
            <w:i/>
            <w:color w:val="0077CC"/>
            <w:sz w:val="20"/>
            <w:u w:val="single"/>
            <w:shd w:val="clear" w:color="auto" w:fill="FFFFFF"/>
            <w:lang w:val="en-US" w:eastAsia="en-US" w:bidi="ar-SA"/>
          </w:rPr>
          <w:t>[1984] S.C.C.A. No. 337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A contrary ruling would require judicial intervention in highway maintenance issues everywhere for an endless myriad of issues. Even if my conclusion is wrong, the result would be the same. The evidence presented before me is highly persuasive that the policies presently in place and the manner in which they are being administered by the Ministry of Transport for this road are fair and more than reasonable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Section 84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Minister has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Nothing in this Act obliges the minister to plan, design, acquire, hold, construct, use, operate, upgrade, alter, expand, extend, maintain, repair, rehabilitate, protect, remove, discontinue, close or dispose of any highway or any part of a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the categories in which the proximity has been recognized are summarized in para. 36. They are as follows:</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 foreseeably causes physical harm to the plaintiff or the plaintiff's property; this has been extended to nervous shock;</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misstatement;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Misfeasance in public office;</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to warn of danger which causes injury to person or property;</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on a municipality to prospective purchasers of real estate to inspect housing developments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policy of road maintenance is undertaken, that maintenance must be carried out in a non-negligent manner so as to not cause physical injury;</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Relational economic loss related to a contract performance may give rise to a tort duty of care in certain situations where the claimant has a possessory or proprietary interest in property which is "injured";</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Cases where the relationship between the claimant and a property owner constitutes a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There has been no actual injury alleged here. There is no statutory duty on either defendant to maintain the road. The plaintiff cannot succeed on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defendants are not in law sufficiently proximate to the plaintiff to found a cause of action for economic loss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On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an analysis of the law relating to policy decisions is required. There is an exclusion of liability for public policy decisions, and that is properly regarded as an application of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Immunity against litigation is imposed because of considerations outside of the relationship between the parties because it is inappropriate for courts to second-guess elected legislators on policy matters. For the reasons I have set out above, we do not get to that stage, but if we did, it would apply in this case to prevent the plaintiff's claim from succeeding.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Dealing with the plaintiff's argument that section 75 of the LTA regarding access as part as part of subdivision, his land was not "subdivided". It was conveyed by way of a Crown grant. The provisions of s. 75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are inapplicable.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While the plaintiff may have suffered economic loss as a consequence of the defendants' actions in:</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recognize the Highline Road as a highway (and I do not make a determination that it is, apart from accepting that for the purposes of this claim);</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maintain the Highline Road; and</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grants outside the public bidding process mandated by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cannot succeed in his claims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no requirement that the defendants must maintain the Highline Road. There is no cause of action giving rise to damages for failure to abide by the competitive bidding processes mandated by law. The appropriate remedy there is for a judicial review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For these reasons, the plaintiff's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If I am in error, s. 3(5)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sets a six-year limitation on the plaintiff's claims. Any claims pre-dating March 10, 2004 are statute barred and must be dismissed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Normally the successful parties are entitled to their costs, although in its application the Province has not sought costs. B.C. Hydro has sought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parties have liberty to address me on the issue of costs by making arrangements through the Manager of Supreme Court Scheduling in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R. McDIARMID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1"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Slaughter v. Sluys, [2008] B.C.J. No. 1434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T.R. Brooke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16, 2008.</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July 16,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Dockets: 38698 and 73752</w:t>
      </w:r>
    </w:p>
    <w:p>
      <w:pPr>
        <w:spacing w:before="120" w:line="260" w:lineRule="atLeast"/>
        <w:jc w:val="center"/>
        <w:rPr>
          <w:lang w:val="en-US" w:eastAsia="en-US" w:bidi="ar-SA"/>
        </w:rPr>
      </w:pPr>
      <w:r>
        <w:rPr>
          <w:rFonts w:ascii="arial" w:eastAsia="arial" w:hAnsi="arial" w:cs="arial"/>
          <w:color w:val="000000"/>
          <w:sz w:val="20"/>
          <w:lang w:val="en-US" w:eastAsia="en-US" w:bidi="ar-SA"/>
        </w:rPr>
        <w:t>Registries: Vernon and Kelowna</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1434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1012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172 A.C.W.S. (3d) 1079</w:t>
      </w:r>
    </w:p>
    <w:p>
      <w:pPr>
        <w:spacing w:before="120" w:line="260" w:lineRule="atLeast"/>
        <w:rPr>
          <w:lang w:val="en-US" w:eastAsia="en-US" w:bidi="ar-SA"/>
        </w:rPr>
      </w:pPr>
      <w:r>
        <w:rPr>
          <w:rFonts w:ascii="arial" w:eastAsia="arial" w:hAnsi="arial" w:cs="arial"/>
          <w:color w:val="000000"/>
          <w:sz w:val="20"/>
          <w:lang w:val="en-US" w:eastAsia="en-US" w:bidi="ar-SA"/>
        </w:rPr>
        <w:t>Between Griffith J. Slaughter, Plaintiff, and Ignatius Sebastianus Sluys, Defendant And between Rebecca Slaughter, Plaintiff, and Griffith J. Slaughter and Ignatius Sebastianus Sluys,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92" style="position:absolute;z-index:25169408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43" w:name="Keywords_34"/>
      <w:bookmarkEnd w:id="24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Rules of the road — Speed — Action by the plaintiffs against the defendant Sluys for damages arising from a motor vehicle accident allowed — The plaintiffs, husband and wife, were hit by the defendant who was making a left turn on an amber light — The defendant was charged with failure to yield — Evidence was that the husband was traveling over the speed limit — The defendant had been negligent in failing to see the plaintiffs' vehicle and in failing to yield — However, the husband was 20 per cent at fault for speeding.</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Transportation law — Motor vehicles — Traffic regulation — Turning — Action by the plaintiffs against the defendant Sluys for damages arising from a motor vehicle accident allowed — The plaintiffs, husband and wife, were hit by the defendant who was making a left turn on an amber light — The defendant was charged with failure to yield — Evidence was that the husband was traveling over the speed limit — The defendant had been negligent in failing to see the plaintiffs' vehicle and in failing to yield — However, the husband was 20 per cent at fault for speeding.</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44" w:name="Case Summary_27"/>
            <w:bookmarkEnd w:id="24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plaintiffs against the defendant Sluys for damages arising from a motor vehicle accident. On December 17, 2004, at 5:20 p.m. The plaintiffs, husband and wife, were travelling east in a curb lane in a Toyota Corolla; the defendant, driving a Dodge Ram truck, hit them side-on while making a left turn on an amber light. Neither plaintiff remembered the collision. The wife brought this action against the husband who was driving the vehicle, and also the defendant; the husband's action was against the defendant. Police charged the defendant with failing to yield right of way on a left turn under the Motor Vehicle Act, which he did not contest. The defendant claimed that he did not see the plaintiffs' vehicle when he made the turn. A witness to the collision claimed that the plaintiffs' vehicle was going over the speed limit and was struck by the defendant's vehicle making a left turn while the light was amber. The defendant argued that the plaintiffs were contibutorily negligent in the accident. </w:t>
            </w:r>
            <w:r>
              <w:rPr>
                <w:lang w:val="en-US" w:eastAsia="en-US" w:bidi="ar-SA"/>
              </w:rPr>
              <w:cr/>
            </w:r>
          </w:p>
          <w:p>
            <w:pPr>
              <w:spacing w:before="120" w:line="260" w:lineRule="atLeast"/>
              <w:ind w:left="240"/>
              <w:jc w:val="both"/>
              <w:rPr>
                <w:lang w:val="en-US" w:eastAsia="en-US" w:bidi="ar-SA"/>
              </w:rPr>
            </w:pPr>
            <w:bookmarkStart w:id="245" w:name="Holdings of Court_22"/>
            <w:bookmarkEnd w:id="245"/>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evidence was clear that the defendant had made a left turn on the amber light and struck the plaintiffs' vehicle. The defendant had been negligent in failing to see the plaintiffs' vehicle and in failing to yield. However, the husband was 20 per cent at fault for going over the speed limit. The wife would therefore recover from both the husband and the defendant. </w:t>
            </w:r>
            <w:r>
              <w:rPr>
                <w:lang w:val="en-US" w:eastAsia="en-US" w:bidi="ar-SA"/>
              </w:rPr>
              <w:cr/>
            </w:r>
          </w:p>
          <w:p>
            <w:pPr>
              <w:rPr>
                <w:lang w:val="en-US" w:eastAsia="en-US" w:bidi="ar-SA"/>
              </w:rPr>
            </w:pPr>
          </w:p>
        </w:tc>
      </w:tr>
    </w:tbl>
    <w:p>
      <w:pPr>
        <w:jc w:val="both"/>
        <w:rPr>
          <w:lang w:val="en-US" w:eastAsia="en-US" w:bidi="ar-SA"/>
        </w:rPr>
      </w:pPr>
      <w:bookmarkStart w:id="246" w:name="Legislation Cited_24"/>
      <w:bookmarkEnd w:id="24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93" style="position:absolute;z-index:2517452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594" w:history="1">
        <w:r>
          <w:rPr>
            <w:rFonts w:ascii="arial" w:eastAsia="arial" w:hAnsi="arial" w:cs="arial"/>
            <w:i/>
            <w:color w:val="0077CC"/>
            <w:sz w:val="20"/>
            <w:u w:val="single"/>
            <w:shd w:val="clear" w:color="auto" w:fill="FFFFFF"/>
            <w:lang w:val="en-US" w:eastAsia="en-US" w:bidi="ar-SA"/>
          </w:rPr>
          <w:t>RSBC 1996, CHAPTER 318, s. 174</w:t>
        </w:r>
      </w:hyperlink>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247" w:name="Counsel_34"/>
      <w:bookmarkEnd w:id="24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94" style="position:absolute;z-index:2517964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G.J. Slaughter: G.P. Weatherill, W.S. Dick.</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Plaintiff, R. Slaughter: D. Yerema.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I.S. Sluys: S.B. Stewart, M. Wilhelmson.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G.J. Slaughter: K.D. Watts.</w:t>
      </w:r>
      <w:r>
        <w:rPr>
          <w:lang w:val="en-US" w:eastAsia="en-US" w:bidi="ar-SA"/>
        </w:rPr>
        <w:cr/>
      </w:r>
    </w:p>
    <w:p>
      <w:pPr>
        <w:spacing w:after="240"/>
        <w:rPr>
          <w:lang w:val="en-US" w:eastAsia="en-US" w:bidi="ar-SA"/>
        </w:rPr>
      </w:pPr>
      <w:bookmarkStart w:id="248" w:name="Judgment_33"/>
      <w:bookmarkEnd w:id="248"/>
      <w:r>
        <w:pict>
          <v:line id="_x0000_s1195" style="position:absolute;z-index:251846656"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[Editor's note: A corrigendum was released by the Court July 16, 2008; the correction has been made to the text and the corrigendum is appended to this document.]</w:t>
      </w:r>
    </w:p>
    <w:p>
      <w:pPr>
        <w:spacing w:line="260" w:lineRule="atLeast"/>
        <w:jc w:val="center"/>
        <w:rPr>
          <w:lang w:val="en-US" w:eastAsia="en-US" w:bidi="ar-SA"/>
        </w:rPr>
      </w:pPr>
      <w:r>
        <w:rPr>
          <w:lang w:val="en-US" w:eastAsia="en-US" w:bidi="ar-SA"/>
        </w:rPr>
        <w:br/>
      </w: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49" w:name="T.R. BROOKE J. (orally)"/>
            <w:bookmarkEnd w:id="249"/>
            <w:r>
              <w:rPr>
                <w:rFonts w:ascii="arial" w:eastAsia="arial" w:hAnsi="arial" w:cs="arial"/>
                <w:b/>
                <w:color w:val="000000"/>
                <w:sz w:val="30"/>
                <w:lang w:val="en-US" w:eastAsia="en-US" w:bidi="ar-SA"/>
              </w:rPr>
              <w:t>T.R. BROOKE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Reasons for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These actions arise out of a motor vehicle accident at the intersection of 48th Avenue and Pleasant Valley Road in Vernon on December 17, 2004, after dark at approximately 5:20 p.m.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were travelling east in the curb lane in a Toyota Corolla as they approached the intersection, while the defendant, Mr. Sluys, intended to turn left from the left-turn lane onto Pleasant Valley Road. Mr. Sluys was driving a three-quarter-ton Dodge Ram truck and commenced his turn when the traffic light was amber. He did not see the Slaughter vehicle until the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Neither plaintiff has any recollection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was no physical evidence of braking or pre-collision skid marks, and the point of impact was identified by a gouge in the eastbound curb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of liability and quantum were severed by consent, and these two actions were heard together on the issue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Constable Kilba attended at the scene shortly after the collision and he took photographs and measurements and made observations which he related in his evidence. He indicated that it was cloudy but dry with some wet spots on the road surface. He described three lanes of traffic eastbound on 48th Avenue: a left-turn lane, a centre lane, and a curb lane. Proceeding in a westerly direction, he described three lanes of traffic composed of a left-turn lane, a centre lane, and a curb lane. He looked for but found no evidence of braking.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Constable Kilba issued a traffic violation ticket to Mr. Sluys alleging an offence against s. 174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and he indicated that it was not contested by Mr. Sluys. He had noted that the speedometer in the Slaughter vehicle was locked at 82 kilometres an hour, but he concluded that that did not necessarily mean that was the speed of the Slaughter vehicle at impact. He gave evidence that the speed limit at the intersection was 50 kilometres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Constable Kilba measured the distance between the stop line in the left-turn lane and the point of impact as 23 metres with the Sluys vehicle moving in an arc rather than in a sharp left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Howard Maddocks gave evidence that he had lived on Silver Star Road since 1993, less than two kilometres from the intersection, and that he was familiar with it. He thought that the left turn was a bit tricky because of people coming up the hill. He described the Slaughter vehicle travelling at a greater rate of speed than he was and passing him going up the hill to the 20th Street intersection which was controlled by traffic lights. 20th Street is the last intersection before the intersection with Pleasant Valley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said that the Slaughter vehicle moved into the lane in which he was travelling and stopped at the red light at 20th Street. When the light turned green, he said that the Slaughter vehicle was travelling faster than he was, but he could not say how fast, and as it approached the intersection with Pleasant Valley Road, the light changed amber but he saw no brake lights before the collision between the Sluys vehicle and the Slaughter vehicle. He considered that the Slaughter vehicle was about six car lengths ahead of him when the light turned amber. Mr. Maddocks said that he was behind and to the left of a small car and that he could not see the Sluys vehicle immediately before the collision because the view was blocked by a car in the left-hand lane ahead of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immediately called in the accident on his cell phone and stopped to lend assistance since he had first-aid training.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agreed that he was gas conscious, that he gradually accelerated, and that he did not step on it leaving the stop light. He indicated that he had an impression of speed from the Slaughter vehicle but that it was only that, and he could not say what that speed was.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Mr. Maddocks arrived at his home after the accident scene was cleared, he prepared a statement in the expectation that he might be asked to be a witness.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asked whether the left-hand turn onto Pleasant Valley Road required caution because of the nature of the intersection, Mr. Maddocks agreed and said that it definitely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second witness, Nikolai Siedmann, described seeing the Slaughter vehicle as he pulled onto 48th Avenue from a carwash. He said that the Slaughter vehicle passed him travelling at 60 to 70 kilometres an hour. Although he acknowledged that he could not be specific, he did say that the Slaughter vehicle pulled away from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was asked whether he had given an earlier statement to Constable Kilba at the scene where he told Constable Kilba that he was travelling at 50 to 60 kilometres per hour and that the Slaughter vehicle was going a little bit faster and he agreed that may have been correct.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too, said that he did not see the Sluys vehicle until the collision. When asked whether caution was needed in travelling through the intersection of 48th Avenue and Pleasant Valley Road, he said, "Yes, absolutely."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saw no brake lights prior to the collision, but he had the impression that the Slaughter vehicle moved slightly to the right immediately before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Mr. Sluys, gave evidence that he has lived in the Vernon area for almost 30 years and that he was familiar with the intersection of 48th Avenue and Pleasant Valley Road. He had been socializing with friends, where he consumed two bottles of beer, and he was making his way to his home. He was aware that 48th Avenue rises from the 20th Street intersection to the intersection with Pleasant Valley Road and that the visibility of eastbound drivers as well as westbound drivers turning onto Pleasant Valley Road was somewhat limited and that caution was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said that he was about 15 feet from the stop line in the left-turn lane when the light changed to amber, but he entered the intersection and commenced his turn at approximately 30 kilometres an hour. He said he continued to look for oncoming eastbound traffic until he commenced his turn, though he acknowledged on his examination for discovery that he said the last time he looked for oncoming eastbound traffic was as the light turned yellow. He said that he neither saw any oncoming vehicle nor the headlights of any oncoming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acknowledged being ticketed by Constable Kilba for failing to yield on a left-hand turn and that he did not dispute the ticket, saying "I get a ticket; I pay it." He also pointed out that he did not obtain any legal advice with regard to the ticket.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Mrs. Slaughter gave evidence that she and her husband were married in February of 2006 and that they had come to Vernon to work as ski instructors at Silver Star. They found accommodation on Silver Star Road in a basement suite some two weeks before the accident. She describes meeting with the other instructors at a pub on the ski hill where she and Mr. Slaughter each had one beer before travelling into town to rent a movie and to pick up some take-out food. The reason they had gone early was to get to the Purolator office before it closed to pick up a parcel.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the time of the accident, they had the take-out food and the movie and the parcel and were proceeding to their home. She says they were in no particular hurry, and she did not caution Mr. Slaughter against going too fast. She remembered saying that the light was yellow, but in her evidence she did not have a specific memory of the yellow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Slaughter also gave evidence that he had very little recall of the events immediately preceding the accident and no recollection of the accident at all and that he suffered a closed head injury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said that he and his wife had met with the other instructors and had had a beer before going into the city and, in addition to getting a movie and take-away food, that they picked up a Christmas parcel from the Purolator office.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Slaughter said that he was making a good recovery from his frontal lobe injury but he had no memory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called Mr. Godfrey as an expert, and his report was filed. Mr. Godfrey was qualified to express his opinion regarding traffic safety, collision, and accident reconstruction. He took photographs and made measurements, and he had access to the photographs and measurements taken by Constable Kilba. He opined that from a position slightly ahead of the stop line in the left-turn lane onto Pleasant Valley Road, the headlights of a vehicle in the curb lane proceeding up 48th Avenue would first become visible at a distance of 75 metres. He then opined that an adult, alerted driver would have a perception/reaction time of approximately .75 seconds and that a driver entering the intersection intending to turn left across oncoming traffic would be in an alerted state and that a one second time to detect and respond to oncoming vehicles would be reasonable with a further two seconds to react and to come to a complete stop.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Godfrey described perception/reaction analysis to have four components: perception, identification, decision, and reaction. Mr. Godfrey was not asked to provide an accident reconstruction and said that perception and reaction time can vary between daylight and night and in complex as distinct from simple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called Mr. Kurt Ising as an expert in the field of accident reconstruction and analysis. He expressed the opinion that if the Slaughter vehicle was not visible to Mr. Sluys as he began his turn, then it was at least 90 metres distant from the point of impact, and the speed necessary to cover that distance to the point of impact is between 95 and 125 kilometres an hour. Mr. Ising, making use of a computer program, expressed the opinion that at the point of impact, the Slaughter vehicle was travelling between 62 and 72 kilometres per hour and the Sluys vehicle at 28 to 30 kilometres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Of some importance, Mr. Ising assumed that the Slaughter vehicle was braking prior to impact, thereby reducing the speed of the Slaughter vehicle from between 95 and 125 kilometres per hour to the impact speed of 62 to 72 kilometres per hour. He acknowledged that he had no physical evidence to support the assumption of braking.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foregoing represents a summary of the evidence. I found the fact witness, Mr. Maddocks, a particularly good witness in the sense that he was familiar with the road and with the intersection, that he was in a physical position to see what he reported seeing, and that he was a careful and observant witness to the events leading up to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found Mr. Siedmann's evidence to be helpful, but where it conflicts with the evidence o f Mr. Maddocks, I prefer the evidence of Mr. Maddocks.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did not find the opinions of the experts particularly helpful. Mr. Godfrey's opinion was limited to perception/reaction time calculations, and the evidence of Mr. Ising was, in part, based upon an assumption, that is, that the Slaughter vehicle braked prior to impact, that was not supported by the evidence of any witness or by the physical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that the Slaughter vehicle proceeded from the 20th Street stoplight at a greater rate of speed than the following Maddocks vehicle and that it was exceeding the speed limit as it proceeded up the hill to the intersection of Pleasant Valley Road. I find that Mr. Maddocks was travelling at approximately 50 kilometres per hour, and the Slaughter vehicle was proceeding faster. Neither he nor Mr. Siedmann saw any brake lights on the Slaughter vehicle immediately before the impact and there is no physical evidence that the brakes were applied.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Siedmann told Constable Kilba at the accident scene on January 5 that he was travelling 50 to 60 kilometres an hour and maybe more than that, and that the Slaughter vehicle was going a little faster.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am satisfied that Mr. Slaughter was driving in excess of the posted speed, but I am unable to find on the fact witness evidence what that speed was.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Ising said that the impact speed was 67 kilometres per hour, plus or minus 5 kilometres per hour, or between 62 and 72 kilometres per hour. Such a speed, it seems to me, is consistent with the evidence of Mr. Maddocks and Mr. Siedmann.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Clearly, Mr. Sluys did not see the Slaughter vehicle prior to the impact. Neither did Mr. Sluys see any vehicles in the centre or left-turn lane in a westbound direction on 48th Avenue, as Mr. Maddocks described.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plaintiffs must prove on the balance of probabilities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caused or contributed in a material way to the accident and the consequent injuries. I am satisfied that the plaintiffs must succeed. The Slaughter vehicle was there to be seen. Mr. Sluys did not see it, nor did he see the car or cars in the left-hand eastbound lane or the turn lane as described by Mr. Maddocks and Mr. Siedmann. Mr. Sluys knew that the intersection was tricky, and he quite rightly acknowledged that had he waited for the advanced green light which controlled the left-hand turn, he would have had the right of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Section 174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says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the Slaughter vehicle was so close as to constitute an immediate hazard and that it was Mr. Sluys' duty to yield, which he did not. I accept that the through vehicle is the dominant one and the left-turning vehicle the servient 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have read the authorities referred to by counsel, and I note particularly the Reasons of Justice Cartwright in the decision of the Supreme Court of Canada in </w:t>
      </w:r>
      <w:r>
        <w:rPr>
          <w:rFonts w:ascii="arial" w:eastAsia="arial" w:hAnsi="arial" w:cs="arial"/>
          <w:b/>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where Justice Cartwright said this at page 461: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Thus, I find that Mr. Sluys was negligent in the operation of his motor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That, of course, is not the end of the matter. Mr. Sluys said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Slaughter materially contributed to the injuries of which he and Mrs. Slaughter now complain and that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applies. I agree. Mr. Slaughter was driving at a rate of speed greater than the posted speed, and he was at fault in doing so, and he must bear some responsibility for the collision and the subsequent injuries that he and Mrs. Slaughter sustained.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find in all of the circumstances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Sluys played a significantly greater role in the ensuing collision than did that of Mr. Slaughter, and I apportion liability 80 percent to Mr. Sluys and 20 percent to Mr. Slaughter. Thus, Mrs. Slaughter will have judgment against both defendants jointly and severally, and Mr. Slaughter will have judgment as to 80 percent of his provable losses against Mr. Sluys. Mrs. Slaughter will have all of her costs of the liability trial jointly and severally against both defendants, and Mr. Slaughter will be entitled to recover 80 percent of his costs from Mr. Sluys.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wish to add that I found Mr. Sluys to be an entirely straightforward and credible witness, and I accept that in not disputing the traffic violation ticket, that spoke to his character rather than to any formal admission of fault.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Furthermore, while the drivers of each vehicle had consumed a bottle or two of beer, I find that alcohol was not a contributory factor to the collision.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T.R. BROOKE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Released: July 16, 2008</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Revised Judgment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Corrigendum to the Oral Reasons for Judgment issued advising that the title page is hereby amended to change the names of counsel for both the plaintiffs and the defendants. As reflected in the title page below, reference to counsel for the parties will now read: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Plaintiff, G.J. Slaughter: G.P. Weatherill W.S. Dick</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Plaintiff, R. Slaughter: D. Yerema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I.S. Sluys: S.B. Stewart M. Wilhelmson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G.J. Slaughter: K.D. Watts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Oral Reasons for Judgment are amended accordingly. In all other aspects, the reasons stand.</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Smith v. Bileck, [2006] B.C.J. No. 1462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Williamson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13 - 15,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Nos. S78344 and S82125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1462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989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545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Courtney Smith, plaintiff, and Devin Bileck and Steven Vollman, defendants (Registry No. S78344) And between Andria Smith, plaintiff, and Darryn Allen Felson, Nichole Gunter, Devin Bileck, Steven Marks and Steven Vollman, defendants (Registry No. S82125)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7"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0" w:name="Keywords_35"/>
      <w:bookmarkEnd w:id="25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Liability for the motor vehicle accident was apportioned at 70 per cent for the defendant driver (Vollman) of the overtaking vehicle and 30 per cent for the defendant driver of the left-turning vehicle (Bileck) — The defendant Bileck had failed to look rearward to confirm the location of the car he knew was behind him before making the left turn, and he also failed to activate the turn indicator in time; the defendant Vollman was negligent in attempting the pass the turning vehicle, and he was going too fast.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 Traffic regulation — Overtaking other vehicles — Turning — Liability for the motor vehicle accident was apportioned at 70 per cent for the defendant driver (Vollman) of the overtaking vehicle and 30 per cent for the defendant driver of the left-turning vehicle (Bileck) — The defendant Bileck had failed to look rearward to confirm the location of the car he knew was behind him before making the left turn, and he also failed to activate the turn indicator in time; the defendant Vollman was negligent in attempting the pass the turning vehicle, and he was going too fast.</w:t>
      </w:r>
    </w:p>
    <w:p>
      <w:pPr>
        <w:jc w:val="both"/>
        <w:rPr>
          <w:rFonts w:ascii="arial" w:eastAsia="arial" w:hAnsi="arial" w:cs="arial"/>
          <w:sz w:val="20"/>
          <w:lang w:val="en-US" w:eastAsia="en-US" w:bidi="ar-SA"/>
        </w:rPr>
      </w:pPr>
      <w:bookmarkStart w:id="251" w:name="Legislation Cited_25"/>
      <w:bookmarkEnd w:id="2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8"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03" w:history="1">
        <w:r>
          <w:rPr>
            <w:rFonts w:ascii="arial" w:eastAsia="arial" w:hAnsi="arial" w:cs="arial"/>
            <w:i/>
            <w:color w:val="0077CC"/>
            <w:sz w:val="20"/>
            <w:u w:val="single"/>
            <w:shd w:val="clear" w:color="auto" w:fill="FFFFFF"/>
            <w:lang w:val="en-US" w:eastAsia="en-US" w:bidi="ar-SA"/>
          </w:rPr>
          <w:t>R.S.B.C. 1996, c. 318, s. 157</w:t>
        </w:r>
      </w:hyperlink>
      <w:r>
        <w:rPr>
          <w:rFonts w:ascii="arial" w:eastAsia="arial" w:hAnsi="arial" w:cs="arial"/>
          <w:color w:val="000000"/>
          <w:sz w:val="20"/>
          <w:lang w:val="en-US" w:eastAsia="en-US" w:bidi="ar-SA"/>
        </w:rPr>
        <w:t>, s. 159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326" w:history="1">
        <w:r>
          <w:rPr>
            <w:rFonts w:ascii="arial" w:eastAsia="arial" w:hAnsi="arial" w:cs="arial"/>
            <w:i/>
            <w:color w:val="0077CC"/>
            <w:sz w:val="20"/>
            <w:u w:val="single"/>
            <w:shd w:val="clear" w:color="auto" w:fill="FFFFFF"/>
            <w:lang w:val="en-US" w:eastAsia="en-US" w:bidi="ar-SA"/>
          </w:rPr>
          <w:t>R.S.B.C. 1996, c. 333, s. 3</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2" w:name="Counsel_35"/>
      <w:bookmarkEnd w:id="2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9"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Courtney Smith: Trevor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Andria Smith: Christopher Dyson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Devin Bileck: Robert Brun,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Steven Vollman: Shane G. Vickers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3" w:name="Judgment_34"/>
      <w:bookmarkEnd w:id="253"/>
      <w:r>
        <w:pict>
          <v:line id="_x0000_s1200" style="position:absolute;z-index:25184768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June 27, 2006.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4" w:name="WILLIAMSON J."/>
            <w:bookmarkEnd w:id="254"/>
            <w:r>
              <w:rPr>
                <w:rFonts w:ascii="arial" w:eastAsia="arial" w:hAnsi="arial" w:cs="arial"/>
                <w:b/>
                <w:color w:val="000000"/>
                <w:sz w:val="30"/>
                <w:lang w:val="en-US" w:eastAsia="en-US" w:bidi="ar-SA"/>
              </w:rPr>
              <w:t>WILLIAMSON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Early in the morning of September 10, 2002, a vehicle driven by the defendant Steven Vollman attempted to pass a vehicle driven by the defendant Devin Bileck. The Bileck vehicle, however, turned left and was struck by the Vollman vehicle. The plaintiffs, sisters Courtney Smith and Andria Smith, were passengers in the Bileck vehicle. They were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Smith sisters each commenced an action. In this trial, in which the two matters were heard together, the court is asked to determine liability only. The plaintiffs take the position that the defendants are both liable and that liability should be apportioned equally. The defendants each say the other defendant is entirely liable. In these reasons when I refer to the defendants, I am referring to Bileck and Vollman only. The other named defendants took no part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have concluded that liability should be apportioned 75 percent to Vollman, driver of the overtaking vehicle, and 25 percent to Bileck, driver of the left turning vehicle. Below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Bileck was at the time, September 10, 2002, the plaintiff Courtney Smith's boyfriend. They have since become engaged. Bileck had gone to the home of the Smith sisters to pick them up and drive them to Kwantlen College where they were both students. After picking up the sisters, Bileck left the Smith home on 38A Avenue in Surrey, and drove to 192nd Street. There he made a left turn and started travelling southbound on 192nd Street which is, at this point, a rural two lane roadway. As one proceeds south on 192nd Street, on the right hand side of the road there is a tree farm. However, on the left there are a number of residential driveways.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Shortly after starting down 192nd Street, Courtney Smith told Bileck he was heading in the wrong direction. Bileck then spotted a driveway about 500 feet down 192nd Street from where he had made the left turn. He decided to turn left into that driveway so as to reverse direction and head back northwards.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was Bileck's evidence that he had accelerated to approximately 50 kilometres per hour. The speed limit, which is not in dispute, on this portion of 192nd Street is 60 kilometres per hour. Having determined that he had to turn around, Bileck said that he slowed to about 30 kilometres per hour. He glanced in his rear-view mirror and saw a vehicle, which was probably the Vollman vehicle, behind him travelling in the same direction, but at a distance that led him to conclude it was not a hazard. He testified that he remained in the centre of the southbound lane, and slowed to approximately 20 kilometres per hour as he approached the driveway. He testified that he turned on his left turn signal and then commenced a left hand turn towards the driveway. He then saw a blur to his left and the left front of his vehicle was struck by the right front of the Vollman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Courtney and Andria Smith both testified. Courtney, who was in the right front passenger seat of the Bileck vehicle, recalled telling Bileck that he had turned in the wrong direction. She recalled the car slowing. She said that she heard the clicking of the turn indicator being operated, although she did not see the green flashing light on the dashboard indicating that the turning indicator had been activated. She was unable to turn her head to the left because she had been in a previous motor vehicle accident which had significantly reduced the range of motion of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Andria Smith also testified. She was in the right back passenger seat of the Bileck vehicle. She testified that she heard the clicking of the turning indicator and saw the signal light flashing on the dashboard.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Neither of the Smith sisters saw the Vollman vehicle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As noted above, each of the defendants says that the other is 100 percent liable. Each points to various sections from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I reproduce portions of ss. 157 and 159 of that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158, the driver of a vehicle overtaking another vehicle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cause the vehicle to pass to the left of the other vehicle at a safe distance, and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when overtaking and passing on the right is permitted, a driver of an overtaken vehicle,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audible signal given by the driver of the overtaking vehicle, must cause the vehicle to give way to the right in favour of the overtaking vehicle,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driver of a vehicle must not drive to the left side of the roadway in overtaking and passing another vehicle unless the driver can do so in safety.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Defendant Bileck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have concluded the defendant Bileck is liable to a certain extent for two reasons. First, he testified that after he turned on to 192nd Street he looked in his rear-view mirror and observed a car in the distance behind him. The evidence is that the driveway which he intended to pull into was approximately 500 feet south of the intersection of 192nd Street and 38A Avenue. He testified that as he approached the driveway, he slowed, put on his turning indicator, and commenced the left turn. He did not look in the rear-view mirror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conclude that it was negligent of Bileck, having observed a car behind him, to not glance once again in his rear-view mirror after he put on his turning indicator and slowed to make the left turn in order to ascertain just how much closer the vehicle behind him had progressed, and to ascertain whether at that time it was safe to commence a left hand turn. He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Second, I conclude he activated the turn indicator too late. I am aware that at the accident scene when Bileck was asked if he had put on his turning indicator he could not recall. At trial he testified that he could recall putting on the turning indicator, and said that the reason he made the statement at the scene was that he was in shock over the injuries to his girlfriend, the plaintiff Courtney Smith, who was screaming hysterically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accept that explanation because the testimony that he switched on his turning indicator is consistent with the evidence of the Smith sisters. In particular, I accept the evidence of Andria Smith that she not only heard the turning indicator clicking, but from the vantage of her position in the back seat, observed the flashing indicator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However, I conclude that the turning indicator was turned on too late for Vollman to see it. Vollman testified and was certain that although he saw that the brake lights of the Bileck vehicle were on, he did not see a turning indicator light flashing. This is consistent with that light being turned on after he had already begun to overtake the Bileck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For these two reasons, I find that he is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 Vollman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conclude that the defendant Vollman is also liable for two reasons. First, I conclude that it was negligent for him to attempt to pass a vehicle when, on his own evidence, he was confused about what the driver of the vehicle in front of him intended to do. On Examination for Discovery, the following exchange, which was discussed repeatedly at trial,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moment you decided to make the pass, about 60 feet back, to the point when you started to see his front end coming to the left, did you make any other observations of his car?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just didn't look like he knew what he was doing. Looked like he was probably looking for an address or something I thought. I didn't know what he was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conclude that in the circumstances here, given that knowledge, it was negligent for Vollman to attempt to pass the Bileck vehicle. I note that Vollman testified that he was familiar with that stretch of road. He knew that there was a tree farm to the right and residences to the left. When he concluded that the driver of the other vehicle was "probably looking for an address", it follows that address would be to the left. But more importantly, to pass another vehicle when one has decided that one doesn't "know what he was doing" is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Vollman's admission that he didn't know what the other vehicle was doing blunts his testimony that he thought it moved to the right of the lane in order to permit him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Second, I am satisfied that a principal cause of this accident was the fact that Vollman was going too fast. The speed limit was 60 kilometres per hour. I note the following evidence with respect to speed. Bileck, when he looked in the rear-view mirror, thought at that time the vehicle behind him was too far away to be a hazard, yet seconds later it struck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Further, Dr. Amrit Toor, an engineer, was retained by one of the plaintiffs to prepare a report to determine, among other things, the speed of the Vollman vehicle and the collision avoidance potential for the driver of the Vollman vehicle. Dr. Toor examined the scene of the accident, the damage estimates of both vehicles, and the police reports. He also examined photographs of the pre-impact tire mark left at the scene of the accident. Using this data, and relying upon the most conservative estimate of speed determined on the basis of his report and of his cross-examination during trial, I accept his conclusion that the slowest speed the Vollman vehicle was likely travelling at the time of the collision was in the range of 70-79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Toor concluded that if the Vollman vehicle had been travelling 64 kilometres per hour or less, it would have crossed behind the path of the Bileck vehicle at least 1.5 seconds after the actual impact and a collision would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considering apportionment of liability, I have in mind the comments of Finch J.A., as he then was, concerning the relative responsibility of drivers overtaking and being overtaken in </w:t>
      </w:r>
      <w:r>
        <w:rPr>
          <w:rFonts w:ascii="arial" w:eastAsia="arial" w:hAnsi="arial" w:cs="arial"/>
          <w:b/>
          <w:i/>
          <w:color w:val="000000"/>
          <w:sz w:val="20"/>
          <w:lang w:val="en-US" w:eastAsia="en-US" w:bidi="ar-SA"/>
        </w:rPr>
        <w:t>Samograd v. Collison</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(1996), 17 B.C.L.R. (3d) 51</w:t>
        </w:r>
      </w:hyperlink>
      <w:r>
        <w:rPr>
          <w:rFonts w:ascii="arial" w:eastAsia="arial" w:hAnsi="arial" w:cs="arial"/>
          <w:color w:val="000000"/>
          <w:sz w:val="20"/>
          <w:lang w:val="en-US" w:eastAsia="en-US" w:bidi="ar-SA"/>
        </w:rPr>
        <w:t>. Speaking for the majority, Finch J.A. said that the overtaking driver's: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"greater obligation" to ensure that he could pass in safety arose from the circumstances of the case rather than from any higher legal duty, statutory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that to be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conclude that it was negligent for Vollman to be driving well over the speed limit and to attempt to overtake a vehicle when, upon his own evidence, he did not know what the driver of that vehicle was going to do. I conclude that these actions were the principal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all of the above reasons, I find both defendants liable. I apportion liability 75 percent to Vollman and 25 percent to Bileck.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will have their costs against the defendants at scale 3. Pursuant to s. 3 (1)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R.S.B.C. l996, c. 333, the defendants are liable to the plaintiffs for costs "in the same proportion as their respective liability", which is to say Vollman is 75 percent responsible for the plaintiff's costs, and Bileck is responsible for the remaining 25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WILLIAMSON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June 27,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It has been brought to my attention that there is a typographical error in my Reasons for Judgment dated June 27, 2006. The spelling of the plaintiff's name Adriana Smith in action number S82125 should be corrected to read Andria Smith throughout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WILLIAMSON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1"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Stanway v. Wyeth Canada Inc., [2011] B.C.J. No. 111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15 and 16,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11,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S87156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197 A.C.W.S. (3d) 608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Dianna Louise Stanway, Plaintiff, and Wyeth Canada Inc., Wyeth Pharmaceuticals Inc., Wyeth Holdings Canada Inc., Wyeth Canada, Wyeth Ayerst International Inc. and Wyeth,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2"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5" w:name="Keywords_36"/>
      <w:bookmarkEnd w:id="255"/>
      <w:r>
        <w:rPr>
          <w:rFonts w:ascii="arial" w:eastAsia="arial" w:hAnsi="arial" w:cs="arial"/>
          <w:b/>
          <w:color w:val="000000"/>
          <w:sz w:val="20"/>
          <w:lang w:val="en-US" w:eastAsia="en-US" w:bidi="ar-SA"/>
        </w:rPr>
        <w:t xml:space="preserve">Civil litigation — Civil procedure — Parties — Adding or substituting — Necessary or proper — Third party procedure — Availability — Class or representative actions — Procedure — Application by defendants, the Wyeth companies, to add parties or issue third party notices dismissed — Plaintiffs sued defendants in proposed class action related to breast cancer caused by defendants' hormone replacement products — Defendants sought to add six manufacturers of progestin on the basis that the allegations involved the combination of taking their products and taking progestin — Plaintiff's statement of claim did not allege cause of action against progestin manufacturers, as it was confined to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To add proposed parties would fundamentally recast claim — British Columbia Supreme Court Civil Rules, Rules 3-5(1), 6-2(7).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6" w:name="Case Summary_28"/>
            <w:bookmarkEnd w:id="2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Wyeth Canada and related entities, to file third party notices or add necessary parties to the proceeding. The plaintiff proposed a class proceeding in which a causal connection was alleged between the use of the defendants' hormone replacement products and breast cancer. The defendant sought to add or join as third parties six pharmaceutical companies who manufactured and marketed progestin in Canada. The plaintiff, among other things, alleged that the defendant's product combined estrogen and progestin in a single medication, thereby causing cancer. The plaintiff claimed that the defendant negligently marketed, tested, manufactured, labeled, distributed, promoted and sold the products at issue. The plaintiff also alleged breaches of the Trade Practices Act and the Business Practices and Consumer Protection Act. The defendants stated that the plaintiff's claim had evolved beyond issues surrounding ingestion of their products to include the ingestion of their products in combination with progestin. They submitted that they were faced with a claim for damages resulting from progestin manufactured by others that may have caused the harm. The certification hearing was adjourned to accommodate the predicate application. The progestin manufacturers and the plaintiff opposed the application on the basis that no cause of action was alleged against them in the plaintiff's claim or the third party notice.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7" w:name="Holdings of Court_23"/>
            <w:bookmarkEnd w:id="25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amended statement of claim did not allege a cause of action against the progestin manufacturers. The existence of a cause of action was a precondition to a claim for indemnity under a third party action. It was also necessary that the plaintiff have a cause of action against the progestin manufacturers in order that they be added as necessary parties. Despite the proposed class definition and common issues referring to the plaintiff ingesting the defendants' product together with progestin, it did not necessarily follow that the progestin manufacturers should participate either as a third party or necessary defendant. The plaintiff's claim had not evolved from the focus on the defendants' products. Framing the claim as such was not a discredit to the administration of justice. Adding the progestin manufacturers would fundamentally recast the plaintiff's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8" w:name="Legislation Cited_26"/>
      <w:bookmarkEnd w:id="2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3"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3-5(1), Rule 6-2(7)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Business Practices and Consumer Protection Act, </w:t>
      </w:r>
      <w:r>
        <w:rPr>
          <w:rFonts w:ascii="arial" w:eastAsia="arial" w:hAnsi="arial" w:cs="arial"/>
          <w:i/>
          <w:color w:val="000000"/>
          <w:sz w:val="20"/>
          <w:lang w:val="en-US" w:eastAsia="en-US" w:bidi="ar-SA"/>
        </w:rPr>
        <w:t>SBC 2004, CHAPTER 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Trade Practices Act, </w:t>
      </w:r>
      <w:hyperlink r:id="rId612" w:history="1">
        <w:r>
          <w:rPr>
            <w:rFonts w:ascii="arial" w:eastAsia="arial" w:hAnsi="arial" w:cs="arial"/>
            <w:i/>
            <w:color w:val="0077CC"/>
            <w:sz w:val="20"/>
            <w:u w:val="single"/>
            <w:shd w:val="clear" w:color="auto" w:fill="FFFFFF"/>
            <w:lang w:val="en-US" w:eastAsia="en-US" w:bidi="ar-SA"/>
          </w:rPr>
          <w:t>RSBC 1996, CHAPTER 457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9" w:name="Counsel_36"/>
      <w:bookmarkEnd w:id="25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4"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 Klein.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W. McNamara, T. Walsh (via teleconference), R.C. Sutton (via teleconference).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Third Parties Mylan Pharmaceuticals ULC., Apotex Inc. and Pro-Doc Ltée: T. Mallet (via teleconference), D. Elhart (via teleconference), K. Osaka (via teleconference).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Third Parties Ratiopharm Inc. and Teva Canada Ltd.: M. Harmer, S. Maidment (via teleconference), A. Boudreau (via teleconference).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0" w:name="Judgment_35"/>
      <w:bookmarkEnd w:id="260"/>
      <w:r>
        <w:pict>
          <v:line id="_x0000_s1205"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1" w:name="J.M. GROPPER J. (orally)"/>
            <w:bookmarkEnd w:id="261"/>
            <w:r>
              <w:rPr>
                <w:rFonts w:ascii="arial" w:eastAsia="arial" w:hAnsi="arial" w:cs="arial"/>
                <w:b/>
                <w:color w:val="000000"/>
                <w:sz w:val="30"/>
                <w:lang w:val="en-US" w:eastAsia="en-US" w:bidi="ar-SA"/>
              </w:rPr>
              <w:t>J.M. GROPPER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seek leave of this court to file third party notices against or, alternatively, to add as necessary parties to this proceeding the pharmaceutical companies Ratiopharm Inc., Teva Canada Ltd., Mylan Pharmaceuticals ULC, Apotex Inc., Pro-Doc Ltée and Pentapharm Ltd. (collectively, the "progestin manufacturers"). For clarification, these progestin manufacturers are only some of those who manufacture and market progestin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amended statement of claim and the proposed common issues as well as the expert opinions allege that there may be a causal connection between the use of Premplus (the defendants' combined product of two pills, one of which contains estrogen and the other progestin) or Premarin (the defendants' estrogen product) in combination with progestin and breast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progestin manufacturers and the plaintiff oppose the defendants' application on the basis that there is no cause of action alleged against the progestin manufacturers in the plaintiff's amended statement of claim nor in the defendants' third party notice; the action has been ongoing for five years and the defendants have not provided an explanation for their delay in issuing the third party notice or applying for leave to file the third party notice or adding the progestin manufacturers as defendants; and it is the plaintiff's prerogative to determine who she wishes to 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History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commenced this action in July 2004 against the defendants on behalf of women who use certain hormone replacement therapy products. The statement of claim was filed on May 20, 2005, and the amended statement of claim was filed on May 30,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2007, the US defendants, Wyeth Pharmaceuticals Inc., Wyeth-Ayerst International Inc. and Wyeth, contested the jurisdiction of this court. I found the court had jurisdiction: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2008 BCSC 847</w:t>
        </w:r>
      </w:hyperlink>
      <w:r>
        <w:rPr>
          <w:rFonts w:ascii="arial" w:eastAsia="arial" w:hAnsi="arial" w:cs="arial"/>
          <w:color w:val="000000"/>
          <w:sz w:val="20"/>
          <w:lang w:val="en-US" w:eastAsia="en-US" w:bidi="ar-SA"/>
        </w:rPr>
        <w:t xml:space="preserve">. An appeal was dismissed by the Court of Appeal on December 12, 2009: </w:t>
      </w:r>
      <w:hyperlink r:id="rId614" w:history="1">
        <w:r>
          <w:rPr>
            <w:rFonts w:ascii="arial" w:eastAsia="arial" w:hAnsi="arial" w:cs="arial"/>
            <w:i/>
            <w:color w:val="0077CC"/>
            <w:sz w:val="20"/>
            <w:u w:val="single"/>
            <w:shd w:val="clear" w:color="auto" w:fill="FFFFFF"/>
            <w:lang w:val="en-US" w:eastAsia="en-US" w:bidi="ar-SA"/>
          </w:rPr>
          <w:t>2009 BCCA 592</w:t>
        </w:r>
      </w:hyperlink>
      <w:r>
        <w:rPr>
          <w:rFonts w:ascii="arial" w:eastAsia="arial" w:hAnsi="arial" w:cs="arial"/>
          <w:color w:val="000000"/>
          <w:sz w:val="20"/>
          <w:lang w:val="en-US" w:eastAsia="en-US" w:bidi="ar-SA"/>
        </w:rPr>
        <w:t xml:space="preserve"> and leave to the Supreme Court of Canada was denied on May 27,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delivered her notice of motion with supporting affidavits seeking to certify the class proceeding on February 18,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September 8, 2010, the defendants filed a motion for leave to commence third party proceedings against the progestin manufacturers or, alternatively, to add them as necessary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certification hearing was to take place in December 2010, but those dates were adjourned to accommodate hearing this application in advance of the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there a cause of action against the progestin manufacturers?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amended statement of claim paras. 1, 4 and 7 allege, in para. 1, that:</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developed lobular and ductal breast cancer as a result of taking the Defendants' therapy drug Premarin in combination with progestin. The plaintiff purchased and used Premarin in British Columbia. She brings this claim on her own behalf, and on behalf of a class of similarly situated persons resident in British Columbia and elsewhere in Canada.</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Premarin was usually prescribed together with the hormone progestin, such that women taking Premarin would usually also use medication with progestin. Premplus contains both estrogen and progestin in a single medication. It was used for the same purposes as Premarin and was prescribed such that women would receive both hormones from a single medication.</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prescribed and ingested Premarin together with progestin for approximately 8 years, beginning in 1995. In the summer of 2002, she became aware of recently published studies that linked the use of estrogen to a variety of health problems including breast cancer. She consulted with her physician, who prescribed a graduated reduction of the hormone therapy. By in or about March 2003, the plaintiff stopped her use of Premarin and progestin. In May 2003, the plaintiff had a mammogram which revealed the presence of a tumour. On or about May 27, 2003, she was diagnosed with ductal and lobular breast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Paragraphs 10 through 15 of the amended statement of claim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on the basis that they negligently marketed, tested, manufactured, labelled, distributed, promoted, sold and otherwise placed Premarin and Premplus on the consumer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Paragraphs 16 to 21 allege that the defendants are in breach of the </w:t>
      </w:r>
      <w:r>
        <w:rPr>
          <w:rFonts w:ascii="arial" w:eastAsia="arial" w:hAnsi="arial" w:cs="arial"/>
          <w:i/>
          <w:color w:val="000000"/>
          <w:sz w:val="20"/>
          <w:lang w:val="en-US" w:eastAsia="en-US" w:bidi="ar-SA"/>
        </w:rPr>
        <w:t>Trade Practices Act,</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xml:space="preserve">) and its successor legislation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says that she is not making any allegations against the progestin manufacturers. She does not allege that the progestin manufacturers did anything wrong. She alleges that the defendants' fault in this case is in their making hormone replacement therapy, the inadequacy of their labelling practices, their failure to disclose the true benefits and risks of the drugs promoted and their failure to conduct appropriate research.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proposed third party notice provides the following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seek relief against the proposed third parties for contribution and indemnity pursuant to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for any damages or costs awarded to the plaintiff or putative class members as a result of the ingestion of progestin products marketed or manufactured by the proposed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legal basis is described in the notice as follows in paras. 2, 3 and 4. Paragraph 2:</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while denying all liability, state that they are entitled to contribution and indemnity from the Third Parties in respect of the claim made against the Defendants in the Main Action with respect to any damages awarded to the Plaintiff or putative class members as a result of the ingestion of progestin manufactured or sold by Third Parties.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in the Third Party claim will be substantially the same as those raised in the Main Action and should properly be determined in the Main Action.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progestins and conjugated estrogens are considered drug products under the </w:t>
      </w:r>
      <w:r>
        <w:rPr>
          <w:rFonts w:ascii="arial" w:eastAsia="arial" w:hAnsi="arial" w:cs="arial"/>
          <w:i/>
          <w:color w:val="000000"/>
          <w:sz w:val="20"/>
          <w:lang w:val="en-US" w:eastAsia="en-US" w:bidi="ar-SA"/>
        </w:rPr>
        <w:t>Food and Drugs Act</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R.S.C. 1985, c. F-27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Food and Drug Regulations</w:t>
      </w:r>
      <w:r>
        <w:rPr>
          <w:rFonts w:ascii="arial" w:eastAsia="arial" w:hAnsi="arial" w:cs="arial"/>
          <w:color w:val="000000"/>
          <w:sz w:val="20"/>
          <w:lang w:val="en-US" w:eastAsia="en-US" w:bidi="ar-SA"/>
        </w:rPr>
        <w:t>, which are administered by Health Canada. Therefore, all progestins and conjugated estrogens were marketed and sold under approval from Health Canada. The Defendants had no role in Health Canada's decision to grant marketing approvals to the Third Parties (the progestin manufacturers) with respect to their progestin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During the hearing, counsel for the defendants suggested that it may be appropriate to clarify the cause of action against the progestin manufacturers by amending the third party notice to repeat and rely on the allegations of the plaintiff as set out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say that fault and causality in the plaintiff's amended statement of claim refer exclusively to Premarin and Premplus until February 2010 when the plaintiff delivered the certification material. Now the plaintiff seeks to certify the class of women who ingested Premplus or Premarin in combination with progestin and proposes one of the common questions as: is there a causal connection between the use of Premplus or Premarin in combination with progestin?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Included in the plaintiff's certification materials is an expert report of Dr. Victoria Kirsh of November 24, 2008. The defendants refer to the following paragraphs in that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Estrogen replacement therapy was first approved by the US Food and Drug Administration in the 1940s, although it did not become widely used until the 1960s, after it was hypothesized that adding progestin (a synthetic form of progesterone) to estrogen would ward off the increased risk of endometrial cancer associated by taking estrogen alone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Progestins also increase cell proliferation in breast tissue, and therefore an association with breast cancer is not unexpected.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the conclusion of the report, Dr. Kirsh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the WHI study established a causal association between the use of estrogen-progestin therapy and increased risk of breast cancer, findings which were corroborated by results from recent prospective cohort studies. The increased risks appeared to be particularly pronounced with longer durations of use. Due to the uncertainties introduced by the WHI findings, the effects of estrogen alone remain inconclusive, although observational studies do suggest an increased risk associated with long term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say that despite the allegations in the amended statement of claim there has been a "metamorphosis" in the nature of the claim and of the allegations for the purpose of certification. The defendants assert that they are faced with a claim with potential substantial damages resulting from the progestin manufactured by others having caused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addition, the defendants argue that the likely outcome if their application is denied is that they will be exposed to damages based on liability caused in part by the progestin manufacturers, which, they say, is unfair and procedurally inefficient. They also assert that the class members who took Premarin and progestin run a risk of having their claim dismissed if the defendants are not held responsible and if the court's conclusion is that the plaintiff's cancer was caused by the progestin, not Premarin.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Progestin Manufacturers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progestin manufacturers assert that there are no allegations in the amended statement of claim which form a basis for a valid claim of contribution or indemnity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They also assert that the plaintiff's amended statement of claim does not contain any allegations that the use of progestin caused the alleged damages. There is no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the manufacture or marketing of progestin by the progestin manufacturers. The amended statement of claim is limited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statutory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progestin manufacturers argue that the definition of the proposed class and the proposed common question does not create a sufficient nexus to require that the progestin manufacturers participate in this action. They say that the cause of action must be defined in the plaintiff's amended statement of claim in order for the defendants to have a claim for contribution and indemnity. The amended statement of claim contains no cause of action or any allegation of any act or omission on the part of the progestin manufacturers. Neither have the defendants produced any evidence that there is a cause of action against the progestin manufacturers.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Rule 3-5(1) provides for making a third party claim:</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against whom relief is sought in an action may, if that party is not a plaintiff in the action, pursue a third party claim against any person if the party alleges that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contribution or indemnity from the person in relation to any relief that is being sought against the party in the action,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relief against the person and that relief relates to or is connected with the subject matter of the action,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question or issue between the party and the person</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substantially the same as a question or issue that relates to or is connected with</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claimed in the action, or</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action,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properly be determined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Lui v. West Granville Manor Ltd.</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(1985), 18 D.L.R. (4th) 391</w:t>
        </w:r>
      </w:hyperlink>
      <w:r>
        <w:rPr>
          <w:rFonts w:ascii="arial" w:eastAsia="arial" w:hAnsi="arial" w:cs="arial"/>
          <w:color w:val="000000"/>
          <w:sz w:val="20"/>
          <w:lang w:val="en-US" w:eastAsia="en-US" w:bidi="ar-SA"/>
        </w:rPr>
        <w:t>, the British Columbia Court of Appeal considered whether third party proceedings should be set aside. The court reviewed Rule 22, which then applied to third party claims, at para. 26 of the judgment. Subrule 22(1)(c) provided:</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any question or issue relating to or connected with the original subject matter is substantially the same as some question or issue arising between the plaintiff and the defendant and should properly be determined not only as between the plaintiff and the defendant but as between the plaintiff and defendant and the third party, or between any or either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considered the tests applicable to that subrule at page 402, stating:</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The first test is whether the third party proceedings raise "any question or issue" relating to or connected with "the original subject matter" that is substantially the same as some "question or issue" arising between the plaintiff and the defendant in the original action. If so, then the next test is whether that question or issue "should properly be determined", not only as between the plaintiff and the defendant, but also as between the defendant and the third party.</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(c) of the rule demonstrates very clearly the reason for the rule. It is to avoid having divergent decisions on the same issue. If the issue is the same, then the defendant should not succeed on it against the third party if he has lost on it to the plaintiff, and vice versa. And the third party should have a voice in the question of whether the plaintiff is going to win or lose against the defendant since this same issue should be decided in the same way between the defendant and the third party. So that is the reason for the first test under paragraph (c). And that test is a question of fact and law. It is not a question of discretion.</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test turns on whether the questions or issues that are substantially the same "should properly be determined" between all parties at the same time. That test is a matter of judicial discretion. It depends on an assessment of a number of factors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 proposed claim for contribution and indemnity against the third party under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requires the defendants to establish the third parties are liable to the plaintiff: </w:t>
      </w:r>
      <w:r>
        <w:rPr>
          <w:rFonts w:ascii="arial" w:eastAsia="arial" w:hAnsi="arial" w:cs="arial"/>
          <w:i/>
          <w:color w:val="000000"/>
          <w:sz w:val="20"/>
          <w:lang w:val="en-US" w:eastAsia="en-US" w:bidi="ar-SA"/>
        </w:rPr>
        <w:t>British Columbia v. Imperial Tobacco Canada Ltd.</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2009 BCCA 540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 claim for contribution and indemnity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requires that there be liability to the plaintiff: </w:t>
      </w:r>
      <w:r>
        <w:rPr>
          <w:rFonts w:ascii="arial" w:eastAsia="arial" w:hAnsi="arial" w:cs="arial"/>
          <w:i/>
          <w:color w:val="000000"/>
          <w:sz w:val="20"/>
          <w:lang w:val="en-US" w:eastAsia="en-US" w:bidi="ar-SA"/>
        </w:rPr>
        <w:t>Orange Julius v. City of Surrey</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2000 BCCA 467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Rule 6-2(7) provides for adding a party as a defendant. It states:</w:t>
      </w:r>
      <w:r>
        <w:rPr>
          <w:rFonts w:ascii="arial" w:eastAsia="arial" w:hAnsi="arial" w:cs="arial"/>
          <w:sz w:val="20"/>
          <w:lang w:val="en-US" w:eastAsia="en-US" w:bidi="ar-SA"/>
        </w:rPr>
        <w:cr/>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cease to be party if that person is not, or has ceased to be, a proper or necessary party,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rule applies where a party sought to be added has a direct interest in the outcome of the particular action between the particular parties: </w:t>
      </w:r>
      <w:r>
        <w:rPr>
          <w:rFonts w:ascii="arial" w:eastAsia="arial" w:hAnsi="arial" w:cs="arial"/>
          <w:i/>
          <w:color w:val="000000"/>
          <w:sz w:val="20"/>
          <w:lang w:val="en-US" w:eastAsia="en-US" w:bidi="ar-SA"/>
        </w:rPr>
        <w:t>Kitimat (District) v. British Columbia (Minister of Energy and Mines)</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2006 BCCA 562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court has the discretion to add a necessary party, which should be generously exercised to enable effective adjudication on all matters in dispute without delay, inconvenience or undue expense of separate actions and trials: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The application must disclose facts sufficient to persuade the court to apply Rule 6-2(7) with some evidence indicating a cause of action: </w:t>
      </w:r>
      <w:r>
        <w:rPr>
          <w:rFonts w:ascii="arial" w:eastAsia="arial" w:hAnsi="arial" w:cs="arial"/>
          <w:i/>
          <w:color w:val="000000"/>
          <w:sz w:val="20"/>
          <w:lang w:val="en-US" w:eastAsia="en-US" w:bidi="ar-SA"/>
        </w:rPr>
        <w:t>Robson Bulldozing Ltd. v. Royal Bank</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(1985), 62 B.C.L.R. 267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T.L. v. Alberta (Director of Child Welfare)</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2006 ABQB 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T.L. No. 1</w:t>
      </w:r>
      <w:r>
        <w:rPr>
          <w:rFonts w:ascii="arial" w:eastAsia="arial" w:hAnsi="arial" w:cs="arial"/>
          <w:color w:val="000000"/>
          <w:sz w:val="20"/>
          <w:lang w:val="en-US" w:eastAsia="en-US" w:bidi="ar-SA"/>
        </w:rPr>
        <w:t>), the plaintiff's action concerned proposed class members who claimed that while they were minors and in the care of the Director of Child Welfare they suffered personal injury at the hands of third party tortfeasors. The defendant argued that the class action was not the preferable way to determine the common issues because there were numerous third party tortfeasors who ought to be joined as defendants and other third parties. The court cautioned at para. 141: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Deciding the proportional liability of one defendant in the absence of other necessary parties creates a real risk of inconsistent judicial decisions, and violates the principle of natural justice that the rights of persons should not be decided unless they are extended a right to be heard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Justice Slatter declined to certify the plaintiff's action and concluded that third parties should be added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 sought to have her action certified as a class action a second time: </w:t>
      </w:r>
      <w:r>
        <w:rPr>
          <w:rFonts w:ascii="arial" w:eastAsia="arial" w:hAnsi="arial" w:cs="arial"/>
          <w:i/>
          <w:color w:val="000000"/>
          <w:sz w:val="20"/>
          <w:lang w:val="en-US" w:eastAsia="en-US" w:bidi="ar-SA"/>
        </w:rPr>
        <w:t>T.L. v. Alberta (Director of Child Welfare)</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2008 ABQB 114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T.L. No. 2</w:t>
      </w:r>
      <w:r>
        <w:rPr>
          <w:rFonts w:ascii="arial" w:eastAsia="arial" w:hAnsi="arial" w:cs="arial"/>
          <w:color w:val="000000"/>
          <w:sz w:val="20"/>
          <w:lang w:val="en-US" w:eastAsia="en-US" w:bidi="ar-SA"/>
        </w:rPr>
        <w:t xml:space="preserve">). She declined to add third party tortfeasors as defendants as Mr. Justice Slatter had suggested in </w:t>
      </w:r>
      <w:r>
        <w:rPr>
          <w:rFonts w:ascii="arial" w:eastAsia="arial" w:hAnsi="arial" w:cs="arial"/>
          <w:i/>
          <w:color w:val="000000"/>
          <w:sz w:val="20"/>
          <w:lang w:val="en-US" w:eastAsia="en-US" w:bidi="ar-SA"/>
        </w:rPr>
        <w:t>T.L. No.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T.L. No. 2</w:t>
      </w:r>
      <w:r>
        <w:rPr>
          <w:rFonts w:ascii="arial" w:eastAsia="arial" w:hAnsi="arial" w:cs="arial"/>
          <w:color w:val="000000"/>
          <w:sz w:val="20"/>
          <w:lang w:val="en-US" w:eastAsia="en-US" w:bidi="ar-SA"/>
        </w:rPr>
        <w:t>, Mr. Justice Thomas found that with the exception of the public trustee, it was not necessary that the third party tortfeasors be added as defendants. He stated at para. 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underlying question which must be considered is whether the inclusion of such third party tortfeasors would assist in the determination of the common issues. I am convinced that it would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Schroeder v. DJO Canada Inc.</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2009 SKQB 169</w:t>
        </w:r>
      </w:hyperlink>
      <w:r>
        <w:rPr>
          <w:rFonts w:ascii="arial" w:eastAsia="arial" w:hAnsi="arial" w:cs="arial"/>
          <w:color w:val="000000"/>
          <w:sz w:val="20"/>
          <w:lang w:val="en-US" w:eastAsia="en-US" w:bidi="ar-SA"/>
        </w:rPr>
        <w:t>, the court considered a proposed class action concerning a defective medical product. The plaintiff alleged that the defendant's pain pumps which were used for pain relief following surgery contributed to a serious adverse reaction in the plaintiff. The plaintiff alleged that the defendants were negligent in the design, manufacturing and distribution of the pain pump and failed to warn patients, doctors and government regulators about the serious health risk. The plaintiff chose not to sue the actual manufacturers of the pain pump, the McKinley Group. The defendant asserted that the McKinley Group should be added as party defendants for the purpose of dealing with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Mr. Justice Popescul reviewed the rules concerning the joining of parties. At para. 18, he referred to </w:t>
      </w:r>
      <w:r>
        <w:rPr>
          <w:rFonts w:ascii="arial" w:eastAsia="arial" w:hAnsi="arial" w:cs="arial"/>
          <w:i/>
          <w:color w:val="000000"/>
          <w:sz w:val="20"/>
          <w:lang w:val="en-US" w:eastAsia="en-US" w:bidi="ar-SA"/>
        </w:rPr>
        <w:t>Gurtner v. Circuit (1967),</w:t>
      </w:r>
      <w:r>
        <w:rPr>
          <w:rFonts w:ascii="arial" w:eastAsia="arial" w:hAnsi="arial" w:cs="arial"/>
          <w:color w:val="000000"/>
          <w:sz w:val="20"/>
          <w:lang w:val="en-US" w:eastAsia="en-US" w:bidi="ar-SA"/>
        </w:rPr>
        <w:t xml:space="preserve"> [1968] 2 Q.B. 587 (N.C.A.) at page 595, where Lord Denning commented upon R.S.C., Ord. 15, r. 6(2)(b), which says that the court may order any person to be added as a party: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"whose presence before the court is necessary to ensure that all matters in dispute in the cause or matter may be effectually and completely determined and adjudicated upon."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seems to me that when two parties are in dispute in an action at law, and the determination of that dispute will directly affect a third person in his legal rights or in his pocket, in that he will be bound to foot the bill, then the court in its discretion may allow him to be added as a party on such terms as it thinks fit. By so doing, the court achieves the object of the rule. It enables all matters in dispute to 'be effectually and completely determined and adjudicated upon' between all those directly concerned in the outcome.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thus apparent that the [proposed defendants] are vitally concerned in the outcome of the action. They are directly affected, not only in their legal rights, but also in their pocket. They ought to be allowed to come in as defendants. It would be most unjust if they were bound to stand idly by watching the plaintiff get judgment against the defendant without saying a word when they are the people who have to foot the bill.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While Popescul, J. considered the preferable route could be to add the McKinley Group as a third party, the court stated at paras. 21, 22 and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There is a myriad of other circumstances where it would be just and appropriate for the court to exercise its discretion in favour of adding a party defendant. However the circumstances of this case, especially in the context of a class action proceeding, is not one of them. Given the nature of class action proceedings and the general deference that ought to be afforded to plaintiffs in drafting their claims as they see fit, it would be contrary to the spirit and intent of the legislation to "force" the plaintiff to sue a party that they chose not to pursue.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In arriving at this conclusion, I have kept in mind pronouncements of the Supreme Court of Canada that pertain to the overall objectives of class action legislation and a representative plaintiff's entitlement to frame his or her claim in such a way so as to make it most amenable to class action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I am also troubled by the effect that adding a defendant, unwanted by the plaintiffs, would have on the structure of the action. A simple order joining the McKinley Group as defendants would result in the somewhat absurd situation of having several defendants part of an action where there are no allegations of liability or claims for damages against those defendants. Is it appropriate, in these circumstances, to order the plaintiffs to amend their claim to seek relief against a party that they do not wish to sue? I think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Applying those principles to this case, the plaintiff's amended statement of claim does not allege a cause of action against the progestin manufacturers. The existence of a cause of action is a precondition to a claim for indemnity under a third party action. It is also necessary that the plaintiff have a cause of action against the progestin manufacturers in order that they be added as necessary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on the basis that they negligently marketed, tested, manufactured, labelled, distributed, promoted, sold and otherwise placed their product Premarin and Premplus. The plaintiff has not alleged any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regard to the progestin manufacturers.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held that the purpose of the rule regarding third party claims is to avoid having divergent decisions on the same issue where the third party proceedings raise any question or issue relating to or connected with the original subject matter that is substantially the same question or issue arising between the plaintiff and the defendants in the original action. That is not the case in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agree with the plaintiff that despite the proposed class definition and common issues referring to the plaintiff ingesting Premarin together with progestin, it does not necessarily follow that the progestin manufacturers should participate in this proceeding either as a third party or necessary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disagree with the defendants' assertion that there has been a metamorphosis in the plaintiff's action. Despite Dr. Kirsh's opinion about the causes of breast cancer, the plaintiff has chosen to focus on the defendants to the exclusion of the progestin manufacturers, (with the exception of the defendants as a manufacturer of Premplus). That was the plaintiff's position at the outset of this litigation and continues to be the plaintiff's position. Adding the progestin manufacturers as defendants or third parties fundamentally recasts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am not convinced that, as the defendants assert, the plaintiff and the proposed class run the risk of having their claim dismissed if the progestin manufacturers are not included as necessary parties or third parties. I cannot conclude that the plaintiff's decision to frame the action as she has is a discredit to the proper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Because the defendants have not met the precondition that a cause of action exists between the plaintiff and the progestin manufacturers, it is unnecessary for me to continue to consider the other issues raised including delay in making this application and whether the plaintiff can be forced to sue parties that she chose not to 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application to add the progestin manufacturers as necessary parties or third parties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6"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Strata Plan LMS 3851 v. Homer Street Development Limited Partnership, [2011] B.C.J. No. 823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13 and 14,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S76792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823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569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1 W.W.R. 191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1052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 B.C.L.R. (5th) 359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 A.C.W.S. (3d) 662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3851, and others, Plaintiffs, and Homer Street Development Limited Partnership, formerly Cressey (Homer) Limited Partnership, and others, Defendants, and O'Neill Hotels &amp; Resorts Ltd., and others,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7"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2" w:name="Keywords_37"/>
      <w:bookmarkEnd w:id="262"/>
      <w:r>
        <w:rPr>
          <w:rFonts w:ascii="arial" w:eastAsia="arial" w:hAnsi="arial" w:cs="arial"/>
          <w:b/>
          <w:color w:val="000000"/>
          <w:sz w:val="20"/>
          <w:lang w:val="en-US" w:eastAsia="en-US" w:bidi="ar-SA"/>
        </w:rPr>
        <w:t>Civil litigation — Civil procedure — Pleadings — Amendment of — Statement of claim — Adding new cause of action — To alter or add to claim for relief — Application by plaintiff investors to amend their second further amended statement of claim to rely on the doctrine of waiver of tort dismissed — Plaintiffs' claim was that of negligent misrepresentation in that defendants allegedly made materially false statements — There was no room for waiver of tort claim in this action for negligent misrepresentation.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Amendment — Adding or striking out claim — Application by plaintiff investors to amend their second further amended statement of claim to rely on the doctrine of waiver of tort dismissed — Plaintiffs' claim was that of negligent misrepresentation in that defendants allegedly made materially false statements — There was no room for waiver of tort claim in this action for negligent misrepresentation.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3" w:name="Case Summary_29"/>
            <w:bookmarkEnd w:id="2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who invested in a project, to amend their second further amended statement of claim. The amendment was to allow them to rely on the doctrine of waiver of tort. This would permit them to elect at trial to seek an accounting and the payment of profits earned by the defendant developers because of their alleged wrongful conduct. An amendment was also proposed for the claim of relief to reflect the proposed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4" w:name="Holdings of Court_24"/>
            <w:bookmarkEnd w:id="26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caselaw that allowed waiver of tort to be pleaded as a cause of action involved allegations where equitable principles could be applied to disgorge any profit from the wrongdoer. The plaintiffs did not claim against the defendants for bad faith, other unconscionable conduct or make any claim of unjust enrichment or breach of trust. The allegation was essentially one of negligent misrepresentation in that the disclosure statement that was provided to the plaintiffs was a material false statement for the purpose of compensation under s. 59 of the Real Estate Act. Under this section the plaintiffs were entitled to either a rebuttable or an irrebutable presumption of reliance on the statement. Either way it was a presumption of reliance by the plaintiffs to their detriment. This was the same as in any common law claim of negligent misrepresentation, where the detriment had to be proven by the plaintiffs. There was no room for a waiver of tort claim in this case where the claim was that of negligent misrepresentation.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5" w:name="Legislation Cited_27"/>
      <w:bookmarkEnd w:id="2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8"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Practices and Consumer Protection Act, </w:t>
      </w:r>
      <w:r>
        <w:rPr>
          <w:rFonts w:ascii="arial" w:eastAsia="arial" w:hAnsi="arial" w:cs="arial"/>
          <w:i/>
          <w:color w:val="000000"/>
          <w:sz w:val="20"/>
          <w:lang w:val="en-US" w:eastAsia="en-US" w:bidi="ar-SA"/>
        </w:rPr>
        <w:t>SBC 2004, CHAPTER 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1992, </w:t>
      </w:r>
      <w:hyperlink r:id="rId631" w:history="1">
        <w:r>
          <w:rPr>
            <w:rFonts w:ascii="arial" w:eastAsia="arial" w:hAnsi="arial" w:cs="arial"/>
            <w:i/>
            <w:color w:val="0077CC"/>
            <w:sz w:val="20"/>
            <w:u w:val="single"/>
            <w:shd w:val="clear" w:color="auto" w:fill="FFFFFF"/>
            <w:lang w:val="en-US" w:eastAsia="en-US" w:bidi="ar-SA"/>
          </w:rPr>
          <w:t>S.O. 1992, c. 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Competition Act, </w:t>
      </w:r>
      <w:hyperlink r:id="rId632"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284" w:history="1">
        <w:r>
          <w:rPr>
            <w:rFonts w:ascii="arial" w:eastAsia="arial" w:hAnsi="arial" w:cs="arial"/>
            <w:i/>
            <w:color w:val="0077CC"/>
            <w:sz w:val="20"/>
            <w:u w:val="single"/>
            <w:shd w:val="clear" w:color="auto" w:fill="FFFFFF"/>
            <w:lang w:val="en-US" w:eastAsia="en-US" w:bidi="ar-SA"/>
          </w:rPr>
          <w:t>RSBC 1996, CHAPTER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Real Estate Act, RSBC 1996, CHAPTER 397, s. 59, s.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Sale of Goods Act, </w:t>
      </w:r>
      <w:r>
        <w:rPr>
          <w:rFonts w:ascii="arial" w:eastAsia="arial" w:hAnsi="arial" w:cs="arial"/>
          <w:i/>
          <w:color w:val="000000"/>
          <w:sz w:val="20"/>
          <w:lang w:val="en-US" w:eastAsia="en-US" w:bidi="ar-SA"/>
        </w:rPr>
        <w:t>RSBC 1996, CHAPTER 410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Trade Practice Act, </w:t>
      </w:r>
      <w:hyperlink r:id="rId612" w:history="1">
        <w:r>
          <w:rPr>
            <w:rFonts w:ascii="arial" w:eastAsia="arial" w:hAnsi="arial" w:cs="arial"/>
            <w:i/>
            <w:color w:val="0077CC"/>
            <w:sz w:val="20"/>
            <w:u w:val="single"/>
            <w:shd w:val="clear" w:color="auto" w:fill="FFFFFF"/>
            <w:lang w:val="en-US" w:eastAsia="en-US" w:bidi="ar-SA"/>
          </w:rPr>
          <w:t>RSBC 1996, CHAPTER 457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6" w:name="Counsel_37"/>
      <w:bookmarkEnd w:id="2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9"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B.W. Dixon, S.T.C. Warnett.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Developers: D.C. Harbottle.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Third Parties O'Neill Hotels &amp; Resorts Ltd., OHR Grand Management Ltd., Robert F. O'Neill and John C. O'Neill: A. Borrell.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7" w:name="Judgment_36"/>
      <w:bookmarkEnd w:id="267"/>
      <w:r>
        <w:pict>
          <v:line id="_x0000_s1210" style="position:absolute;z-index:251849728"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Waiver of Tort Claim</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J.D. 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apply to amend their Second Further Amended Statement of Claim to add (a) a new paragraph 56A and (b) a new paragraph in their prayer for relief as follows:</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56A. In the alternative, the Developers made profits on the sale of the Project that would not have been obtained but for the wrongful conduct pleaded above at paragraphs 31(f), 37, 45, 54(c) and 55, and the Investors plead and rely on the doctrine of waiver of tort allowing them to elect at trial to seek an accounting and an order for payment of such profits derived from the sales of hotel suite strata lots made to the Investors and induced by that wrongful conduct.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against the Developers: an accounting of profits and an order for payment to the Investors of such proportion of those profits derived from sales of hotel suite strata lots to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particular paragraphs of the Second Further Amended Statement of Claim that are alleged to constitute the "wrongful conduct" forming the basis for the proposed pleading in para. 56A, as they pertain to the developers and directors, are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and by the Disclosure Statement, the Developers, Directors ... expressly or impliedly represented and warranted to the Investors and each of them, inter alia,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Projections were based on rooms revenues that assumed hotel occupancy rates equal to the expected average occupancy rates for downtown Vancouver hotels of similar quality except for 1999 and 2000 which are 92.5% and 97.5% of the average, respectively, recognizing the start-up nature of the 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Developers, Directors ... owed duties of care to the Investors in making, respectively and as pleaded above, the Representations and Warranties ... including that they knew or ought reasonably to have foreseen that the Investors would rely on the Representations and Warranties ... in making their investments in the Project and entering into related agreements.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 Representations and Warranties ... were false, inaccurate and misleading.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Representations and Warranties ... were made negligently in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Developers and the Directors ... knew or ought to have known that the rooms revenues in the Projections were based on occupancy rates above the expected average occupancy rates for downtown hotels of similar quality in Vancouver in 1999 to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purposes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the Investors are deemed to have relied on the Representations and Warranties by virtue of s. 75 of that Act. Further, or in the alternative, the Investors, and each of them, reasonably relied on the Representations and Warranties ... when deciding to make their investments, entering into their Sale Agreements, completing their purchases, entering into HMAs and at all material times thereafter, as a result of which the Investors and each of them have suffered loss, damage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prayer for relief, as it pertains to the developers and directors with the proposed amendment, would now read:</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against each of the Developers and Directors ... for damages for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mis-statement;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against the Developers, for damages for breaches of the Sale Agreements and breaches of collateral warranties or collateral contracts;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against the Developers and Directors, for compensation pursuant to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against the Developers: an accounting of profits and an order for payment to the Investors of such proportion of those profits derived from sales of hotel suite strata lots to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principle to be applied in applications to strike or amend pleadings was articulated by McLachlin J. (as she then was) in </w:t>
      </w:r>
      <w:r>
        <w:rPr>
          <w:rFonts w:ascii="arial" w:eastAsia="arial" w:hAnsi="arial" w:cs="arial"/>
          <w:i/>
          <w:color w:val="000000"/>
          <w:sz w:val="20"/>
          <w:lang w:val="en-US" w:eastAsia="en-US" w:bidi="ar-SA"/>
        </w:rPr>
        <w:t>Victoria Grey Metro Trust Company v. Fort Gary Trust Company</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(1989), 30 B.C.L.R. (2d) 45</w:t>
        </w:r>
      </w:hyperlink>
      <w:r>
        <w:rPr>
          <w:rFonts w:ascii="arial" w:eastAsia="arial" w:hAnsi="arial" w:cs="arial"/>
          <w:color w:val="000000"/>
          <w:sz w:val="20"/>
          <w:lang w:val="en-US" w:eastAsia="en-US" w:bidi="ar-SA"/>
        </w:rPr>
        <w:t xml:space="preserve"> (B.C.S.C.) at p.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only in the clearest cases that a pleading will be struck out as disclosing no reasonable claim; where there is doubt on either the facts or law, the matter should be allowed to proceed for determination at trial ... If there is any doubt, it should be resolved in favour of permitting the pleadings to stand ... consistency demands that the same considerations apply to the question of amendment to permit new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Hunt v. T &amp; N, P.L.C.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(S.C.C.) at para. 52, Wilson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a pleading reveals "an arguable, difficult or important point of law" cannot justify striking out part of the statement of claim. Indeed, I would go so far as to suggest that where a statement of claim reveals a difficult and important point of law, it may well be critical that the action be allowed to proceed. Only in this way can we be sure that the common law in general, and the law of torts in particular, will continue to evolve to meet the legal challenges that arise in our modern industrial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Here the plaintiffs submit that the doctrine of waiver of tort is a developing area of the law and should be allowed to be pleaded as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understand from the wording of the proposed para. 56A that waiver of tort is sought to be pleaded either as an independent cause of action obviating any necessity for the plaintiffs to prove any loss to them, prior to seeking disgorgement of the profits obtained by the developers, or alternatively as a form of remedy to be advanced once the plaintiffs have proven their losses arising out of the wrongful conduct pleaded, with the plaintiffs at that time to elect whether to recover their losses or seek disgorgement of the developers' profits, depending upon 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developers submit that either as an independent cause of action or as an alternative remedy the plea should not be allowed in the context of the wrongful conduct alleged in the Statement of Claim, which the developers say is confined to claims of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misstatement, breach of collateral warranties or collateral contracts, and breach of contract, all of which it is said do not support such a claim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so far as the plea is being advanced as an independent cause of action, the developers also say that such an amendment is now statute barred by virtue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earliest case cited to me by counsel on the hearing is </w:t>
      </w:r>
      <w:r>
        <w:rPr>
          <w:rFonts w:ascii="arial" w:eastAsia="arial" w:hAnsi="arial" w:cs="arial"/>
          <w:i/>
          <w:color w:val="000000"/>
          <w:sz w:val="20"/>
          <w:lang w:val="en-US" w:eastAsia="en-US" w:bidi="ar-SA"/>
        </w:rPr>
        <w:t>Serhan, deceased, by his Trustee Without a Will et al v. Johnson &amp; Johnson et al</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(2004), 72 O.R. (3d) 296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This was a certification application made under the </w:t>
      </w:r>
      <w:r>
        <w:rPr>
          <w:rFonts w:ascii="arial" w:eastAsia="arial" w:hAnsi="arial" w:cs="arial"/>
          <w:i/>
          <w:color w:val="000000"/>
          <w:sz w:val="20"/>
          <w:lang w:val="en-US" w:eastAsia="en-US" w:bidi="ar-SA"/>
        </w:rPr>
        <w:t>Ontario Class Proceedings Act</w:t>
      </w:r>
      <w:r>
        <w:rPr>
          <w:rFonts w:ascii="arial" w:eastAsia="arial" w:hAnsi="arial" w:cs="arial"/>
          <w:color w:val="000000"/>
          <w:sz w:val="20"/>
          <w:lang w:val="en-US" w:eastAsia="en-US" w:bidi="ar-SA"/>
        </w:rPr>
        <w:t xml:space="preserve">, 1992, </w:t>
      </w:r>
      <w:hyperlink r:id="rId631" w:history="1">
        <w:r>
          <w:rPr>
            <w:rFonts w:ascii="arial" w:eastAsia="arial" w:hAnsi="arial" w:cs="arial"/>
            <w:i/>
            <w:color w:val="0077CC"/>
            <w:sz w:val="20"/>
            <w:u w:val="single"/>
            <w:shd w:val="clear" w:color="auto" w:fill="FFFFFF"/>
            <w:lang w:val="en-US" w:eastAsia="en-US" w:bidi="ar-SA"/>
          </w:rPr>
          <w:t>S.O. 1992, c. 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claims were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and fraudulent misrepresentation, breach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 and conspiracy relating to the defendants' manufacture, sale and distribution of allegedly defective products to be used by diabetics to monitor blood glucose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Statement of Claim alleged that the plaintiffs trusted and relied on the defendants, the defendants profited from that trust by receiving increased revenue directly attributable to the conspiracy and false representation, and the revenue should be considered as held in trust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was alleged that but for the misrepresentation and conspiracy the revenues would not have been received and the defendants had been unjustly enriched.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there submitted that none of the requirements for a constructive trust were satisfied and no legitimate reason for seeking a proprietary remedy was given, rather than seeking normal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Cullity J. of the Superior Court of Justice pointed out that fraud was pleaded and he found no difficulty in holding that a party who obtained property of another by fraudulent misrepresentation has breached an obligation of the type courts of equity have enforced and the equitable remedy of an accounting of profits will often be appropriate and often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waiver of tort by that name had not been specifically pleaded, he found the pleadings sufficient to possibly enable the plaintiff to recover a remedy based upon the doctrine, if the doctrine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recognized that there are many cases in which remedies had been granted on the basis of this doctrine but he said its scope and extent to which it reflected general principles had as yet not received authoritative analysis in Canadian appellate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Accordingly he certified the action as a class proceeding on the basis that the doctrine of waiver of tort might apply to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This decision was followed chronologically by </w:t>
      </w:r>
      <w:r>
        <w:rPr>
          <w:rFonts w:ascii="arial" w:eastAsia="arial" w:hAnsi="arial" w:cs="arial"/>
          <w:i/>
          <w:color w:val="000000"/>
          <w:sz w:val="20"/>
          <w:lang w:val="en-US" w:eastAsia="en-US" w:bidi="ar-SA"/>
        </w:rPr>
        <w:t>Reid v. Ford Motor Co.</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[2006] B.C.J. No. 993</w:t>
        </w:r>
      </w:hyperlink>
      <w:r>
        <w:rPr>
          <w:rFonts w:ascii="arial" w:eastAsia="arial" w:hAnsi="arial" w:cs="arial"/>
          <w:color w:val="000000"/>
          <w:sz w:val="20"/>
          <w:lang w:val="en-US" w:eastAsia="en-US" w:bidi="ar-SA"/>
        </w:rPr>
        <w:t>, where Gerow J. of this Court dealt with an application to amend the Statement of Claim after the action had already been certified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original claim was for damages for repairing an ignition switch allegedly causing the vehicles purchased by the plaintiff and those she claimed on behalf of, to stall. The action was framed in negligent design, negligent manufacture, failure to warn, and the statutory cause of action of deceptive act or practice giving rise to damages pursuant to the </w:t>
      </w:r>
      <w:r>
        <w:rPr>
          <w:rFonts w:ascii="arial" w:eastAsia="arial" w:hAnsi="arial" w:cs="arial"/>
          <w:i/>
          <w:color w:val="000000"/>
          <w:sz w:val="20"/>
          <w:lang w:val="en-US" w:eastAsia="en-US" w:bidi="ar-SA"/>
        </w:rPr>
        <w:t>Trade Practice Act</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sought to add waiver of tort as a separate cause of action to obviate any requirement that she or any of the class members prove any personal loss or damage. The proposed amendment sought entitlement to a restitutionary award of benefits that accrued to Ford as a result of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failure to warn. It alleged the benefits that accrued to Ford were unjust and there was no juristic reason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Gerow J. said that historically the doctrine had been utilized in cases of intentional torts where the defendant acquired benefits through a wrongful act. It was used to prevent unjust enrichment and applied to property torts such as conversion, trespass and misappropriation of property through deceit, usurpation of office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She pointed out that to be successful in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was required to prove loss or damage suffered as a result of a breach of duty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effect of the proposed amendment was that the waiver of tort claim would stand on its own as a complete cause of action not requiring proof of any causative loss as a constituent element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failure to warn. The proposed amendment would allow class members to avoid having to prove they incurred any repair costs and that those costs were reasonable and were undertaken to mitigate the dangerous condition posed by the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concluded that the action did not fall into the type of cases where a waiver of tort had been applied in the past and there was no principled basis on which to allow it to be pleaded in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She said the underpinning of waiver of tort is some unjust enrichment to the defendant and she referred to the decision in </w:t>
      </w:r>
      <w:r>
        <w:rPr>
          <w:rFonts w:ascii="arial" w:eastAsia="arial" w:hAnsi="arial" w:cs="arial"/>
          <w:i/>
          <w:color w:val="000000"/>
          <w:sz w:val="20"/>
          <w:lang w:val="en-US" w:eastAsia="en-US" w:bidi="ar-SA"/>
        </w:rPr>
        <w:t>Networth Industries Ltd. v. Cape Flattery (The)</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[1997] B.C.J. No. 3174</w:t>
        </w:r>
      </w:hyperlink>
      <w:r>
        <w:rPr>
          <w:rFonts w:ascii="arial" w:eastAsia="arial" w:hAnsi="arial" w:cs="arial"/>
          <w:color w:val="000000"/>
          <w:sz w:val="20"/>
          <w:lang w:val="en-US" w:eastAsia="en-US" w:bidi="ar-SA"/>
        </w:rPr>
        <w:t xml:space="preserve"> (S.C.), where Lowry J. (as he then was) said there had never been a case of unjust enrichment grounded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went on to say at para. 29 of her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torts supporting a claim for unjust enrichment have been for the most part proprietary torts such as conversion or trespass to land and goods which have been described as "anti-enrichment wrongs". Restitutionary claims are not made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because they are in the main "anti-harm wrongs" in relation to which it is impossible, even if they lead to an enrichment of the wrongdoer, to elevate the prevention of enrichment to the level of a primary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She also made reference to the decision in </w:t>
      </w:r>
      <w:r>
        <w:rPr>
          <w:rFonts w:ascii="arial" w:eastAsia="arial" w:hAnsi="arial" w:cs="arial"/>
          <w:i/>
          <w:color w:val="000000"/>
          <w:sz w:val="20"/>
          <w:lang w:val="en-US" w:eastAsia="en-US" w:bidi="ar-SA"/>
        </w:rPr>
        <w:t>Capilano Fishing Ltd. v. Qualicum Producer (The)</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[2001] B.C.J. No. 631</w:t>
        </w:r>
      </w:hyperlink>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2001 BCCA 244</w:t>
        </w:r>
      </w:hyperlink>
      <w:r>
        <w:rPr>
          <w:rFonts w:ascii="arial" w:eastAsia="arial" w:hAnsi="arial" w:cs="arial"/>
          <w:color w:val="000000"/>
          <w:sz w:val="20"/>
          <w:lang w:val="en-US" w:eastAsia="en-US" w:bidi="ar-SA"/>
        </w:rPr>
        <w:t xml:space="preserve"> where Southin J.A., in rejecting the claim for unjust enrichment, said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Furthermore, actions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vessels are actions for compensation for losses caused. There is no need to complicate such actions with notions of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Gerow J. said she also was not aware of any authority in which unjust enrichment had been grounded in a 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While the proposed amendment pleaded that Ford was unjustly enriched she pointed out that it did not plead a corresponding deprivation as required by the three elements for unjust enrichment, being an enrichment, a corresponding deprivation, and a lack of juristic reason for the enrichment. She recognized that the corresponding deprivation was not pleaded because the argument of the class members was that they did not have to suffer any deprivation in order for Ford to be forced to disgorge the benefits which had accrued to it by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also pointed out that any enrichment to Ford was only indirect as the plaintiffs had not purchased the vehicles from Ford directly but from intermediate retailers.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decision of Cullity J. in </w:t>
      </w:r>
      <w:r>
        <w:rPr>
          <w:rFonts w:ascii="arial" w:eastAsia="arial" w:hAnsi="arial" w:cs="arial"/>
          <w:i/>
          <w:color w:val="000000"/>
          <w:sz w:val="20"/>
          <w:lang w:val="en-US" w:eastAsia="en-US" w:bidi="ar-SA"/>
        </w:rPr>
        <w:t>Serhan</w:t>
      </w:r>
      <w:r>
        <w:rPr>
          <w:rFonts w:ascii="arial" w:eastAsia="arial" w:hAnsi="arial" w:cs="arial"/>
          <w:color w:val="000000"/>
          <w:sz w:val="20"/>
          <w:lang w:val="en-US" w:eastAsia="en-US" w:bidi="ar-SA"/>
        </w:rPr>
        <w:t xml:space="preserve"> was appealed to the Divisional Court </w:t>
      </w:r>
      <w:hyperlink r:id="rId637" w:history="1">
        <w:r>
          <w:rPr>
            <w:rFonts w:ascii="arial" w:eastAsia="arial" w:hAnsi="arial" w:cs="arial"/>
            <w:i/>
            <w:color w:val="0077CC"/>
            <w:sz w:val="20"/>
            <w:u w:val="single"/>
            <w:shd w:val="clear" w:color="auto" w:fill="FFFFFF"/>
            <w:lang w:val="en-US" w:eastAsia="en-US" w:bidi="ar-SA"/>
          </w:rPr>
          <w:t>(2006) 85 O.R. (3d) 665</w:t>
        </w:r>
      </w:hyperlink>
      <w:r>
        <w:rPr>
          <w:rFonts w:ascii="arial" w:eastAsia="arial" w:hAnsi="arial" w:cs="arial"/>
          <w:color w:val="000000"/>
          <w:sz w:val="20"/>
          <w:lang w:val="en-US" w:eastAsia="en-US" w:bidi="ar-SA"/>
        </w:rPr>
        <w:t xml:space="preserve"> and its decision was handed down following the decision in </w:t>
      </w:r>
      <w:r>
        <w:rPr>
          <w:rFonts w:ascii="arial" w:eastAsia="arial" w:hAnsi="arial" w:cs="arial"/>
          <w:i/>
          <w:color w:val="000000"/>
          <w:sz w:val="20"/>
          <w:lang w:val="en-US" w:eastAsia="en-US" w:bidi="ar-SA"/>
        </w:rPr>
        <w:t>Reid v. Ford Motor 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Cullity J.'s decision was upheld that the issue of whether waiver of tort is an independent cause of action should be resolved in the context of a factual background of a more fully developed record and not at the pleadings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giving the majority decision, Epstein J. (as she then was) distinguished </w:t>
      </w:r>
      <w:r>
        <w:rPr>
          <w:rFonts w:ascii="arial" w:eastAsia="arial" w:hAnsi="arial" w:cs="arial"/>
          <w:i/>
          <w:color w:val="000000"/>
          <w:sz w:val="20"/>
          <w:lang w:val="en-US" w:eastAsia="en-US" w:bidi="ar-SA"/>
        </w:rPr>
        <w:t>Reid</w:t>
      </w:r>
      <w:r>
        <w:rPr>
          <w:rFonts w:ascii="arial" w:eastAsia="arial" w:hAnsi="arial" w:cs="arial"/>
          <w:color w:val="000000"/>
          <w:sz w:val="20"/>
          <w:lang w:val="en-US" w:eastAsia="en-US" w:bidi="ar-SA"/>
        </w:rPr>
        <w:t xml:space="preserve"> on the basis that the claim in </w:t>
      </w:r>
      <w:r>
        <w:rPr>
          <w:rFonts w:ascii="arial" w:eastAsia="arial" w:hAnsi="arial" w:cs="arial"/>
          <w:i/>
          <w:color w:val="000000"/>
          <w:sz w:val="20"/>
          <w:lang w:val="en-US" w:eastAsia="en-US" w:bidi="ar-SA"/>
        </w:rPr>
        <w:t>Reid</w:t>
      </w:r>
      <w:r>
        <w:rPr>
          <w:rFonts w:ascii="arial" w:eastAsia="arial" w:hAnsi="arial" w:cs="arial"/>
          <w:color w:val="000000"/>
          <w:sz w:val="20"/>
          <w:lang w:val="en-US" w:eastAsia="en-US" w:bidi="ar-SA"/>
        </w:rPr>
        <w:t xml:space="preserve"> was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unlike the case at bar where fraud and conspiracy formed the foundation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Epstein J. did share the concern of Gerow J. about the consequences of allowing in product liability cases a cause of action that eliminates the need to prove loss. However she again considered that should be resolved on the basis of a full record and not at the pleadings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concluded her judgment with this statement at para. 157: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uncertain state of the law concerning both waiver of tort and the potential of disgorgement liability and the circumstances under which the remedy of a constructive trust may be recognized, it is not appropriate that the court should embark upon an analysis of this nature and significance at this early stage without a complete factual foundation. This is particularly so given the policy implications of the issues raised in this proceeding, implications for which the class proceedings regime in this province is specifically designed in that it is intended to provide a mechanism for correcting the behaviour of wrongdoers who would, absent its specialized procedures, be immune from legal consequences for their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Pro-Sys Consultants Ltd. v. Microsoft Corp.</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[2006] B.C.J. No. 1564</w:t>
        </w:r>
      </w:hyperlink>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2006 BCSC 1047</w:t>
        </w:r>
      </w:hyperlink>
      <w:r>
        <w:rPr>
          <w:rFonts w:ascii="arial" w:eastAsia="arial" w:hAnsi="arial" w:cs="arial"/>
          <w:color w:val="000000"/>
          <w:sz w:val="20"/>
          <w:lang w:val="en-US" w:eastAsia="en-US" w:bidi="ar-SA"/>
        </w:rPr>
        <w:t>, Tysoe J. (as he then was) dealt with an application to certify a class proceeding against Microsoft for artificially inflating prices for its operating systems and applications as a result of unlawful and anti-competitive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particular causes of action asserted in the statement of claim were as follows:</w:t>
      </w:r>
      <w:r>
        <w:rPr>
          <w:rFonts w:ascii="arial" w:eastAsia="arial" w:hAnsi="arial" w:cs="arial"/>
          <w:sz w:val="20"/>
          <w:lang w:val="en-US" w:eastAsia="en-US" w:bidi="ar-SA"/>
        </w:rPr>
        <w:cr/>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interference with economic relations;</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conspiracy;</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unjust enrichment;</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waiver of tort;</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constructive trust; and</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spoliation.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dealing with the claim for unjust enrichment on the defendant's application to strike, Tysoe J. concluded that this claim should be struck out because there was a juristic reason for the deprivation/enrichment being the contracts of purchase of the defendant's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However the plaintiffs had also pleaded entitlement to the unjust enrichment accruing to the defendants as a remedy for its claim of waiver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submitted that the doctrine of waiver of tort is not an independent cause of action and this claim should be struck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Tysoe J. said that there were two aspects of the doctrine in respect of which the law appeared to be unsettled. He said at para. 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unsettled aspect is whether waiver of tort is simply a form of remedy or an independent cause of action. This becomes important where proof of damage is an element of the cause of action in tort; for example,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waiver of tort is not an independent cause of action, the plaintiff will be required to prove damage in order to establish the existence of a tort before the plaintiff will be able to "waive the tort" and seek the benefit obtained by the defendant from the commission of the tort. On the other hand, if waiver of tort is an independent cause of action, the plaintiff will not need to prove damage as an element of a tort before being entitled to seek the benefit received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concluded that it was not necessary for him to decide whether waiver of tort is an independent cause of action because the plaintiffs were also pleading damage as an element of tort and if successful in proving one of the torts pleaded would be in a position to argue they were entitled to waive their damages and seek disgorgement of the benefit to the defendants as an alternative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said the other uncertainty in relation to the waiver of tort was whether the plaintiffs must establish all three elements of unjust enrichment before being entitled to waive their claim for damages and seek payment of the defendant's benefit and he concluded that in relying on the doctrine of waiver of tort a plaintiff might not be required to prove the absence of juristic reason for the enrichment if the plaintiff is successful in proving that the defendant did commit a wrong that resulted in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He distinguished </w:t>
      </w:r>
      <w:r>
        <w:rPr>
          <w:rFonts w:ascii="arial" w:eastAsia="arial" w:hAnsi="arial" w:cs="arial"/>
          <w:i/>
          <w:color w:val="000000"/>
          <w:sz w:val="20"/>
          <w:lang w:val="en-US" w:eastAsia="en-US" w:bidi="ar-SA"/>
        </w:rPr>
        <w:t>Reid v. Ford Motor Co.</w:t>
      </w:r>
      <w:r>
        <w:rPr>
          <w:rFonts w:ascii="arial" w:eastAsia="arial" w:hAnsi="arial" w:cs="arial"/>
          <w:color w:val="000000"/>
          <w:sz w:val="20"/>
          <w:lang w:val="en-US" w:eastAsia="en-US" w:bidi="ar-SA"/>
        </w:rPr>
        <w:t>, saying that Gerow J. held there that the flaw in the claim for unjust enrichment was an absence of the required enrichment. On my reading of that decision, Gerow J. did not find the flaw to be the absence of a required enrichment; she found the flaw to be that there was no pleaded corresponding deprivation.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Following the decision in </w:t>
      </w:r>
      <w:r>
        <w:rPr>
          <w:rFonts w:ascii="arial" w:eastAsia="arial" w:hAnsi="arial" w:cs="arial"/>
          <w:i/>
          <w:color w:val="000000"/>
          <w:sz w:val="20"/>
          <w:lang w:val="en-US" w:eastAsia="en-US" w:bidi="ar-SA"/>
        </w:rPr>
        <w:t>Pro-Sys v. Microsoft</w:t>
      </w:r>
      <w:r>
        <w:rPr>
          <w:rFonts w:ascii="arial" w:eastAsia="arial" w:hAnsi="arial" w:cs="arial"/>
          <w:color w:val="000000"/>
          <w:sz w:val="20"/>
          <w:lang w:val="en-US" w:eastAsia="en-US" w:bidi="ar-SA"/>
        </w:rPr>
        <w:t xml:space="preserve">, another decision was rendered in this Court in </w:t>
      </w:r>
      <w:r>
        <w:rPr>
          <w:rFonts w:ascii="arial" w:eastAsia="arial" w:hAnsi="arial" w:cs="arial"/>
          <w:i/>
          <w:color w:val="000000"/>
          <w:sz w:val="20"/>
          <w:lang w:val="en-US" w:eastAsia="en-US" w:bidi="ar-SA"/>
        </w:rPr>
        <w:t>Pet Supplies (USA) Inc. v. Pivotal Partners Inc.</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[2008] B.C.J. No. 2375</w:t>
        </w:r>
      </w:hyperlink>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2008 BCSC 1667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this case the defendant Pivotal applied to plead waiver of tort as a separate cause of action in its counterclaim for the purpose of waiving any claim it might have for damages and thereby refuse to produce its financial statements, and only seek disgorgement of profits from the defendant by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Pivotal had been sued for debt and initially brought a counterclaim for breach of contract, breach of confidence and negligent misrepresentation. It sought to add this claim of waiver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Humphries J. recognized that discussion of the concept of waiver of tort as a distinct cause of action has emerged in recent cases and could not be resolved on the application before her, but she went on to consider whether it could apply to the particular causes of action in the case before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the claim for breach of contract she concluded that none of the case authorities cited to her supported the proposition that waiver of tort as an independent cause of action could apply to that claim. While no authority expressly said the doctrine did not apply to a claim for breach of contract, she offered her view that this might be because any attempt to discuss the doctrine within the contractual concept would lead to absurdity.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She said that if Pivotal is seeking restitution damages the respondents had correctly pointed out that such a concept entails proof of Pivotal's loss in order to show that ordinary compensation when compared to the respondent's gain is not appropriate, relying on </w:t>
      </w:r>
      <w:r>
        <w:rPr>
          <w:rFonts w:ascii="arial" w:eastAsia="arial" w:hAnsi="arial" w:cs="arial"/>
          <w:i/>
          <w:color w:val="000000"/>
          <w:sz w:val="20"/>
          <w:lang w:val="en-US" w:eastAsia="en-US" w:bidi="ar-SA"/>
        </w:rPr>
        <w:t>Bank of America Canada v. Mutual Trust Co.,</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[2002] 2 S.C.R. 601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On the claim for negligent misrepresentation she referred to the Ontario case of </w:t>
      </w:r>
      <w:r>
        <w:rPr>
          <w:rFonts w:ascii="arial" w:eastAsia="arial" w:hAnsi="arial" w:cs="arial"/>
          <w:i/>
          <w:color w:val="000000"/>
          <w:sz w:val="20"/>
          <w:lang w:val="en-US" w:eastAsia="en-US" w:bidi="ar-SA"/>
        </w:rPr>
        <w:t>Heward v. Eli Lilly &amp; Co.</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[2007] O.J. No. 404</w:t>
        </w:r>
      </w:hyperlink>
      <w:r>
        <w:rPr>
          <w:rFonts w:ascii="arial" w:eastAsia="arial" w:hAnsi="arial" w:cs="arial"/>
          <w:color w:val="000000"/>
          <w:sz w:val="20"/>
          <w:lang w:val="en-US" w:eastAsia="en-US" w:bidi="ar-SA"/>
        </w:rPr>
        <w:t xml:space="preserve"> (Ontario Superior Court of Justice), affirmed, </w:t>
      </w:r>
      <w:hyperlink r:id="rId642" w:history="1">
        <w:r>
          <w:rPr>
            <w:rFonts w:ascii="arial" w:eastAsia="arial" w:hAnsi="arial" w:cs="arial"/>
            <w:i/>
            <w:color w:val="0077CC"/>
            <w:sz w:val="20"/>
            <w:u w:val="single"/>
            <w:shd w:val="clear" w:color="auto" w:fill="FFFFFF"/>
            <w:lang w:val="en-US" w:eastAsia="en-US" w:bidi="ar-SA"/>
          </w:rPr>
          <w:t>[2008] O.J. No. 2610</w:t>
        </w:r>
      </w:hyperlink>
      <w:r>
        <w:rPr>
          <w:rFonts w:ascii="arial" w:eastAsia="arial" w:hAnsi="arial" w:cs="arial"/>
          <w:color w:val="000000"/>
          <w:sz w:val="20"/>
          <w:lang w:val="en-US" w:eastAsia="en-US" w:bidi="ar-SA"/>
        </w:rPr>
        <w:t xml:space="preserve"> (Ont. Div. Ct.), where the Divisional Court had acknowledged the BC approach in </w:t>
      </w:r>
      <w:r>
        <w:rPr>
          <w:rFonts w:ascii="arial" w:eastAsia="arial" w:hAnsi="arial" w:cs="arial"/>
          <w:i/>
          <w:color w:val="000000"/>
          <w:sz w:val="20"/>
          <w:lang w:val="en-US" w:eastAsia="en-US" w:bidi="ar-SA"/>
        </w:rPr>
        <w:t>Reid</w:t>
      </w:r>
      <w:r>
        <w:rPr>
          <w:rFonts w:ascii="arial" w:eastAsia="arial" w:hAnsi="arial" w:cs="arial"/>
          <w:color w:val="000000"/>
          <w:sz w:val="20"/>
          <w:lang w:val="en-US" w:eastAsia="en-US" w:bidi="ar-SA"/>
        </w:rPr>
        <w:t xml:space="preserve"> that a cause of action of waiver of tort would eliminate the requirement to prove loss, and was not therefore sustainable in the context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decided that the issue before it should be determined on a full record and not on a preliminary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She pointed out that in </w:t>
      </w:r>
      <w:r>
        <w:rPr>
          <w:rFonts w:ascii="arial" w:eastAsia="arial" w:hAnsi="arial" w:cs="arial"/>
          <w:i/>
          <w:color w:val="000000"/>
          <w:sz w:val="20"/>
          <w:lang w:val="en-US" w:eastAsia="en-US" w:bidi="ar-SA"/>
        </w:rPr>
        <w:t>Heward</w:t>
      </w:r>
      <w:r>
        <w:rPr>
          <w:rFonts w:ascii="arial" w:eastAsia="arial" w:hAnsi="arial" w:cs="arial"/>
          <w:color w:val="000000"/>
          <w:sz w:val="20"/>
          <w:lang w:val="en-US" w:eastAsia="en-US" w:bidi="ar-SA"/>
        </w:rPr>
        <w:t xml:space="preserve"> waiver of tort was pleaded as a separate cause of action and alternatively as a remedy so that both approaches to remedy - damages and disgorgement - would be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her view this alternative pleading was essential to the decision in </w:t>
      </w:r>
      <w:r>
        <w:rPr>
          <w:rFonts w:ascii="arial" w:eastAsia="arial" w:hAnsi="arial" w:cs="arial"/>
          <w:i/>
          <w:color w:val="000000"/>
          <w:sz w:val="20"/>
          <w:lang w:val="en-US" w:eastAsia="en-US" w:bidi="ar-SA"/>
        </w:rPr>
        <w:t>Heward</w:t>
      </w:r>
      <w:r>
        <w:rPr>
          <w:rFonts w:ascii="arial" w:eastAsia="arial" w:hAnsi="arial" w:cs="arial"/>
          <w:color w:val="000000"/>
          <w:sz w:val="20"/>
          <w:lang w:val="en-US" w:eastAsia="en-US" w:bidi="ar-SA"/>
        </w:rPr>
        <w:t xml:space="preserve"> to leave the plea of waiver of tort in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She pointed out that the claim by Pivotal was of negligent misrepresentation which requires a reliance to its detriment which in her view strengthened the argument that proving harm to it was a necessary element of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result she refused to allow waiver of tort to be pleaded by Pivotal as a separate cause of action in the context of the claims for breach of contract, breach of confidence and negligent misrepresentation. In the context of these claims she said waiver of tort did not disclose a reasonable claim or cause of action and that to allow Pivotal to plead it as a cause of action to avoid financial document production would be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Pivotal had already pleaded it suffered harm and loss as a result of alleged breaches and misrepresentations but without production of its financial records she said the defendants would not be able to test that assertion and the court would not be able to determine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She said that if an equitable restitutionary remedy is the preferable result at the end of the day the court could only conclude this if all the relevant facts were before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Gautam v. Canada Line Rapid Transit Inc.</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2010 BCSC 163</w:t>
        </w:r>
      </w:hyperlink>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81 C.P.C. (6th) 179</w:t>
        </w:r>
      </w:hyperlink>
      <w:r>
        <w:rPr>
          <w:rFonts w:ascii="arial" w:eastAsia="arial" w:hAnsi="arial" w:cs="arial"/>
          <w:color w:val="000000"/>
          <w:sz w:val="20"/>
          <w:lang w:val="en-US" w:eastAsia="en-US" w:bidi="ar-SA"/>
        </w:rPr>
        <w:t xml:space="preserve">, Pitfield J. of this Court said that the limits of what constitutes wrongful conduct for the purpose of supporting a claim of waiver of tort appear not to have been clearly defined as yet, relying upon a decision of the Court of Appeal in </w:t>
      </w:r>
      <w:r>
        <w:rPr>
          <w:rFonts w:ascii="arial" w:eastAsia="arial" w:hAnsi="arial" w:cs="arial"/>
          <w:i/>
          <w:color w:val="000000"/>
          <w:sz w:val="20"/>
          <w:lang w:val="en-US" w:eastAsia="en-US" w:bidi="ar-SA"/>
        </w:rPr>
        <w:t>Pro-Sys Consultants Ltd. v. Infineon Technologies AG</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2009 BCCA 503</w:t>
        </w:r>
      </w:hyperlink>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98 B.C.L.R. (4th) 272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Gautam</w:t>
      </w:r>
      <w:r>
        <w:rPr>
          <w:rFonts w:ascii="arial" w:eastAsia="arial" w:hAnsi="arial" w:cs="arial"/>
          <w:color w:val="000000"/>
          <w:sz w:val="20"/>
          <w:lang w:val="en-US" w:eastAsia="en-US" w:bidi="ar-SA"/>
        </w:rPr>
        <w:t xml:space="preserve"> the plaintiffs were claiming damages for nuisance allegedly caused by the "Canada Line" construction and alternately were asserting a claim of waiver of tort based upon the alleged tort of nuisance. They claimed disgorgement from the defendants of any benefits they derived from employing the cut and cover method, as opposed to the bored tunnel method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Pitfield J. dealt with an application to certify the action as a class proceeding and he determined that whether the principle of waiver of tort could be engaged and whether the class could avail itself of the principle without being required to prove that each member of the class had incurred a loss, are issues that readily lend themselves to characterization as common issues for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Pro-Sys v. Infineon</w:t>
      </w:r>
      <w:r>
        <w:rPr>
          <w:rFonts w:ascii="arial" w:eastAsia="arial" w:hAnsi="arial" w:cs="arial"/>
          <w:color w:val="000000"/>
          <w:sz w:val="20"/>
          <w:lang w:val="en-US" w:eastAsia="en-US" w:bidi="ar-SA"/>
        </w:rPr>
        <w:t xml:space="preserve"> the plaintiff brought action to recoup unlawful overcharges resulting from price fixing by manufacturers of a component of electronic products. Certification at the trial level was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the statement of claim the plaintiff alleged damages in tort for civil conspiracy to fix prices and for intentional interference with economic interests. It also sought damages pursuant to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R.S. 1985, C-34 which provides for recovery by any person who has suffered loss or damage as a result of price fixing and other anti-competitive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well the plaintiff sought restitutionary awards in unjust enrichment, constructive trust and waiver of tort, including orders that the respondents account for and disclose the profits of their unlawful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discussing the trial court's decision that damage in the form of loss or deprivation resulting from the respondent's wrongful conduct was an element of each class member's claims, Smith J.A., writing for the Court, said at para. 30 "damage may not be an element of the appellant's restitutionary claims in unjust enrichment, constructive trust, and waiver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He referred with apparent approval to the majority decision in </w:t>
      </w:r>
      <w:r>
        <w:rPr>
          <w:rFonts w:ascii="arial" w:eastAsia="arial" w:hAnsi="arial" w:cs="arial"/>
          <w:i/>
          <w:color w:val="000000"/>
          <w:sz w:val="20"/>
          <w:lang w:val="en-US" w:eastAsia="en-US" w:bidi="ar-SA"/>
        </w:rPr>
        <w:t>Serhan</w:t>
      </w:r>
      <w:r>
        <w:rPr>
          <w:rFonts w:ascii="arial" w:eastAsia="arial" w:hAnsi="arial" w:cs="arial"/>
          <w:color w:val="000000"/>
          <w:sz w:val="20"/>
          <w:lang w:val="en-US" w:eastAsia="en-US" w:bidi="ar-SA"/>
        </w:rPr>
        <w:t xml:space="preserve"> where Epstein J. had surveyed the law relating to unjust enrichment, constructive trust and waiver of tort and he said the following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In her majority judgment in </w:t>
      </w:r>
      <w:r>
        <w:rPr>
          <w:rFonts w:ascii="arial" w:eastAsia="arial" w:hAnsi="arial" w:cs="arial"/>
          <w:i/>
          <w:color w:val="000000"/>
          <w:sz w:val="20"/>
          <w:lang w:val="en-US" w:eastAsia="en-US" w:bidi="ar-SA"/>
        </w:rPr>
        <w:t>Serhan</w:t>
      </w:r>
      <w:r>
        <w:rPr>
          <w:rFonts w:ascii="arial" w:eastAsia="arial" w:hAnsi="arial" w:cs="arial"/>
          <w:color w:val="000000"/>
          <w:sz w:val="20"/>
          <w:lang w:val="en-US" w:eastAsia="en-US" w:bidi="ar-SA"/>
        </w:rPr>
        <w:t>, Epstein J. (now Epstein J.A.) surveyed the law relating to unjust enrichment, constructive trust, and waiver of tort and noted that there is an argument to be made that these claims may be established on the basis of proof of wrongful conduct and resulting gain without proof of any loss by the plaintiff. As she notes, this view finds support among some academic commentators and some case authorities and is based on the principle against unjust enrichment -- that a wrongdoer must be compelled to disgorge the fruits of the wrongdoing. These are benefit-based claims, as distinguished from loss-based claims such as claims in tort and contract, where the object is to compensate the innocent party for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Smith J.A. allowed the appeal and certified the action for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Koubi v. Mazda Canada Inc.</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2010 BCSC 650</w:t>
        </w:r>
      </w:hyperlink>
      <w:r>
        <w:rPr>
          <w:rFonts w:ascii="arial" w:eastAsia="arial" w:hAnsi="arial" w:cs="arial"/>
          <w:color w:val="000000"/>
          <w:sz w:val="20"/>
          <w:lang w:val="en-US" w:eastAsia="en-US" w:bidi="ar-SA"/>
        </w:rPr>
        <w:t>, Dardi J. of this Court also dealt with a certification application for a class proceeding over an alleged defect in the door lock mechanism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plaintiff claimed breach of the implied conditions under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of being reasonably fit for the purpose and being of merchantable quality and also claimed under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for deceptive acts or practice. The plaintiff claimed waiver of tort as an alternative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At paras. 61 and 62 of her judgment Dardi J.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Considerable uncertainty emerges from the recent jurisprudence over whether waiver of tort exists as an independent cause of action or whether it is necessary to establish an actionable tort as a prerequisite to bringing a restitutionary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There is support in the recent authorities and among some academic commentators that an action in restitution is available to compel a defendant to disgorge an unjust enrichment gained through a wide-range of wrongdoings, such as breach of contract, breach of statutory duty, or breach of fiduciary duty: </w:t>
      </w:r>
      <w:r>
        <w:rPr>
          <w:rFonts w:ascii="arial" w:eastAsia="arial" w:hAnsi="arial" w:cs="arial"/>
          <w:i/>
          <w:color w:val="000000"/>
          <w:sz w:val="20"/>
          <w:lang w:val="en-US" w:eastAsia="en-US" w:bidi="ar-SA"/>
        </w:rPr>
        <w:t>The Law of Restitution</w:t>
      </w:r>
      <w:r>
        <w:rPr>
          <w:rFonts w:ascii="arial" w:eastAsia="arial" w:hAnsi="arial" w:cs="arial"/>
          <w:color w:val="000000"/>
          <w:sz w:val="20"/>
          <w:lang w:val="en-US" w:eastAsia="en-US" w:bidi="ar-SA"/>
        </w:rPr>
        <w:t xml:space="preserve"> at 24-2, 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She referred to the Court of Appeal in </w:t>
      </w:r>
      <w:r>
        <w:rPr>
          <w:rFonts w:ascii="arial" w:eastAsia="arial" w:hAnsi="arial" w:cs="arial"/>
          <w:i/>
          <w:color w:val="000000"/>
          <w:sz w:val="20"/>
          <w:lang w:val="en-US" w:eastAsia="en-US" w:bidi="ar-SA"/>
        </w:rPr>
        <w:t>Pro-Sys v. Infineon</w:t>
      </w:r>
      <w:r>
        <w:rPr>
          <w:rFonts w:ascii="arial" w:eastAsia="arial" w:hAnsi="arial" w:cs="arial"/>
          <w:color w:val="000000"/>
          <w:sz w:val="20"/>
          <w:lang w:val="en-US" w:eastAsia="en-US" w:bidi="ar-SA"/>
        </w:rPr>
        <w:t xml:space="preserve"> as having stated that the claim for waiver of tort might be advanced by a class as a whole without requiring proof of individual loss in circumstances where the defendant realized a gain as a result of its wrongful conduct and she also referred to the decision in </w:t>
      </w:r>
      <w:r>
        <w:rPr>
          <w:rFonts w:ascii="arial" w:eastAsia="arial" w:hAnsi="arial" w:cs="arial"/>
          <w:i/>
          <w:color w:val="000000"/>
          <w:sz w:val="20"/>
          <w:lang w:val="en-US" w:eastAsia="en-US" w:bidi="ar-SA"/>
        </w:rPr>
        <w:t>Gautam</w:t>
      </w:r>
      <w:r>
        <w:rPr>
          <w:rFonts w:ascii="arial" w:eastAsia="arial" w:hAnsi="arial" w:cs="arial"/>
          <w:color w:val="000000"/>
          <w:sz w:val="20"/>
          <w:lang w:val="en-US" w:eastAsia="en-US" w:bidi="ar-SA"/>
        </w:rPr>
        <w:t xml:space="preserve"> where it was said that the parameters of what constitutes "wrongful conduct" appear not to have been fully defined.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She also referred to the Court of Appeal in </w:t>
      </w:r>
      <w:r>
        <w:rPr>
          <w:rFonts w:ascii="arial" w:eastAsia="arial" w:hAnsi="arial" w:cs="arial"/>
          <w:i/>
          <w:color w:val="000000"/>
          <w:sz w:val="20"/>
          <w:lang w:val="en-US" w:eastAsia="en-US" w:bidi="ar-SA"/>
        </w:rPr>
        <w:t>Pro-Sys v. Infineon</w:t>
      </w:r>
      <w:r>
        <w:rPr>
          <w:rFonts w:ascii="arial" w:eastAsia="arial" w:hAnsi="arial" w:cs="arial"/>
          <w:color w:val="000000"/>
          <w:sz w:val="20"/>
          <w:lang w:val="en-US" w:eastAsia="en-US" w:bidi="ar-SA"/>
        </w:rPr>
        <w:t xml:space="preserve"> having said that benefit-based claims are to be distinguished from loss-based claims such as claims in tort and contract, where the object is to compensate the innocent party for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She concluded that doctrinally the criteria for waiver of tort requires clarification and it was unclear given the unsettled state of the jurisprudence whether allegations of wrongful conduct in a product liability case such as before her would ground a claim for restitutionary relief. It was at least arguable that such an action may be grounded in the wrongful conduct of the defendants without any need to prove all the elements of an actionable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the result she concluded that the jurisprudence with respect to waiver of torts is not sufficiently settled such that she was permitted to strike the claim and while it was a novel claim it was not "plain and obvious" that based on the allegations of wrongful conduct in the case the claim for waiver of tort would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issue came back before her subsequently with the defendants taking the position that waiver of tort must be based on wrongful conduct that would be actionable at law. The only claims in the statement of claim were of breaches of two statutes which included their own remedies for breach and it was alleged there was no room for a waiver of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Dardi J. concluded that the remedies set out in the two statutes may not be the only remedies available to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defendants also asserted that while a breach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may sometimes be characterized as a claim in contract, a claim of waiver of tort and a disgorgement remedy is not available for breach of contract, citing as one case </w:t>
      </w:r>
      <w:r>
        <w:rPr>
          <w:rFonts w:ascii="arial" w:eastAsia="arial" w:hAnsi="arial" w:cs="arial"/>
          <w:i/>
          <w:color w:val="000000"/>
          <w:sz w:val="20"/>
          <w:lang w:val="en-US" w:eastAsia="en-US" w:bidi="ar-SA"/>
        </w:rPr>
        <w:t>Bank of America Canada v. Mutual Trust Co.</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[2002] 2 S.C.R. 601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Again Dardi J. concluded that the availability of disgorgement relief for breach of contract in exceptional cases also appears to be an unsettled area of the law in Canada and she was not persuaded that at that stage the plaintiff's claim was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all of the cases cited to me by counsel, set out above, save for </w:t>
      </w:r>
      <w:r>
        <w:rPr>
          <w:rFonts w:ascii="arial" w:eastAsia="arial" w:hAnsi="arial" w:cs="arial"/>
          <w:i/>
          <w:color w:val="000000"/>
          <w:sz w:val="20"/>
          <w:lang w:val="en-US" w:eastAsia="en-US" w:bidi="ar-SA"/>
        </w:rPr>
        <w:t>Pet Supplies</w:t>
      </w:r>
      <w:r>
        <w:rPr>
          <w:rFonts w:ascii="arial" w:eastAsia="arial" w:hAnsi="arial" w:cs="arial"/>
          <w:color w:val="000000"/>
          <w:sz w:val="20"/>
          <w:lang w:val="en-US" w:eastAsia="en-US" w:bidi="ar-SA"/>
        </w:rPr>
        <w:t>, the courts have dealt with class proceeding claims rather than with individual claims. Nevertheless, I cannot see any reason in principle why it should make any difference to the question of whether a waiver of tort claim should or should not be allowed in an action, if the claims are individual ones as opposed to a class proceeding claim. It appears to me that the principle should apply to both kinds of claims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However, it may make a difference to a determination of whether a waiver of tort claim should or should not be included in a pleading whether it has been shown by the case authorities in the past to be a reasonable claim to be included under the authority of </w:t>
      </w:r>
      <w:r>
        <w:rPr>
          <w:rFonts w:ascii="arial" w:eastAsia="arial" w:hAnsi="arial" w:cs="arial"/>
          <w:i/>
          <w:color w:val="000000"/>
          <w:sz w:val="20"/>
          <w:lang w:val="en-US" w:eastAsia="en-US" w:bidi="ar-SA"/>
        </w:rPr>
        <w:t>Victoria Grey Metro Trust Company v. Fort Gary Trust Company</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Hunt v. T &amp; N, P.L.C.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 Second Further Amended Statement of Claim the wrongful conduct alleged to support the claim of waiver of tort against the developers focuses entirely on the statement in the disclosure statement concerning the assumed occupancy rates for the hotel as compared to the assumed occupancy rates for other downtown Vancouver hotels of similar quality, in the same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Court of Appeal in its order of September 16, 2009 left for determination at trial as against the developers only the effect of this statement in the disclosure statement. In its reasons for judgment, </w:t>
      </w:r>
      <w:hyperlink r:id="rId646" w:history="1">
        <w:r>
          <w:rPr>
            <w:rFonts w:ascii="arial" w:eastAsia="arial" w:hAnsi="arial" w:cs="arial"/>
            <w:i/>
            <w:color w:val="0077CC"/>
            <w:sz w:val="20"/>
            <w:u w:val="single"/>
            <w:shd w:val="clear" w:color="auto" w:fill="FFFFFF"/>
            <w:lang w:val="en-US" w:eastAsia="en-US" w:bidi="ar-SA"/>
          </w:rPr>
          <w:t>2009 BCCA 395</w:t>
        </w:r>
      </w:hyperlink>
      <w:r>
        <w:rPr>
          <w:rFonts w:ascii="arial" w:eastAsia="arial" w:hAnsi="arial" w:cs="arial"/>
          <w:color w:val="000000"/>
          <w:sz w:val="20"/>
          <w:lang w:val="en-US" w:eastAsia="en-US" w:bidi="ar-SA"/>
        </w:rPr>
        <w:t xml:space="preserve">, at para. 136, Levine J.A., writing for the court, dealt with the issue of common law liability of the developers for the statement and applied the criteria for establishing liability for negligent misrepresentation as set down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 In her introduction at para. 10, she stated her conclusion that the developers had negligently breached their express statutory representation that the disclosure statement constitutes true disclosure of all materials facts and their implied representation of objective reasonableness of the projections with respect to the impugned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allegations in the Second Further Amended Statement of Claim are that the statement constituted an express or implied representation or warranty to the investors and was negligently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prayer for relief, without amendment, pleads damages for misrepresentation and negligent misstatement, damages for breach of sale agreements and breaches of collateral warranties or collateral contracts, as well as compensation pursuant to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Reid v. Ford Motor Co.</w:t>
      </w:r>
      <w:r>
        <w:rPr>
          <w:rFonts w:ascii="arial" w:eastAsia="arial" w:hAnsi="arial" w:cs="arial"/>
          <w:color w:val="000000"/>
          <w:sz w:val="20"/>
          <w:lang w:val="en-US" w:eastAsia="en-US" w:bidi="ar-SA"/>
        </w:rPr>
        <w:t xml:space="preserve">, Gerow J. refused to allow an amendment to the statement of claim to plead waiver of tort as a cause of action where the proposed remedy sought was a declaration that the defendant was unjustly enriched by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failure to warn and should therefore disgorge its benefits as a result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She said that the action did not fall into the type of cases where a waiver of tort had been applied in the past and there was no principled basis on which to apply it in the action before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She said that restitutionary claims are not made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because they are in the main anti-harm wrongs in relation to which it is impossible, even if they lead to an enrichment of the wrongdoer, to elevate the prevention of enrichment to the level of a primary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Pet Supplies</w:t>
      </w:r>
      <w:r>
        <w:rPr>
          <w:rFonts w:ascii="arial" w:eastAsia="arial" w:hAnsi="arial" w:cs="arial"/>
          <w:color w:val="000000"/>
          <w:sz w:val="20"/>
          <w:lang w:val="en-US" w:eastAsia="en-US" w:bidi="ar-SA"/>
        </w:rPr>
        <w:t>, Humphries J. considered that discussion of waiver of tort as a cause of action within the contractual concept would lead to absurdity.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She also observed that a claim of negligent misrepresentation requires a finding of reliance to the detriment of the plaintiff, which in her view strengthened the argument that proving harm is a necessary element of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Serhan</w:t>
      </w:r>
      <w:r>
        <w:rPr>
          <w:rFonts w:ascii="arial" w:eastAsia="arial" w:hAnsi="arial" w:cs="arial"/>
          <w:color w:val="000000"/>
          <w:sz w:val="20"/>
          <w:lang w:val="en-US" w:eastAsia="en-US" w:bidi="ar-SA"/>
        </w:rPr>
        <w:t xml:space="preserve">, in the Divisional Court, Epstein J. distinguished </w:t>
      </w:r>
      <w:r>
        <w:rPr>
          <w:rFonts w:ascii="arial" w:eastAsia="arial" w:hAnsi="arial" w:cs="arial"/>
          <w:i/>
          <w:color w:val="000000"/>
          <w:sz w:val="20"/>
          <w:lang w:val="en-US" w:eastAsia="en-US" w:bidi="ar-SA"/>
        </w:rPr>
        <w:t>Reid</w:t>
      </w:r>
      <w:r>
        <w:rPr>
          <w:rFonts w:ascii="arial" w:eastAsia="arial" w:hAnsi="arial" w:cs="arial"/>
          <w:color w:val="000000"/>
          <w:sz w:val="20"/>
          <w:lang w:val="en-US" w:eastAsia="en-US" w:bidi="ar-SA"/>
        </w:rPr>
        <w:t xml:space="preserve"> on the basis that the claim there was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unlike the case before her where she said fraud and conspiracy formed the foundation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She quoted the statement by Gerow J. that "restitutionary claims are not made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because they are in the main anti-harm wrongs in relation to which it is impossible, even if they lead to an enrichment to the wrongdoer, to elevate the prevention of enrichment to the level of a primary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Further in </w:t>
      </w:r>
      <w:r>
        <w:rPr>
          <w:rFonts w:ascii="arial" w:eastAsia="arial" w:hAnsi="arial" w:cs="arial"/>
          <w:i/>
          <w:color w:val="000000"/>
          <w:sz w:val="20"/>
          <w:lang w:val="en-US" w:eastAsia="en-US" w:bidi="ar-SA"/>
        </w:rPr>
        <w:t>Pro-Sys v. Infineon,</w:t>
      </w:r>
      <w:r>
        <w:rPr>
          <w:rFonts w:ascii="arial" w:eastAsia="arial" w:hAnsi="arial" w:cs="arial"/>
          <w:color w:val="000000"/>
          <w:sz w:val="20"/>
          <w:lang w:val="en-US" w:eastAsia="en-US" w:bidi="ar-SA"/>
        </w:rPr>
        <w:t xml:space="preserve"> Smith J.A. agreed, saying that restitutionary claims are "benefit-based claims, as distinguished from loss-based claims such as claims in tort and contract, where the object is to compensate the innocent party for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dissenting reasons of Mr. Justice Donald in the recent appeal of </w:t>
      </w:r>
      <w:r>
        <w:rPr>
          <w:rFonts w:ascii="arial" w:eastAsia="arial" w:hAnsi="arial" w:cs="arial"/>
          <w:i/>
          <w:color w:val="000000"/>
          <w:sz w:val="20"/>
          <w:lang w:val="en-US" w:eastAsia="en-US" w:bidi="ar-SA"/>
        </w:rPr>
        <w:t>Pro-Sys Consultants Ltd. v. Microsoft Corp.</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2011 BCCA 186</w:t>
        </w:r>
      </w:hyperlink>
      <w:r>
        <w:rPr>
          <w:rFonts w:ascii="arial" w:eastAsia="arial" w:hAnsi="arial" w:cs="arial"/>
          <w:color w:val="000000"/>
          <w:sz w:val="20"/>
          <w:lang w:val="en-US" w:eastAsia="en-US" w:bidi="ar-SA"/>
        </w:rPr>
        <w:t xml:space="preserve">, at para. 53, he interpreted the decision of the court in </w:t>
      </w:r>
      <w:r>
        <w:rPr>
          <w:rFonts w:ascii="arial" w:eastAsia="arial" w:hAnsi="arial" w:cs="arial"/>
          <w:i/>
          <w:color w:val="000000"/>
          <w:sz w:val="20"/>
          <w:lang w:val="en-US" w:eastAsia="en-US" w:bidi="ar-SA"/>
        </w:rPr>
        <w:t>Pro-Sys v. Infineon</w:t>
      </w:r>
      <w:r>
        <w:rPr>
          <w:rFonts w:ascii="arial" w:eastAsia="arial" w:hAnsi="arial" w:cs="arial"/>
          <w:color w:val="000000"/>
          <w:sz w:val="20"/>
          <w:lang w:val="en-US" w:eastAsia="en-US" w:bidi="ar-SA"/>
        </w:rPr>
        <w:t xml:space="preserve"> as having drawn a distinction between loss-based claims and benefit-based claims but embracing the possibility that either could be pursued in a class action seeking a restitutionary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the quote from that case of Mr. Justice Smith that he cited in apparent support, I can see nothing, with the greatest of respect, that indicates approval for either to be pursued as a restitutionary remedy. On this basis I decline to accept his broad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all of the cases cited that have allowed waiver of tort to be pleaded as a cause of action or as an alternative remedy, the allegations were of what Gerow J. referred to as anti-enrichment wrongs, wrongs where equitable principles might be applied to disgorge any profit of the wrongdoer.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As already stated, in </w:t>
      </w:r>
      <w:r>
        <w:rPr>
          <w:rFonts w:ascii="arial" w:eastAsia="arial" w:hAnsi="arial" w:cs="arial"/>
          <w:i/>
          <w:color w:val="000000"/>
          <w:sz w:val="20"/>
          <w:lang w:val="en-US" w:eastAsia="en-US" w:bidi="ar-SA"/>
        </w:rPr>
        <w:t>Serhan</w:t>
      </w:r>
      <w:r>
        <w:rPr>
          <w:rFonts w:ascii="arial" w:eastAsia="arial" w:hAnsi="arial" w:cs="arial"/>
          <w:color w:val="000000"/>
          <w:sz w:val="20"/>
          <w:lang w:val="en-US" w:eastAsia="en-US" w:bidi="ar-SA"/>
        </w:rPr>
        <w:t xml:space="preserve"> the foundation of the claim was stated to be fraud and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Pro-Sys v. Microsoft</w:t>
      </w:r>
      <w:r>
        <w:rPr>
          <w:rFonts w:ascii="arial" w:eastAsia="arial" w:hAnsi="arial" w:cs="arial"/>
          <w:color w:val="000000"/>
          <w:sz w:val="20"/>
          <w:lang w:val="en-US" w:eastAsia="en-US" w:bidi="ar-SA"/>
        </w:rPr>
        <w:t xml:space="preserve"> it was stated to be interference with economic relations, conspiracy and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Pro-Sys v. Infineon</w:t>
      </w:r>
      <w:r>
        <w:rPr>
          <w:rFonts w:ascii="arial" w:eastAsia="arial" w:hAnsi="arial" w:cs="arial"/>
          <w:color w:val="000000"/>
          <w:sz w:val="20"/>
          <w:lang w:val="en-US" w:eastAsia="en-US" w:bidi="ar-SA"/>
        </w:rPr>
        <w:t xml:space="preserve"> it was stated to be claims of civil conspiracy to fix prices and intentional interference with economic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It is a fact that in </w:t>
      </w:r>
      <w:r>
        <w:rPr>
          <w:rFonts w:ascii="arial" w:eastAsia="arial" w:hAnsi="arial" w:cs="arial"/>
          <w:i/>
          <w:color w:val="000000"/>
          <w:sz w:val="20"/>
          <w:lang w:val="en-US" w:eastAsia="en-US" w:bidi="ar-SA"/>
        </w:rPr>
        <w:t>Gautam</w:t>
      </w:r>
      <w:r>
        <w:rPr>
          <w:rFonts w:ascii="arial" w:eastAsia="arial" w:hAnsi="arial" w:cs="arial"/>
          <w:color w:val="000000"/>
          <w:sz w:val="20"/>
          <w:lang w:val="en-US" w:eastAsia="en-US" w:bidi="ar-SA"/>
        </w:rPr>
        <w:t xml:space="preserve"> the Court allowed a claim of waiver of tort to stand in a pleading of nuisance, stating that the wrongful conduct for the purpose of supporting such a claim appears not to have been clearly defined as yet.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However, in my view, as a statement by itself this cannot stand as any authority for expansion of the type of wrongful conduct beyond what the courts have consistently accepted to date, as no consideration was given in the judgment to the type of wrongful conduct in the cases that to that point had supported the concept.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Accordingly, I do not consider myself bound by this decision as it is distinguishable on this point. In addition, in so far as the claim was of an independent cause of action, Pitfield J. was clear to say that whether the doctrine allowed the class to avoid any requirement to prove individual losses remained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the plaintiff claimed breaches of conditions under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and deceptive act or practice under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court noted the Court of Appeal decision in </w:t>
      </w:r>
      <w:r>
        <w:rPr>
          <w:rFonts w:ascii="arial" w:eastAsia="arial" w:hAnsi="arial" w:cs="arial"/>
          <w:i/>
          <w:color w:val="000000"/>
          <w:sz w:val="20"/>
          <w:lang w:val="en-US" w:eastAsia="en-US" w:bidi="ar-SA"/>
        </w:rPr>
        <w:t>Pro-Sys v. Infineon</w:t>
      </w:r>
      <w:r>
        <w:rPr>
          <w:rFonts w:ascii="arial" w:eastAsia="arial" w:hAnsi="arial" w:cs="arial"/>
          <w:color w:val="000000"/>
          <w:sz w:val="20"/>
          <w:lang w:val="en-US" w:eastAsia="en-US" w:bidi="ar-SA"/>
        </w:rPr>
        <w:t xml:space="preserve"> as articulating a distinction between benefit-based claims and loss-based claims such as claims in tort or contract where the object is to compensate an innocent party for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While the court in </w:t>
      </w:r>
      <w:r>
        <w:rPr>
          <w:rFonts w:ascii="arial" w:eastAsia="arial" w:hAnsi="arial" w:cs="arial"/>
          <w:i/>
          <w:color w:val="000000"/>
          <w:sz w:val="20"/>
          <w:lang w:val="en-US" w:eastAsia="en-US" w:bidi="ar-SA"/>
        </w:rPr>
        <w:t>Kourbi</w:t>
      </w:r>
      <w:r>
        <w:rPr>
          <w:rFonts w:ascii="arial" w:eastAsia="arial" w:hAnsi="arial" w:cs="arial"/>
          <w:color w:val="000000"/>
          <w:sz w:val="20"/>
          <w:lang w:val="en-US" w:eastAsia="en-US" w:bidi="ar-SA"/>
        </w:rPr>
        <w:t xml:space="preserve"> did say that the availability of disgorgement relief for breach of contract in exceptional cases appears to be an unsettled area of law in Canada, quoting Maddaugh and McCamus, </w:t>
      </w:r>
      <w:r>
        <w:rPr>
          <w:rFonts w:ascii="arial" w:eastAsia="arial" w:hAnsi="arial" w:cs="arial"/>
          <w:i/>
          <w:color w:val="000000"/>
          <w:sz w:val="20"/>
          <w:lang w:val="en-US" w:eastAsia="en-US" w:bidi="ar-SA"/>
        </w:rPr>
        <w:t>The Law of Restitution</w:t>
      </w:r>
      <w:r>
        <w:rPr>
          <w:rFonts w:ascii="arial" w:eastAsia="arial" w:hAnsi="arial" w:cs="arial"/>
          <w:color w:val="000000"/>
          <w:sz w:val="20"/>
          <w:lang w:val="en-US" w:eastAsia="en-US" w:bidi="ar-SA"/>
        </w:rPr>
        <w:t>, my reading of the chapter on waiver of tort for breach of contract indicates to me that the authors recognize the traditional approach that the disgorgement remedy is not available in a claim for breach of contract, and also recognize that the traditional approach may be justifiable in cases of breaches of contract that are innocent and executed in good faith, in the moral sense, and not in any immoral or bad faith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my view that is the case as pleaded here. The plaintiffs do not claim as against the developer with respect to this note any bad faith or other unconscionable conduct or make any claim of unjust enrichment or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this case the allegation is essentially one of negligent misrepresentation in that the statement in the Disclosure Statement was a material false statement for the purpose of compensation under s. 59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Under this section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the investors are entitled to either a rebuttable or irrebuttable presumption of reliance on the statement, but either way it is a presumption of reliance by the investors to their detriment, the same as in any common law claim of negligent misrepresentation, where the detriment must be proven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agree with Gerow J. that there is no room for a waiver of tort claim in the circumstances of the claim for negligent misrepresentation made here, being an allegation of an anti-harm wrong by its nature rather than an anti-enrichment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application to add the claim of waiver of tort through the proposed paragraphs 56A and the addition to the prayer for relief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J.D. 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1"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Timberwest Forest Ltd. v. Gearbulk Pool Ltd., [2001] B.C.J. No. 1253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Cullen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12, 24,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C985748, C985749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1253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882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792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882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Timberwest Forest Limited and S.A. Van Hoorebeke et Fils, plaintiffs, and Gearbulk Pool Limited, Ocean President Maritime S.A., and the owners and all others interested in the Ship "Rhone", defendants, (Vancouver Registry No. C985748), And between Timberwest Forest Limited and N.V. Altripan S.A., plaintiffs, and Gearbulk Pool Limited, Ocean President Maritime S.A., and the owners and all others interested in the Ship "Rhone", defendants, (Vancouver Registry No. C985749)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2"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8" w:name="Keywords_38"/>
      <w:bookmarkEnd w:id="268"/>
      <w:r>
        <w:rPr>
          <w:rFonts w:ascii="arial" w:eastAsia="arial" w:hAnsi="arial" w:cs="arial"/>
          <w:b/>
          <w:color w:val="000000"/>
          <w:sz w:val="20"/>
          <w:lang w:val="en-US" w:eastAsia="en-US" w:bidi="ar-SA"/>
        </w:rPr>
        <w:t xml:space="preserve">Shipping and navigation — Carriage of goods — Bills of lading — Effect of — Liability, limitations, Hague rules — Exclusions, deck cargo — Interpretation — Ambiguity — Contra proferentum rule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9" w:name="Case Summary_30"/>
            <w:bookmarkEnd w:id="2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Timberwest Forest against the defendant, Gearbulk Pool, for summary judgment for damages. Timberwest arranged to have Gearbulk transport 1,725 packages of lumber from Vancouver to Antwerp. After the cargo was loaded, the boat proceeded to Portland, Oregon, where a cargo of sodium carbonate was loaded. During the loading of the sodium, the lumber was covered with sheets to avoid contamination. However, the lumber was not covered when it was unloaded in Antwerp. Significant portions of the lumber were dusted with the sodium. The problem was exacerbated when the crew pressure washed the lumber. This caused the sodium to penetrate into the packages. Most of the cargo was damaged. Gearbulk claimed that it was not liable because of the exemption clauses contained in the three bills of lading that governed the cargo. Each bill of lading stated that cargo carried on deck was at the cargo owner's sole risk. The bills stated that 86 per cent of the cargo was on deck and the balance was contained inside the ship. Timberwest claimed that this exception was not contained in the clause paramount of the bills of lading. It further claimed that the exception was ambiguous and did not apply because of the contra proferentum rule. Gearbulk argued that the bills were not ambiguous, and were governed by the Carriage of Goods by Water Act, which incorporated the Hague rules that excluded deck cargo from coverage.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0" w:name="Holdings of Court_25"/>
            <w:bookmarkEnd w:id="27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Timberwest was awarded judgment on the issue of liability. The court accepted Gearbulk's interpretation of the bills. The parties had freedom to contract out of liability for damage to deck cargo. However, this had to be done in clear and unambiguous terms. When the bills were prepared it could not be stated with certainty that 86 per cent of the cargo was on deck. The evidence was unclear as to the exact quantity of the cargo that was on deck. The exclusion clauses were therefore not enforceable. Gearbulk was liable since the damage to the lumber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crew.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1" w:name="Legislation Cited_28"/>
      <w:bookmarkEnd w:id="2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3"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Bills of Lading Act, </w:t>
      </w:r>
      <w:hyperlink r:id="rId655"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Carriage of Goods by Water Act, </w:t>
      </w:r>
      <w:hyperlink r:id="rId656" w:history="1">
        <w:r>
          <w:rPr>
            <w:rFonts w:ascii="arial" w:eastAsia="arial" w:hAnsi="arial" w:cs="arial"/>
            <w:i/>
            <w:color w:val="0077CC"/>
            <w:sz w:val="20"/>
            <w:u w:val="single"/>
            <w:shd w:val="clear" w:color="auto" w:fill="FFFFFF"/>
            <w:lang w:val="en-US" w:eastAsia="en-US" w:bidi="ar-SA"/>
          </w:rPr>
          <w:t>S.C. 1993, c. 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Water Carriage of Goods Act, 1936.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2" w:name="Counsel_38"/>
      <w:bookmarkEnd w:id="27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4"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C.J. Giaschi, for the plaintiffs. H.P Swanson,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3" w:name="Judgment_37"/>
      <w:bookmarkEnd w:id="273"/>
      <w:r>
        <w:pict>
          <v:line id="_x0000_s1215" style="position:absolute;z-index:2518507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4" w:name="CULLEN J._0"/>
            <w:bookmarkEnd w:id="274"/>
            <w:r>
              <w:rPr>
                <w:rFonts w:ascii="arial" w:eastAsia="arial" w:hAnsi="arial" w:cs="arial"/>
                <w:b/>
                <w:color w:val="000000"/>
                <w:sz w:val="30"/>
                <w:lang w:val="en-US" w:eastAsia="en-US" w:bidi="ar-SA"/>
              </w:rPr>
              <w:t>CULLEN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bring an application in each of the two actions for summary judgment pursuant to Rule 18A against the defendant, Gearbulk Pool Limited ("Gearbulk") on the issue of liability for damage to cargo carried by Gearbulk by sea from Vancouver to Antwerp between December 15, 1997 and January 19, 1998. The cargo in action number C985748 consisted of 920 packages of green heat-treated Douglas Fir lumber and in action number C985749 it consisted of 805 packages of green heat-treated Douglas Fir lumber. The cargo in C985748 was consigned to Van Hoorebeke et fils ("Van Hoorebeke") and in action number C985749 to N.V. Altripan S.A. ("Altripan"). The plaintiffs allege breach of contract, breach of duty as bailees and common carriers for hire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two cargoes were loaded on board the ship "Rhone" at Crofton on December 15, 1997. The defendant, Gearbulk, was the bare boat charterer of the Rhone and was the carrier of the cargoes at issue. After loading the plaintiff's cargoes, the Rhone proceeded to Portland, Oregon where it loaded a cargo of soda ash (sodium carbonate) on December 17 and 18,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During the loading of the soda ash the plaintiffs' cargoes were protected from contamination because the Master of the Rhone covered the cargoes with sheets to prevent them from being dusted with uncontained soda ash during the loading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same process of covering the plaintiff's cargoes was not used, when, on January 19, 1998, the soda ash was off-loaded from the Rhone in Antwerp. This resulted in significant portions of the cargoes of lumber being dusted with a quantity of the soda ash. The crew of the Rhone in an attempt to avoid damage to the plaintiffs' cargoes sought to wash the soda ash off the lumber by pressure washing it with fresh water but in the result this endeavour caused further damage to the lumber by forcing the soda ash to penetrate into and throughout the packages in which it was contained. A subsequent survey determined that of the cargo consigned to Van Hoorebeke 727 of the total 920 packages received some damage from the soda ash, and of the cargo consigned to Altripan 269 of the 805 packages were similarly damaged.</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BILLS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are three bills of lading which were issued in connection with the two damaged cargoes and it is those documents principally which give rise to issues with respect to liability in this case. The first of the bills of lading is CRO-ANT- 001 issued by the defendant Gearbulk on December 15, 1997. It names Seaboard International Shipping Company Limited as shipper and freight forwarder, making the consignee "to the order of the shipper", giving the address for notifying as that of Seaboard International Shipping Company Limited ("Seaboard") and adding a rider to the bill of lading with respect to the cargo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STOWED ON DECK:</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2,304,888 FBM of which 1,982,204 FBM LOADED ON DECK</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WITHOUT LIABLITY FOR LOSS OR DAMAGE HOWSOEVER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back of the Gearbulk bill of lading incorporated clauses identified by letters A-X which included the following:</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PARAMOUNT This Bill of lading shall have effect subject to the provisions of any legislation relating to the carriage of goods by sea which incorporates the rules relating to Bills of Lading contained in the International Convention, dated Brussels 25th August, 1924, or subsequent convention which is compulsorily applicable to the contract of carriage herein contained. When no such enactment is in force in the country of shipment the corresponding legislation of the country of destination shall apply, but in respect of shipments to which no such enactments are compulsorily applicable, the terms of the British Carriage of Goods by Sea Act, 1971, shall apply. Under no circumstances will any enactments or legislation apply to live animals or cargo carried on deck.</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DEFINITION Whenever the term Merchant is used in this Bill of Lading it shall be deemed to include the Shipper, the Receiver, the Consignee, the holder of the Bill of Lading and the Owner of the cargo.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DECK CARGO AND LIVESTOCK the vessel may carry cargo of all kinds, dangerous or otherwise. Goods maybe stowed in poop, forecastle, deck house, shelter deck, passenger space or any covered in space suitable for the carriage of goods, and when so stowed shall be deemed for all purposes to be stowed under deck. Goods on deck and livestock wherever carried are received, kept loaded, carried and discharged at Shipper's risk and the Carrier shall not be liable for loss thereof or damage thereto even though resulting from unseaworthiness of the vessel or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Carrier, his Servants or agents, or in case of deviation of the vessel. The time limit for lodging claims on cargoes carried on deck shall be one year from the last day of discharge and a limitation of 100 pounds sterling shall in, any event apply per package unit or bundle. Goods carried on deck shall contribute to and receive compensation from General Average (as the case may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JURISDICTION Any disputes arising under the Bill of Lading to be decided in London according to English law.</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JAPANESE JURISDICTION Notwithstanding any other provision contained herein, any dispute arising under this Bill of Lading, if issued for the carriage of goods to Japan, shall be decided in the Tokyo District Court in Japan according to Japanese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Gearbulk bill of lading was signed by Gearbulk as agents for the captain of the vessel and was endorsed by Sherry Davids, an employee of Seaboard.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other two bills of lading numbered CRO-ANT-300 and CRO-ANT-301 respectively were issued by Seaboard on December 15, 1997, identified the shipper as Timberwest Forest Limited, was consigned "to the order of the shipper," and identified the parties to notify as S.A. Van Hoorebeke et fils and N.V. Altripan S.A. respectively. CRO-ANT-300 added a rider setting out the composition of its cargo totalling 920 packages consisting of 49,892 pieces, comprised of 1,253,669 net FBM. CRO-ANT-301 set out the composition of the cargo on its face totalling 805 packages consisting of 46,740 pieces, comprising 1,051,219 net FBM.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Each of the Seaboard bills of lading contain the following on its face: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cargo carried on deck at cargo owner's sole risk as stated on the reverse in clause 6 of the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addition the Seaboard bills of lading contained a notation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stowage: 86% OD 14% 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was evidence and it was common ground between counsel that the latter reference meant that 86% of the cargo was stored on deck and 14% of the cargo was stored under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back, both Seaboard bills of lading were endorsed by Timberwest Forest Limited and contained clauses numbered 1-23 which included the following terms and conditions said by counsel to be significant in determining the issues under consideration in these applications: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PARAMOUNT. This Bill of Lading, so far as it relates to the carriage of goods by water, shall have effect subject to the provisions of</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Water Carriage of Goods Act, 1936 of the Dominion of Canada, with respect to shipments from Canada, and/or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Harter Act approved on the 13th day of February, 1893, and the Carriage of Goods by Sea Act of the United States of America, with respect to shipments from the United States of America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 Acts shall be deemed to be incorporated herein, and nothing herein contained shall be deemed a surrender by the Carrier of any of its rights or immunities or an increase of any of its responsibilities or liabilities under the said Acts. If any term of this Bill of Lading be repugnant to said Acts to any extent, such terms shall be void to that extent but no further.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DECK CARGO. Cargo which is stated herein as being carried on deck and is so carried, is received, kept, carried and discharged at the sole risk of the owner of such cargo and the Carrier shall not under any circumstances of any kind whatsoever be liable for any loss of or damage or delay thereto, whether or not such loss, damage or delay may be due to the act, neglect or default of the Carrier or the master, pilot, officers, crew, stevedores, servant, agent, or other person whomsoever for whom the Carrier may be responsible, whether in the service of the Carrier or not, and whether or no the above-named vessel or craft in which the said cargo may be loaded was unseaworthy at the time of loading or sailing or at any other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Clauses 1 and 19, this Bill of Lading no matter where issued, shall be construed and governed by English Law, and as if the vessel sailed under the British Flag.</w:t>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OF AFFREIGHTMENT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Although Seaboard is not a party in these actions, its relationship to both the plaintiffs and defendant Gearbulk is significant as is its involvement in the transactions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Gearbulk through its agent Gearbulk Shipping Canada Ltd. had a long term contract of affreightment with Seaboard. The contract was first entered into on November 8, 1994 and was renewed from time to time with some amendments to the rates Gearbulk charged for carriage of cargo for different locations. Seaboard is not the only shipper which Gearbulk had a contract of affreightment with. It had a number of such contracts with different shippers for the carriage of cargo to a variety of locations around the world. Some time in the fall of 1997 Gearbulk notified its "contract shippers" including Seaboard of the schedule of the MV Rhone at various British Columbia ports to see if any of them had any cargo for shipment on the Rhone. Seaboard, pursuant to its arrangement with Timberwest to book passage for the Van Hoorebeke and Altripan cargoes, arranged with Gearbulk to secure carriage of the cargoes on the MV Rhone. The initial contact over the cargoes was made by telephone and fax in early November 1997. Rather than issue a booking note for the cargo as might be done in a "one-off" situation the arrangement for the cargoes was concluded pursuant to the contract of affreightment by the issuance of a bill of lading, in this case CRO-ANT 001, which was issued by Gearbulk to Seaboard and which was dated December 15,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Gearbulk bill of lading was given only to Seaboard; it was not forwarded to either Timberwest or the foreign plaintiffs. Seaboard issued separate bills of lading to Timberwest for each of the cargoes; CRO-ANT 300 for the consignment to Van Hoorebeke, and CRO-ANT 301 for the consignment to Altripan. Timberwest and Gearbulk had no direct dealings with one another in relation to either of the consignments, as the invoice for the shipments of US $161,342.16 went to Seaboard and was paid by them.</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FORMATION OF THE CONTRACTS OF CARRIAGE AND STOWAGE OF THE CARGOES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an affidavit dated February 2, 2001 Sherry Davids who was the Documentation Supervisor of Seaboard International Shipping Company in December of 1997 established the following:</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signed the bills of lading identified as CRO-ANT-300 and CRO-ANT-301 on behalf of Seaboard International Shipping Company Limited. She obtained the information of the stowage of the cargo identifying 86% of the cargo as being on deck and 14% of the cargo as under deck from the mate's receipt provided to Seaboard by Gearbulk Shipping Canada Limited and the summary mate's receipt and lumber line-up prepared subsequently by Seaboard. Both the mate's receipt and the summary mate's receipt and lumber line-up were issued in respect of the entirety of the cargo of 1,725 packages consisting of 2,304,888 FBM which were carried under both Seaboard Bills of Lading.</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nothing in the mate's receipt or the summary mate's receipt that indicated what proportion of the cargo covered by the bill of lading CRO-ANT-300 was carried on deck and what proportion was carried under deck nor what proportion of the cargo covered by the bill of lading CRO-ANT-301 was carried on deck and what proportion was carried under deck.</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notation on the Seaboard bills of lading storage 86% OD 14% UD may not have been accurate with respect to the individual cargoes covered by the individual (Seaboard) bills of lading.</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review of the available evidence in relation to the stowage of the cargoes does not illuminate the issue of what relative proportions of each cargo were stowed either under deck or on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an affidavit sworn the 8th of March, 2001 Yoshi Otsuji who is and was a Super Cargo employed with Gearbulk Shipping Canada Limited established the following:</w:t>
      </w:r>
      <w:r>
        <w:rPr>
          <w:rFonts w:ascii="arial" w:eastAsia="arial" w:hAnsi="arial" w:cs="arial"/>
          <w:sz w:val="20"/>
          <w:lang w:val="en-US" w:eastAsia="en-US" w:bidi="ar-SA"/>
        </w:rPr>
        <w:cr/>
      </w:r>
    </w:p>
    <w:p>
      <w:pPr>
        <w:numPr>
          <w:numId w:val="1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assigned to the MV Rhone, voyage 156, for the loading of cargo at Crofton, B.C. in December 1997. The only cargo loaded at Crofton on the Rhone in December 1997 was what he described as "a consignment of 1,725 packages of lumber destined for Antwerp". During the loading the 1,725 packages were intermixed and were not distinguished according to the intended consignee. There is a system of loading cargo on a ship in which, if the shipper needed to distinguish between cargo destined for different receivers, or different ports, or on the basis if on deck/under deck storage then such cargo would be in different bins. In the case of the 1,725 packages all were located in five bins on the dock and he understood from discussions with the dock foreman that all the cargo on the bin-list was for carriage on deck and destined for discharge at Antwerp.</w:t>
      </w:r>
    </w:p>
    <w:p>
      <w:pPr>
        <w:numPr>
          <w:numId w:val="1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able to have approximately 321,000 FBM about 261 packages, stored under deck although all 1725 were slated for carriage on deck. He is unable to say which specific packages of which cargo were on deck, and which were under.</w:t>
      </w:r>
    </w:p>
    <w:p>
      <w:pPr>
        <w:numPr>
          <w:numId w:val="1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Otsuji had been requested to distinguish between the cargoes he would have been able to do that if the cargo had been separated into different bins. He had never before been asked to separate cargoes in a single bin and it would, in his experience been the responsibility of the shipper or the dock to distinguish between the cargoes by putting them in different bins.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an affidavit sworn July 20, 2000 James Hergert, the Traffic Coordinator for the Woods Product Marketing Department of the plaintiff Timberwest established the following:</w:t>
      </w:r>
      <w:r>
        <w:rPr>
          <w:rFonts w:ascii="arial" w:eastAsia="arial" w:hAnsi="arial" w:cs="arial"/>
          <w:sz w:val="20"/>
          <w:lang w:val="en-US" w:eastAsia="en-US" w:bidi="ar-SA"/>
        </w:rPr>
        <w:cr/>
      </w:r>
    </w:p>
    <w:p>
      <w:pPr>
        <w:numPr>
          <w:numId w:val="1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Timberwest engaged Seaboard to book carriage of the cargoes to Van Hoorebeke and Altripan. It was expected that Seaboard would arrange carriage with a carrier other than Seaboard. The practice was that when Timberwest had product to be delivered to Europe he, as the Traffic Coordinator, would telephone Seaboard to request that they make the arrangements necessary to accomplish that transport.</w:t>
      </w:r>
    </w:p>
    <w:p>
      <w:pPr>
        <w:numPr>
          <w:numId w:val="1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Seaboard did not operate its own vessels to Europe and would book the carriage with another company. The procedure followed after engaging Seaboard to make the carriage arrangements was for Timberwest to arrange to move its product to the dock using independent truckers contracted by Timberwest and then Timberwest would subsequently arrange for loading on board the vessel using stevedores contracted by the carrier. The product would not be delivered to or handled by Seaboard and it was not expected to be.</w:t>
      </w:r>
    </w:p>
    <w:p>
      <w:pPr>
        <w:numPr>
          <w:numId w:val="1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Mr. Hergert was advised by a representative of Seaboard that the cargo would be carried by Gearbulk Shipping and he was subsequently informed of the name of the vessel which would carry the cargo and its time of arrival at Crofton where the cargo was to be loaded and exhibited to Hergert's affidavit were telefaxes which contained bills of lading instructions from Seaboard to Gearbulk Shipping in which the cargo manifest identified Timberwest as the shipper and Van Hoorebeke as the notify party of the cargo, in one case, and Altripan as the notify party of the cargo, in the second case.</w:t>
      </w:r>
    </w:p>
    <w:p>
      <w:pPr>
        <w:numPr>
          <w:numId w:val="1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end of the loading process Timberwest received a mate's receipt from Seaboard which acknowledged receipt from Timberwest of 1,725 packages of lumber, 920 of which were sold to Van Hoorebeke and 805 which were sold to N.V. Altripan S.A. both consignees from Antwerp.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contracts of sale and invoices issued by Timberwest in respect of the sale of cargo to Van Hoorebeke and Altripan were attached to Mr. Hergert's affidavit. In those invoices it is apparent that the packages of lumber are not uniform in price but run from a unit price of $550 at the bottom end to $1,060 at the top end. This could result in asymmetry between a portion of the cargo and its relative value. In other words, it is possible that a portion of the cargo representing 10% of its quantity would represent either more or less than 10% of its value depending on the unit value of the portion of the cargo in question.</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can be seen, each of the bills of lading contain clauses which purport to exempt the defendant, Gearbulk, from liability for damages to the plaintiffs arising out of the defendant's carriage of the plaintiffs' cargoes from Crofton to Antwerp. The effectiveness and scope of the exemption clauses is at the heart of these lawsuits and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issues said to be at large with respect to the question of liability in this case are as follows:</w:t>
      </w:r>
      <w:r>
        <w:rPr>
          <w:rFonts w:ascii="arial" w:eastAsia="arial" w:hAnsi="arial" w:cs="arial"/>
          <w:sz w:val="20"/>
          <w:lang w:val="en-US" w:eastAsia="en-US" w:bidi="ar-SA"/>
        </w:rPr>
        <w:cr/>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bill or bill(s) of lading apply to the transactions and govern the relationships of the parties?</w:t>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Assuming the exemption clause(s) in the applicable bill(s) of lading to be valid are they effective in excluding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carrier?</w:t>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patent ambiguity or uncertainty in or among the applicable exclusion clauses in the applicable bills of lading to render them ineffective?</w:t>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ambiguity/uncertainty in the description of the storage of the cargoes such that they attract the status of "goods" within the meaning of the Carriage of Goods by Water Act, 1993 and hence are subject to the Hague-Visby Rules incorporated by that statute, and not susceptible to the reach of an exclusion clause?</w:t>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if the cargoes are not "goods" and not subject to protection from exclusion clauses by the Hague-Visby rules and even if the applicable exclusion clause or clauses is/are effective does it/they cover the alleged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or was that act something that fell outside the scope of the contract among the parties?</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JURISDICTION OF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a threshold to embarking upon an analysis of the applicability, effectiveness and scope of the various exemption clauses it is necessary first to determine what jurisdiction's law is applicable. As noted above, each of the potentially applicable bills of lading has a choice of law or jurisdiction clause. The Gearbulk bill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disputes arising under the bill of lading to be decided in London according to English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Seaboard bills of lading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clauses 1 and 19 this bill of lading no matter where issued shall be construed and governed by English law as if the vessel sailed under the British flag.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Clause one in the Seaboard bills provided for the applicability of the Water Carriage of Goods Act, 1936 of the Dominion of Canada with respect to shipments from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not at all satisfied there is any material difference in the determination of the issues in this case which would ensue from the choice of applicable law. Counsel for the defendant who raised the issue in his pleadings conceded that there were no material differences in the governing laws in either jurisdiction. Counsel for the plaintiffs was less definitive in his submission, pointing out that the defendants' submission rested in part on an assertion that English law had softened its approach towards a strict construction of exclusion clauses. While counsel for the plaintiff disagreed with the defendants' submission on that point he submitted that Canadian authority has continued a strict construction approach to exclusion clauses, and depending on this court's view of the evolution of the English law, there may be a meaningful difference between the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submits Canadian conflict of law rules apply to decide the applicable law, and in so deciding the applicable law the contract should be construed contra proferentem. He cites Ontario Bus Industries Inc. v. The "Federal Calumet" </w:t>
      </w:r>
      <w:r>
        <w:rPr>
          <w:rFonts w:ascii="arial" w:eastAsia="arial" w:hAnsi="arial" w:cs="arial"/>
          <w:i/>
          <w:color w:val="000000"/>
          <w:sz w:val="20"/>
          <w:lang w:val="en-US" w:eastAsia="en-US" w:bidi="ar-SA"/>
        </w:rPr>
        <w:t>(1991), 47 F.T.R. 149</w:t>
      </w:r>
      <w:r>
        <w:rPr>
          <w:rFonts w:ascii="arial" w:eastAsia="arial" w:hAnsi="arial" w:cs="arial"/>
          <w:color w:val="000000"/>
          <w:sz w:val="20"/>
          <w:lang w:val="en-US" w:eastAsia="en-US" w:bidi="ar-SA"/>
        </w:rPr>
        <w:t xml:space="preserve"> (aff'd </w:t>
      </w:r>
      <w:hyperlink r:id="rId657" w:history="1">
        <w:r>
          <w:rPr>
            <w:rFonts w:ascii="arial" w:eastAsia="arial" w:hAnsi="arial" w:cs="arial"/>
            <w:i/>
            <w:color w:val="0077CC"/>
            <w:sz w:val="20"/>
            <w:u w:val="single"/>
            <w:shd w:val="clear" w:color="auto" w:fill="FFFFFF"/>
            <w:lang w:val="en-US" w:eastAsia="en-US" w:bidi="ar-SA"/>
          </w:rPr>
          <w:t>[1992] F.C.J. No. 1085</w:t>
        </w:r>
      </w:hyperlink>
      <w:r>
        <w:rPr>
          <w:rFonts w:ascii="arial" w:eastAsia="arial" w:hAnsi="arial" w:cs="arial"/>
          <w:color w:val="000000"/>
          <w:sz w:val="20"/>
          <w:lang w:val="en-US" w:eastAsia="en-US" w:bidi="ar-SA"/>
        </w:rPr>
        <w:t>) in which Strayer J. notes at p. 153: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this court has the right and the duty to apply Canadian Conflict of Law Rules as part of the lex fori to choose the law to govern their contract contained in the bill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for the plaintiff also cites Company D'Armement Maritime S.A. and Company Tunisian Navigation S.A. (1971) A.C. 574 (H.L.) per Lord Diplock at p. 603: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English law accords to the parties to a contract a wide liberty to choose both the proper law and the curial law which is to be applicable to it. If the parties exercise that choice as respect to either the proper law or the curial law or both the English courts will give effect to the choice unless it would be contrary to public policy to do so. But it is a liberty to choose - not a compulsion - and if the parties do not exercise it as respects to proper law applicable to their contract the court itself will determine what is the proper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stage therefore when any question arises between parties to the contract as to the proper law applicable to it is to determine whether the parties intended by their contract to exercise any choice at all and, if they did, to determine what was the system of law which they selected. In determining this the English court applies the ordinary rules of English law relating to the construction of contracts.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applying the rules, the court reaches the conclusion that the parties did not intend to exercise any choice of proper law, or is unable to identify what their choice was, it becomes necessary for the court to proceed to the second stage, of determining itself what is the proper law applicable. In doing so the court applies the English rule of the conflict of laws relating to the proper law of a contract. This is that the proper law is that system of law with which the transactions has its closest and most real connection: Bonython v. Commonwealth of Australia (1951), A.C. 201 219.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his submissions, counsel for the defendant although conceding that it is for this court to determine the law of the jurisdiction that applies in this case, submits that the putative proper law of the contract, which he submits to be English law, governs such issues as the formation of, and privity to the contract. He cites G-J Castel, Canadian Conflict of Laws, 4th Ed. (Butterworths, Toronto, 1997) at p. 609 where the learned author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whether there has been agreement between the parties should be referred to the proper law of the contract. This must be construed as the "putative proper law" that is what would the proper law be if the contract were validly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position of the defendant is that under the Gearbulk or the Seaboard bills of lading the putative proper law of the contract is English, and I should use that jurisdiction's law to determine which bill or bills of lading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seems to me where, as here, at issue is what the document is that evidences the agreement of the parties, the applicable law to determine that question is the "proper law" which in this case is the law asserted by each of the bills of lading to govern the relationship between the parties - English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distinction appears to be drawn in the authorities between situations where there is an issue between the parties as to the proper law applicable to a contract and a situation in which the existence or applicability of the contract itself is at issue. In the former case it appears that the court ought to apply the ordinary rules of its jurisdiction relating to the construction of contracts to determine the applicable law and in the latter case it appears that the proper law or putative proper law of the contract is what governs a determination of its applicability.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Having found that the putative proper law of the contract is English, it remains to apply the English law as expounded by expert witnesses retained by the plaintiffs and the defendants respectively to determine which bill or bills of lading apply to govern the relationships among the various parties to these lawsuits.</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APPLICABLE BILLS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has pleaded that the Gearbulk bill of lading is the document that evidences the agreement between the parties and that it is the conjunction of the exclusion clause on the back of the bill of lading together with the rider clause that conditions the ability of the defendant to rely on an exclusion of their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submission in support of the Gearbulk bill of lading as the governing document is that although on its face it appears to be a contract between Gearbulk and Seaboard rather than between Gearbulk and the plaintiffs, the fact that the bill of lading expressly recognises Seaboard's role as a "freight forwarder" and further states on its face that it constitutes a contract between the "merchant" and the carrier, gives it the character of a contract between the plaintiffs and Gearbulk when the term merchant is defined in clause C of the Gearbulk bill of lading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shipper, the receiver, the holder of this bill of lading and the owner of the cargo.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also relies on terms of the contract of affreightment entered into between Seaboard and Gearbulk and particularly points to clause 16 of that contract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Cargo hereunder shall be carried subject to carriers bill of lading as attached.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Shipper to issue its own bills of lading with carrier issuing to shipper master bills of lading covering entire shipment.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Carrier to be responsible per COA and carrier's bill of lading. The first to prevail if conflicts between the two occur. Shipper will initially settle cargo claims that are presented to them having right of recourse for same against carrier, subject to any variances between shippers and carriers bills of lading. However, as a precondition to the right of recourse against carrier for such claims shipper should give prompt notification to carrier of any proposed settlement and obtain carrier's concurrence.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Insurance settlements not being within shipper's control to be exempted from this condition but if presented to be handled by shipper in the first instance.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Shipper shall indemnify and hold carrier/owners harmless for any and all consequences, damages, claims, losses, expenses or costs of whatsoever nature which carrier/owner may incur due to any variance in shipper's bill of lading vis-a-vis carriers/owners bill of lading. In the event of a conflict between the terms of such bills of lading and this contract, the terms of this contract shall govern.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the submission of the plaintiffs that the Gearbulk bill of lading, given the provisions of clause 16 of the contract of affreightment, given the reference to merchant and the definition of merchant in the bill of lading, and given the characterisation of Seaboard as a "freight forwarder" all combine to give the Gearbulk bill of lading the character of the document evidencing the agreement between the plaintiffs and Gearbulk.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plaintiff relies on Encan Liquidation General Canada Inc. v. Transintra Canada, </w:t>
      </w:r>
      <w:hyperlink r:id="rId658" w:history="1">
        <w:r>
          <w:rPr>
            <w:rFonts w:ascii="arial" w:eastAsia="arial" w:hAnsi="arial" w:cs="arial"/>
            <w:i/>
            <w:color w:val="0077CC"/>
            <w:sz w:val="20"/>
            <w:u w:val="single"/>
            <w:shd w:val="clear" w:color="auto" w:fill="FFFFFF"/>
            <w:lang w:val="en-US" w:eastAsia="en-US" w:bidi="ar-SA"/>
          </w:rPr>
          <w:t>[2000] F.C.J. No. 1971</w:t>
        </w:r>
      </w:hyperlink>
      <w:r>
        <w:rPr>
          <w:rFonts w:ascii="arial" w:eastAsia="arial" w:hAnsi="arial" w:cs="arial"/>
          <w:color w:val="000000"/>
          <w:sz w:val="20"/>
          <w:lang w:val="en-US" w:eastAsia="en-US" w:bidi="ar-SA"/>
        </w:rPr>
        <w:t xml:space="preserve"> (FCTD) in support of 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submits that the Gearbulk bill of lading was an instrument that mediated the relationship between Gearbulk and Seaboard in the individual cases at bar but under the umbrella of the contract of affreightment. He points out that under the contract of affreightment Seaboard is described as the shipper and Gearbulk is defined as the carrier and that none of the plaintiffs are party to that contract. He also points out that paragraph 16 of the contract provides that Seaboard will issue its own bills of lading and Gearbulk will issue for the entire shipment. He points out that paragraph 16 obliges Seaboard to settle cargo claims that are presented to them and requires Seaboard to indemnify Gearbulk should loss occur by reason of "any variance in Seaboard's bill of lading vis-a-vis Gearbulk's bill of lading." The defendant points out that the Gearbulk bill of lading does not refer to the plaintiffs as shipper, consignee or notify party and in fact makes no reference to any of the plaintiffs on the bill of lading whatever.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also points out that Gearbulk did not provide their bill of lading to anyone other than Seaboard and Seaboard did not provide the Gearbulk Bill of Lading to any of the plaintiffs. The defendant also pointed out that Gearbulk had no direct dealings with the plaintiffs but that all communications and arrangements for the carriage of the cargo were made with Seaboard.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for the defendant submitted that the Seaboard bills of lading were the bills of lading used to complete the transaction between the plaintiff consignors and the plaintiff consignees and that none of the plaintiffs received nor transacted business using the Gearbulk bill of lading or indeed even saw the Gearbulk bill of lading until it was provided to them by their lawyer after the initiation of these lawsuits.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defendant relies on the Bills of Lading Act, </w:t>
      </w:r>
      <w:hyperlink r:id="rId655"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and its English equivalent, The Carriage of Goods by Sea Act 1992 and submits without the intercession of that legislation the foreign plaintiffs would not have privity with respect to the contract sued on. He submits what gives the foreign plaintiffs privity is the endorsement of the Seaboard bills by Timberwest and their use in the completion of the "cash for documents" transaction, and the provisions of the applicable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Counsel for the defendant submits the Seaboard bills of lading must be applicable to the transactions as without them the foreign plaintiffs would have no privity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submission is that the Bills of Lading Act and its English equivalent do not govern the question of what bill of lading applies in this case. He refers to Tetley, Marine Cargo Claims 3rd Ed. at p. 180-181 as authority for the proposition that in the absence of the legislation a shipper who did not suffer loss had the right to recover damages on behalf of the consignee. The plaintiff submits by analogy that in the present case the fact that the governing bill of lading was the Gearbulk bill which was not used to complete the transaction, did not disentitle the foreign plaintiffs from recovery at common law. He pointed to the statement of Pollock C.B. referring to the English Bills of Lading Act 1855, quoted in Tetley at p. 187: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statute creates a new liability, but it does not exonerate the person who had entered into an express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was the plaintiffs' submission that the above quotation supported the proposition that the law which pre-existed the legislation still applies to govern relationships that would fall outside the scope of the legislation. He submitted such would be the case with the Gearbulk bill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was a key component of the plaintiffs' submission that although none of the plaintiffs received the Gearbulk bill of lading or transacted any business on it or indeed had any knowledge of it, that Seaboard, as freight forwarder, was an agent of the plaintiffs and as such when the bill of lading was issued by Gearbulk to Seaboard, Seaboard's status as an agent for the plaintiffs completed the contractual nexus.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do not find the submissions of the plaintiffs persuasive in connection with the Gearbulk bill of lading. It seems to me that while Seaboard may well have been for some purposes an agent of the plaintiff Timberwest, it is equally valid that for some purposes they were an agent of the defendant Gearbulk. In my view, the Gearbulk bill of lading was designed to govern the relationship between Gearbulk and Seaboard under their contract of affreightment and with respect to the individual transactions involving Timberwest and Van Hoorebeke and Timberwest and Altripan. The fact that Seaboard did not forward the Gearbulk bill of lading to Timberwest is evidence, in my view, that the Gearbulk bill of lading was never intended by Seaboard or Gearbulk as a document evidencing any agreement involving Timberwest, Altripan or Van Hoorebeke.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Encan Liquidation General Canada Inc., supra, relied on by the plaintiffs, the issue was whether the bill of lading applied to Transinstra who "acting solely as agents of the plaintiff" made arrangements for the shipment of the cargo. The bill of lading referred to the "merchant" as being a party and defined merchant inter alia as "anyone acting on behalf of the 'shipper' or 'holder' of the goods." The court found, as Transintra was solely acting as the plaintiff's agent it was a "merchant who must be presumed to have accepted the bill of lading." The distinction in that case is simply that, unlike the case at bar, there was only one bill of lading, and the question was not whether it applied to the transaction before the court, but given that it did, who did it encompass by its terms. In the case at bar, the fundamental question is whether the Gearbulk bill of lading applies to the transactions before the court, or whether it evidences a separate arrangement between Seaboard and Gearbulk.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view, all the indications within the Gearbulk document that otherwise may be taken as suggestive of an intention to apply to Timberwest are subject to what I find to be a clear intention on the part of Gearbulk and Seaboard to limit the use of the Gearbulk bill of lading to regulate the relationship between Gearbulk and Seaboard.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follows therefore that I find the applicable bills of lading to be those issued by Seaboard on behalf of Gearbulk and provided to the plaintiff Timberwest. The Gearbulk bill of lading is however significant evidence of the reliability of the Seaboard documents with respect to the on deck stowage.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Having concluded the Seaboard bills apply to the cases at bar it is but a short step to a determination of the applicable jurisdiction's law, although as I have said I do not regard that issue as being consequential in the determination of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Seaboard bills the choice of law clause provides for construction and governance by English law subject to, inter alia, the clause paramount. The clause paramount incorporates the Water Carriage of Goods Act, 1936 of the Dominion of Canada (now the Carriage of Goods by Water Act, R.S.C. 1993, c. 21) with respect to shipments from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argument advanced by counsel for the plaintiff is that the clause paramount does not contain an exception from its scope for deck cargo (as does the Gearbulk bill of lading for example) it is at least ambiguous and in accordance with the contra proferentem rule should be construed as requiring the application of Canadian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for the defendant submits there is no ambiguity patent or otherwise between the choice of law clause and the clause paramount. He points out that the Carriage of Goods by Water Act, supra, incorporates the Hague-Visby rules which expressly exclude from their scope cargo which is "stated to be carried on deck and is so carried." He submits the choice of law clause and the clause paramount should be read together to give effect to the clear intention of the parties to make the Canadian legislation applicable to cargo falling within its scope but English law applicable to cargo falling without.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this point I prefer the submissions of the defendant. I note the clause paramount provides for incorporation of the Canadian legislation into the bill of lading and further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any term of this bill of lading be repugnant to said acts to any extent such terms shall be void to that extent but no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my view that section of the clause paramount fully answers the plaintiffs' submission. There is no inherent conflict in applying English law as provided in clause 22 of the bills of lading to cargo that is expressly excluded from the scope of the Canadian legislation. It could not be said the choice of law clause is repugnant to the Act insofar as it applies to cargo carried on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follows that the choice of law clause in the Seaboard bills of lading is effective and it is the English law to which I must turn to determine the effectiveness and scope of the exemption clause, unless I conclude the cargoes fall within the definition of goods provided in the Hague-Visby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Under the Hague-Visby rules, goods are defined as follows: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goods" include goods, wares, merchandise and articles of every kind whatsoever except live animals and cargo which by the contract of carriage is stated as being carried on deck and is so carried.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significance of the definition of goods is established by article 3, clause 8, which provides:</w:t>
      </w:r>
      <w:r>
        <w:rPr>
          <w:rFonts w:ascii="arial" w:eastAsia="arial" w:hAnsi="arial" w:cs="arial"/>
          <w:sz w:val="20"/>
          <w:lang w:val="en-US" w:eastAsia="en-US" w:bidi="ar-SA"/>
        </w:rPr>
        <w:cr/>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clause, covenant or agreement in a contract of carriage relieving the carrier or the ship from liability for loss or damage to or in connection with goods arising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fault or failure in the duties and obligations provided in this article or lessening such liability otherwise than as provided in these rules shall be null and void and of no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submits the Seaboard bills are ineffective in adequately identifying the two cargoes "as being carried on deck". He further submits it is not possible even in retrospect to establish, with precision, what was "so carried". That being so, in his submission the cargoes cannot be excluded from the Hague-Visby definition of goods because it is not possible to establish a correspondence between what is stated as being carried on deck and what was actually so carried.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 on the other hand, submits there is no ambiguity in the description of what is stated as being carried on deck, and there is no discordance between that and what was actually carried on deck. He submits it is clear that all the damage occurred to cargo that was actually carried on deck and that was less than the amount stated as being on deck. He submits therefore there is sufficient symmetry between the identification of the cargo being carried on deck and what was actually carried on deck that there is no justification for treating the damaged cargo as goods within the meaning of the Hague-Visby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his submissions the plaintiff argues it can be inferred from the significant difference in the proportions of the two cargoes affected by the soda ash that more of the Altripan cargo was under deck than was stated in its bill of lading, and hence less of Van Hoorebeke. Counsel for the defendant resists that inference by pointing out that there was, first of all, more of the Van Hoorebeke lumber in the first place and that the positioning of the packages of lumber on deck might very well determine the amount of damage to the respective cargoes just as much as the storage of some of the packages under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have concluded, based on the evidence of Sherry Davids and Yoshi Otsuji together with a review of the mate's receipt and the summary mate's receipt that the breakdown of the two cargoes into 86% on deck and 14% under deck proportions does not represent the facts. The percentages are clearly based on the percentage of the entire cargo that was placed under deck and the evidence of Yoshi Otsuji establishes that those figures do not represent an individual breakdown of the two cargoes.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Given that finding, it follows the individual Seaboard bills of lading, insofar as they represent the percentages of each cargo stowed on deck and under deck as 86% and 14% respectively, are simply not reliable. While I accept that overall 85% to 86% of the combined cargoes were stored on deck, that leaves a significant variation in the possible quantities of the individual cargoes which were actually carried on deck and the potential discrepancy between that amount and the amount stated to be so carried.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Basing a calculation purely on the documentation existing at the time of the issuance of the bills of lading, it is possible that anywhere from approximately 70% to 100% of the Altripan cargo was stored on deck and anywhere from approximately 74% to 100% of the Van Hoorebeke cargo was stored on deck, given the relative sizes of the two cargoes.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If the amount of packages damaged by the soda ash are factored into the calculation the variation in the quantities on deck would be adjusted to approximately 70% to 93% for the Altripan cargo and to approximately 78% to 100% of the Van Hoorebeke cargo. The adjustment is merited by the fact that only 193 packages of the Van Hoorebeke consignment were unaffected by the soda ash and Otsuji estimated 261 packages were stored under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Given that only on deck cargo was affected by the soda ash, it follows that the Van Hoorbeke cargo could not have comprised the entire under deck stowage and therefore some percentage of the Altripan cargo had to be under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variation in the per unit price of the various packages adds to the potential asymmetry between what is "stated as being carried on deck" and what "is so carried".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is clear that even in retrospect, excepting the damaged cargo, it is not possible to identify the specific packages of the cargo carried on deck and under deck. Prospectively, that is at the time of the issuance of the bills of lading, because none of the documentation identified any specific packages according to whether they were on deck or under deck, it would be impossible to correlate a potential value to the cargoes on deck even if it were possible to identify the respective quantities.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his examination for discovery, James Hergert, the representative of Timberwest testified that he was aware under the contracts of sale with Altripan and Van Hoorebeke that it was contemplated that the lumber would either be carried on deck or under deck and he was aware that there was a different liability scheme or different legal implications depending on whether it was under deck or on deck.</w:t>
      </w:r>
      <w:r>
        <w:rPr>
          <w:rFonts w:ascii="arial" w:eastAsia="arial" w:hAnsi="arial" w:cs="arial"/>
          <w:sz w:val="20"/>
          <w:lang w:val="en-US" w:eastAsia="en-US" w:bidi="ar-SA"/>
        </w:rPr>
        <w:cr/>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clear, the parties have freedom to contract out of any liability for damage to, or arising from carriage of, cargo stowed on deck while being carried by sea. The freedom to contract out of liability requires clear and unambiguous terms to satisfy the courts of the intention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rationale for the need of clarity in terms seeking to limit or exclude liability was explained by Lowry J. in Meeker Log &amp; Timber Ltd. v. Sea Imp III </w:t>
      </w:r>
      <w:hyperlink r:id="rId659" w:history="1">
        <w:r>
          <w:rPr>
            <w:rFonts w:ascii="arial" w:eastAsia="arial" w:hAnsi="arial" w:cs="arial"/>
            <w:i/>
            <w:color w:val="0077CC"/>
            <w:sz w:val="20"/>
            <w:u w:val="single"/>
            <w:shd w:val="clear" w:color="auto" w:fill="FFFFFF"/>
            <w:lang w:val="en-US" w:eastAsia="en-US" w:bidi="ar-SA"/>
          </w:rPr>
          <w:t>(1994), 1 B.C.L.R. (3d) 320</w:t>
        </w:r>
      </w:hyperlink>
      <w:r>
        <w:rPr>
          <w:rFonts w:ascii="arial" w:eastAsia="arial" w:hAnsi="arial" w:cs="arial"/>
          <w:color w:val="000000"/>
          <w:sz w:val="20"/>
          <w:lang w:val="en-US" w:eastAsia="en-US" w:bidi="ar-SA"/>
        </w:rPr>
        <w:t xml:space="preserve"> (B.C.S.C.) at 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of course, nothing uncommon about tug owners contracting on terms whereby the risks of a towage are borne by the owners of a tow, nor is it anything but usual for the carriers of cargo to carry on terms which place at least some of the risk of damage on the owners of the cargo. The allocation of risk is simply one of the commercial considerations that determines the price to be paid for the service rendered. It is essential that it be clear. It governs the extent to which each party must be concerned with the need to insure against its exposure to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 significant aspect of Lowry J.'s explanation lies in its implication that the clarity of meaning is prospective; it does not coalesce in light of subsequent circumstances. The clause must be sufficiently clear to alert the parties, in advance of the performance of the contract, to the risks they bear and the responsibilities they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cases at bar, the notion of prospective clarity is an important one as it conditions whether the scope of the exemption clauses can be said to be ambiguous, and it influences an analysis of the applicability of the Carriage of Goods by Water Act,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my view these two issues are intertwined and subject to essentially the same analysis. If the circumstances raise doubt about the scope of the exclusion clauses because of the uncertainty of what was stated to be on deck and what was actually so carried, that uncertainty equally could affect the question of whether the cargoes fell within the definition of "goods" in article 1(c) of the Hague-Visby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Elderslie Steamship Company Limited v. Borthwick, [1905], A.C. 93 (H.L.) the court was considering a bill of lading with two exemption clauses. In concurring with the decision to dismiss an appeal from a finding of liability, Lord MacNaghten said at p. 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my part I am unable to reconcile the two clauses. In such a case as this an ambiguous document is no protection. It is a wholesome rule that a shipowner who wishes to escape the liability which might attach to him for sending an unseaworthy vessel to sea must say so in plain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Nelson Line (Liverpool) Limited v. James Nelson &amp; Sons, Limited [1908] A.C. 16 (H.L.) in similar circumstances Lord Loreburn after relying on the words of Lord MacNaghten in Elderslie Steamship, supra, added as follows at p.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afraid it is useless to draw the attention of commercial men to the risks they run by using confused and perplexing language in their business documents. Courts of law have no duty except to construe them when a question arise; but it is often very difficult. And sometimes what the parties really intended fails to be carried out because ill-considered expressions find their way into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decisions of the House of Lords in Elderslie and Nelson Line reflect the traditional view that to be effective, exclusion clauses must be plain in their meaning. Counsel for the defendant, through the affidavit of Anthony Rooth, an acknowledged expert in English Maritime law, advanced the argument that in England the authorities had softened the strict construction approach towards exclusion clauses given subsequent legislated protections. While that may be so, I do not take the basic proposition of the Elderslie Steamships or Nelson Line decisions to be controversial; that the agreement of the parties as to whether and what liability is excluded must be clearly discernible from the document evidencing their agreement. See "The Rossetti" [1972] 2 Lloyd's L.R. 116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this case although the plaintiff argues the exclusion clauses in the Seaboard bills are intrinsically ambiguous, he also focuses on the confusion as to what they purport to cover. In that latter vein he relies on Svenska Traktor Aktiebolaget v. Maritime Agencies (South Hampton) Ld. (1953), 2 Q.B. 295; St.Simeon Navigation Inc. v. A. Couturier &amp; Fils Ltee, </w:t>
      </w:r>
      <w:hyperlink r:id="rId660" w:history="1">
        <w:r>
          <w:rPr>
            <w:rFonts w:ascii="arial" w:eastAsia="arial" w:hAnsi="arial" w:cs="arial"/>
            <w:i/>
            <w:color w:val="0077CC"/>
            <w:sz w:val="20"/>
            <w:u w:val="single"/>
            <w:shd w:val="clear" w:color="auto" w:fill="FFFFFF"/>
            <w:lang w:val="en-US" w:eastAsia="en-US" w:bidi="ar-SA"/>
          </w:rPr>
          <w:t>[1974] S.C.R. 1176</w:t>
        </w:r>
      </w:hyperlink>
      <w:r>
        <w:rPr>
          <w:rFonts w:ascii="arial" w:eastAsia="arial" w:hAnsi="arial" w:cs="arial"/>
          <w:color w:val="000000"/>
          <w:sz w:val="20"/>
          <w:lang w:val="en-US" w:eastAsia="en-US" w:bidi="ar-SA"/>
        </w:rPr>
        <w:t xml:space="preserve">; and Colonial Yacht Harbour Ltd. v. The "Octavia" et al., </w:t>
      </w:r>
      <w:hyperlink r:id="rId661" w:history="1">
        <w:r>
          <w:rPr>
            <w:rFonts w:ascii="arial" w:eastAsia="arial" w:hAnsi="arial" w:cs="arial"/>
            <w:i/>
            <w:color w:val="0077CC"/>
            <w:sz w:val="20"/>
            <w:u w:val="single"/>
            <w:shd w:val="clear" w:color="auto" w:fill="FFFFFF"/>
            <w:lang w:val="en-US" w:eastAsia="en-US" w:bidi="ar-SA"/>
          </w:rPr>
          <w:t>[1980] 1 F.C. 331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both Svenska Traktor and St-Simeon, the carriers attempted to rely on exclusion clauses that provided them with liberty to carry the shipper's goods on deck. In St.-Simeon the cargo was lumber, 60% of which was carried on deck, in Svenska Traktor, the cargo was 50 tractors, 16 of which were carried on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Colonial Yacht, the carrier relied on a clause stating that the cargo in question, in this case a yacht, was "shipped on deck". Although the yacht was partly shipped on deck, it completed the voyage under deck. In each of the decisions cited above the failure to either clearly identify what cargo was stated to be carried on deck, or whether it was in fact carried on deck proved fatal to the carrier's contention that the cargoes were not "goods" within the meaning of the Hague-Visby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the case at bar, the plaintiff submits by way of analogy, the failure of the Seaboard bills to accurately identify the portions of the cargo stated to be carried on deck or actually so carried renders the exemption clauses inapplicable either because the cargoes are "goods" within article 1(c) of the Hague-Visby rules, or because the uncertain scope of the exemption clause renders it ineffective in accordance with the line of authorities stemming from Elderslie Steamships and Nelson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Counsel for the defendant submits the exclusion clause is valid; there is no evidence that the 86%/14% on deck/under deck stowage is inaccurate; that even if it is inaccurate, given the damage is only to the on deck lumber which the exclusion clauses only apply to, and which the Hague-Visby rules expressly exclude, there is no present ambiguity to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Counsel for the defendant submits the statement on the face of the Seaboard bills "all cargo carried on deck at cargo owner's sole risk as stated on the reverse in clause 6 of the conditions, can be read harmoniously with the note "stowage 86% on deck, 14% under deck" and with clause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is the defendants' submission that the phrase "all cargo on deck" is not an assertion that the cargo covered by the bill of lading is all on deck, rather that it is giving notice that the cargo that is on deck is subject to an exclusion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submits the court should construe the bills so as to give effect to the parties' intention and not resolve the issues on the basis of abstractions or technical considerations which ignore the practical realities of commerce. The defendant submits there was sufficient notice given by the Seaboard bill that 86% of the cargoes were on deck and hence subject to the consignees risk and that it was only the on deck cargo that was in fact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 submitted in the alternative, that if the court finds inaccuracy in the breakdown of on deck/under deck cargo, the court should attempt to determine the actual breakdown of stowage and any ensuing liability should be limited to the extent of any variation.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defendant cites Mitsui &amp; Co. (Canada) Ltd. v. Y.O.W. Shipping Co. S.A. et al., </w:t>
      </w:r>
      <w:hyperlink r:id="rId662" w:history="1">
        <w:r>
          <w:rPr>
            <w:rFonts w:ascii="arial" w:eastAsia="arial" w:hAnsi="arial" w:cs="arial"/>
            <w:i/>
            <w:color w:val="0077CC"/>
            <w:sz w:val="20"/>
            <w:u w:val="single"/>
            <w:shd w:val="clear" w:color="auto" w:fill="FFFFFF"/>
            <w:lang w:val="en-US" w:eastAsia="en-US" w:bidi="ar-SA"/>
          </w:rPr>
          <w:t>[1991] B.C.J. No. 3308</w:t>
        </w:r>
      </w:hyperlink>
      <w:r>
        <w:rPr>
          <w:rFonts w:ascii="arial" w:eastAsia="arial" w:hAnsi="arial" w:cs="arial"/>
          <w:color w:val="000000"/>
          <w:sz w:val="20"/>
          <w:lang w:val="en-US" w:eastAsia="en-US" w:bidi="ar-SA"/>
        </w:rPr>
        <w:t>, (4 November 1991), Vancouver C882939 (B.C.S.C.) in support of his latter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my view judgment must be given to the plaintiff on the issue of liability. As much as the Seaboard bills of lading may represent an actual practice in which the stowage of cargo is subject to available space rather than prior agreement, that practice ultimately must recognise the need for some precision and accuracy in identifying the stowage arrangements because of the legal implications and obligations they create.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is clear that both at common law and by statute there is a need to establish certainty in contracts of carriage with respect to the conditions of carriage so as to clearly identify each party's potential risk. The certainty must exist at the time the legal implications are created, when the bills of lading are issued, not subsequently by reference to later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the case at bar at the time of the issuance of the two Seaboard bills of lading there could not be said to be certainty with regard to either cargo as to the quantity or value of the portions shipped on deck and hence subject to the cargo owner's sole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my opinion the indeterminacy of the stowage arrangements as described by the Seaboard bills is analogous to the liberty to stow on deck clauses. In Svenska Traktor, supra, 16 of 20 tractors were stowed on deck pursuant to a clause permitting on deck stowage at discretion of the shipper. In the case at bar while there was no explicit clause giving such discretion to the carrier, it was clear from the evidence of Mr. Hergert it was anticipated the cargoes would be carried either on deck or under deck pursuant to the carrier's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the Svenska Traktor case and the St.-Simeon case no attempt was made, in the bills of lading, to identify the quantity or value of cargo carried on deck, however in the present case, although an attempt was made, it was unreliable. In my view the principle reflected in those cases applies to the cases at bar. In Svenska Pilcher J. stated at p. 300: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policy of the Carriage of Goods by Sea Act, 1924, was to regulate the relationship between the shipowner and the owner of goods along well-known lines. In excluding from the definition of "goods," the carriage of which was subject to the Act, cargo carried on deck and stated to be so carried, the intention of the Act was, in my view, to leave the shipowner free to carry deck cargo on his own conditions, and unaffected by the obligations imposed on him by the Act in any case in which he would, apart from the Act, have been entitled to carry such cargo on deck, provided that the cargo in question was in fact carried on deck and that the bill of lading covering it contained on its face a statement that the particular cargo was being so carried. Such a statement on the face of the bill of lading would serve as a notification and a warning to consignees and indorsees of the bill of lading to whom the property and the goods passed under the terms of section 1 of the Bill of Lading Act, 1855, that the goods which they were to take were being shipped as deck cargo. They would thus have </w:t>
      </w:r>
      <w:r>
        <w:rPr>
          <w:rFonts w:ascii="arial" w:eastAsia="arial" w:hAnsi="arial" w:cs="arial"/>
          <w:color w:val="000000"/>
          <w:sz w:val="20"/>
          <w:u w:val="single"/>
          <w:lang w:val="en-US" w:eastAsia="en-US" w:bidi="ar-SA"/>
        </w:rPr>
        <w:t>full knowledge</w:t>
      </w:r>
      <w:r>
        <w:rPr>
          <w:rFonts w:ascii="arial" w:eastAsia="arial" w:hAnsi="arial" w:cs="arial"/>
          <w:color w:val="000000"/>
          <w:sz w:val="20"/>
          <w:lang w:val="en-US" w:eastAsia="en-US" w:bidi="ar-SA"/>
        </w:rPr>
        <w:t xml:space="preserve"> of the facts when accepting the documents and would know that the carriage of goods on deck on deck was not subject to the Act. If, on the other hand, there was no specific agreement between the parties as to the carriage on deck, and no statement on the face of the bill of lading that goods carried on deck had in fact been so carried, the consignees or indorsees of the bill of lading would be entitled to assume that the goods were goods the carriage of which could only be performed by the shipowner subject to the obligations imposed on him by the Act. A mere general liberty to carry goods on deck is not in my view a statement in the contract of carriage that the goods are in fact being carried on deck. To hold otherwise would in my view do violence to the ordinary meaning of the words of Article I(c).</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St.-Simeon Pigeon J., relying on Pilcher J.'s judgment in Svenska Traktor stated at p. 1179 in relation to paragraph (c) of art. 1 of the Hague-Visby rules: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provision clearly indicates that for articles in a cargo not to be "goods" within the meaning of the Rules, it must be stated in the contract of carriage that they are carried on deck. It is not sufficient that they are in fact so carried. It is therefore clear that a provision that goods stowed on deck shall be deemed to be stated as so stowed, without any specific statement to this effect, is in violation of the 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underlying the legislation in question, and the purpose of the Rules annexed thereto, is to prevent shipowners from reducing their liability below the standard contemplated therein. It must be said, therefore, that without the required statement an exclusion of liability for cargo stowed on deck is void, as held by Pilcher J. in Svenska Traktor v. Maritime Agencies, and Jackett C.J. in Grace Plastics Ltd. v. The "Bernard Wesch II", </w:t>
      </w:r>
      <w:hyperlink r:id="rId663" w:history="1">
        <w:r>
          <w:rPr>
            <w:rFonts w:ascii="arial" w:eastAsia="arial" w:hAnsi="arial" w:cs="arial"/>
            <w:i/>
            <w:color w:val="0077CC"/>
            <w:sz w:val="20"/>
            <w:u w:val="single"/>
            <w:shd w:val="clear" w:color="auto" w:fill="FFFFFF"/>
            <w:lang w:val="en-US" w:eastAsia="en-US" w:bidi="ar-SA"/>
          </w:rPr>
          <w:t>[1971] F.C. 273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While in the present case the range of uncertainty is not as great as in the liberty to carry on deck cases, where as much as all or as little as none of the cargo might be carried on deck, the principle nonetheless applies. If the effectiveness of exclusion clauses or the applicability of the rules are to have some certainty in a commercial context, it cannot be left to the courts on a case by case basis to calibrate the potential risks created by uncertain terms in an agreement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the cases at bar, there is no evidence of the potential or real impact of the failure to properly identify or quantify the risk to be borne by the plaintiffs, on the plaintiffs. One can easily conceive of a situation, however, where even a relatively small variation between the risk understood and the risk undertaken could have significant consequences to a shipper or consignee. Thus in my view, it is no answer, on a principled analysis, to point to the degree of uncertainty created by the documents to attempt to sustain the applicability of the exclusion clause, or preclude the operation of the Hague-Visby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my opinion there is no need to demonstrate an absolute uncertainty with regard to the conditions of stowage; it is sufficient if its description creates uncertainty such that the degree of potential risk to the owner and the legal implications to all the parties are not readily ascertainable through a review of the contract of carriage. In my view that is the situation in the cases at bar and I hold the exclusion clause not to be valid or enforceable, by virtue of the Carriage of Goods by Water Act, and by virtue of the common law requiring exclusion clauses to be unambiguous in meaning and in 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have considered the defendants' submissions based on Preston J.'s judgment in Mitsui &amp; Co., supra, that it is incumbent on the court to attempt to determine the actual breakdown of on deck/under deck stowage and limit its liability to any variation between that finding and the amount stated in the bills of lading. I do not accept the defendants' submissions on this point. The Mitsui case involved apportioning responsibility for damages between the plaintiff and defendant according to their respective responsibility. In the circumstances, despite the difficulty, Preston J. endeavoured to estimate the damages because to fail to in his opinion "would visit injustice on the parties". In this case there is no suggestion the plaintiffs are responsible for any of the damages caused. At issue is the applicability of an exemption clause and the business efficacy of requiring certainty in its meaning and scope. It is not a situation in which any manifest injustice flows from a failure to determine the stowage breakdown between the two cargoes.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the case at bar, I find the damages to the plaintiffs' lumber to be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 the exemption clauses ineffective in excluding liability for those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therefore follows that I grant judgment to the plaintiff on the issue of liability and order costs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CULLEN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6"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Tsai v. Li, [2019] B.C.J. No. 1503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E.M. Myers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23-26, 29 and 30, May 1-3, 6-10, 13-16,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S158797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1503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1317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Wen Hsien Tsai, Plaintiff, and Zhixiang Li, Sincere Real Estate Services Ltd., Yi Zhang a.k.a Leo Zhang, 1035566 B.C. Ltd., Arsalan Mahboub and Bahaiedin Naemi,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7"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5" w:name="Keywords_39"/>
      <w:bookmarkEnd w:id="275"/>
      <w:r>
        <w:rPr>
          <w:rFonts w:ascii="arial" w:eastAsia="arial" w:hAnsi="arial" w:cs="arial"/>
          <w:b/>
          <w:color w:val="000000"/>
          <w:sz w:val="20"/>
          <w:lang w:val="en-US" w:eastAsia="en-US" w:bidi="ar-SA"/>
        </w:rPr>
        <w:t xml:space="preserve">Real Property Law — Sale of land — Remedies — Damages — Action by vendor for relief for conspiracy, breach of fiduciary duty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Vendor agreed to sell property to purchaser for $5.1 million — Transaction did not close because purchaser could not sell existing home — Vendor claimed purchaser and real estate agent conspired to get reduced price, and that agent breached fiduciary duty and was negligent — There was no conspiracy as sale price was at market value — Agent had no influence over vendor and did not use his position for personal profit — Better price could not have been obtained.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Conspiracy — Evidence — Co-conspirators — Action by vendor for relief for conspiracy, breach of fiduciary duty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Vendor agreed to sell property to purchaser for $5.1 million — Transaction did not close because purchaser could not sell existing home — Purchaser assigned agreement but vendor refused to close — Vendor claimed purchaser and real estate agent conspired to get reduced price, and that agent breached fiduciary duty and was negligent — There was no conspiracy as sale price was at market value — Vendor failed to establish that assignment was premeditated.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Interference with economic relations — Elements of tort — Intention to cause loss — Counterclaim by purchaser for loss of profit dismissed — Vendor agreed to sell property to purchaser for $5.1 million — Transaction did not close because purchaser could not sell existing home — Purchaser assigned agreement but vendor refused to close — Vendor claimed purchaser and real estate agent conspired to get reduced price, and that agent breached fiduciary duty and was negligent — Purchaser sought profit lost by not being able to assign agreement — Vendor did not intend to cause economic harm to purchaser and did not have ulterior purpose that resulted in harm to purchaser.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6" w:name="Case Summary_31"/>
            <w:bookmarkEnd w:id="2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Wen Tsai for relief for conspiracy,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Counterclaim by Zhixiang Li for loss of profit. Tsai was working with a real estate agent, Yi Zhang, in a limited capacity. Zhang became a limited dual agent when Li agreed to buy Tsai's property for $5.1 million. When Li was unable to sell his existing home, he assigned the agreement to 1035566 B.C. Ltd., which, in turn, assigned the contract to another party. Tsai refused to complete the transaction because he felt "stiffed" by Li and Zhang. Tsai commenced an action against Li and Zhang for conspiracy. He claimed that Li and Zhang conspired to obtain the property for a reduced value. Tsai also claimed that Zhang breached his fiduciary duty and was negligent. Li counterclaimed for the profit he lost by not being able to assign the contract. His claim was based on the tort of unlawful means rather than breach of contract because the contractual right of action was assigned.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7" w:name="Holdings of Court_26"/>
            <w:bookmarkEnd w:id="277"/>
            <w:r>
              <w:rPr>
                <w:rFonts w:ascii="arial" w:eastAsia="arial" w:hAnsi="arial" w:cs="arial"/>
                <w:color w:val="000000"/>
                <w:sz w:val="20"/>
                <w:lang w:val="en-US" w:eastAsia="en-US" w:bidi="ar-SA"/>
              </w:rPr>
              <w:t>HELD: Action and counterclaim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Tsai was not reliable or credible. He portrayed himself as na've and inexperienced with real estate transactions when, in fact, he had prior experience dealing with properties. There could not have been a conspiracy to acquire the property at a reduced price since the expert evidence indicated that the sale price was at market value. Tsai failed to establish that the initial assignment was premeditated, as Li had been planning on living in the property and had no prior plan with Zhang. The initial assignment was necessitated by Li being unable to sell his existing home. Zhang did have obligations to Tsai. He recommended that Tsai put the property on the marked through the multiple listing service. Tsai declined. If Zhang had a mandate with Tsai, it was to find a non-unconditional $5 million offer. Tsai had significant property experience and had not made himself subject to the influence of Zhang. Zhang was not in a position where he could exercise any substantial influence over Tsai. He did not use his position for his personal benefit other than to try to find a buyer and earn commission. There was nothing to indicate that a better price could have been obtained when the agreement was reached with Li. Tsai did not intend to cause economic harm to Li as end itself, nor did he have an ulterior purpose that resulted in harm to Li. Tsai had simply, albeit without good legal rationale, not wanted to complete transaction because he thought he had been stiffed by Zhang and Li. That was not a targeting of Li.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8" w:name="Counsel_39"/>
      <w:bookmarkEnd w:id="2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8"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George Douvelos, Sunita Syal.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Zhixiang Li: Stephen A. Mellows.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Sincere Real Estate and Leo Zhang: Kelly A. Murray, Romany K. Benham-Parker.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9" w:name="Judgment_38"/>
      <w:bookmarkEnd w:id="279"/>
      <w:r>
        <w:pict>
          <v:line id="_x0000_s1219" style="position:absolute;z-index:25180160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Corrections were released by the Court August 20, 2019; the changes have been made to the text and the corrigenda are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Paragraph</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 INTRODUCTION</w:t>
      </w:r>
      <w:r>
        <w:rPr>
          <w:rFonts w:ascii="arial" w:eastAsia="arial" w:hAnsi="arial" w:cs="arial"/>
          <w:color w:val="000000"/>
          <w:sz w:val="20"/>
          <w:lang w:val="en-US" w:eastAsia="en-US" w:bidi="ar-SA"/>
        </w:rPr>
        <w:t xml:space="preserve"> 1</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II. FACTUAL OVERVIEW</w:t>
      </w:r>
      <w:r>
        <w:rPr>
          <w:rFonts w:ascii="arial" w:eastAsia="arial" w:hAnsi="arial" w:cs="arial"/>
          <w:color w:val="000000"/>
          <w:sz w:val="20"/>
          <w:lang w:val="en-US" w:eastAsia="en-US" w:bidi="ar-SA"/>
        </w:rPr>
        <w:t xml:space="preserve"> 8</w:t>
      </w:r>
      <w:r>
        <w:rPr>
          <w:rFonts w:ascii="arial" w:eastAsia="arial" w:hAnsi="arial" w:cs="arial"/>
          <w:sz w:val="20"/>
          <w:lang w:val="en-US" w:eastAsia="en-US" w:bidi="ar-SA"/>
        </w:rPr>
        <w:cr/>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A. May 15 - Tsai's first contact with Zhang 12</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B. May 15 - Zhang contacts Li 22</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C. Saturday, May 16 25</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D. Saturday, May 16, 2015 - the signing of contract and other documents 32</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E. Saturday, May 16, 2015 - visit to the home after the signing 41</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F. May 20 - Li pays the balance of the deposit 45</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G. The Lis effort to sell their Palmerston property 46</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H. The first assignment 50</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I. The second assignment 68</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J. September 70</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K. October and November: refusal to complete 72</w:t>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L. Property appraisal 74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M. No expert report on standard of care or duties of a real estate agent 77</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III. ANALYSIS</w:t>
      </w:r>
      <w:r>
        <w:rPr>
          <w:rFonts w:ascii="arial" w:eastAsia="arial" w:hAnsi="arial" w:cs="arial"/>
          <w:color w:val="000000"/>
          <w:sz w:val="20"/>
          <w:lang w:val="en-US" w:eastAsia="en-US" w:bidi="ar-SA"/>
        </w:rPr>
        <w:t xml:space="preserve"> 87</w:t>
      </w:r>
      <w:r>
        <w:rPr>
          <w:rFonts w:ascii="arial" w:eastAsia="arial" w:hAnsi="arial" w:cs="arial"/>
          <w:sz w:val="20"/>
          <w:lang w:val="en-US" w:eastAsia="en-US" w:bidi="ar-SA"/>
        </w:rPr>
        <w:cr/>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A. Credibility 87</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B. Conspiracy 98</w:t>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C. Fiduciary duty</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111</w:t>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 </w:t>
      </w:r>
      <w:r>
        <w:rPr>
          <w:rFonts w:ascii="arial" w:eastAsia="arial" w:hAnsi="arial" w:cs="arial"/>
          <w:b/>
          <w:i/>
          <w:color w:val="000000"/>
          <w:sz w:val="20"/>
          <w:u w:val="single"/>
          <w:lang w:val="en-US" w:eastAsia="en-US" w:bidi="ar-SA"/>
        </w:rPr>
        <w:t>Negligence</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129</w:t>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E. Misrepresentation</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134</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IV. CONCLUSION ON TSAI'S ACTION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135</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V. COUNTERCLAIM</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138</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0" w:name="E.M. MYERS J."/>
            <w:bookmarkEnd w:id="280"/>
            <w:r>
              <w:rPr>
                <w:rFonts w:ascii="arial" w:eastAsia="arial" w:hAnsi="arial" w:cs="arial"/>
                <w:b/>
                <w:color w:val="000000"/>
                <w:sz w:val="30"/>
                <w:lang w:val="en-US" w:eastAsia="en-US" w:bidi="ar-SA"/>
              </w:rPr>
              <w:t>E.M. MYERS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lawsuit concerns Mr. Tsai's refusal to complete on a contract of purchase and sale for his home in West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arises in this way. In May 2015, Tsai agreed to sell his home at 1028 Eyremount Drive to the defendant, Mr. Li, for $5.1 million. Simultaneous with signing the contract of purchase of sale, Tsai and Li signed limited dual agency agreements with the defendants Mr. Zhang and his company, Sincere Real Estate. In July 2015, Li assigned the contract of purchase and sale to 1035566 B.C. Ltd., which, in August 2015, assigned the contract to another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Tsai refused to complete the contract because he felt he had been "stiffed" by Li and Zhang. He brings this action seeking rescission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Tsai originally alleged that Li and Zhang conspired to induce him to sell his home at a </w:t>
      </w:r>
      <w:r>
        <w:rPr>
          <w:rFonts w:ascii="arial" w:eastAsia="arial" w:hAnsi="arial" w:cs="arial"/>
          <w:color w:val="000000"/>
          <w:sz w:val="20"/>
          <w:u w:val="single"/>
          <w:lang w:val="en-US" w:eastAsia="en-US" w:bidi="ar-SA"/>
        </w:rPr>
        <w:t>below market</w:t>
      </w:r>
      <w:r>
        <w:rPr>
          <w:rFonts w:ascii="arial" w:eastAsia="arial" w:hAnsi="arial" w:cs="arial"/>
          <w:color w:val="000000"/>
          <w:sz w:val="20"/>
          <w:lang w:val="en-US" w:eastAsia="en-US" w:bidi="ar-SA"/>
        </w:rPr>
        <w:t xml:space="preserve"> price so they could assign the property at a profit. That allegation was amended to plead a conspiracy to obtain the home at a </w:t>
      </w:r>
      <w:r>
        <w:rPr>
          <w:rFonts w:ascii="arial" w:eastAsia="arial" w:hAnsi="arial" w:cs="arial"/>
          <w:color w:val="000000"/>
          <w:sz w:val="20"/>
          <w:u w:val="single"/>
          <w:lang w:val="en-US" w:eastAsia="en-US" w:bidi="ar-SA"/>
        </w:rPr>
        <w:t>reduced</w:t>
      </w:r>
      <w:r>
        <w:rPr>
          <w:rFonts w:ascii="arial" w:eastAsia="arial" w:hAnsi="arial" w:cs="arial"/>
          <w:color w:val="000000"/>
          <w:sz w:val="20"/>
          <w:lang w:val="en-US" w:eastAsia="en-US" w:bidi="ar-SA"/>
        </w:rPr>
        <w:t xml:space="preserve"> price. Presumably this reflects the fact--which is central to the outcome of this case--that the home was sold by Tsai to Li at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Tsai also claims that Zhang breached his fiduciary duty and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Li counterclaims for the profit he lost by not being able to assign the contract. His claim is based on the tort of unlawful means rather than breach of contract because the contractual right of action was assigned.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claims against the numbered company and its directors, Mr. Mahboub and Mr. Naemi, have been disposed of by a consent dismissal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FACTUAL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Tsai moved to Canada from Taiwan in 1998. He testified in Mandarin.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Tsai purchased the Eyremount home 2011. Prior to that he had bought and sold--whether alone or with or for his daughters--several other homes in the Vancouver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Zhang has been a realtor since 2006. In Vancouver, he was originally with Sutton West Coast Realty. In 2014 he started the defendant Sincere Real Estate Services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Li came to Canada from China in 2012. In China, he was a manager of human resources for a police department in Dalian. In Canada, he operates a number of businesses.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May 15 - Tsai's first contact with Zhang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May 15, 2015 Tsai noted a man (Roderick Xie) going to the home next door to collect the mail. The home had been empty for some time and Tsai said he wanted to know if the man was the owner so he approached him. Xie said that he was the caretaker. Tsai remarked that the home had been empty for some time and Xie said the owner, who lived in China, thought it was a good investment. Tsai then asked Xie if he thought his home was worth $5 million; Xie said he was not a licensed real estate agent and would call his boss, Zhang, who he put on the line with Tsai.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conversation took place in Mandarin. Tsai said that on the call, he answered some questions posed to him by Zhang. That was all he could remember of the call. He said that after the call he had no intention to meet Zhang. However, he gave a plan of the property to Xie to bring to Zhang.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Zhang said that when he was put on the phone, Tsai asked him how much he thought the property was worth. Zhang suggested a meeting, but Tsai refused and said he was not interested in selling the property unless someone brought him a subject-free offer for $5 million. Tsai told him that a neighbour was interested in buying the house for $5 million but he was in China. Tsai told him if he managed to bring an offer, it would be a good opportunity for Zhang because he could double-end the commission; that is, make the seller's and buyer's agent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Zhang said he told Tsai in this call or a subsequent call the same day that he had a sold two properties on the same street and what they had sold for. Zhang said he suggested to Tsai that he list the property on MLS for greater exposure but that Tsai refused to sign any listing agreement. He said that Tsai offered to send the property plan to him with Xie. Tsai acknowledged that in one call or another he had refused to sign to sign a listing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Xie overheard Tsai's end of the conversation. His evidence accords with Zhang's.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Xie took a photo of the property plan on his phone and texted it to Zhang.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Zhang said that he thought the $5 million price was on the high end but achievable. He did some computer searches of sales in the British properties. He texted a builder, Mr. Gambari, to ask him if he was interested in the property. Gambari said that he would drive by the property later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Zhang made four calls to past clients whom he thought had the capability to buy a $5 million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3:45 p.m., Zhang called Tsai to tell him he was trying to find potential buyers and that he would keep trying that afternoon. (The phone bill verifies the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Later that day, Gambari got back to Zhang and told him he had driven by the property and did not think it was worth $5 million.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May 15 - Zhang contacts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Zhang and Li have known each since March 2015: their daughters were in the same school and they met at class event. At a birthday party on May 1, 2015, Li had asked Zhang if he knew of view properties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the time Li and his family were living in a home on Palmerston Avenue in West Vancouver, which they had owned since 2013. (Mrs. Li was the registered owner.) They were interested in moving to a larger property on a flat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11:45 p.m. Zhang texted Li: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Brother Li. 1028 Eyremount 2700 SF with ocean view, large lot. 5M. Take a walk around the yard when you have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were a few more text messages back and forth with some further details.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Saturday, May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Between 11:00 and 12:00 a.m. on December 16, Li called Zhang to tell him he wanted to move ahead with a $5 million offer. Zhang told him the deposit should be $300,000 saying that was a standard 5%. Li said that he could pay $50,000 now and the rest a few days later, after he had sold some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11:29 a.m., Zhang telephoned Tsai to tell him of the offer. Zhang said he told him it was from Li, and that he knew Li from his daughter's school. He told him of the deposit and said the closing date would be October 30, because Li lived in a $3 million property that he would ideally like to close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Zhang said that Tsai told him he meant that he wanted to receive $5 million net and asked him how much the commission and legal expenses would be. He told Zhang to counteroffer $5.2 million. Zhang called Li, who told him to go back at $5.1 million. Zhang called Tsai back informing him of that. Tsai responded that if Zhang could accept $100,000 commission including GST he would take care of the legal expenses and they would have a deal. Zhang said he told Tsai that the offer was a good one and offered no further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Zhang agreed to cut his commission and called Li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Zhang arranged for Li and Tsai to come to his office to sign the paperwork.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have so far been relaying Zhang's recollection about the calls. Tsai's recollection of the calls was somewhat different. He said that in the call at 11:29 a.m. Zhang told him he had an answer to the question of whether his house was worth $5 million. He said that it was quite a distance from that and referred to a BC assessment value of $3.6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Tsai says he then received another call from Zhang at 11:58 a.m. in which Zhang told him that someone wanted to make an offer for $5.1 million. Zhang asked him to come over right away so they could have a talk. Tsai said he agreed to go because he was curious as to the price and wondered whether he could get $6.1 million. He recalled that a year earlier another agent, Edith Chan, could not sell his home for $3.9 million. Further, he was with a friend playing pool in Richmond and the friend had always been interested in seeing the West Vancouver property so they could do both at the same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Saturday, May 16, 2015 - the signing of contract and other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Li arrived at Zhang's office first. As Zhang explained, normally the buyers sign the offer first. Zhang and Li worked on filling in and signing the documents in the boardroom. In addition to the contract of purchase and sale, there was a "Working With a Realtor" brochure and a dual agency agreement. Zhang said the purpose of signing the dual agency agreement (no listing agreement was strictly necessary because the property was being sold immediately) was to protect his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Tsai arrived around 1:00 to 1:30 p.m. The paperwork had already been completed by the time he arrived. Zhang took him into his office. Zhang said that he reviewed the three documents with Tsai translating the English into Mandarin. However, he could see that Tsai was able to read and understand the document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addition to Tsai signing the "Working With a Realtor" brochure, the dual agency agreement, and the contract of purchase and sale, Zhang also had Tsai complete and sign a property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Once again, Tsai's version is different. He said that when Zhang was showing him the offer, he told him it was for a "heavenly price" and could not go any higher. Tsai said he told Zhang that he was not there to talk about a sale. Zhang repeated that it was a heavenly price and $1.5 million above assessed value but that if he did not want to accept the offer that was fine. Then Zhang told him he was a specialist in the West Vancouver market and was keeping up to date with daily changes, and that prices were likely to fall. They then discussed the completion date of October and Zhang produced the $50,000 bank draft for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Tsai said that Zhang was pushing him to sign. Tsai was sitting and Zhang was standing behind him turning the pages over telling them where to sign. Halfway through Tsai said, "This is not right. You have not explained the contract to me. How come you're asking me to sign my name?" Zhang then told him that the contract did not have any subject clauses and i t was a standard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Tsai remembered going over the dual agency agreement and Zhang telling Tsai that it was a standard form that somebody had to sign whenever they sold property. Tsai said he signed a stack of documents not knowing what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Tsai said that he would have wanted to call his daughter Lilian and real estate agents in Richmond to discuss a large transaction like this, implying that because of pressure from Zhang he did not feel he could do so. However, in cross he was taken to his phone bills and it was shown he in fact did speak to Lilian in London, Ontario in the morning of May 16. Faced with that, Tsai denied telling her that he had an offer for Eyremount. Rather, he said he called to see how she was doing and how things were going with a property she had on the market. Lilian also said they did not discuss the sale of Eyremount. I find their evidence on that impossible to believe.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Tsai said that he had never thought of selling his house before and that it was the so-called heavenly price and deposit cheque that made it hard to resist.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Although Tsai said that he had not previously considered selling his home, his counsel in direct took him to a 2013 listing agreement for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Saturday, May 16, 2015 - visit to the home after the signing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After Tsai signed the documents, it was arranged that Li, Zhang and Tsai would meet at the property so that it could be viewed. Li said it was Tsai who invited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When Tsai arrived, Li was already there and his children were in the front yard. This made Tsai suspicious that Li and Zhang knew each other better than he previously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they toured the property, Li noted several things that caused him some concern: a torn down wall in the basement, and a broken glass window in a door. He asked Tsai if he could fix that because he was concerned it would affect the mortgage valuation and Tsai agreed to do that. Later when they were walking in the yard there were blackberry bushes that Tsai agreed to remove. Further, Tsai agreed to pay for a consultant to look for possible buried oil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Tsai explained the reason for agreeing to take care of these items.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treat my own children well and like to treat children of other people as I do mine; they were paying heavenly price; I had never sold anything before at such a high price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May 20 - Li pays the balance of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Li paid the $250,000 balance of the deposit on May 20,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The Lis effort to sell their Palmerston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May 25, 2015, the Lis listed their Palmerston home for sale with Lisa Seto. Ms. Seto had been their realtor when they purchased Palmerston. Seto testified that Li approached her between the second and third week of May and told her that he wanted to sell his home because they had bought another home and needed to sell the Palmerston property in order to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Seto said that they were going to list at lower than market price in order to get multiple offers bidding against each other. She said this was a common strategy. The property was originally listed at $3.7 million in the hope of getting $4 million. The price was later changed to $3.78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No offers were received, so the property was taken off the market on June 5, 2015. The property was re-listed on June 8 for $3.938 million and Seto did open houses every weekend. Several offers were received. On June 20, an offer was received for $3.75 million and countered at $3.78 million. This was accepted on June 20 with subjects on it, including subject to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June 25, the CIBC did an appraisal and later that day Seto learned that the subject to financing condition would not be removed. Seto said that the Lis were becoming concerned about being able to complete the purchase of Tsai's property. Seto continued to show the property and do open houses every Saturday and Sunday.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The first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Li mentioned to Seto that it might be best to try and sell Palmerston and assign the contract for Eyremount at the same time and see which sold first. Seto began contacting some of her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Between July 5 to 9, Zhang said he learned from Li that he wanted to assign the Eyremount contract and advised Tsai of this on July 8 or 9 at a meeting at Tsai's home. He told Tsai that he was helping Li to find a buyer. He said that Tsai told him he did not see it was an issue because it was double protection for him given that Li was not relieved from the obligation to complete the purchase. Zhang said that Tsai gave him permission to walk the property with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Zhang adduced a two-page list of names (in Chinese) and phone numbers in what what Tsai acknowledged to be his handwriting. He said the first page was given to him around May 22. Tsai wanted him to share the list with Li. The first four names were neighbours who Li might want to know; the next three were engineers in case Li wanted to demolish and re-build.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Zhang said the second page was given to him by Tsai at the July 8 or 9 meeting. It was a list of potential assignees. There was some duplication of names, because, Zhang explained, at least one of the neighbours might be a potential purchaser. This was the neighbour who Tsai had previously told Zhang was interested in buying, but was away in China (above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his direct evidence, Tsai did not mention this meeting and said he only learned of the assignment when he was given the closing documents to sign. I will return to this later. In cross, Tsai explained the list of names and phone numbers. He said that after the contract was signed Zhang told him the purchaser was going to live in the house and Tsai wanted the purchaser to have a list of the neighbours. He denied giving Zhang a list of potential assignees. He could not explain why the two lists had duplicate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After his meeting with Tsai, Zhang began to call and text local realtors who had the capability for a $5 million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One realtor he texted, on July 13, was Anhif Virani. Mr. Virani testified that on July 14 he showed the property to his client, Naemi. (Around the same time, Naemi was also contacted by several other realtors about buying an assignment of the contract.) Virani and Naemi walked the property around 4:30. Tsai was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Naemi testified he went back on July 14 between 6:00 and 7:30 p.m., to walk the property. Tsai was there and they spoke in English. Naemi told Tsai he had been there earlier and was possibly interested in purchasing by way of an assignment. Tsai said he had a plan available and showed it to Naemi. Tsai allowed Naemi to go into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Also on July 14, Seto took clients to see the property having been told through Li that Tsai had no objections. She said Tsai was there to greet them and she introduced her client to Tsai as a potential buyer. They all walked the property together. The client did not make an offer and she did not do any further showings.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Lis' evidence was consistent with Seto's.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Tsai denied the July 14 visit from Seto.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Naemi wanted to buy the property. Virani drafted an assignment agreement for Naemi's numbered company, 1035566 B.C. Ltd. The price was $5.7 million and it was open for acceptance until 1:00 a.m. on July 15. It was unconditional. Li accepted the offer in Zhang's office; at 12:03 a.m. Zhang texted Virani advising of the acceptance.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Zhang was to be paid $50,000 commission by Li, which he has not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I said above, the completion date in the original contract of purchase and sale was October 30, 2015. Naemi wanted an extension, although he said he would have completed without one. Zhang negotiated an extension date with Li to December 1, 2015 for a payment of $5,000. Tsai said Zhang called him and told him his client had not sold his home and was therefore under a lot of pressure. He asked whether he could get an additional month to close. He agreed because Li had paid a heavenly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July 15, Virani delivered a bank draft to Zhang.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addendum to the contract of purchase and sale contained a clause specifically reserving to the buyer the right to assign the contract without relieving the buyer of his obligation. Zhang did not recall who drafted the addendum but said this clause was put in at the request of Virani. Virani was not questioned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Later on July 15, Zhang met with Tsai at Tsai's home and Tsai signed the addendum. Zhang said he went over the agreement with Tsai in Mandarin. Tsai said the meeting was two to three minutes and that he did not leave with a copy of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Naemi said that from July 14 to July 25 or 26 he was at the property every day or second day supervising the cleaning up of the property and tree topping to improve the view. He said Tsai was there and that he had told Tsai he had taken an assignment of the property. He spoke to Tsai several times in English and found him understanding of the real estate market.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The second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August 11, 2015, Naemi's company did a further assignment of the home to Mr. Lian Zhang (no relation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Naemi testified that he had told Tsai he would be doing an assignment. He said that Tsai showed the property to Naemi and a potential assignee.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September 18, 2015, Tsai was sued by neighbours regarding the tree topping. Zhang says that Tsai told him that he would not complete unless Zhang got him out of the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September 21, Tsai was given the completion documents, including the assignment agreements. As I said, Tsai says this is the first time he became aware of any assignments.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 October and November: refusal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Tsai filed the Notice of Civil Claim on October 26,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Tsai refused to complete on the November 30, 2015 completion date.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 Property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tendered an expert report of an appraiser, Brent McLaren. Mr. McLaren opined that the property's fair market value on May 16, 2015--the day of the contract of purchase and sale--was $5.15 million. In other words, it was within $50,000 of the contract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McLaren's opinion was that the highest and best use of the property would be to demolish the existing improvements and redevelop the property. In cross-examination, counsel suggested that this opinion was inconsistent with a paragraph in his report, which McLaren advised was template language. Further, any ambiguity was clarified by a further portion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did not file an appraisal report, and I find no reason not to accept McLaren's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 No expert report on standard of care or duties of a real estate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Tsai tendered the report of Mr. Tom Garvey, who has extensive experience in the real estate brokerage industry, including instructing realtors on their professional obligations. He was asked to answer:</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duty of care and at what date can it be said that a duty of care arose?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duty of care of the designate agent and would it be limited for a dual agency agreement?;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agent's duty of care fell below the requisite standard of care?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fiduciary duties did the agent breach as a result of failing to follow any regulations or code as it was required to follow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declined to admit the report and said I would provide reasons in this judgment, which I will do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Although there were other problems with the report, the principal reason I declined to admit it is that it is impossible to discern the facts relied on in support of the opinions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Garvey was not provided a list of assumed facts, nor did he set out in his report what assumed facts he relied on. Rather, he reviewed documents such as a 94-paragraph affidavit from the plaintiff (his instructing letter told him that this was "a good summary of his [Tsai's] position of the file"), an appraisal, and a timeline drafted by Tsai's daughter. None of these were put or intended to be put into evidence. He reviewed extensive communication between Tsai, Zhang and Li that had not been agreed to be admitted and much of which did not appear to be admissible. He reviewed a judgment of Kent J. in this action (</w:t>
      </w:r>
      <w:hyperlink r:id="rId671" w:history="1">
        <w:r>
          <w:rPr>
            <w:rFonts w:ascii="arial" w:eastAsia="arial" w:hAnsi="arial" w:cs="arial"/>
            <w:i/>
            <w:color w:val="0077CC"/>
            <w:sz w:val="20"/>
            <w:u w:val="single"/>
            <w:shd w:val="clear" w:color="auto" w:fill="FFFFFF"/>
            <w:lang w:val="en-US" w:eastAsia="en-US" w:bidi="ar-SA"/>
          </w:rPr>
          <w:t>2018 BCSC 582</w:t>
        </w:r>
      </w:hyperlink>
      <w:r>
        <w:rPr>
          <w:rFonts w:ascii="arial" w:eastAsia="arial" w:hAnsi="arial" w:cs="arial"/>
          <w:color w:val="000000"/>
          <w:sz w:val="20"/>
          <w:lang w:val="en-US" w:eastAsia="en-US" w:bidi="ar-SA"/>
        </w:rPr>
        <w:t>) dismissing the defendants' summary trial application. However Kent J. made no factual findings; indeed, he dismissed the application on the basis that it was not suitable for summary trial because of conflicting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As Burnyeat J. stated in </w:t>
      </w:r>
      <w:r>
        <w:rPr>
          <w:rFonts w:ascii="arial" w:eastAsia="arial" w:hAnsi="arial" w:cs="arial"/>
          <w:i/>
          <w:color w:val="000000"/>
          <w:sz w:val="20"/>
          <w:lang w:val="en-US" w:eastAsia="en-US" w:bidi="ar-SA"/>
        </w:rPr>
        <w:t>Dhaliwal v. Bassi</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2007 BCSC 549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The role of an expert is to assist the Court. I am not assisted by receiving the "opinion" from a psychiatrist who has not seen a person and who bases his opinion only on documentation made available to him where much of that documentation will ultimately not be in evidence. Ordinarily, counsel will provide the factual assumptions to the expert that counsel will then proceed to prove in evidence. Those factual assumptions should be clearly stated in the statement of the expert. It is not for an expert to merely review a number of documents, many of which will not be in evidence and make certain findings of fact. In this regard, I adopt the statement of Meredith J. in </w:t>
      </w:r>
      <w:r>
        <w:rPr>
          <w:rFonts w:ascii="arial" w:eastAsia="arial" w:hAnsi="arial" w:cs="arial"/>
          <w:i/>
          <w:color w:val="000000"/>
          <w:sz w:val="20"/>
          <w:lang w:val="en-US" w:eastAsia="en-US" w:bidi="ar-SA"/>
        </w:rPr>
        <w:t>Hennessy v. Rothman</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(1988), 26 B.C.L.R. (2d) 322</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 that Dr. Rockerbie seems to have been furnished with a good many documents, most of which are not even included in the sworn testimony before the Court. I refer in particular to Minutes of Evidence of several witnesses, a statement of the plaintiff herself, an "opinion report" and a letter. It seems that Dr. Rockerbie was given this material so as to base some opinion upon it. But it is not for Dr. Rockerbie to be gleaning facts from this kind of evidence. The factual assumptions should be stated clearly to Dr. Rockerbie by counsel, and he asked to give his opinion on those facts. They are facts that counsel will then proceed to prove in evidence. Otherwise, the Judge simply sits as sort of a Court of Appeal over Dr. Rockerbie's opinion. And even though the opinion is based upon material unknown to the Judge. This is to be distinguished from the evidence given by a medical doctor as to his opinion relating to the physical or mental condition of a patient.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one main objection is that Dr. Rockerbie is invited to base his opinion upon his own findings of fact. Surely this is wrong. It is not his function to find facts. (at p. 325)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agree with the defendants that the documents were dumped on Garvey and he was left to extract facts from them and it cannot be ascertained what those fact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Moreover, part of what he was asked to opine on was whether, pursuant to the laws of British Columbia, Zhang owed Tsai a duty of care. He concluded that a duty existed based on the Working With a Realtor brochure and the listing agreement. What he was asked to address and the way he addressed is a legal issue and one for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Finally, in any event, Garvey's report would not have assisted because it did not address the limited mandate I conclude below that Tsai gave to Zhang.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my ruling, I left open the possibility that Garvey could be put in the stand to discuss industry practice if that could be addressed without giving an opinion, which the plaintiff attempted to do. That left a limited scope: for example, I accept his evidence of the documents that a real estate agent works with and is required to provide a client (something which, no doubt, would have been the subject of agreement between counsel had it been discussed previously). However, when his evidence devolved into what the standard of care is for an agent, I think that is tantamount to opinion evidence and I disregard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None of this should be taken as a criticism of Garvey. He gave his evidence in a credible and professional manner and his expertise was clear. Rather, it is the job of counsel to ensure that an expert report is provided in the proper format.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do not find Tsai to have been reliable or credible. He portrayed himself as naïve and inexperienced with real estate transactions. However:</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purchasing the Eyremount property, Tsai had owned properties on Schaefer Avenue and Gibbons Drive in Richmond, BC.</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2010, Tsai, on behalf of his daughters with the use of a Power of Attorney, purchased a property on Lismer Avenue. Tsai negotiated the purchase of the property directly with the seller, without the assistance of a realtor. Tsai directed the re-development of this property, including directly contracting with the architect and builder. Tsai then arranged for the Lismer property to be listed for sale. Tsai, without his daughters, dealt with the listing agent during the sale of the Lismer property. The property ultimately sold in December of 2015. To be clear, Tsai's daughters had no direct involvement with any of the purchase, re-development, listing or sale of Lismer Avenue.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Tsai's purchase of Eyremount only completed after litigation: the previous owner of the property refused to complete the sale on the date for completion and that owner commenced an action against Tsai and Tsai's then real estate agent, Tony Niazi. Tsai made a claim for specific performance by way of a counterclaim and eventually acquired title to the property in October 2012.</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Tsai had previously listed Eyremount for sale on June 4, 2013 for $3.98 million, with Edith Chan. He met Ms. Chan at an open house that she was hosting.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Tsai regularly attended open houses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With respect to the listing with Chan, Tsai said he met her at an open house and afterwards she called to ask him his address, which he gave her. According to him she dropped by after calling him. When she arrived she convinced him to sign a listing agreement, something not discussed between them before she showed up at his house. Chan's evidence is that Tsai called her about listing the property and then she went to see him. Chan's version is more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Tsai said that his previous realtors, Chan and Niazi, never explained the documents he signed to him. However, they both testified the opposite and there is no reason not accept their evidence given they were independent witnesses and otherwise credible. The documents included a listing agreement and the Working With a Realtor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Interestingly, Niazi said that his dealings with Tsai were in English and that they had no trouble communicating or understanding each other. In the trial Tsai gave his evidence through a Mandarin interpreter and although he spoke in Mandarin to Zhang, he attempted to make the case that his poor understanding of English had been taken advantage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I indicated above (para. 38), Tsai said he did not have time to call his daughter on May 16, but the phone records showed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Tsai's evidence that he was not aware that Li was interested in assigning the contract is belied by the visits by and discussions with Naemi and Seto.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parties relied extensively on phone records and text messages. Tsai had produced records for his Rogers Mobile account. During the cross-examination of Seto, Tsai's counsel sought to produce and use records for a mobile account Tsai had with Koodo. These records, and the existence of a second mobile phone were not previously disclosed. Tsai proffered no excuse for that. That is a shocking lack of disclosure. (I do not necessarily lay that at the feet of current counsel who only recently before trial replaced former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Tsai said he has had difficulty recalling things since his wife died, which was shortly after they moved to Canada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evidence of Tsai's daughter added little to the case. Most of her evidence relayed what she said her father told her of the transactions. It appeared to me that she came to the witness stand for the purpose of delivering a prepared speech rather than to answer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Turning to the evidence of Zhang and Li, there was only one notable discrepancy between them. Zhang said that Li told him he could rely on family resources to compete the purchase if he did not receive a mortgage. Li said he did not tell that to Zhang, although he may have mentioned that his wife came from a wealthy family. Further they may have downplayed the fact that Li had asked Zhang to look out for other real estate opportunities for friends in China and the extent of that. (There were numerous text exchanges relating to that.) Nevertheless, their evidence matched the documentary evidence, that of the other independent witnesses, and accorded with business reality. I found their version of events to be credible and prefer their evidence over Tsai's.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Finally, the evidence of the independent witnesses was credible and, once again, in line with the documentary evidence. This includes Seto, whose honesty was impugned by being alleged to be part of the supposed conspiracy, as I discuss below. Amongst other things, in the face of all of the other evidence, Tsai's denial of any knowledge of the assignments or Li's desire to assign can be seen as nothing more than a construction of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will begin first by dealing with the conspiracy claim. The elements for the tort of conspiracy are well-established. The plaintiff must prove: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between two or more persons;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concerted action taken pursuant to the agreement;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if the action is lawful, there must be evidence that the conspirators intended to cause damage to the plaintiff;</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action is unlawful, there must at least be evidence that the conspirators knew or ought to have known that their action would injure the plaintiff (i.e., constructive intent);</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damage suffered by the plaintiff.</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Can-Dive Services Ltd. v. Pacific Coast Energy Corp</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(1993), 96 B.C.L.R. (2d) 156</w:t>
        </w:r>
      </w:hyperlink>
      <w:r>
        <w:rPr>
          <w:rFonts w:ascii="arial" w:eastAsia="arial" w:hAnsi="arial" w:cs="arial"/>
          <w:color w:val="000000"/>
          <w:sz w:val="20"/>
          <w:lang w:val="en-US" w:eastAsia="en-US" w:bidi="ar-SA"/>
        </w:rPr>
        <w:t xml:space="preserve"> (C.A.)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Golden Capital Securities Ltd. v. Holmes</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2004 BCCA 565</w:t>
        </w:r>
      </w:hyperlink>
      <w:r>
        <w:rPr>
          <w:rFonts w:ascii="arial" w:eastAsia="arial" w:hAnsi="arial" w:cs="arial"/>
          <w:color w:val="000000"/>
          <w:sz w:val="20"/>
          <w:lang w:val="en-US" w:eastAsia="en-US" w:bidi="ar-SA"/>
        </w:rPr>
        <w:t xml:space="preserve"> at para. 47, Lowry J.A. referred to the agreement element: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to prove a case in conspiracy, it is first necessary to plainly establish, directly or by inference, that there was an agreement between the defendant and one or more others. That does not mean an agreement in the contractual sense. A defendant must be shown to have agreed in the sense of having combined or conspired with one or more others to carry out a common design or a means of achieving a common objective, which is then implemented with resulting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I said above, the pleading originally claimed a conspiracy to acquire the property at less than market price; it was amended to claim a conspiracy to acquire the property at a reduced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fact that Tsai sold the property at market value (the $50,000 differential between the sale price and the appraised value is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and well within a margin of error) is one of the key facts in this case. It leaves the conspiracy claim with a dilemma. If the conspiracy was to acquire the property at a reduced price, it begs the question: reduced from 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cannot be at less than the so-called "heavenly price". First, Tsai had no goal to sell his property at a heavenly price. (He claims he had no goal to sell his property at any price and that it was Zhang who mentioned the heavenly price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Second, the term has no certain meaning. There was no expert evidence filed as to how it might be understood in the Chinese community. The only evidence of its meaning was from Tsai and his daughter. Tsai gave different definitions of a heavenly price. It varied from being the best obtainable price at the time, to the best available price that the property could ever sell for. When it was pointed out to him that this had no future limit, he modified the definition to say that it was the best obtainable price between the time of sale and the time of closing, no matter how far into the future that closing might be. Yet, Tsai recognized--as he had to--that the market could rise, or for that matter, fall. As I said above, he was not the unsophisticated real estate investor that he portrayed himself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Third, and more fundamentally, I do not accept that Zhang used the term "heavenly price". Zhang in direct did not say the term was used; although he was not asked to deny it, he was not cross-examined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argument, Tsai changed the conspiracy theory to (quoting from his written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we submit that Mr. Zhang conspired with Li to assign Eyremount for a profit. Li was also going to share in the sales. Mr. Zhang recommended 1028 Eyremount, and Li wanted to make sure it was a "pocket listing".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pocket listing, Li could purchase a property at a lower price as there would not competing bids and then he sell the property for a profit. If Eyremount was on an MLS listing, Li may have been required to pay a higher price to outbid a competing offer. On July 7, 2015 Li had not sold Palmerston, had not assigned Eyremount, and Li claimed that he had financial difficulty to close the deal for Eyremount, but he was still looking for Pocket listing.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This argument, as with the pleaded conspiracy, must fail on its facts. As set out above, Tsai was not approached by Zhang or Li. Rather, it was the other way: Tsai went and spoke to Xie when he was at the property next door, and Xie got Zhang on the phone. To explain this, in oral argument Tsai's counsel advanced the proposition that Xie hung around the property next door (which he and Zhang said they were managing for the owner) waiting for Tsai to approach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far-fetched as that might seem, there is more. According to the plaintiff's conspiracy theory advanced in oral argument (in response to a question by me) Seto was assisting the conspiracy by doing a sham listing of the Lis' Palmerston property and her evidence was a complete fabrication. That does not bear scrutiny.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text from Zhang to Gambari on May 15 and Gambari's visit to the property are not consistent with a pre-existing plan by Li to acquire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There is no evidence of attempts by Li or Zhang to assign until after the deal for Palmerston collapsed.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All in all, the documentary evidence and evidence of others supports the evidence of Li that he was planning to buy Eyremount to live in and had no prior plan with Zhang.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Tsai claims that Zhang owed him fiduciary duties, which were breached. In his Amended Notice of Civil Claim he alleges that Zhang:</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used his position as a real estate agent to favour his personal interests;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disclose that Zhang and Li were close personal friends;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disclose that Li's intention was to sell the property at a profit that would benefit both Zhang and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Zhang argues that there was no fiduciary relationship before the dual agency agreement was signed. I do not think it is necessary for me to decide that, and I will assume (once again, </w:t>
      </w:r>
      <w:r>
        <w:rPr>
          <w:rFonts w:ascii="arial" w:eastAsia="arial" w:hAnsi="arial" w:cs="arial"/>
          <w:color w:val="000000"/>
          <w:sz w:val="20"/>
          <w:u w:val="single"/>
          <w:lang w:val="en-US" w:eastAsia="en-US" w:bidi="ar-SA"/>
        </w:rPr>
        <w:t>without deciding</w:t>
      </w:r>
      <w:r>
        <w:rPr>
          <w:rFonts w:ascii="arial" w:eastAsia="arial" w:hAnsi="arial" w:cs="arial"/>
          <w:color w:val="000000"/>
          <w:sz w:val="20"/>
          <w:lang w:val="en-US" w:eastAsia="en-US" w:bidi="ar-SA"/>
        </w:rPr>
        <w:t>) that a fiduciary relationship arose when Tsai told Zhang to find a buyer at $5 million. The claim must still fail, as I will explain.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argument, Tsai argued that Zhang did not fully inform him of market conditions and once again, says that Zhang told him the $5.1 million offer was a "heavenly price". He says he was rushed when signing at the office and that, "Mr. Zhang did not act as a scribe and communicate [Mr. Tsai's] concerns regarding the completion date or deposit to Mr. Li, rather he told [Mr. Tsai] that he would need time to move into a new property and that because it was the heavenly price [Mr. Tsai] should not fuss on the deposit amount or else the buyer may not want to purchase Eyremount."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Mulligan v. Stephenson</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2016 BCSC 1941</w:t>
        </w:r>
      </w:hyperlink>
      <w:r>
        <w:rPr>
          <w:rFonts w:ascii="arial" w:eastAsia="arial" w:hAnsi="arial" w:cs="arial"/>
          <w:color w:val="000000"/>
          <w:sz w:val="20"/>
          <w:lang w:val="en-US" w:eastAsia="en-US" w:bidi="ar-SA"/>
        </w:rPr>
        <w:t xml:space="preserve"> at paras. 108-111, Dickson J. (as she then was) noted that a relationship of real estate agent and client is presumptively fiduciary. It is up to the agent to establish that the relationship is not a fiduciary one by showing that the relationship was not one of reliance, trust and confidence, which would be difficult to establish. At para. 112 she noted that the realtor must act loyally, transparently and in the best interests of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A limited dual agency agreement does not obviate a fiduciary relationship: </w:t>
      </w:r>
      <w:r>
        <w:rPr>
          <w:rFonts w:ascii="arial" w:eastAsia="arial" w:hAnsi="arial" w:cs="arial"/>
          <w:i/>
          <w:color w:val="000000"/>
          <w:sz w:val="20"/>
          <w:lang w:val="en-US" w:eastAsia="en-US" w:bidi="ar-SA"/>
        </w:rPr>
        <w:t>S. Maclise Enterprises Inc. v. Grover</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2014 ABQB 591</w:t>
        </w:r>
      </w:hyperlink>
      <w:r>
        <w:rPr>
          <w:rFonts w:ascii="arial" w:eastAsia="arial" w:hAnsi="arial" w:cs="arial"/>
          <w:color w:val="000000"/>
          <w:sz w:val="20"/>
          <w:lang w:val="en-US" w:eastAsia="en-US" w:bidi="ar-SA"/>
        </w:rPr>
        <w:t xml:space="preserve">. Moreover, in the case at bar the dual agency agreement was signed only after the transaction was agreed to and cannot affect anything that took place beforehand: </w:t>
      </w:r>
      <w:r>
        <w:rPr>
          <w:rFonts w:ascii="arial" w:eastAsia="arial" w:hAnsi="arial" w:cs="arial"/>
          <w:i/>
          <w:color w:val="000000"/>
          <w:sz w:val="20"/>
          <w:lang w:val="en-US" w:eastAsia="en-US" w:bidi="ar-SA"/>
        </w:rPr>
        <w:t>DeJesus v. Sharif</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2010 BCCA 121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There are, no doubt, obligations that flow from any fiduciary relationship; for example, the duty of honesty. However, a finding of a fiduciary relationship is not an on-off switch in which a standard suite of duties is imported. Rather, the specifics of the fiduciary relationship and therefore the duties owed are determined by the circumstances of the case. As stated in </w:t>
      </w:r>
      <w:r>
        <w:rPr>
          <w:rFonts w:ascii="arial" w:eastAsia="arial" w:hAnsi="arial" w:cs="arial"/>
          <w:i/>
          <w:color w:val="000000"/>
          <w:sz w:val="20"/>
          <w:lang w:val="en-US" w:eastAsia="en-US" w:bidi="ar-SA"/>
        </w:rPr>
        <w:t>Sharbern Holding Inc. v. Vancouver Airport Centre Ltd.</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2011 SCC 23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[141] That said, the nature and scope of the fiduciary duty owed by VAC must be assessed in the context of the contract giving rise to those duties. As noted by Cromwell J., for a unanimous Court, in </w:t>
      </w:r>
      <w:r>
        <w:rPr>
          <w:rFonts w:ascii="arial" w:eastAsia="arial" w:hAnsi="arial" w:cs="arial"/>
          <w:i/>
          <w:color w:val="000000"/>
          <w:sz w:val="20"/>
          <w:lang w:val="en-US" w:eastAsia="en-US" w:bidi="ar-SA"/>
        </w:rPr>
        <w:t>Galambos v. Perez</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2009 SCC 48</w:t>
        </w:r>
      </w:hyperlink>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[2009] 3 S.C.R. 247</w:t>
        </w:r>
      </w:hyperlink>
      <w:r>
        <w:rPr>
          <w:rFonts w:ascii="arial" w:eastAsia="arial" w:hAnsi="arial" w:cs="arial"/>
          <w:color w:val="000000"/>
          <w:sz w:val="20"/>
          <w:lang w:val="en-US" w:eastAsia="en-US" w:bidi="ar-SA"/>
        </w:rPr>
        <w:t>, at para. 75: ". . . what is required in all cases is an undertaking by the fiduciary, express or implied, to act in accordance with the duty of loyalty reposed on him or her". He also stated that "[i]n cases of per se fiduciary relationships, this undertaking will be found in the nature of the category of relationship in issue" and that "[t]he fiduciary's undertaking may be the result of . . . the express or implied terms of an agreement" (para. 77). While an express undertaking can be found in the terms of a contract for an agency relationship, an implied undertaking can be found with regard to "the particular circumstances of the parties' relationship" which could include "professional norms, industry or other common practices and whether the alleged fiduciary induced the other party into relying on the fiduciary's loyalty"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Court of Appeal in </w:t>
      </w:r>
      <w:r>
        <w:rPr>
          <w:rFonts w:ascii="arial" w:eastAsia="arial" w:hAnsi="arial" w:cs="arial"/>
          <w:i/>
          <w:color w:val="000000"/>
          <w:sz w:val="20"/>
          <w:lang w:val="en-US" w:eastAsia="en-US" w:bidi="ar-SA"/>
        </w:rPr>
        <w:t>Sharbern</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2009 BCCA 224</w:t>
        </w:r>
      </w:hyperlink>
      <w:r>
        <w:rPr>
          <w:rFonts w:ascii="arial" w:eastAsia="arial" w:hAnsi="arial" w:cs="arial"/>
          <w:color w:val="000000"/>
          <w:sz w:val="20"/>
          <w:lang w:val="en-US" w:eastAsia="en-US" w:bidi="ar-SA"/>
        </w:rPr>
        <w:t>, put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I do agree with the comments of the trial judge in para. 398 that "the scope of [fiduciary duties] will depend on the circumstances of the agency and the extent to which the agent is entrusted with discretion to unilaterally affect the position of the principal". The reach of fiduciary obligations depends not on the existence of a relationship that is fiduciary in nature, but on the contractual or other circumstances that define the conduct of the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the case at bar, the mandate given by Tsai to Zhang affect the obligations owed by Zhang.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Zhang told Tsai that he should put the property on the market with an MLS listing. In cross-examination Tsai admitted he was told this but did not want to list with Zhang; if he did want to list the property he would do it with realtors he knew better in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accept the evidence of Zhang that on May 15, Tsai told him he was not interested in meeting him and was not interested in selling unless someone brought him a subject-free offer of $5 million. As I said above, he also mentioned that his neighbour had offered $5 million but was away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If Zhang had a mandate at all from Tsai, it was to find a non-conditional $5 million offer. Tsai knew he was proceeding on that basis because he got a call from Zhang in the afternoon on May 15 informing him he was trying to find buyers (above, para. 20). Although Zhang told Tsai about a number of properties that had sold on the same street, Tsai did not ask Zhang to provide a full market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Tsai was neither vulnerable nor naïve. At the risk of being repetitive, he had previously bought, sold or renovated several homes on his own behalf or with his daughters. He followed the real estate market closely by going to open houses. He had previously listed his house with another agent. His limited knowledge of English cannot affect the nature of the relationship between the parties because they spoke in Mandarin. Tsai did not make himself subject to the influence of Zhang, nor was Zhang in a position where he could exercise any substantial influence over Tsai.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Turning to the alleged breaches of fiduciary duty alleged by Tsai in the Amended Notice of Civil Claim (above para. 111), I conclude, respectively:</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Zhang did not use his position for his personal benefit other than to try to find a buyer and earn a commission.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to show that Zhang and Li were close personal friends, although they knew each other and Li had asked Zhang to look out for properties he and contacts from China could invest in. Apart from meeting at a children's birthday party they had one dinner together. I accept that Zhang told Tsai that he knew Li from their children's school when he told him of the offer. Moreover, Zhang offered the property to others, including Gambari who looked at the property but was not interested.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 concluded in the conspiracy section, it was not the plan of Li to assign the contract and make a quick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do not agree that Zhang rushed Tsai at the signing. Tsai was not held a prisoner so he could not call his daughter. And, it is to be noted, he did not tell the truth when he said he did not speak to his daughter on May15 (above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Tsai complains that Zhang did not tell him the contract was assignable. But that is as a result of the general law and not a contractual clause. I do not find there was a duty on Zhang to inform Tsai that the contract was assignable in law. There that was of any concern to Tsai at the time he agreed to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Tsai builds his conspiracy and breach of fiduciary duty claims in part on the date of a document from Zhang's company that he says indicates Li was a prior client of Zhang, and a trust ledger. He says this proves there was a pre-existing plan. I will not go into these documents in detail; suffice it to say the date was credibly explained as a typo and Zhang's employee explained the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Tsai also relies on the allegation he was unaware that Li wanted to assign the contract or that it had been assigned until shortly before closing. As I mentioned above in the section dealing with credibility, that is belied by all of the other witnesses who spoke about visiting the property after the initial contract was signed. It also conflicts with Li's and Zhang's evidence, which, as I have said, I prefer over Tsai's.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Tsai also relies on the fact that the addendum to the contract of purchase and sale contained a clause specifically allowing the contract to be assigned (above para. 65). I find nothing nefarious in this and it only restated what the position was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conclusion, Zhang performed the mandate given him. He did not misrepresent anything. He did not make a profit or other benefit from the transaction other than his commissions. There was, as I have said, no nefarious plan. He did not think the property was undervalued and in fact it was not undervalued. Assuming there was a fiduciary relationship it was not breached.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alleges two breaches of the duty of care: failure to explain to Tsai the documents he was signing and failure to provide an accurate valuation of the property "and by characterizing the $5,100,000 price as high and unlikely to be bettered."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Expert evidence of the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is normally but not always required. This was addressed in the context of a real estate case in </w:t>
      </w:r>
      <w:r>
        <w:rPr>
          <w:rFonts w:ascii="arial" w:eastAsia="arial" w:hAnsi="arial" w:cs="arial"/>
          <w:i/>
          <w:color w:val="000000"/>
          <w:sz w:val="20"/>
          <w:lang w:val="en-US" w:eastAsia="en-US" w:bidi="ar-SA"/>
        </w:rPr>
        <w:t>Krawchuk v. Scherbak</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2011 ONCA 352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125 To avoid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real estate agent must exercise the standard of care that would be expected of a reasonable and prudent agent in the same circumstances. This general standard, a question of law, will not vary between cases and there is no need for it to be established through the use of expert evidence. see </w:t>
      </w:r>
      <w:r>
        <w:rPr>
          <w:rFonts w:ascii="arial" w:eastAsia="arial" w:hAnsi="arial" w:cs="arial"/>
          <w:i/>
          <w:color w:val="000000"/>
          <w:sz w:val="20"/>
          <w:lang w:val="en-US" w:eastAsia="en-US" w:bidi="ar-SA"/>
        </w:rPr>
        <w:t>Wong v. 407527 Ontario Ltd</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(1999), 179 D.L.R. (4th) 38</w:t>
        </w:r>
      </w:hyperlink>
      <w:r>
        <w:rPr>
          <w:rFonts w:ascii="arial" w:eastAsia="arial" w:hAnsi="arial" w:cs="arial"/>
          <w:color w:val="000000"/>
          <w:sz w:val="20"/>
          <w:lang w:val="en-US" w:eastAsia="en-US" w:bidi="ar-SA"/>
        </w:rPr>
        <w:t xml:space="preserve"> (Ont. C.A.), at para. 23, </w:t>
      </w:r>
      <w:r>
        <w:rPr>
          <w:rFonts w:ascii="arial" w:eastAsia="arial" w:hAnsi="arial" w:cs="arial"/>
          <w:i/>
          <w:color w:val="000000"/>
          <w:sz w:val="20"/>
          <w:lang w:val="en-US" w:eastAsia="en-US" w:bidi="ar-SA"/>
        </w:rPr>
        <w:t>Fellowes, McNeil v. Kansa General International Insurance Co</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(2000), 138 O.A.C. 28</w:t>
        </w:r>
      </w:hyperlink>
      <w:r>
        <w:rPr>
          <w:rFonts w:ascii="arial" w:eastAsia="arial" w:hAnsi="arial" w:cs="arial"/>
          <w:color w:val="000000"/>
          <w:sz w:val="20"/>
          <w:lang w:val="en-US" w:eastAsia="en-US" w:bidi="ar-SA"/>
        </w:rPr>
        <w:t xml:space="preserve"> (Ont. C.A.), at para. 11. The translation of that standard into a particular set of obligations owed by a defendant in a given case, however, is a question of fact (</w:t>
      </w:r>
      <w:r>
        <w:rPr>
          <w:rFonts w:ascii="arial" w:eastAsia="arial" w:hAnsi="arial" w:cs="arial"/>
          <w:i/>
          <w:color w:val="000000"/>
          <w:sz w:val="20"/>
          <w:lang w:val="en-US" w:eastAsia="en-US" w:bidi="ar-SA"/>
        </w:rPr>
        <w:t>Wong</w:t>
      </w:r>
      <w:r>
        <w:rPr>
          <w:rFonts w:ascii="arial" w:eastAsia="arial" w:hAnsi="arial" w:cs="arial"/>
          <w:color w:val="000000"/>
          <w:sz w:val="20"/>
          <w:lang w:val="en-US" w:eastAsia="en-US" w:bidi="ar-SA"/>
        </w:rPr>
        <w:t xml:space="preserve"> at para. 23, </w:t>
      </w:r>
      <w:r>
        <w:rPr>
          <w:rFonts w:ascii="arial" w:eastAsia="arial" w:hAnsi="arial" w:cs="arial"/>
          <w:i/>
          <w:color w:val="000000"/>
          <w:sz w:val="20"/>
          <w:lang w:val="en-US" w:eastAsia="en-US" w:bidi="ar-SA"/>
        </w:rPr>
        <w:t>Fellowes</w:t>
      </w:r>
      <w:r>
        <w:rPr>
          <w:rFonts w:ascii="arial" w:eastAsia="arial" w:hAnsi="arial" w:cs="arial"/>
          <w:color w:val="000000"/>
          <w:sz w:val="20"/>
          <w:lang w:val="en-US" w:eastAsia="en-US" w:bidi="ar-SA"/>
        </w:rPr>
        <w:t xml:space="preserve"> at para. 11). External indicators of reasonable conduct, such as custom, industry practice, and statutory or regulatory standard, may inform the standard. Where a debate arises as to how a reasonable agent would have conducted himself or herself, recourse should generally be made to expert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132 While the authorities discussed above indicate that, as a general rule, it will not be possible to determine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given situation without the benefit of expert evidence, they do indicate two exceptions to this general rule.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133 The first exception applies to cases in which it is possible to reliably determine the standard of care without the assistance of expert evidence. As explained by Southin J.A. at para. 44 of </w:t>
      </w:r>
      <w:r>
        <w:rPr>
          <w:rFonts w:ascii="arial" w:eastAsia="arial" w:hAnsi="arial" w:cs="arial"/>
          <w:i/>
          <w:color w:val="000000"/>
          <w:sz w:val="20"/>
          <w:lang w:val="en-US" w:eastAsia="en-US" w:bidi="ar-SA"/>
        </w:rPr>
        <w:t>Zink</w:t>
      </w:r>
      <w:r>
        <w:rPr>
          <w:rFonts w:ascii="arial" w:eastAsia="arial" w:hAnsi="arial" w:cs="arial"/>
          <w:color w:val="000000"/>
          <w:sz w:val="20"/>
          <w:lang w:val="en-US" w:eastAsia="en-US" w:bidi="ar-SA"/>
        </w:rPr>
        <w:t>, this will be the case only where the court is faced with "nontechnical matters or those of which an ordinary person may be expected to have knowledge."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135 The second exception applies to cases in which the impugned actions of the defendant are so egregious that it is obvious that his or her conduct has fallen short of the standard of care, even without knowing precisely the parameters of that standard: see </w:t>
      </w:r>
      <w:r>
        <w:rPr>
          <w:rFonts w:ascii="arial" w:eastAsia="arial" w:hAnsi="arial" w:cs="arial"/>
          <w:i/>
          <w:color w:val="000000"/>
          <w:sz w:val="20"/>
          <w:lang w:val="en-US" w:eastAsia="en-US" w:bidi="ar-SA"/>
        </w:rPr>
        <w:t>Cosway v. Boorman's Investment Co.</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2008 BCSC 1482</w:t>
        </w:r>
      </w:hyperlink>
      <w:r>
        <w:rPr>
          <w:rFonts w:ascii="arial" w:eastAsia="arial" w:hAnsi="arial" w:cs="arial"/>
          <w:color w:val="000000"/>
          <w:sz w:val="20"/>
          <w:lang w:val="en-US" w:eastAsia="en-US" w:bidi="ar-SA"/>
        </w:rPr>
        <w:t xml:space="preserve">, at para. 35. As can be seen, this second exception involves circumstances where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determined without first identifying the parameters of the standard of care rather than identifying a standard of care without the assistance of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Carhoun and Sons Enterprises Ltd. v. Canada (Attorney General)</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2018 BCSC 1675</w:t>
        </w:r>
      </w:hyperlink>
      <w:r>
        <w:rPr>
          <w:rFonts w:ascii="arial" w:eastAsia="arial" w:hAnsi="arial" w:cs="arial"/>
          <w:color w:val="000000"/>
          <w:sz w:val="20"/>
          <w:lang w:val="en-US" w:eastAsia="en-US" w:bidi="ar-SA"/>
        </w:rPr>
        <w:t>, a non-real estate case, Hinkson C.J.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[405] In the absence of expert evidence as to the requisite standard of care, the court may look to external factors, including legislative standards, policies and guidelines.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[406] In this case, I have the legislation and documents referred to in para. 16 for guidance. In my view, that guidance, together with common sense and the practice described by the witnesses from the DFO who gave evidence, is sufficient to determine the standard of care required of the professionals at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[407] I find that the standard of care required of the defendant's employees and representatives is simply that of a reasonable person in their line of work or calling, as required by applicable legislation and common practice. Where there is no contrary evidence, the evidence of those individuals that they followed accepted practices may be sufficient to establish that they met their required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 have no expert opinion here. Nevertheless, much of what I said with respect to breach of fiduciary duty is applicable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This is not the standard real estate case in which a client signs a listing agreement with an agent for the marketing of his or her property. The duties owed by Zhang to Tsai must be determined by the mandate he was given; that was to find a buyer at $5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No matter how one construes that duty, the plaintiff's claim fails on its facts: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explanation of the documents, I accept Zhang's evidence that he properly explained the documents to Tsai when they were signed. Tsai knew he was selling his house, the price he was getting and the closing date. He knew at the time of signing that Zhang was acting for both parties. As I have said, Tsai had bought and sold houses before. There was no requirement for Zhang to explain to Tsai that the contract was assignable and Tsai's concern for that in this lawsuit is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he acknowledged he would have had no problem if Li had taken possession of the property and then sold for a profit.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Turning to the alleged breach of duty based on Zhang telling Tsai the price was unlikely to be bettered, even if that statement was made and even if it breached a duty of care, there is no evidence that the price could have been bettered at the time Tsai wanted to sell. Moreover, Tsai could not have relied on it as extending indefinitely into the future. He admitted he knew, and he has to be taken to have known, that prices could rise or fall.</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pre-arranged plan for Li to assign the property at a profit or at all.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claim for misrepresentation hinges on the representations I have dealt with above. For the reasons stated, they are all without foundation: simply put, I conclude no misrepresentations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CONCLUSION ON TSAI'S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Without using the word "fraud", Tsai has alleged what can only be construed as a fraudulent conspiracy worthy of Keyser Söze in </w:t>
      </w:r>
      <w:r>
        <w:rPr>
          <w:rFonts w:ascii="arial" w:eastAsia="arial" w:hAnsi="arial" w:cs="arial"/>
          <w:i/>
          <w:color w:val="000000"/>
          <w:sz w:val="20"/>
          <w:lang w:val="en-US" w:eastAsia="en-US" w:bidi="ar-SA"/>
        </w:rPr>
        <w:t>The Usual Suspects</w:t>
      </w:r>
      <w:r>
        <w:rPr>
          <w:rFonts w:ascii="arial" w:eastAsia="arial" w:hAnsi="arial" w:cs="arial"/>
          <w:color w:val="000000"/>
          <w:sz w:val="20"/>
          <w:lang w:val="en-US" w:eastAsia="en-US" w:bidi="ar-SA"/>
        </w:rPr>
        <w:t>. There is no basis in fact or in law for his conspiracy claim. Nor has he made out any other cause of action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Tsai's claims against all the defendants are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defendants claim special costs. As agreed at trial, counsel may submit written argument on that on a schedule to be agreed by them. In addition, if offers to settle were made, that may be addressed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Li counterclaims for the loss of his profit on the assignment. His claim is based on the tort of unlawful means as set out in </w:t>
      </w:r>
      <w:r>
        <w:rPr>
          <w:rFonts w:ascii="arial" w:eastAsia="arial" w:hAnsi="arial" w:cs="arial"/>
          <w:i/>
          <w:color w:val="000000"/>
          <w:sz w:val="20"/>
          <w:lang w:val="en-US" w:eastAsia="en-US" w:bidi="ar-SA"/>
        </w:rPr>
        <w:t>A.I. Enterprises Ltd. v. Bram Enterprises Ltd.</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2014 SCC 12</w:t>
        </w:r>
      </w:hyperlink>
      <w:r>
        <w:rPr>
          <w:rFonts w:ascii="arial" w:eastAsia="arial" w:hAnsi="arial" w:cs="arial"/>
          <w:color w:val="000000"/>
          <w:sz w:val="20"/>
          <w:lang w:val="en-US" w:eastAsia="en-US" w:bidi="ar-SA"/>
        </w:rPr>
        <w:t>, rather than breach of contract because the contractual right of action was assigned.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Justice Cromwell, for the Court in </w:t>
      </w:r>
      <w:r>
        <w:rPr>
          <w:rFonts w:ascii="arial" w:eastAsia="arial" w:hAnsi="arial" w:cs="arial"/>
          <w:i/>
          <w:color w:val="000000"/>
          <w:sz w:val="20"/>
          <w:lang w:val="en-US" w:eastAsia="en-US" w:bidi="ar-SA"/>
        </w:rPr>
        <w:t>Bram</w:t>
      </w:r>
      <w:r>
        <w:rPr>
          <w:rFonts w:ascii="arial" w:eastAsia="arial" w:hAnsi="arial" w:cs="arial"/>
          <w:color w:val="000000"/>
          <w:sz w:val="20"/>
          <w:lang w:val="en-US" w:eastAsia="en-US" w:bidi="ar-SA"/>
        </w:rPr>
        <w:t>, described the essence of the tort of interference with economic interests or causing loss by unlawful means: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unlawful means tort creates a type of "parasitic" liability in a three-party situation: it allows a plaintiff to sue a defendant for economic loss resulting from the defendant's unlawful act against a third party. Liability to the plaintiff is based on (or parasitic upon) the defendant's unlawful act against the third party. While the elements of the tort have been described in a number of ways, its core captures the intentional infliction of economic injury on C (the plaintiff) by A (the defendant)'s use of unlawful means against B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At para. 76 of Bram, Cromwell dealt with the underlying conduct for the tort: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in order for conduct to constitute "unlawful means" for this tort, the conduct must give rise to a civil cause of action by the third party or would do so if the third party had suffered loss as a result of that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conduct relied on here is the failure to complete the sale to the ultimate assignee, Lian Zhang, which would be actionable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At para. 95 Cromwell J. dealt with the requirement of intent. He held that the intent may be of two kinds: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intention to cause economic harm to the claimant as an end in itself;</w:t>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intention to cause economic harm to the claimant because it is a necessary means of achieving an end that serves some ulterior motive;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noted that these two represented the "aiming at" or "targeting"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Tsai did not intend to cause economic harm to Li as an end itself, nor did he have an ulterior purpose that resulted in harm to Li. He simply, albeit without a good legal rationale, did not want to complete the transaction because he thought he had been "stiffed" by Zhang and Li. That is not a targeting of the plaintiff. As Cromwell J. emphasized in para. 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that the harm to the plaintiff be an incidental consequence of the defendant's conduct, even where the defendant realizes that it is extremely likely that harm to the plaintiff may result. Such incidental economic harm is an accepted part of market competition.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This makes it unnecessary for me to address a concern I have that was not argued at trial. This is whether the tort of illegal means is available where the contractual right of action forming the basis of the claim has been assigned. As illustrated in this case, that could conceivably lead to double-liability; namely, the tort claim and a claim by the assignee for breach of contract. I express no opinion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 MYERS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August 20, 2019</w:t>
      </w:r>
      <w:r>
        <w:rPr>
          <w:rFonts w:ascii="arial" w:eastAsia="arial" w:hAnsi="arial" w:cs="arial"/>
          <w:sz w:val="20"/>
          <w:lang w:val="en-US" w:eastAsia="en-US" w:bidi="ar-SA"/>
        </w:rPr>
        <w:cr/>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36 now reads: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Tsai said that Zhang was pushing him to sign. Tsai was sitting and Zhang was s tanding behind him turning the pages over telling them where to sign. Halfway through Tsai said, "This is not right. You have not explained the contract to me. How come you're asking me to sign my name?" Zhang then told him that the contract did not have any subject clauses and it was a standard form.</w:t>
      </w:r>
    </w:p>
    <w:p>
      <w:pPr>
        <w:numPr>
          <w:numId w:val="3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52 now reads: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Zhang adduced a two-page list of names (in Chinese) and phone numbers in what T sai acknowledged to be his handwriting. He said the first page was given to him around May 22. Tsai wanted him to share the list with Li. The first four na mes were neighbours who Li might want to know; the next three were engineers in case Li wanted to demolish and re-build.</w:t>
      </w:r>
    </w:p>
    <w:p>
      <w:pPr>
        <w:numPr>
          <w:numId w:val="3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112 now reads: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Zhang argues that there was no fiduciary relationship before the dual agency agreement was signed. I do not think it is necessary for me to decide that, and I will assume (once again, without deciding) that a fiduciary relationship arose when Tsai told Zhang to find a buyer at $5 million. The claim must still fail, as I will explain.</w:t>
      </w:r>
    </w:p>
    <w:p>
      <w:pPr>
        <w:numPr>
          <w:numId w:val="3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120 now reads: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Zhang had a mandate at all from Tsai, it was to find a non-conditional $5 million offer. Tsai knew he was proceeding on that basis because he got a call from Zhang in the afternoon on May 15 informing him he was trying to find buyers (above, para. 20). Although Zhang told Tsai about a number of properties that had sold on the same street, Tsai did not ask Zhang to provide a full market analysis.</w:t>
      </w:r>
    </w:p>
    <w:p>
      <w:pPr>
        <w:numPr>
          <w:numId w:val="3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142 has been corrected:</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Tsai did not intend to cause economic harm to Li as an end itself, nor did he have an ulterior purpose that resulted in harm to Li. He simply, albeit without a good legal rationale, did not want to complete the transaction because he thought he had been "stiffed" by Zhang and Li. ...</w:t>
      </w:r>
    </w:p>
    <w:p>
      <w:pPr>
        <w:numPr>
          <w:numId w:val="3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143 now reads: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makes it unnecessary for me to address a concern I have that was not argued at trial. This is whether the tort of illegal means is available where the contractual right of action forming the basis of the claim has been assigned. As illustrated in this case, that could conceivably lead to double-liability; namely, the tort claim and a claim by the assignee for breach of contract. I express no opinion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 MYERS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0"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Wahid v. Caporusso, [2016] B.C.J. No. 1994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Maisonville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6-10 and 13-15,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M121561, M136834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1994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1743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Salma Shareen Wahid, Plaintiff, and Ruben Caporusso, MAG Italstone Ltd. and Honda Canada Finance Inc., Defendants And between Salma Shareen Wahid, Plaintiff, and Robin Clifford Guthrie and Candace Nicole Guthrie,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1"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1" w:name="Keywords_40"/>
      <w:bookmarkEnd w:id="281"/>
      <w:r>
        <w:rPr>
          <w:rFonts w:ascii="arial" w:eastAsia="arial" w:hAnsi="arial" w:cs="arial"/>
          <w:b/>
          <w:color w:val="000000"/>
          <w:sz w:val="20"/>
          <w:lang w:val="en-US" w:eastAsia="en-US" w:bidi="ar-SA"/>
        </w:rPr>
        <w:t>Damages — Types of damages — For personal injuries — Cost of future care — Loss of earning capacity — Non-pecuniary loss — Pain and suffering — Action for personal injuries suffered in two motor vehicle accidents allowed — Plaintiff, now 32, suffered soft tissue injuries resulting in chronic pain — Plaintiff was RCMP officer — Plaintiff was awarded $10,000 in non-pecuniary damages, $20,000 for loss of overtime, $200,00 for loss of earning capacity and $35,000 for future care costs — Plaintiff did not sustain loss in income — Plaintiff had been rendered less capable overall from earning income from all types of employment and would likely leave RCMP due to her chronic pain.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2" w:name="Case Summary_32"/>
            <w:bookmarkEnd w:id="2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2010 and a 2011 motor vehicle accident. The plaintiff, now 32, was rear-ended in both accidents. She sustained soft tissue injuries to her neck, back, shoulder, and arms resulting in chronic pain syndrome. The plaintiff was an RCMP officer. Prior to the accidents, she was able to clean, do household repairs and look after her rental properties. Since the accidents, she has had to rely upon her father to help her out. The plaintiff in 2015 earned $90,754, not taking into account her rental income. In 2014, she earned $85,033.75. In 2013, she earned $81,613.79. In 2012, she earned $82,508. In 2011, she earned $77,395. The plaintiff had lost no wages as a consequence of these accidents.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3" w:name="Holdings of Court_27"/>
            <w:bookmarkEnd w:id="28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totalling $358,382. The court accepted the experts' evidence that the accidents contributed in a material way to the plaintiff's chronic pain syndrome. The plaintiff had attempted numerous modalities of treatment to recover from her chronic pain syndrome and none had yet been successful. The court accepted that her pain would slowly improve with time but that she would likely continue to have mild symptoms of neck and low back pain for the foreseeable future. The plaintiff was awarded $100,000 for pain and suffering. She would have worked some overtime and was awarded $20,000 for past loss of opportunity including loss of overtime. Given that the plaintiff continued to work, would likely continue to work, would not sustain any measurable loss of income from a constable's position, and her chronic pain syndrome at night, it was better to use the capital asset approach to determine her loss of income earning capacity. The plaintiff had been rendered less capable overall from earning income from all types of employment. She had lost the ability to take advantage of all job opportunities as a consequence of both accidents. She was also less valuable to herself as a person capable of earning income in a competitive labour market. There was a real and substantial possibility that she would leave the RCMP due to her chronic pain syndrome. If she left the RCMP, there would be the loss of her pension as well worth possibly hundreds of thousands of dollars. She was awarded $200,000 for loss of earning capacity. As she had established that there was a possibility that she might leave the RCMP at some point in the future, an award of $35,000 was a reasonable present valuation of her future costs of care needs.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4" w:name="Counsel_40"/>
      <w:bookmarkEnd w:id="2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B.W. Veale.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in both actions: C.J. Watson.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5" w:name="Judgment_39"/>
      <w:bookmarkEnd w:id="285"/>
      <w:r>
        <w:pict>
          <v:line id="_x0000_s1223" style="position:absolute;z-index:2518026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Plaintiff's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Current Personal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First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Plaintiff's Care Following the First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Treatment Modalities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Second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Treatment Modalities After the Second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Return to Work and Pay Increases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Evidence of Constable Lisa Penney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Evidence of the Plaintiff's Parents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Constable Justin Sangha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Constable Giuseppe Vilardi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Abedom Tekle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Steven Helper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Richard Kendall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EMPLOYMENT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Gerda Murray - Occupational Therapist Dean Powers - Vocational Rehabilitation Expert Dr. Jeffrey Young - Economist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LAW ON CAUSATION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CAUSATION EVIDENCE - POSITION OF THE PARTIES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DISCUSSION AND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Experts' Evidence - Review of Causation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Law on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Discussion on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Past Loss of Income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Past Loss of Opportunity including Loss of Overtime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SPECIAL DAMAGES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 OF AWARD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 MAISONVILLE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Salma Shareen Wahid, is a Royal Canadian Mounted Police ("RCMP") officer who resides in Surrey, B.C. She was involved in two motor vehicle accidents. In both of these accidents, she was in a vehicle that was rear-ended. In the first accident, she was a passenger in a vehicle driven by her father and in the second accident, she was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accident occurred on April 27, 2010 ("first accident") when the plaintiff was 26 years old. The second accident occurred on November 17, 2011 ("second accident") when she was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Liability is not an issue in either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claims damages as a consequence of both motor vehicle accidents. Specifically, the plaintiff claims damages for pain and suffering and loss of enjoyment of life stemming from injuries to her neck, back, shoulder, and arms. She also claimed she suffered from abrasions and bruise initially as well as from headaches, loss of sleep, abrasions, bruises and strains, loss and restriction of movement, and that she continues to suffer from these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also claims past income loss and special damages in respect of mileage to her various treatments, some minor amounts for medicines and prescriptions, future loss of income, and past and future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liability has been conceded by the defendants, the issues remaining to be determined are:</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injuries sustained by the plaintiff;</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income loss;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is a 32-year-old RCMP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was born in Fiji and, together with her family, she moved to Canada when she was a young girl. The family initially settled in Edmonton, Alberta. She has an older brother, Abdul Azim, an older sister Gul Shareen, and two younger twin brothers, Muizz and Muzill.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Prior to the accident, the plaintiff had a mostly happy and active life. The family moved to the Lower Mainland in Vancouver, B.C. part-way through the plaintiff's high school years. She was an honors high school student, and she would often take summer school in order to get to a competitive edge for the following school year. She ended up finishing high school a semester early. Following high school, she worked for Tim Hortons, the Insurance Corporation of British Columbia ("ICBC"), and the Bank of Nova Scotia in various capacities.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briefly moved back to Edmonton before eventually returning to and settling in the Lower Mainland, Vancouver, B.C. Once back, she worked for Intrawest Restaurants, and later for Future Shop, being the only commissioned sales associate at her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2004, the plaintiff commenced taking accounting and business courses at Douglas College. However, she was not successful in those courses and she dropped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2006, she became a correctional officer and commenced working at the Surrey Pre-Trial Services Centre and the Fraser Regional Correctional Centre in Maple Ridge. In total, she worked for the Correctional Service of Canada for approximately two-and-a-half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October, 2008, while she was working as a correctional officer, she applied for and was accepted into an accelerated RCMP program, training with the RCMP in Regina, Saskatchewan to become an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March 23, 2009, she graduated from RCMP Depot. She applied only for three positions and all of them were located in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describing her three choices of positions and location to work during trial, the plaintiff became emotional and started to cry. It was evident to the Court that the plaintiff is very close to her family and that was the primary motivation of her choice of selecting the Lower Mainland areas for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present, the plaintiff lives with her family. Her home life is a full and happy one, although she has occasional issues with her sister in terms of sharing the chores around the house. Before and after the first accident, she lived in a house with her parents, her older sister Gul Shareen, and her younger twin brothers. Gul Shareen's daughter, Faatimah, also lives in the home. There is a separate basement suite, in which her eldest brother, Abdul Azim lives with his wife, Fauzia and their four-year-old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Prior to the accidents, the plaintiff would help her father with outside yard work including working with gravel, mud, soil, and landscaping. Doing hard work in the yard was something that she enjoyed very much, including "lugging a wheelbarrow" about the property. In respect of chores inside of the home, the plaintiff was responsible for looking after her own bedroom, which was one of the master bedrooms in the home, as well as helping her mother and her sister with cooking and cleaning. The plaintiff particularly enjoyed baking.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her leisure time, she was very active in sports -- not organized or competitive sports -- but enjoyed playing pickup basketball, soccer, and tennis, hiking the Grouse Grind, running, and kayaking on occasion. She also enjoyed working out at the gym doing weights and cardio, as she hoped to build muscle because of her small stature. The plaintiff is 5 feet 6 inches tall and weighs approximately 118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Socially the plaintiff was very active. She would also go to dinners, parties, weddings and, in general, would spend her time with her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was married in September 2010 and moved out of her house after her first accident. The marriage did not work out for the parties, and the plaintiff, who lived at her husband's family home during their brief year-long marriage, moved back to live with her own parents and family in September 2011. She testified that her then husband had to help her with matters due to her pain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Her father, Abdul Wahid, testified. He indicated that prior to the accidents, the plaintiff would help out in the yard; they would wash cars together, sometimes she would wash his alone and he would wash hers. She was extremely helpful to her family and would drive to pick up the children, including her younger brothers. She enjoyed grocery shopping.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was described by all the witnesses as a happy person and a physically active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Her family is religious and while she is not extremely devout, they would pray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is a very hard worker and is ambitious. At the age of 32, she already owns a condominium and a house in Chilliwack both of which she rents out. Prior to the accidents, she was able to clean, do household repairs and look after her rental properties, particularly in between tenants when major work had to be done in terms of painting and going over to refresh the residences.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Since the accidents, she has had to rely upon her father to help her out. When the tenants were not at her properties, she was responsible for lawn mowing and hedge cutting. Her father also helps her clean the properties when tenants have moved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Prior to the accidents, she was not entirely pain-free. She had seen her family doctor in April 2010, when she had an infection and fever. Her family doctor put her on antibiotics. There were some complaints by her then of a left side neck pain but she described this as not being of the same nature as the pain she has after the accidents. She attributed her left side neck pain to her cold or alternatively to the infection. She had this left side neck pain, as well as left shoulder pain, for a few days. In addition, she had fever and chills. Her family doctor prescribed massage therapy for the pain in her neck, shoulders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Her mother, Mrs. Wahid, testified that prior to the accidents, the plaintiff had always been helpful around the house: cleaning her own room and helping with the groceries and the driving. However, since the accidents, the plaintiff has been unable to assist with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Mrs. Wahid was quite candid that none of her children really assist with errands around the home. Mrs. Wahid takes it as a matter of pride to keep her home neat and tidy, and will happily assume these tasks herself. When asked if she was to pass by the plaintiff's room, for instance, and see that her bed was unmade, Mrs. Wahid said that she would take it upon herself to do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works for the RCMP as a constable and is presently working with the Investigation Support Team ("IST") for a one year term. She was selected for this post after applying for it. After that, if there is no continuation of that position, she will go back to general duty. She has written and passed her corporal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IST, she is dressed in plain clothes.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She has a service belt as well and when working general duties she also wears her vest which also has a radio. Those items all together weigh 25 to 30 pounds. They which include a firearm, a magazine for the firearm and handcuffs.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Current Personal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is presently engaged to Constable Giuseppe Vilardi, who is also a member of the RCMP. They met while she was working at the Langley detachment. In October 2014, they began dating. They became engaged in March 2016.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April 27, 2010, the plaintiff was in her father's 2008 Acura vehicle. Her mother was seated in the front passenger seat and the plaintiff was in the back seat behind her father. Also in the back seat were her niece Faatimah and her brother Muzill.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was wearing her three-point seat belt and the car they were in was travelling on 160th Street at the intersection of 96th Avenue in Surrey, stopped for the light in the left turn lane to go east on 96th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They had just picked up the children from school; the plaintiff was talking to her mother and had her head turned slightly to the right. All of a sudden, the car was hit. The plaintiff at first could not figure out what had happened but realized that they had been hit from the back. Her father exited the vehicle to speak with the driver, Mr. Ruben Caporusso. Very suddenly, it was apparent that there was going to be a heated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 fire truck arrived on the scene. Mr. Caporusso, who had been overly aggressive to Mr. Wahid, including grabbing Mr. Wahid's pen from Mr. Wahid's shirt pocket, was not cooperating but upon the arrival of the fire truck he calmed down sufficiently to approach the firemen whom the plaintiff had enlisted to help with the exchange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Mr. Caporusso was not a credible witness. He appeared in the witness box to be angry. He testified at this trial that he had felt nothing with respect to the collision until he was confronted with his examination for discovery evidence where he acknowledged that there had been an impact in which he felt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first, Mr. Caporusso attributed this important difference in his evidence from the discovery to the evidence at the trial to issues with language. He indicated to the Court that he had been in Canada for several decades. As a consequence of his answer about language difficulties, he was offered an Italian-speaking interpreter. He declined to have an interpreter and then acknowledged simply that he had been wrong. His anger was evident in the manner of his gesticulations with hands and arms in the air and in his answers. He tried to minimize the impact of the accident. He downplayed his aggressive actions of seizing a pen from the plaintiff's father, and refused to acknowledge candidly that he had answered differently at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do not accept Mr. Caporusso's evidence on the extent of the impact, given his actions and his demeanour in the witness box while testifying in Court. I will return to this further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any event, it is evident that the first accident was not a no-damage incident, as the estimates for repair of the plaintiff's father's vehicle were $1,060.26.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Following the exchange of information between the parties, the plaintiff and her parents proceeded away, as their car was still able to be driven. The plaintiff did not feel any significant symptoms initially, but within a day or two, she began to feel pain in her neck and upper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Care Following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agreed that following the accident she initially went to see her family doctor on only two occasions, on May 6 and 19, 2010, and then again in November of that year, likely in response to a request from ICBC to complete the Form CL-19 with respect to how she was doing. The November visit to her family doctor, Dr. Abedom Tekle, on November 22, 2010, was for the purpose of completing the Form CL-19.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testified, however, that while she did not feel well and continued to have neck and back pain, she decided not to have any treatment for her pain in terms of attending at her family doctor, except that she went to the Back and Body Wellness Centre on June 3 and 4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did not initially miss work and followed a Graduated Return to Work program ("GRTW") starting first with light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Starting in August 2011, the plaintiff felt that she could no longer cope with the pain that she was feeling and she commenced treatments of massage therapy and physio therapy and acupuncture at the Back and Body Wellness Centre and the Legacies Health Centre. She testified that the pain began to worsen during that period of time from the first accident until the summer of 2011. She had difficulty with moving her neck and it became more aggravated at work, particularly when she was driving the cruiser. She was in constant pain, she testified, mainly to her left side. She had particular difficulty with mobility, neck stiffness and tightening up. On her left side, there was a lot of tension, and she had developed headaches, upper back pain, and shoulder pain which she testified became apparent in the first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the RCMP, the plaintiff works four days and then is off for another four days. She found that in her four days off, she would spend the majority of her time resting before she had to go back to work. She was not receiving any additional treatment initially because she testified that she felt she would get better over time. Being a young person, she said, she thought the pain was likely to go away.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Treatment Modalities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attended at the Back and Body Wellness Centre to get assistance with her neck because, during that period of time, her neck stiffened up and she had difficulty getting out of bed. There was a two-week period in which her neck froze up and flared up her injuries. She also took some time off during the period of January to June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those days that she went for massage therapy treatment, she found that they did not provide any relief and were, in fact,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Because the plaintiff did not find the therapy treatment that she received at the Back and Body Wellness Centre to be helpful, on August 4 and 5, 2011, she tried acupuncture. On August 8, 2011, she also attended at Dr. Tekle's office for a more thorough review of 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When she saw Dr. Tekle, she reported that her symptoms had been worse in the previous one to two weeks. She told him that while she had been experiencing pain since the accident, it was worse. On examination, Dr. Tekle found that she had tenderness on her neck and upper back with decreased range of motion on flexion, extension, and right and left rotation of her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massage therapy, Dr. Tekle noted, was painful for her and she was unable to carry on with it. She was off work from August 3 to August 22, 2011, when she was classified as being unfit for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Tekle prescribed a muscle relaxant, Flexeril 10mg, to be taken at bedtime only, as well as Ibuprofen 600mg, to be taken three times a day on an as-needed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as noted, had also tried acupuncture at the Legacies Health Centre with Dr. Yu. She also tried physiotherapy at the Langley Sports Medicine Clinic. She testified, however, she was still in pain. The plaintiff was frustrated because she was not getting better and overall she was missing a lot of work. She felt she was not progressing in her life 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Tekle made an appointment for the plaintiff to have an MRI to explore further what was occurring in terms of her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had been on medical leave from September 9 to 12, 2011, and again on November 4, 2011 was placed on medical leave.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November 17, 2011, at 2:05 p.m., the plaintiff was on her way to attend at the MRI appointment arranged by Dr. Tekle. She was on medical leave at the time of this accident. She was driving westbound on East Broadway near the intersection of Renfrew Street, Vancouver, where she was stopped, when the defendant Robin Guthrie, also driving westbound on East Broadway, collided into the rear of her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no issue with respect to liability. Mr. Guthrie testified that he was doing 20 to 30 km per hour and had just done a shoulder check prior to the accident. He turned his head to look forward and only then he saw the plaintiff's vehicle, and immediately collided with it. He testified that he had seen the plaintiff's vehicle coming from a side street and that during his shoulder check, she must have somehow put her vehicle in front of his to be stopped at the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that while Mr. Guthrie is trying to relate as best he can what he recalls, I accept instead and prefer the evidence of the plaintiff over that of Mr. Guthrie.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find that there was insufficient time, given the purported shoulder check of only one to two seconds, for the plaintiff to have made a turn from a side street to be in front of Mr. Guthrie. She was clearly stopped when his vehicle collided into hers. While Mr. Guthrie was endeavouring to give the best evidence he could, I find that his recall on that is incorrect and I accept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is no issue that this accident had a greater impact on the plaintiff than the first accident with Mr. Caporusso.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testified that she saw a vehicle in her rear view mirror coming directly at her at a speed so fast that she could not go left or right to avoid the collision. It was a sudden collision and she recalled a sensation of darkness like a blackout moment. Her vehicle sustained approximately $2,000 worth of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Treatment Modalities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went to see Dr. Tekle on November 23, 2011. She continued to try through 2012 to see Dr. Tekle and to try massage therapy and physiotherapy as well as acupuncture. By 2013 when she was still not feeling well she went to the Orion health rehabilitation program which was designed to help her transition better to the physical demands of full duties. Orion first performs a program assessment then starts therapies including lifting weights, and doing other tasks which she found difficult. Orion as well had psychologists to help with how to deal with pain. She continued all her modalities of treatment and continued to see Dr. Tekle. She also took 2 treatments from Dr. Kim of platelet plasma therapy in March of 2016. It was expensive costing $550 the first time and then $500 the second time. RCMP only covers $1,250 for the year for treatments and this regrettably was not covered. The plaintiff had hoped it would be a good treatment when all else has failed. She understood it to be repairing the cell area. She finds the treatments helpful.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Return to Work and Pay Increases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her return to work after the November 17, 2011 accident, the plaintiff was earning an annual salary of $73,126. She had remained off work until June 23, 2012 when she started going back to work on a GRTW program. On January 1, 2012, she received a small annual step progression to increase her salary to $74,406 annually. On March 22, 2012, she received an incremental salary increase that brought her to an annual salary of $79,308. RCMP regular members still receive their full pay when on sick leave, as they have unlimited sick leave. On January 1, 2013, she again received an annual step progression salary increase bringing her annual salary to $80,498.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was again on a complete medical leave from January 2014 through May 2014, when she injured her right shoulder in a kettlebell incident at the gym at her workplace. She was training for the Physical Abilities Requirement Evaluation ("PARE"), one of the tests she must perform at her work place, lifting the ball over her head. She dislocated her right shoulder and was taken by ambulance to the hospital. However, she did complete the PARE exam in April 2014, having been medically cleared to do so. She returned to work in May 2014 to light duties and began working full-time from September 2014 onwards.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After her return to work in June 2012, over the course of the following two years, despite efforts at rehabilitation and further graduated returns to work, she was unable to return to work on a fully operational basis. It was not until September of 2014 that she has been on general duties full time on a fully operational basis. She is, as noted, now with IST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She testified that her job at IST is a less physical job and is more of a desk job than general duties and entails prolonged sitting. This is problematic for her. The plaintiff has asked for a standing desk but is unsure when it will come and expects to wait for it to be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testified that she cannot play with her niece and nephew as much as she wants to. Before the accidents, she played frequently with them. It is difficult for her to pick them up and she does not have the same connection to her niece and nephew that she would like. The pain has also affected her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notes that her injuries affect her relationship with her fiancé. She cannot be as active and outgoing due to her pain. She is on a variety of medications, including Ibuprofen 600mg, Cyclobenzaprine and T3s, as she needs them to function. While she does get side-effects from the medication, she must take them to deal with her pain. She testified that she is uncertain about her future with the RCMP and has considered alternative employment, notably with the Canadian Border Services.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Constable Lisa Penney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Constable Penney knew the plaintiff before the accident as an energetic and positive person. She testified to the change that she saw in the plaintiff and that she appeared to be a different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To Constable Penney's eye, the plaintiff presented with a flat affect and she testified that, to her observation, the plaintiff carries herself differently. While not tendered as an expert, Constable Penney has a background in working with people suffering from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Constable Penney was asked if Langley RCMP paid for operational readiness of an individual. She replied they do not.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the Plaintiff's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Both Abdul and Gulsan Wahid, the plaintiff's parents, testified that their daughter is not the same person that she was prior to the accident. Mrs. Wahid testified that she is very close to the plaintiff and they discuss almost everything, but she feels her daughter is sad, she is going through a lot of pain, and she is "not a happy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Wahid's impression of the plaintiff was that "Salma is struggling with which way to go in her life. She goes to work, comes home, she is tired and cannot do much".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Constable Justin Sangha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Constable Justin Sangha also testified. He described the plaintiff as a good worker and a good member. Indeed, his comments echo the work performance reports that were tendered into evidence at trial, supporting the plaintiff as being an excellent member of the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Constable Sangha, however, testified that the plaintiff should not be at work when she is in so much pain, as the RCMP can be a tough environment for people.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Constable Giuseppe Vilardi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Constable Giuseppe Vilardi, the plaintiff's fiancé, is very supportive of the plaintiff. He testified, respecting her work, that it is now very difficult for her to drive a police cruiser.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location of the computer console in police cruisers is difficult for the plaintiff to use. The console is located between the driver's seat and the front right passenger seat. To use the computer, one must get into an awkward position which can cause physical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Constable Vilardi noted that when they started dating, some physical activities were "too much for her". On their days off, they work around the plaintiff's medical appointments. Constable Vilardi would massage her to help with the pain in her back and her legs. It is his impression that there is a lot of stress on her body from the injuries. He testified that despite the pain, she is in a good mood when she is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Constable Vilardi also testified that they hope to have children, possibly in the next two to four years, and that he would like a big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Abedom Tekle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family doctor, Dr. Abedom Tekle, was qualified as an expert in family medicine and prepared three medical-legal reports, which were tendered as evidence. These reports follow the plaintiff's visits from May 6, 2010 to November 23,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Tekle gave evidence regarding the plaintiff's visit to his office on April 15, 2010, two weeks before the first accident. The plaintiff indicated that she had seen Dr. Tekle two weeks before the accident for the flu. However, the notation "F/U" in Dr. Tekle's clinical notes was indicated by him to mean follow-up, not flu.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However, Dr. Tekle read directly from his clinical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Complained of left side neck pain as well as left shoulder pain for a few days. Fever. No chills. Objective examination very tender left submandibular 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From his evidence, I determine that the plaintiff was correct in stating she had seen Dr. Tekle for the flu given the reference to fever and chills.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Tekle prescribed penicillin for the gland infection and massage therapy for the plaintiff's neck, shoulder and back, that he testified was unrelated to the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May 6, 2010, one week following the first accident, the plaintiff attended at Dr. Tekle's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Tekle stated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couple of days later she had neck and upper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Tekle noted mild tenderness on the plaintiff's upper back. Neck and shoulder range of motion was observed to be within normal limits and she was told to follow up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second visit after the first accident was on May 19, 2010. Again, the plaintiff complained of neck, upper back, and left shoulder pain. In cross-examination, Dr. Tekle agreed that these were the same complaints that the plaintiff had made two weeks before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Tekle saw the plaintiff again for a thyroid condition in August 2010. This is unrelated to the accident and irrelevant to her injuries. Following that, there was a visit on November 22, 2010, for the purpose of filling out an ICBC CL-19 report in connection with the first accident. The plaintiff complained of neck, upper back and bilateral shoulder pain, as well as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next visits in December 2010 and March 2011 were for a further thyroid condition, unrelated to the accident. The plaintiff's thyroid condition is under control through a medication prescribed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plaintiff's next visit in connection with the accident was on August 8, 2011. Dr. Tekle recorded in reference to the time between the November visit and that one that the plaintiff had "done fairly well throughout the following several months". However, she reported feeling worse in the past one to two weeks preceding the visit. For the first time, Dr. Tekle noted in his chart on examination that the plaintiff had a decreased range of motion in her neck. He prescribed muscle relaxant and pain killers. Given the plaintiff's very small build, Dr. Tekle was concerned about the weight of her work gear, which can include the bullet proof vest in addition to her full service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his report, Dr. Tekle addressed the plaintiff's spine X-ray of October 20, 2011, which revealed mild to moderate kyphosis, which is curvature of the spine and unrelated to the accident. It also shows spondylosis of the cervical spine, which Dr. Tekle explained was a condition resulting simply from age and wear and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connection with the MRI of November 17, 2011, the X-ray also showed spondylosis which, as noted with the spondylosis found in the X-ray, was an age-related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Tekle also noted the plaintiff's condition from December 14, 2011 to April 9, 2014. The plaintiff reported to him that her knee gave out on January 1, 2012, while she was walking. There was no suggestion this was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As noted above, the plaintiff had been injured in a kettlebell incident in January 2014 while training for her PARE exam. Dr. Tekle, in his second report, indicated this was "directly related to the motor vehicle accidents", but retreated somewhat from this position while testifying in cross-examination, agreeing that it was too strong language. However, he did state that the plaintiff was deconditioned from her accident and, as a consequence, she was unable to equipment properly and sustained the kettlebell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Tekle wrote his third report tracking the plaintiff's condition from May 1, 2014, to December 16, 2015, which incorporated the MRI taken on August 15, 2015, which showed degenerative disc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suffers from numbness and tingling in her hands and legs, which Dr. Tekle believes are likely related to small protrusions and disc bulges of the plaintiff's neck and lower back. It is possible that these protrusions and bulges are age-related. However, Dr. Tekle did not agree that it was likely that these were age-related; he simply did not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summary, Dr. Tekle's diagnosis was soft tissue injury to the plaintiff's muscle and joints. He agreed with the suggestion that he would defer to the opinion of an orthopedic specialist or to a neurologist in relation to his diagnosis where there was a differing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Steven Helper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called Dr. Steven Helper as a witness, who prepared three reports that were before the Court. Dr. Helper was qualified as an expert in the area of physical medicine and rehabilitation. His diagnosis was that the plaintiff suffers from persistent pain but that he cannot explain the cause. In that regard,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educate the court as to why, exactly, this individual has persistent pain. I recognize the lack of objective findings on examination. Ms. Wahid has not given me reason to doubt the authenticity of her pain experience, between February 5, 2013 and October 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connection with the part of his report indicating that there were no objective findings, Dr. Helper was anxious to emphasize to the Court that he did not believe Ms. Wahid was exaggerating or "faking" her symptoms; rather, he was endeavouring to point out to the Court that there were no objective findings in relation to her injuries, although there is no doubt that she has ongoing low back pain complaints and soft tissue mediated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Helper agreed that it was unusual for an individual to present with pain at the level experienced by the plaintiff without an event and agreed that the pain could have been caused by the accident which occurred one and a half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Helper's prognosis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Wahid's prognosis for a full recovery from her neck pain complaints and low back pain complaints is poor. Ms. Wahid's prognosis for further partial improvement in her neck pain complaints and low back pain complaints is good.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Wahid has now been experiencing chronic pain for over five years. Her prognosis for a full recovery from her chronic pain experience is unlikely.</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Wahid describes a small degree of improvement in her chronic pain experience and her tolerance of her chronic pain over the last two years. This is a positive prognostic factor.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Wahid demonstrates only mild findings on physical examination of the cervical spine, lumbar spine, and hips. Her physical examination suggests there is no obvious mechanical or neurological dysfunction, which would directly impact her functional abilities.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Wahid's chronic pain experience most likely reflects ongoing soft tissue pain and sensitivity that is perpetuated by altered pain processing mechanisms at the level of the brain and spinal cord. Once these central pathways have been altered, they can become permanent. </w:t>
      </w:r>
      <w:r>
        <w:rPr>
          <w:rFonts w:ascii="arial" w:eastAsia="arial" w:hAnsi="arial" w:cs="arial"/>
          <w:color w:val="000000"/>
          <w:sz w:val="20"/>
          <w:u w:val="single"/>
          <w:lang w:val="en-US" w:eastAsia="en-US" w:bidi="ar-SA"/>
        </w:rPr>
        <w:t>Improvements typically occur slowly and are incomplete. l would expect Ms. Wahid's pain experience to very slowly improve with time and a further dedication to a slowly titrated fitness lifestyle. She will likely have mild symptoms of neck pain and low back pain for the foreseeable future, even once further improvements are achieved.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Accordingly, Dr. Helper holds out some hope for improvement of the plaintiff. He does not believe there is anything psychologically or psychiatrically wrong with the plaintiff; rather, she is depressed as a result of her symptoms. Dr. Helper testified that he believes seeking the aid of a psychiatrist may help her with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Helper notes that the plaintiff is presently working for the RCMP full-time without limitations. While she misses occasional days of work for escalated pain complaints, she has been able to work full-time for the most part over the last year. Even though she performed poorly on her PARE exam in 2015, she performed well enough to return to general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Helper also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impression that Ms. Wahid is underperforming relative to the average individual with her physical presentation. Ms. Wahid demonstrates mild findings on physical examination. Overall, her physical examination demonstrates normal quality of motion, strength, and flexibility.</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Ms. Wahid's function cannot be assessed based upon the physical examination alone. Ms. Wahid is experiencing symptoms of neck pain and back pain in the presence of a chronic pain syndrome. It is my impression that altered central processing of pain has now become part of the pathogenesis of her condition.</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Wahid's experience of increased pain, decrease in musculare endurance, and a sense of fatigue with repeated activities or sustained activities are common for this type of presentation. Due to the lack of objective findings, the assessing physician must determine whether the patient's history and physical examination are in keeping with their frame of reference for patients with similar presentations. The assessing physician must consider the perceived authenticity of the patient's pain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conclusion, Dr. Helper opined the plaintiff suffers chronic pain syndrome but he also believes she will enjoy some improvement. Her chronic pain does not prevent her from working full-time as an RCMP officer.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Richard Kendall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Richard Kendall is an orthopedic surgeon and was qualified to give evidence on the diagnosis, causation, and prognosis of musculoskeletal injuries and conditions. He was called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his first report dated February 4, 2015, Dr. Kendall indicated, as had Dr. Helper, that the plaintiff had widespread symptoms. She had worsening of her widespread symptoms following the second accident, and was again off work for a longer period of time. Dr. Kendall believes she has chronic pain syndrome, not secondary to a discrete anatomic structure. He testified that this does not negate her saying there is pain, and that he agrees with Dr. Helper on this point. He did note it was unusual to have such a long period of time between the motor vehicle accident and flare-ups 16 months after the accident, stating in his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apparent reason for her flare-up 16 months after the accident in question. This is unlikely to represent further physical injury, especially in the light of lack of a significant traumatic event. The more likely cause is increasing psychosocial stressors modulating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respect of Dr. Kendall's opinion of the plaintiff's state following the accident, she either had a good coping mechanism, or was not in persistent pain after the first accident and the clinical records and work history did not support what she was indicating. He disagreed with an explanation for the plaintiff's problem being prior symptoms worsening but he allowed for that possibility. In his opinion, the plaintiff had sustained mild intermittent soft tissue symptoms in her neck and upper back following the first accident. In his second report dated April 12, 2016,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agree that any apparent psychological symptoms need to be assessed and addressed as they can have a detrimental effect on her perception of symptoms and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agree that her prognosis remains guarded given the time that has passed.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agree that her prognosis remains guarded based on the latest descriptions of her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most difficult aspect of this file to assess is her capabilities, as she continues to work in spite of complaints of pain. The physical findings are purely subjective and there are no reliable objective findings to help assess her level of disability. In fact, during the OT assessment, it is noted that </w:t>
      </w:r>
      <w:r>
        <w:rPr>
          <w:rFonts w:ascii="arial" w:eastAsia="arial" w:hAnsi="arial" w:cs="arial"/>
          <w:i/>
          <w:color w:val="000000"/>
          <w:sz w:val="20"/>
          <w:lang w:val="en-US" w:eastAsia="en-US" w:bidi="ar-SA"/>
        </w:rPr>
        <w:t>"She performed tasks that ranged from limited to heavy strength work (up to 50 lb). Signs of reduced activity tolerance were observed during testing with sustained postures (sitting and standing, but were most difficult with work-intensive postures and any work-intensive sitting and standing postures)."</w:t>
      </w:r>
      <w:r>
        <w:rPr>
          <w:rFonts w:ascii="arial" w:eastAsia="arial" w:hAnsi="arial" w:cs="arial"/>
          <w:color w:val="000000"/>
          <w:sz w:val="20"/>
          <w:lang w:val="en-US" w:eastAsia="en-US" w:bidi="ar-SA"/>
        </w:rPr>
        <w:t xml:space="preserve">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apparent that if she is allowed to maintain a variety of postures throughout the day and to change positions throughout the day that her symptoms are much more tolerable.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summary, Dr. Kendall agreed she has a guarded prognosis but because the plaintiff continued to work and there were no objective findings. He found it difficult to assess her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EMPLOYMENT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as noted, presently works in the specialized unit IST of the RCMP. As an RCMP officer, she frequently must drive a police cruiser and must wear heavy gear.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is clear that the plaintiff aspired to be a police officer and enjoys her work enormously.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Tendered into evidence were the performance review and learning plans for the plaintiff, which can only be summarized as disclosing no performance issues in connection with her review dated October 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performance review was conducted by Inspector Peter Jadis who indicated: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Constable Wahid arrives to work on time and her deportment in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always professional. Constable Wahid is kind and caring in her demeanour with other staff and the public. I have never received any negative feedback about Constable Wahid from the public or other staff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Constable Wahid has received several positive 1004s for her work over the past fiscal year. One for her role in dealing with a male suffering from what appeared to be Excited Delirium. She remained calm and was able to assist in bringing the situation to a resolution through verbal and physical interaction. The second was for her going above and beyond with her follow up with a mother and son who were struggling with their relationship and behavioural issues. Constable Wahid received acknowledgement for her assistance and that her efforts lead to the youth changing direction in his life and was also able to obtain a job and it was believed that Constable Wahid's interactions were the catalyst of this change.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Constable Wahid is a very competent member and does not shy away from situations of conflict but could benefit from presenting with a higher level of confidence in her knowledge and abilities then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she portrays at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performance issues to speak of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Constable Wahid is up to date on all her mandatory training.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Constable Wahid will be transitioning from the Watch to her new position on the 'B' Watch IST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Inspector Peter Jadis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Great work this year and very positive comments. Continue to mentor junior members and good luck on 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in 2015 earned $90,754, not taking into account her rental income derived from her properties. In 2014, she earned $85,033.75. In 2013, she earned $81,613.79. In 2012, she earned $82,508.92. In 2011, she earned $77,395.25.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has lost no wages as a consequence of these accidents. However, during the course of the trial from other members of the RCMP who testified, namely Constables Vilardi and Sangha, and from the plaintiff, there was reference to the overtime wages which can be obtained and are readily available.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testified in relation to her overtime. In the past, she had not taken on extra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Both officers Sangha and Vilardi testified as to the overtime pay that is readily available to RCMP officers and which can be taken on if healthy, which in the plaintiff's case, could amount to a further $11,000 to $12,000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With respect to overtime, the plaintiff indicated that when asked by the vocational rehabilitation consultant, Dr. Dean Powers, she indicated to him that she was working four to six hours overtime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was then asked how that compared to prior to the accident. Her answer, after some hesitation, was that she did not remember working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 further manner in which RCMP officers can receive extra pay is through operational readiness, being on call and ready to report for duty, but the plaintiff was unable to say whether the Langley detachment had that. She agreed in cross-examination that she had never received operational readiness pay either before or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respect of special damages, the plaintiff had the good fortune to be working for the RCMP, which had an extensive coverage plan for chiropractic, physiotherapy, medications, massage therapy and counselling. In terms of special damages, there were no expenses claimed except for mileage, which is by agreement between counsel and has been settled, should the Court determine that the plaintiff's injuries were caused by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Gerda Murray -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Gerda Murray was called by the plaintiff as an expert in the field of occupational therapy, and testified on the cost of future treatment of the plaintiff. She prepared two reports, one on physical capacity and one on cost of future care. She noted the following about the plaintiff:</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a full range of motion;</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normal strength in all muscle groups;</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cardiovascular testing was "good";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could sit for two hours at a time without a break, but that was with "frequent postural adjustment and reports of increased symptoms" in lifting herself on her arms;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met the baseline standard for standing for prolonged periods of time with "static standing" restricted to 45 minutes; and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no problems walking, and she had the ability to bend the full range of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Murray noted that at the time she saw the plaintiff she was 5 feet 6 inches tall and weighed 110 pounds. The plaintiff could lift a box weighing 40 pounds; from the floor to knuckle 50 pounds; from shoulders to overhead 30 pounds; and from the floor to overhead 20 pounds. She safely carried a box weighing 40 pounds for 60 feet and pushed and pulled a weighted sled of 40 pounds for 30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Based on the testing she performed on the plaintiff, Ms. Murray's conclusion was that the plaintiff only has the capacity to work on a part-time basis, six hours a day, with restrictions. She held the opinion that the plaintiff is restricted from full-time work because her tolerance had declined by the end of the assessment day and there were signs of fatigue.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Dean Powers - Vocational Rehabilitation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Dean Powers testified as a vocational rehabilitation expert. In his opinion, the plaintiff, as a consequence of the two motor vehicle accidents, has significantly reduced "stamina, tolerance, and functional and cognitive capacities for employment as an RCMP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Dean Powers wrote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reported in interview leaving shifts early, missing days of work, taking weeks and months off to rest and recover, minimized her participation in extracurricular and homemaking activities, protracted ingestion of pain medications and she has received various therapies and treatments, all with no substantial abatement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Powers' February 2, 2016 report set out:</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research indicates that police work occasionally involves high risk situations. Police officers must remain alert and focused at all times, and able to problem solve and defuse emotionally charged encounters quickly, efficiently and safely following preordained procedures. Ms. Wahid's chronic pain and associated cognitive residuals interfere with her cognitive processes including memory, concentration, and alertness. A brief psychological screen administered during my assessment is suggestive of elevated symptoms of anxiety and depression, two conditions that can result in cognitive diminishment. I defer to specialists in the field to opine further on the matter. ...</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Ms. Wahid is struggling to sustain her employment as a police officer and I am guarded as to how long she can persevere without experiencing further deterioration of her psychological and physical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Furthermore and in my opinion, Ms. Wahid's ongoing symptoms, functional limitations, and constraints to part time employment substantially narrows the number of occupations available to her in the open labour market. She is no longer competitively employable and permanently partially disabled for occupations that fall beyond her demonstrated capacities in my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While Mr. Powers believed the plaintiff may potentially be at risk as a police officer due to what he termed "cognitive diminishment", he would defer to others who were specialists in that field.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Jeffrey Young - Economist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additionally called Dr. Jeffrey Young, an economist qualified to give evidence on the present value calculations of future care cost and on values relating to earning capacity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Young had postulated one situation in which the plaintiff left the RCMP within two years. He suggested different scenarios. The first scenario involved the plaintiff becoming a Border Services Officer including a transfer of her pension. The second scenario involved the plaintiff, unable to become a Border Services Officer because she was unwilling to leave her family in the Lower Mainland or because she was unable to do the work, finds alternate employment in sales or administration, taking a deferred RCMP pension. Those scenarios were contrasted with what her earnings would have been had she stayed with the RCMP for a career of 25 years where she remained a constable, or alternatively, 25 years where she was promoted to Corporal at the 15-year mark.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It was clear from the plaintiff's evidence that she wished to remain with the RCMP. On her behalf, it was argued, however, that this scenario of continued employment with the RCMP was uncertain. Should she leave within two years and not find employment, Dr. Young assessed her losses in earnings at $2,050,900 if she worked up to 60 years of age, not including overtime pay loses and assuming she attained the rank of Corporal after 15 years of service. Should the plaintiff not attain the level of Corporal, her losses in earnings would be $1,995,300.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alternative career, which is less physically demanding, but one she could perform, should Ms. Wahid leave the RCMP, would be an agent for Canada Border Services. This career would give her lifetime earnings of $1.4 million, giving her a loss of $600,000. Other jobs such as those she performed prior to joining the RCMP would result in lifetime earnings of $822,000, leaving her a loss of roughly $1.2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terms of lost overtime opportunities, they were not considered by Dr. Young. However, it is of note that the plaintiff had only approximately one year as a police officer prior to the accident occurring and, accordingly, had little opportunity to work much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 further major loss that could occur, if the Court accepts the evidence respecting the plaintiff leaving the RCMP, would be her pension loss, which would be a loss in the hundreds of thousands, depending on the scenario. Dr. Young did not provide to the Court any evidence respecting tax gross-up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factors to be considered when assessing credibility were summarized by Justice Dillon at para. 186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affirmed </w:t>
      </w:r>
      <w:hyperlink r:id="rId696"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leave to appeal to SCC refused </w:t>
      </w:r>
      <w:hyperlink r:id="rId697" w:history="1">
        <w:r>
          <w:rPr>
            <w:rFonts w:ascii="arial" w:eastAsia="arial" w:hAnsi="arial" w:cs="arial"/>
            <w:i/>
            <w:color w:val="0077CC"/>
            <w:sz w:val="20"/>
            <w:u w:val="single"/>
            <w:shd w:val="clear" w:color="auto" w:fill="FFFFFF"/>
            <w:lang w:val="en-US" w:eastAsia="en-US" w:bidi="ar-SA"/>
          </w:rPr>
          <w:t>[2012] S.C.C.A. No. 392</w:t>
        </w:r>
      </w:hyperlink>
      <w:r>
        <w:rPr>
          <w:rFonts w:ascii="arial" w:eastAsia="arial" w:hAnsi="arial" w:cs="arial"/>
          <w:color w:val="000000"/>
          <w:sz w:val="20"/>
          <w:lang w:val="en-US" w:eastAsia="en-US" w:bidi="ar-SA"/>
        </w:rPr>
        <w:t>, in which Her Ladyship noted an assessment of a witness' testimony for trustworthiness is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Dillon J. continued, still at para.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Chorny</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It is important to note, additionally, that any expert opinion resting upon a hypothesis which in turn is not found to be convincing or credible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at paras. 15,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find the plaintiff to be a credible witness who gave her testimony as accurately as she could. I accept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Similarly, all of the expert witnesses gave their evidence in a forthright manner and endeavoured to be truthful and honest. I find that they were candid and forthright in their answers, both on direct and in cross-examination. I accept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However, I do not find the accounts of the two defendants to be credible but for different reasons. I find that Robin Guthrie, who was the driver in the second accident, was simply mistaken. I accept and prefer the plaintiff's evidence that she was travelling straight on the road and not turning from a side street, such that she placed herself immediately before the defendant's vehicle, resulting in him having no place to go but to collide with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respect of the first accident and its impact, I do not accept the evidence of Mr. Caporusso, for the reasons set out in this judgment. I find that he was demonstrably argumentative, and when the contradictions in his evidence at his examination for discovery were put to him, he endeavoured to rely on a number of excuses as to why that had occurred. He clearly demonstrated he has some anger issues, given that he had, at the scene of the accident, physically grabbed the plaintiff's father's pen from his clothing. I find that it is difficult to accept his evidence when he tried diminishing the impact of that accident, given that there were damages in particular to the vehicle that were assessed. I reject his evidence in its entirety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LAW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plaintiff must establish on the balance of probabilities that the two accidents caused or materially contributed to her chronic pain syndrome.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but it must be part of the cause and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Causation is not to be determined by a scientific precision: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 to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Causation is established where the plaintiff proves to the civil standard on a balance of probabilities that the defendant caused or contributed to the injury: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i/>
          <w:color w:val="000000"/>
          <w:sz w:val="20"/>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To borrow an example from Professor Fleming (The Law of Torts (8th ed. 1992) at p. 193), a "fire ignited in a wastepaper basket is . . . caused not only by the dropping of a lighted match, but also by the presence of combustible material and oxygen, a failure of the cleaner to empty the basket and so forth". As long as a defendant is </w:t>
      </w:r>
      <w:r>
        <w:rPr>
          <w:rFonts w:ascii="arial" w:eastAsia="arial" w:hAnsi="arial" w:cs="arial"/>
          <w:i/>
          <w:color w:val="000000"/>
          <w:sz w:val="20"/>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general test for causation, established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is the "but for" test: "but for" the accident, would the plaintiff have suffered the disabling pain?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Court also stated that a plaintiff need not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If there are other potential non-tortious causes, such as the plaintiff's spinal degeneration in this case, the defendant will still be found liable if the plaintiff can prove the accident caused or materially contributed to the disabling pain, beyond the </w:t>
      </w:r>
      <w:r>
        <w:rPr>
          <w:rFonts w:ascii="arial" w:eastAsia="arial" w:hAnsi="arial" w:cs="arial"/>
          <w:i/>
          <w:color w:val="000000"/>
          <w:sz w:val="20"/>
          <w:lang w:val="en-US" w:eastAsia="en-US" w:bidi="ar-SA"/>
        </w:rPr>
        <w:t>de minimu</w:t>
      </w:r>
      <w:r>
        <w:rPr>
          <w:rFonts w:ascii="arial" w:eastAsia="arial" w:hAnsi="arial" w:cs="arial"/>
          <w:color w:val="000000"/>
          <w:sz w:val="20"/>
          <w:lang w:val="en-US" w:eastAsia="en-US" w:bidi="ar-SA"/>
        </w:rPr>
        <w:t>s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Accordingly, the general test for causation is the "but for" or materially contributed to the pain test.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This recognizes that the compensation for negligent conduct should only be made where there is a substantial connection between the injury and the defendants' conduct: see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Notably, as set out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however, in special circumstances, if the "but for" test is not workable, there is a "material contribution test". As noted by McLachlin C.J.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expanding on the material contribution test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The foregoing discussion leads me to the following conclusions as to the present state of the law in Canada:</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general rule, a plaintiff cannot succeed unless she shows as a matter of fact that she would not have suffered the loss "but for" the negligent act or acts of the defendant. A trial judge is to take a robust and pragmatic approach to determining if a plaintiff has established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loss. Scientific proof of causation is not required.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Exceptionally, a plaintiff may succeed by showing that the defendant's conduct materially contributed to risk of the plaintiff's injury, where (a) the plaintiff has established that her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or more tortfeasors, each possibly in fact responsible for the loss; and (b) the plaintiff, through no fault of her own, is unable to show that any one of the possible tortfeasors in fact was the necessary or "but for" cause of her injury, because each can point to one another as the possible "but for" cause of the injury, defeating a finding of causation on a balance of probabilities against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Causation on either test must be established, however, on a balance probability before damages are to be assessed: see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It remains, however, important to establish a substantial connection between the injury in question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Boon v. Mann</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2016 BCCA 242</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Dunbar,</w:t>
      </w:r>
      <w:r>
        <w:rPr>
          <w:rFonts w:ascii="arial" w:eastAsia="arial" w:hAnsi="arial" w:cs="arial"/>
          <w:color w:val="000000"/>
          <w:sz w:val="20"/>
          <w:lang w:val="en-US" w:eastAsia="en-US" w:bidi="ar-SA"/>
        </w:rPr>
        <w:t xml:space="preserve"> Harris J.A. held at paras. 57 and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appellants, in their reply factum, suggest that causation is not established "if a plaintiff does not prove that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more than one of two or more independently sufficient causes". The appellants do not provide any authority for that assertion, and I do not understand it to accurately state the law. Rather,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"but for" test must be a necessary cause, but it need not, and generally will not be, a sufficient one. As the Supreme Court of Canada stated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test for showing causation is the "but for" test. The plaintiff must show on a balance of probabilities that "but for" the defendant's negligent act, the injury would not have occurred. </w:t>
      </w:r>
      <w:r>
        <w:rPr>
          <w:rFonts w:ascii="arial" w:eastAsia="arial" w:hAnsi="arial" w:cs="arial"/>
          <w:color w:val="000000"/>
          <w:sz w:val="20"/>
          <w:u w:val="single"/>
          <w:lang w:val="en-US" w:eastAsia="en-US" w:bidi="ar-SA"/>
        </w:rPr>
        <w:t xml:space="preserve">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was </w:t>
      </w:r>
      <w:r>
        <w:rPr>
          <w:rFonts w:ascii="arial" w:eastAsia="arial" w:hAnsi="arial" w:cs="arial"/>
          <w:i/>
          <w:color w:val="000000"/>
          <w:sz w:val="20"/>
          <w:u w:val="single"/>
          <w:lang w:val="en-US" w:eastAsia="en-US" w:bidi="ar-SA"/>
        </w:rPr>
        <w:t>necessary</w:t>
      </w:r>
      <w:r>
        <w:rPr>
          <w:rFonts w:ascii="arial" w:eastAsia="arial" w:hAnsi="arial" w:cs="arial"/>
          <w:color w:val="000000"/>
          <w:sz w:val="20"/>
          <w:u w:val="single"/>
          <w:lang w:val="en-US" w:eastAsia="en-US" w:bidi="ar-SA"/>
        </w:rPr>
        <w:t xml:space="preserve"> to bring about the injury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 The "but for" causation test must be applied in a robust common sense fashion.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Where "but for" causation is established by inference only, it is open to the defendant to argue or call evidence that the accident would have happened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i.e. </w:t>
      </w:r>
      <w:r>
        <w:rPr>
          <w:rFonts w:ascii="arial" w:eastAsia="arial" w:hAnsi="arial" w:cs="arial"/>
          <w:color w:val="000000"/>
          <w:sz w:val="20"/>
          <w:u w:val="single"/>
          <w:lang w:val="en-US" w:eastAsia="en-US" w:bidi="ar-SA"/>
        </w:rPr>
        <w:t xml:space="preserve">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was not a necessary cause of the injury</w:t>
      </w:r>
      <w:r>
        <w:rPr>
          <w:rFonts w:ascii="arial" w:eastAsia="arial" w:hAnsi="arial" w:cs="arial"/>
          <w:color w:val="000000"/>
          <w:sz w:val="20"/>
          <w:lang w:val="en-US" w:eastAsia="en-US" w:bidi="ar-SA"/>
        </w:rPr>
        <w:t>, which was, in any event, inevitable.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some cases, an injury -- the loss for which the plaintiff claims compensation -- may flow from a number of different negligent acts committed by different actors, </w:t>
      </w:r>
      <w:r>
        <w:rPr>
          <w:rFonts w:ascii="arial" w:eastAsia="arial" w:hAnsi="arial" w:cs="arial"/>
          <w:color w:val="000000"/>
          <w:sz w:val="20"/>
          <w:u w:val="single"/>
          <w:lang w:val="en-US" w:eastAsia="en-US" w:bidi="ar-SA"/>
        </w:rPr>
        <w:t>each of which is a necessary or "but for" cause of the injury</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[Italics in original, underlining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Here I am satisfied that the judge's finding was that the motor vehicle accident was a necessary cause (and contributing in that sense) to the disc herniation. I would not accede to this ground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respect of the material contribution test, the British Columbia Court of Appeal recently considered this test in </w:t>
      </w:r>
      <w:r>
        <w:rPr>
          <w:rFonts w:ascii="arial" w:eastAsia="arial" w:hAnsi="arial" w:cs="arial"/>
          <w:i/>
          <w:color w:val="000000"/>
          <w:sz w:val="20"/>
          <w:lang w:val="en-US" w:eastAsia="en-US" w:bidi="ar-SA"/>
        </w:rPr>
        <w:t>Kozhikhov v. Insurance Corporation of British Columbia</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2015 BCCA 515</w:t>
        </w:r>
      </w:hyperlink>
      <w:r>
        <w:rPr>
          <w:rFonts w:ascii="arial" w:eastAsia="arial" w:hAnsi="arial" w:cs="arial"/>
          <w:color w:val="000000"/>
          <w:sz w:val="20"/>
          <w:lang w:val="en-US" w:eastAsia="en-US" w:bidi="ar-SA"/>
        </w:rPr>
        <w:t xml:space="preserve">, and held that there need to be special circumstances where the "but for" test is not workable. With respect to the causation of low velocity impact, the plaintiff relies upon the decision of </w:t>
      </w:r>
      <w:r>
        <w:rPr>
          <w:rFonts w:ascii="arial" w:eastAsia="arial" w:hAnsi="arial" w:cs="arial"/>
          <w:i/>
          <w:color w:val="000000"/>
          <w:sz w:val="20"/>
          <w:lang w:val="en-US" w:eastAsia="en-US" w:bidi="ar-SA"/>
        </w:rPr>
        <w:t>Thomas v. Wormsley</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2009 BCSC 919</w:t>
        </w:r>
      </w:hyperlink>
      <w:r>
        <w:rPr>
          <w:rFonts w:ascii="arial" w:eastAsia="arial" w:hAnsi="arial" w:cs="arial"/>
          <w:color w:val="000000"/>
          <w:sz w:val="20"/>
          <w:lang w:val="en-US" w:eastAsia="en-US" w:bidi="ar-SA"/>
        </w:rPr>
        <w:t>, where McCaulay J. held at paras. 2 and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In each case, Ms. Thomas was at the wheel of her car in a stopped position when she was hit from behind by another vehicle. Both collisions occurred at minimal speeds. There was no damage to Ms. Thomas' car in the first collision and minimal damage in the second. Nonetheless, as I and other judges have stated before, it is a myth to suggest that low impact correlates directly with lack of compensable injury: </w:t>
      </w:r>
      <w:r>
        <w:rPr>
          <w:rFonts w:ascii="arial" w:eastAsia="arial" w:hAnsi="arial" w:cs="arial"/>
          <w:i/>
          <w:color w:val="000000"/>
          <w:sz w:val="20"/>
          <w:lang w:val="en-US" w:eastAsia="en-US" w:bidi="ar-SA"/>
        </w:rPr>
        <w:t>Lubick v. Mei,</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2008 BCSC 555</w:t>
        </w:r>
      </w:hyperlink>
      <w:r>
        <w:rPr>
          <w:rFonts w:ascii="arial" w:eastAsia="arial" w:hAnsi="arial" w:cs="arial"/>
          <w:color w:val="000000"/>
          <w:sz w:val="20"/>
          <w:lang w:val="en-US" w:eastAsia="en-US" w:bidi="ar-SA"/>
        </w:rPr>
        <w:t xml:space="preserve">, at para. 5 and </w:t>
      </w:r>
      <w:r>
        <w:rPr>
          <w:rFonts w:ascii="arial" w:eastAsia="arial" w:hAnsi="arial" w:cs="arial"/>
          <w:i/>
          <w:color w:val="000000"/>
          <w:sz w:val="20"/>
          <w:lang w:val="en-US" w:eastAsia="en-US" w:bidi="ar-SA"/>
        </w:rPr>
        <w:t>Jezdic v. Danielisz</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2008 BCSC 1863</w:t>
        </w:r>
      </w:hyperlink>
      <w:r>
        <w:rPr>
          <w:rFonts w:ascii="arial" w:eastAsia="arial" w:hAnsi="arial" w:cs="arial"/>
          <w:color w:val="000000"/>
          <w:sz w:val="20"/>
          <w:lang w:val="en-US" w:eastAsia="en-US" w:bidi="ar-SA"/>
        </w:rPr>
        <w:t>, at paras. 30 and 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Persistent pain and discomfort may result from soft tissue injuries in such circumstances. Each case depends, of course, on the particular facts. There may be no injury in spite of a very severe impact or persistent injury after a minimal impact. While common sense suggests that one is less likely to be severely injured in a minimal impact collision, the real question is whether the injured party proved the injuries alleged to be caused by the collision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 EVIDENCE -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plaintiff's position is that the evidence of Dr. Helper should be used by the Court to assist in determining causation. In particular, the plaintiff relied upon his statement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Ms. Wahid's involvement in the two motor vehicle collisions of April 27, 2010 and November 17, 2011 are </w:t>
      </w:r>
      <w:r>
        <w:rPr>
          <w:rFonts w:ascii="arial" w:eastAsia="arial" w:hAnsi="arial" w:cs="arial"/>
          <w:color w:val="000000"/>
          <w:sz w:val="20"/>
          <w:u w:val="single"/>
          <w:lang w:val="en-US" w:eastAsia="en-US" w:bidi="ar-SA"/>
        </w:rPr>
        <w:t>directly related</w:t>
      </w:r>
      <w:r>
        <w:rPr>
          <w:rFonts w:ascii="arial" w:eastAsia="arial" w:hAnsi="arial" w:cs="arial"/>
          <w:color w:val="000000"/>
          <w:sz w:val="20"/>
          <w:lang w:val="en-US" w:eastAsia="en-US" w:bidi="ar-SA"/>
        </w:rPr>
        <w:t xml:space="preserve"> to her chronic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Respecting the issue of causation, the plaintiff's position is that both accidents are the cause of the plaintiff's present condition of chronic pain syndrome. I note that there is no dispute and it is conceded that the plaintiff suffers from chronic pain. The sole issue is causation of the plaintiff's condition. She testified that at first she did not repeatedly seek out medical attention because she was young and thought she would heal.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defendants' position is that given the long period of time between the first accident and the onset of more difficult symptoms, the issue becomes one of a temporal connection between the accident and the shoulder injury. </w:t>
      </w:r>
      <w:r>
        <w:rPr>
          <w:rFonts w:ascii="arial" w:eastAsia="arial" w:hAnsi="arial" w:cs="arial"/>
          <w:i/>
          <w:color w:val="000000"/>
          <w:sz w:val="20"/>
          <w:lang w:val="en-US" w:eastAsia="en-US" w:bidi="ar-SA"/>
        </w:rPr>
        <w:t>Gonzales</w:t>
      </w:r>
      <w:r>
        <w:rPr>
          <w:rFonts w:ascii="arial" w:eastAsia="arial" w:hAnsi="arial" w:cs="arial"/>
          <w:color w:val="000000"/>
          <w:sz w:val="20"/>
          <w:lang w:val="en-US" w:eastAsia="en-US" w:bidi="ar-SA"/>
        </w:rPr>
        <w:t xml:space="preserve"> was relied upon in this regard, where Fitzpatrick J. at para. 222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[222] I agree with the defence that Ms. Gonzales, in large part, relies on the contention that since her shoulder joint problems became evident after the 2008 motor vehicle accident, they must have been caused by the accident. This approach was somewhat indicative of the reports of Drs. Adrian and Eng, although such a simplistic approach to causation is not particularly helpful; more importantly, it is not reliable. In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Mr. Justice Ehrcke addressed a similar argument: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The inference from a temporal sequence to a causal connection, however, is not always reliable. In fact, this form of reasoning so often results in false conclusions that logicians have given it a Latin name. It is sometimes referred to as the fallacy of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"after this therefore because of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[75] 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defendants' position is that the burden in respect of causation has not been discharged, in that:</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accident was minor;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reported the same, or similar, complaints as prior to the first accident;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missed no work, or almost no work, for over 15 months;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reported she had done "well for several months" before the spike;</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continued carrying heavy gear and was involved in altercations and arrests before the spike;</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degenerative disc problems (spondylosis, disc bulge) which could explain her symptoms (e.g. the MRI showed her structure to be "angry" and is "influential").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It is further argued that the evidence of the plaintiff's pain is not convincing and that the plaintiff has failed to prove, on a balance of probabilities, that the accidents caused her symptoms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If the plaintiff has proven anything, it would be solely that there were minor soft tissue injuries in the first accident that likely resolved in a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defendant's position is that while the plaintiff suffers from chronic pain, her attribution of it to the accidents is ill-founded. It is submitted that both accidents were of a minor nature and do not account for the extent of the plaintiff's injuries and pain. A further difficulty argued on behalf of the defendants is that there are no objective signs in relation to the plaintiff's injuries and, as a consequence, it is more likely that other factors, including the plaintiff's small build wearing the heavy service belt and the bullet proof vest, have accounted for the difficulties faced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Experts' Evidence - Review of Causation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While Dr. Abedom Tekle, the plaintiff's family doctor, would attribute the problems sustained by the plaintiff directly to the accidents, it is of note that he would defer to a specialist, such as a physiatrist or an orthopedic surgeon in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Dr. Steven Helper's opinion, the plaintiff had been experiencing chronic pain since her involvement in the first accident on April 27, 2010. He described her as being dysfunctional respecting her vocational and daily activities, social participation, and recreational participation continuing to today. He felt that she was having difficulties coping; and while he would not label her with any particular disorder or syndrome he believes it would be helpful for her to be followed up in this regard simply for dealing and coping with her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Helper's opinion is that the plaintiff's involvement in the two motor vehicle accidents is directly related to her chronic pain state.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Ms. Wahid's involvement in the two motor vehicle collisions of April 27, 2010 and November 17, 2011 are directly related to her current chronic pain state.</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understanding that Ms. Wahid did not have a previous history of chronic or recurrent neck or back pain.</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medical/legal summary provided by Ms. Wahid's family doctor, Dr. Tekle, no previous history of chronic or recurrent neck pain or back pain is provided.</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Wahid was involved in two rear-end motor vehicle collisions, both of which are medically plausible events for inciting or aggravating neck pain complaints. It is a risk factor for soft tissue mediated pain, mechanical neck pain or both.</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Wahid developed symptoms of neck pain and back pain following first motor vehicle collision of April 27, 2010. She describes a worsening of symptoms following the second motor vehicle collision of November 17, 2011. Along Ms. Wahid's clinical course, neck pain has been a primary complaint over back pain.</w:t>
      </w:r>
    </w:p>
    <w:p>
      <w:pPr>
        <w:numPr>
          <w:numId w:val="3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Wahid's presentation to my office between February 5, 2013 and August 8, 2013 was consistent (primary pain complaint). As her clinical course progressed, I was left with the impression that the psychological component of her chronic pain was deteriorating. However, the physical component was consistent. Her index pain in the left neck and upper back area remained unchanged. Her response to physical examinations was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However, Dr. Helper's additional comments must be borne in mind: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Dr. Helper's additional comments must be borne in mind: he is unable to explain to the court exactly why Ms. Wahid has persistent pain. He is aware of her lack of objective findings on examination but noted that Ms. Wahid had given him no cause to doubt the authenticity of her pain experience between February 5, 2013 and October 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It remains Dr. Helper's opinion on October 21, 2015, that the two motor vehicle accidents are directly related to the plaintiff's current chronic pain state. Dr. Helper accepted her statement to him that she had not had pre-existing symptoms of chronic or recurring neck or upper back pain prior to April 27, 2011. The plaintiff was also questioned about her right shoulder injury in 2014 performing the kettlebell resistance training in preparation for her PARE exam. She described to Dr. Helper full resolution of her right shoulder injury and no specific impact on her daily neck pain complaints. Dr. Helper also found that her right shoulder exam was normal at the time of her updated assessment. Dr. Helper saw the plaintiff for the purposes of re-assessment on October 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Dr. Richard Kendall's opinion, the plaintiff suffered a delayed onset of symptoms. He found that there was no apparent reason for the worsening of her symptoms 16 months following the accident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Respecting the second accident, she had worsening of her symptoms in her neck, upper back and associated headaches. Following the second accident, there was more prolonged time lost from work and she developed knee pain within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It was Dr. Kendall's opinion that following the first accident, the plaintiff sustained mild intermittent symptoms in her neck and upper back, with no evidence of injuries of a more sinister nature, or a fracture, dislocation, or similar. She missed occasional days at work and there was no apparent reason for her flare-up 16 months after the accident in question, it being unlikely to represent further physical injury, given no traumatic event. It was more likely that increased psychosocial stressors modulated her pain. Following the second accident, she had worsening of her widespread symptoms and was again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Kendall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nothing to suggest a discreet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source for her current complaints. It is unlikely that there is any investigation that will shed any light on the diagnosis. I suspect that her pain remains multifactorial and, as such, will likely require a coordinated plan to restore here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normal functioning and improve her pain control. This will likely include an active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He suggested as well exploration of cognitive and psychological complaints but noted that this was outside his area of expertise. He also postulated that referral to a multi-disciplinary pain program could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accept, consequently, the experts' evidence that the accidents contributed in a material way to the plaintiff's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find that the plaintiff suffers chronic pain syndrome that arose as follows: I do not find that the first accident caused more than mild soft tissue injuries initially that persisted, but together with her difficulties from work, they were a material contribution to her pain, erupting in the summer of 2011, and were further aggravated by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find that the combined cumulative effect of the two accidents was a material contribution to the plaintiff's existing state. No one doubts the credibility of the plaintiff in this case. She is accepted as being an honest presenter of what has occurred to her. That being the case, I accept her evidence that she was suffering from this accident and tried to carry on through her pain. The fact that she had not seen her family physician frequently before November or until the summer of 2011, does not address the fact that she was not in pain. Rather, it addresses her stoicism and her testimony that, to her belief, she was young and she would recover from these injuries. Following the second accident, her pain and problems were increased. I have no doubt it is the result of these two accidents; the accidents themselves were a material contribution towards her present state. I find this has been proven on a balance of probabilities and it is more likely than not that the accidents were a material contribution to the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 plaintiff has an obligation to take all reasonable measures to promote their recovery from an accident in order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find here, as is in evidence before the Court, that the plaintiff has attempted numerous modalities of treatment to recover from her chronic pain syndrome and none has yet been successful.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As noted above, the plaintiff, before the accident, enjoyed a high quality of life. She enjoyed games, running, soccer, and playing with her nephews and nieces. She was a member of an occupation that was physically demanding, and was one to which she aspired and immensely enjoyed, and did it without pain. Now, there is no doubt amongst the experts that she suffers from chronic pain syndrome.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Non-pecuniary damages are to compensate the plaintiff for pain, suffering and loss of enjoyment of life. The compensation must be fair to all parties and this fairness is assessed by examining similar cases in similar situations. These cases, however, only serve as a rough guide and each case depends upon its own unique facts: see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 and 189: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[188] Non-pecuniary damages are awarded to compensate the plaintiff for pain, suffering, loss of enjoyment of life and loss of amenities. The compensation awarded should be fair and reasonable to both parties: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at para. 134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 v. Hon Tin</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at para. 135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[189] For the purposes of assessing non-pecuniary damages,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Jenkins v. Bourcier</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2003 BCSC 388</w:t>
        </w:r>
      </w:hyperlink>
      <w:r>
        <w:rPr>
          <w:rFonts w:ascii="arial" w:eastAsia="arial" w:hAnsi="arial" w:cs="arial"/>
          <w:color w:val="000000"/>
          <w:sz w:val="20"/>
          <w:lang w:val="en-US" w:eastAsia="en-US" w:bidi="ar-SA"/>
        </w:rPr>
        <w:t xml:space="preserve"> at para. 87; </w:t>
      </w:r>
      <w:r>
        <w:rPr>
          <w:rFonts w:ascii="arial" w:eastAsia="arial" w:hAnsi="arial" w:cs="arial"/>
          <w:i/>
          <w:color w:val="000000"/>
          <w:sz w:val="20"/>
          <w:lang w:val="en-US" w:eastAsia="en-US" w:bidi="ar-SA"/>
        </w:rPr>
        <w:t>Radford v. Drobot et al.</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2005 BCSC 293</w:t>
        </w:r>
      </w:hyperlink>
      <w:r>
        <w:rPr>
          <w:rFonts w:ascii="arial" w:eastAsia="arial" w:hAnsi="arial" w:cs="arial"/>
          <w:color w:val="000000"/>
          <w:sz w:val="20"/>
          <w:lang w:val="en-US" w:eastAsia="en-US" w:bidi="ar-SA"/>
        </w:rPr>
        <w:t xml:space="preserve"> at para. 62;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Kirkpatrick J.A. for the majority of Court of Appeal outlined the factors to consider on non-pecuniary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Harris,</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3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4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722"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 governing approach will depend upon subjective reports of pain, 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by McEachern C.J.S.C., although they must be treated with caution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 emphasized that she was only 26 years old at the time of the accident. She is now 32, and has sustained six plus years of pain since the first accident, including a loss of lifestyle. The plaintiff has tried to persevere in that she has travelled, worked, and endeavoured to enjoy an active social life that she has limits to, and adapts to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plaintiff relied upon a number of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In the case of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the plaintiff was injured in two motor vehicle accidents which occurred on March 26, 2004 and October 10, 2006. At trial, the plaintiff sought damages for the 2004 accident which was a low velocity rear-end collision. In that accident, he sustained a mild cervical and thoracic spine injury, a labrum in his right hip, and soft tissue injuries to his lower back. Prior to the accident, he worked in the mill. He returned to work, but had to quit because of his injuries after only approximately a year. He had been a professional kickboxer in his early 20s, and was very physically active before the trial. His marriage became strained and the injuries of the 2004 accident caused years of "significant pain, suffering and loss of enjoyment in life": see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xml:space="preserve"> at para. 224. Justice Dardi awarded the plaintiff $110,000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Bergen v. Gaetz</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2015 BCSC 2303</w:t>
        </w:r>
      </w:hyperlink>
      <w:r>
        <w:rPr>
          <w:rFonts w:ascii="arial" w:eastAsia="arial" w:hAnsi="arial" w:cs="arial"/>
          <w:color w:val="000000"/>
          <w:sz w:val="20"/>
          <w:lang w:val="en-US" w:eastAsia="en-US" w:bidi="ar-SA"/>
        </w:rPr>
        <w:t>, the plaintiff was injured in two motor vehicle accidents that occurred in March 2009 and November 2010, both rear-end collisions. In the first accident, minor damages were incurred in that the repair costs were only $750. The second accident was also a low velocity impact. The plaintiff was 39 years old at the time of the first accident. However, she suffered from a pre-existing condition of spondylolisthesis, which was aggravated in the two motor vehicle accidents. She was able to fully function at work prior to the accidents, but as a result, she developed a depressed mood similar to the plaintiff here and was unable to participate in all of the sporting activities that she had previously enjoyed. Ultimately, she went on disability. Justice Greyell awarded $100,000 for her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Blackman v. Dha</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2015 BCSC 698</w:t>
        </w:r>
      </w:hyperlink>
      <w:r>
        <w:rPr>
          <w:rFonts w:ascii="arial" w:eastAsia="arial" w:hAnsi="arial" w:cs="arial"/>
          <w:color w:val="000000"/>
          <w:sz w:val="20"/>
          <w:lang w:val="en-US" w:eastAsia="en-US" w:bidi="ar-SA"/>
        </w:rPr>
        <w:t>, the plaintiff was a 37-year-old mother of three children. She was injured when her motor vehicle was rear-ended. The repairs were just $1,017.25. She suffered soft tissue injuries to her neck, shoulder, upper back, right wrist, forearm, and headaches. Madam Justice Devlin found her to be a "stoic" person, as she continued to work full-time, raised a family, and engaged in some recreational activities despite her recurring pain and headaches. The court awarded her $80,000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In the case of </w:t>
      </w:r>
      <w:r>
        <w:rPr>
          <w:rFonts w:ascii="arial" w:eastAsia="arial" w:hAnsi="arial" w:cs="arial"/>
          <w:i/>
          <w:color w:val="000000"/>
          <w:sz w:val="20"/>
          <w:lang w:val="en-US" w:eastAsia="en-US" w:bidi="ar-SA"/>
        </w:rPr>
        <w:t>Biefeld v. Neetz</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2016 BCSC 689</w:t>
        </w:r>
      </w:hyperlink>
      <w:r>
        <w:rPr>
          <w:rFonts w:ascii="arial" w:eastAsia="arial" w:hAnsi="arial" w:cs="arial"/>
          <w:color w:val="000000"/>
          <w:sz w:val="20"/>
          <w:lang w:val="en-US" w:eastAsia="en-US" w:bidi="ar-SA"/>
        </w:rPr>
        <w:t>, there was a motor vehicle accident when the plaintiff was 48 years of age. She was diagnosed with central trapezius and lumbar muscle strain. She suffered from neck, shoulder, and left arm pain and developed chronic pain. She eventually stopped working. Justice Adair awarded her $115,000 for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Mr. X, an RCMP officer, was injured in a motor vehicle accident which occurred in July 2005. He was 49 years of age at the time of trial. The plaintiff sustained a burst fracture of his T12 vertebrae and underwent fusion surgery. Prior to the accident, he aspired to join the Emergency Response Team with the RCMP, but at the time of trial, he was working as a firearms support investigator, and primarily in an office. He could not return to running, cycling or swimming after the accident. The court awarded him $140,000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In the case of </w:t>
      </w:r>
      <w:r>
        <w:rPr>
          <w:rFonts w:ascii="arial" w:eastAsia="arial" w:hAnsi="arial" w:cs="arial"/>
          <w:i/>
          <w:color w:val="000000"/>
          <w:sz w:val="20"/>
          <w:lang w:val="en-US" w:eastAsia="en-US" w:bidi="ar-SA"/>
        </w:rPr>
        <w:t>Severud v. Smit</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2016 BCSC 1021</w:t>
        </w:r>
      </w:hyperlink>
      <w:r>
        <w:rPr>
          <w:rFonts w:ascii="arial" w:eastAsia="arial" w:hAnsi="arial" w:cs="arial"/>
          <w:color w:val="000000"/>
          <w:sz w:val="20"/>
          <w:lang w:val="en-US" w:eastAsia="en-US" w:bidi="ar-SA"/>
        </w:rPr>
        <w:t>, the plaintiff was injured in a motor vehicle accident which occurred on July 16, 2011. She was 38 years of age at the time of trial. She sustained chronic myofascial neck pain involving her neck and trapezius muscle with pain and stiffness in one shoulder, and sustained hip pain and headaches. Prior to the accident, she worked as a health care assistant for two hospitals and was physically active. Justice Saunders awarded her $130,000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defence also put forward case law in respect of non-pecuniary damages. However, in these cases, the injuries had largely resolved within a six-to-fourteen-month period, and are not analogous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As well, the defendant relies upon his case of </w:t>
      </w:r>
      <w:r>
        <w:rPr>
          <w:rFonts w:ascii="arial" w:eastAsia="arial" w:hAnsi="arial" w:cs="arial"/>
          <w:i/>
          <w:color w:val="000000"/>
          <w:sz w:val="20"/>
          <w:lang w:val="en-US" w:eastAsia="en-US" w:bidi="ar-SA"/>
        </w:rPr>
        <w:t>Gonzales v. Voskakis</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2013 BCSC 215</w:t>
        </w:r>
      </w:hyperlink>
      <w:r>
        <w:rPr>
          <w:rFonts w:ascii="arial" w:eastAsia="arial" w:hAnsi="arial" w:cs="arial"/>
          <w:color w:val="000000"/>
          <w:sz w:val="20"/>
          <w:lang w:val="en-US" w:eastAsia="en-US" w:bidi="ar-SA"/>
        </w:rPr>
        <w:t>, a rear-end motor vehicle accident with minor soft tissue injuries which lasted for six months. Again, this case is not analogous to the situation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 find the </w:t>
      </w:r>
      <w:r>
        <w:rPr>
          <w:rFonts w:ascii="arial" w:eastAsia="arial" w:hAnsi="arial" w:cs="arial"/>
          <w:i/>
          <w:color w:val="000000"/>
          <w:sz w:val="20"/>
          <w:lang w:val="en-US" w:eastAsia="en-US" w:bidi="ar-SA"/>
        </w:rPr>
        <w:t>Bergen</w:t>
      </w:r>
      <w:r>
        <w:rPr>
          <w:rFonts w:ascii="arial" w:eastAsia="arial" w:hAnsi="arial" w:cs="arial"/>
          <w:color w:val="000000"/>
          <w:sz w:val="20"/>
          <w:lang w:val="en-US" w:eastAsia="en-US" w:bidi="ar-SA"/>
        </w:rPr>
        <w:t xml:space="preserve"> case most similar to the case at bar where the plaintiff has continued to work, but is a stoic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Here, given all of the evidence that I accept, and the evidence of the experts, which unanimously find the plaintiff suffers from chronic pain syndrome, the plaintiff is to be compensated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find, however, that the plaintiff's situation is not without hope. As noted by Dr. Helper, the plaintiff is "under-performing" based on what he has seen of her. He opined that something was holding her back, perhaps fear or depression, which should be explored.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Dr. Kendall similarly had indicated that the plaintiff's situation should be explored by a psychologist or psychiatrist to assist. I accept Dr. Helper's diagnosis that he expects her pain to slowly improve with time but will likely continue to have mild symptoms of neck and low back pain "for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find this conclusion important, given all of the evidence. The facts follow that the plaintiff has continued to work, that she is working on a regular basis, not on a graduated return to work basis, and that she also enjoyed an excellent review on her most recent performance review in October 2015. Her job is physically demanding and yet she still performs the same. I note as well that I did not see her in any distress. While this may be evidence of stoicism, I find it to be evidence that she is gradually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all the circumstances, I award the plaintiff $100,000 for pain and suffering.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plaintiff has not lost any income as a result of the accidents. There is no subrogated claim in this case and the RCMP continued to pay her salary.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Opportunity including Loss of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plaintiff claims for past loss of opportunity to earn income of $50,000. She claims that she would have worked overtime, and that the fact that there was a shift differential, operational readiness, and transfers and advancement opportunities would make this up as well. However, I find that the plaintiff has stayed on track in terms of achieving her goal of being a corporal. She has written the examination and passed, albeit not with marks as high as she would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Prior to the accident, the plaintiff did not take advantage of working overtime. However, she had only been with the force for one year. I find, nonetheless, that the plaintiff has other interests and responsibilities, notably her rental properties. She also enjoys a close and active family and personal life. Consequently, I do not find, on a balance of probabilities, that the plaintiff has established she would have worked significant overtime. Similarly, with respect to operational readiness, the Langley RCMP did not have operational readiness pay. I accept Constable Penney's evidence in that regard and consequently, do not make an award for loss of operational readiness. However, I do find the plaintiff would have worked some overtime and consequently make an award of $20,000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There are two approaches in the court to assess loss of future earning capacity. Those were recently stated in </w:t>
      </w:r>
      <w:r>
        <w:rPr>
          <w:rFonts w:ascii="arial" w:eastAsia="arial" w:hAnsi="arial" w:cs="arial"/>
          <w:i/>
          <w:color w:val="000000"/>
          <w:sz w:val="20"/>
          <w:lang w:val="en-US" w:eastAsia="en-US" w:bidi="ar-SA"/>
        </w:rPr>
        <w:t>Smith v. Moshrefzadeh</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2012 BCSC 1458</w:t>
        </w:r>
      </w:hyperlink>
      <w:r>
        <w:rPr>
          <w:rFonts w:ascii="arial" w:eastAsia="arial" w:hAnsi="arial" w:cs="arial"/>
          <w:color w:val="000000"/>
          <w:sz w:val="20"/>
          <w:lang w:val="en-US" w:eastAsia="en-US" w:bidi="ar-SA"/>
        </w:rPr>
        <w:t>, at paras. 80-81: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The recent jurisprudence of the Court of Appeal affirms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As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735"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principles which inform the assessment of loss of earning capacity include the following:</w:t>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73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and not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The assessment is based on the evidence, taking into account all positive and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Lost opportunity or loss of earnings was also considered recently by Justice Greyell set out in </w:t>
      </w:r>
      <w:r>
        <w:rPr>
          <w:rFonts w:ascii="arial" w:eastAsia="arial" w:hAnsi="arial" w:cs="arial"/>
          <w:i/>
          <w:color w:val="000000"/>
          <w:sz w:val="20"/>
          <w:lang w:val="en-US" w:eastAsia="en-US" w:bidi="ar-SA"/>
        </w:rPr>
        <w:t>Simmavong v. Haddock</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2012 BCSC 473</w:t>
        </w:r>
      </w:hyperlink>
      <w:r>
        <w:rPr>
          <w:rFonts w:ascii="arial" w:eastAsia="arial" w:hAnsi="arial" w:cs="arial"/>
          <w:color w:val="000000"/>
          <w:sz w:val="20"/>
          <w:lang w:val="en-US" w:eastAsia="en-US" w:bidi="ar-SA"/>
        </w:rPr>
        <w:t xml:space="preserve"> at para. 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 A claim for loss of future earning capacity raises two key questions:</w:t>
      </w:r>
    </w:p>
    <w:p>
      <w:pPr>
        <w:numPr>
          <w:numId w:val="7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by his or her injuries; and, if so,</w:t>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compensation should be awarded for the resulting financial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 court must look at the "likely future of the plaintiff if the accident had not happened [and] the plaintiff's likely future after the accident has happened":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the court held: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 The valuation may involve a comparison of the likely future of the plaintiff if the accident had not happened </w:t>
      </w:r>
      <w:r>
        <w:rPr>
          <w:rFonts w:ascii="arial" w:eastAsia="arial" w:hAnsi="arial" w:cs="arial"/>
          <w:color w:val="000000"/>
          <w:sz w:val="20"/>
          <w:u w:val="single"/>
          <w:lang w:val="en-US" w:eastAsia="en-US" w:bidi="ar-SA"/>
        </w:rPr>
        <w:t>with</w:t>
      </w:r>
      <w:r>
        <w:rPr>
          <w:rFonts w:ascii="arial" w:eastAsia="arial" w:hAnsi="arial" w:cs="arial"/>
          <w:color w:val="000000"/>
          <w:sz w:val="20"/>
          <w:lang w:val="en-US" w:eastAsia="en-US" w:bidi="ar-SA"/>
        </w:rPr>
        <w:t xml:space="preserve"> the plaintiff's likely future after the accident has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Ryder v. Jubbal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assessment of loss must be based on the evidence and not merely on a purely mathematical calculation. The appropriate means will vary from case to case: see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 two possible approaches to the assessment of loss of earnings are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from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but the earnings approach will be more useful if the loss is easily measurable: see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Where the loss is not measurable in the pecuniary way, the capital asset approach is more appropriate; see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find here that the capital asset approach is more appropriate. Given that the plaintiff has continued to work, will likely continue to work, will not sustain any measurable loss of income from a constable's position, and her chronic pain syndrome at night (even with the likelihood that it will get better), there will be some loss. Consequently, it is better to use the capital asset approach. This involves considering such factors as:</w:t>
      </w:r>
      <w:r>
        <w:rPr>
          <w:rFonts w:ascii="arial" w:eastAsia="arial" w:hAnsi="arial" w:cs="arial"/>
          <w:sz w:val="20"/>
          <w:lang w:val="en-US" w:eastAsia="en-US" w:bidi="ar-SA"/>
        </w:rPr>
        <w:cr/>
      </w:r>
    </w:p>
    <w:p>
      <w:pPr>
        <w:numPr>
          <w:numId w:val="8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of earning income from all types of employment;</w:t>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 potential employee;</w:t>
      </w:r>
    </w:p>
    <w:p>
      <w:pPr>
        <w:numPr>
          <w:numId w:val="8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that might otherwise have been open; and</w:t>
      </w:r>
    </w:p>
    <w:p>
      <w:pPr>
        <w:numPr>
          <w:numId w:val="8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para. 8 and followed recently by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paras. 53 and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The capital asset approach is not a "mathematical calculation", and I must explain the factual basis for the award. These principles were summarized by Low J.A. and Smith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79. In adjusting for contingencies, the remarks of Dickson J.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253, are a useful guide: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 Finally, in modern society there are many public and private schemes which cushion the individual against adverse contingencies. </w:t>
      </w:r>
      <w:r>
        <w:rPr>
          <w:rFonts w:ascii="arial" w:eastAsia="arial" w:hAnsi="arial" w:cs="arial"/>
          <w:color w:val="000000"/>
          <w:sz w:val="20"/>
          <w:u w:val="single"/>
          <w:lang w:val="en-US" w:eastAsia="en-US" w:bidi="ar-SA"/>
        </w:rPr>
        <w:t>Clearly, the percentage deduction which is proper will depend on the facts of the individual case, particularly the nature of the plaintiff's occupation, but generally it will be small</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Sendher v. Wong</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2014 BCSC 140</w:t>
        </w:r>
      </w:hyperlink>
      <w:r>
        <w:rPr>
          <w:rFonts w:ascii="arial" w:eastAsia="arial" w:hAnsi="arial" w:cs="arial"/>
          <w:color w:val="000000"/>
          <w:sz w:val="20"/>
          <w:lang w:val="en-US" w:eastAsia="en-US" w:bidi="ar-SA"/>
        </w:rPr>
        <w:t>, Justice Verhoeven for the court determined: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[158] The award for past loss of earning capacity is based on the value of the work that the plaintiff would have performed but for her accident injuries. The award is properly characterized as a loss of earning capacity: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153;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at para. 185.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[159] The plaintiff need not establish the actual loss of earnings on a balance of probabilities. What would have happened prior to the trial but for the accident injuries is hypothetical, just the same as what may happen in the future, after the trial.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[160]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 Rowles J.A. stated: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[161] However the plaintiff must establish on a balance of probabilities that there is a causal connection between the accident injuries and the pecuniary loss claimed; mere speculation is insufficient: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para. 36;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735"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[162] Just as in the case of the assessment of future loss of earning capacity, in the case of past loss of earning capacity, if the plaintiff establishes a real and substantial likelihood of the pecuniary loss asserted, the assessment of damages to be awarded as compensation depends upon an assessment of the degree of likelihood of the particular loss, combined with an assessment of the value of the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[163] In cases where it is appropriate to proceed with an assessment of the value of the loss,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stipulates that a person who suffers loss of income is only entitled to recover the net income amount as damages: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187;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at paras. 152-186.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Sendher</w:t>
      </w:r>
      <w:r>
        <w:rPr>
          <w:rFonts w:ascii="arial" w:eastAsia="arial" w:hAnsi="arial" w:cs="arial"/>
          <w:color w:val="000000"/>
          <w:sz w:val="20"/>
          <w:lang w:val="en-US" w:eastAsia="en-US" w:bidi="ar-SA"/>
        </w:rPr>
        <w:t>, Justice Verhoeven set out the legal principles to adopt in an analysis on future loss of earning capacity at paras. 175 to 176 which I similarly adopt: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[175]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[2011] B.C.J. No. 1931</w:t>
        </w:r>
      </w:hyperlink>
      <w:r>
        <w:rPr>
          <w:rFonts w:ascii="arial" w:eastAsia="arial" w:hAnsi="arial" w:cs="arial"/>
          <w:color w:val="000000"/>
          <w:sz w:val="20"/>
          <w:lang w:val="en-US" w:eastAsia="en-US" w:bidi="ar-SA"/>
        </w:rPr>
        <w:t xml:space="preserve"> at para. 233.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[176] The capital asset approach involves considering factors such as whether the plaintiff (i) has been rendered less capable overall of earning income from all types of employment; (ii) is less marketable or attractive as a potential employee; (iii) has lost the ability to take advantage of all job opportunities that might otherwise have been open; and (iv) is less valuable to herself as a person capable of earning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Recently, the B.C. Court of Appeal in </w:t>
      </w:r>
      <w:r>
        <w:rPr>
          <w:rFonts w:ascii="arial" w:eastAsia="arial" w:hAnsi="arial" w:cs="arial"/>
          <w:i/>
          <w:color w:val="000000"/>
          <w:sz w:val="20"/>
          <w:lang w:val="en-US" w:eastAsia="en-US" w:bidi="ar-SA"/>
        </w:rPr>
        <w:t>Dunbar</w:t>
      </w:r>
      <w:r>
        <w:rPr>
          <w:rFonts w:ascii="arial" w:eastAsia="arial" w:hAnsi="arial" w:cs="arial"/>
          <w:color w:val="000000"/>
          <w:sz w:val="20"/>
          <w:lang w:val="en-US" w:eastAsia="en-US" w:bidi="ar-SA"/>
        </w:rPr>
        <w:t xml:space="preserve"> reviewed future loss of income. At issue was the assessment of future income loss. Harris J.A. for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 begin by repeating that the trial judge was not provided with evidence that would have certainly informed her assessment. She did not receive economic or labour market statistics that would have assisted her in estimating Mr. Dunbar's future stream of income as a steel fabricator, taking into account negative and positive contingencies bearing on his occupation, including the risk posed to his future earning capacity by his pre-existing hip problem. Similarly, the judge was given no economic evidence to assist her in assessing Mr. Dunbar's residual earning capacity in those occupations that were identified by the vocational experts as suitable for him in the event he had to retrain. Without this information, she was placed in a difficult position in trying to compare Mr. Dunbar's "original position" with his post-accident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utility of this kind of evidence to the assessment of damages has been recognized often by this Court because it reflects the fact that an award for loss of future earning capacity, even when measured using the capital asset approach, is not simply at large: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xml:space="preserve"> at para. 53. Such aids provide helpful context to the application of the factors from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by identifying in a general sense the magnitude of the plaintiff's loss: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33-37.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 assessment of future loss requires a court to estimate a pecuniary loss by weighing (even if not assigning specific numeric values to) possibilities and probabilities of future events and relating evidence and findings of fact to the quantification of the loss: </w:t>
      </w:r>
      <w:r>
        <w:rPr>
          <w:rFonts w:ascii="arial" w:eastAsia="arial" w:hAnsi="arial" w:cs="arial"/>
          <w:i/>
          <w:color w:val="000000"/>
          <w:sz w:val="20"/>
          <w:lang w:val="en-US" w:eastAsia="en-US" w:bidi="ar-SA"/>
        </w:rPr>
        <w:t>Schenker</w:t>
      </w:r>
      <w:r>
        <w:rPr>
          <w:rFonts w:ascii="arial" w:eastAsia="arial" w:hAnsi="arial" w:cs="arial"/>
          <w:color w:val="000000"/>
          <w:sz w:val="20"/>
          <w:lang w:val="en-US" w:eastAsia="en-US" w:bidi="ar-SA"/>
        </w:rPr>
        <w:t xml:space="preserve"> at paras. 53, 69; </w:t>
      </w:r>
      <w:r>
        <w:rPr>
          <w:rFonts w:ascii="arial" w:eastAsia="arial" w:hAnsi="arial" w:cs="arial"/>
          <w:i/>
          <w:color w:val="000000"/>
          <w:sz w:val="20"/>
          <w:lang w:val="en-US" w:eastAsia="en-US" w:bidi="ar-SA"/>
        </w:rPr>
        <w:t>Ostrikoff v. Oliveira</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2015 BCCA 351</w:t>
        </w:r>
      </w:hyperlink>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53-55. The usefulness of economic and statistical evidence does not turn an assessment into a calculation. It does, however provide a useful tool to assist in determining what is fair and reasonable in the circumstances: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Accordingly, there must be a measure against which to assess the damages even when using the capital asset approach. The Court must be provided with evidence in support of all aspects of a claim to properly inform an assessment of future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find that the plaintiff has been rendered less capable overall from earning income from all types of employment. All the law enforcement witnesses testified to the importance of trust, given that, in law enforcement, each individual relies upon the other for their own safety and they must work as a team. This affects and impacts on whether the plaintiff is less marketable or attractive as a potential employee. A person must be healthy to be in law enforcement.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 would likely be hesitant to apply to any rigorous positions in the RCMP that would require sustained physical activity. However, the RCMP is a broad and vast organization, rendering many opportunities for advancement outside of the field that was advanced to the Court such as the emergency response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find, in all the circumstances, however, that the plaintiff has lost the ability to take advantage of all job opportunities as a consequence of both the defendants'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find as well that the plaintiff is less valuable to herself as a person capable of earning income in a competitive labour market. She must rely upon others, such as for looking after her rental properties, and she will likely refrain from applying to all suitable positions within the RCMP that are physically demanding.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find that the plaintiff is more likely than not to remain with the RCMP, given her evidence of her present circumstances and given her fiancé, the attraction of the pension, and her stated love for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performance evaluation provides as follows:</w:t>
      </w:r>
      <w:r>
        <w:rPr>
          <w:rFonts w:ascii="arial" w:eastAsia="arial" w:hAnsi="arial" w:cs="arial"/>
          <w:sz w:val="20"/>
          <w:lang w:val="en-US" w:eastAsia="en-US" w:bidi="ar-SA"/>
        </w:rPr>
        <w:cr/>
      </w:r>
    </w:p>
    <w:p>
      <w:pPr>
        <w:numPr>
          <w:numId w:val="8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performances issues to speak of at this time;</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Wahid is a reliable member who provides professional services to her clients.</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Wahid is well respected member of the team ...</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Wahid approaches situations with the appropriate officer safety tactics. I have observed Cst. Wahid in situations that require force and she demonstrates strong communication skills and attempts to de-escalate situations and remains calm when situations require physical force which she applies appropriately. Constable Wahid shows concern for the safety of the public and her fellow officers and is always quick to drop what she is doing to provide back-up to other members.</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never received any negative feedback about Constable Wahid from the public or other staff members.</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Constable Wahid is often the first one to respond when dispatch is looking for a member for a file no matter what she is doing. Constable Wahid is also quick to drop what she is doing to attend as back-up when needed.</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performance issues to speak of at this time.</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Wahid is up to date on all her mandatory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Given the plaintiff's recent glowing performance evaluation, it is unlikely that she will find herself terminated from her position. There is no evidence in her deposition to support the fact that she may leave or that she will be terminated. No one was called who would suggest that she was going to lose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also find her family is a strong pull to keep her in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Her fellow Constable Sangha described her as a "good member". I find, considering all the evidence, that termination would be a speculative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plaintiff in argument said that "[t]here is every chance that Ms. Wahid will remain with the RCMP, but the plaintiff submits there is also every chance that she might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 find that the plaintiff has established there is a real and substantial possibility that she will leave the RCMP. She continues to suffer and all the physicians agree she suffers from chronic pain syndrome. While her condition may improve, that improvement will take time and be limited. There is also the risk that her current presentation is permanent, and she may leave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have been guided in my determination by the unanimous finding of the experts that the plaintiff suffers from chronic pain syndrome. I am also mindful, however, of Dr. Helper's hope for improvement. I also consider the plaintiff herself. She is an ambitious, determined, hardworking individual, well-liked by colleagues and clearly happy with her work at the RCMP. She is also happy in her family life and looking forward to her new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find, in these circumstances, there is a substantial possibility of her leaving the RCMP. I am guided in the award by her income and the report of Dr. Young but also mindful the award is not to be a mathematical equation.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If she leaves the RCMP, there will be the loss of her pension as well worth possibly hundreds of thousands of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Taking all the circumstances and scenarios into account, I find that an award of $200,000 is reasonable in the circumstances for 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make no award for a tax gross-up, there being no evidence placed before the Court to guide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plaintiff is entitled to compensation for the cost of future care based on what is necessary to restore her to her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If this cannot be achieved, the Court must strive to assure a full compensation through the provision of adequate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It is, however, important to base the award upon what is reasonably necessary, on the medical evidence, to preserve and promote the plaintiff's medical and physical health: see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738" w:history="1">
        <w:r>
          <w:rPr>
            <w:rFonts w:ascii="arial" w:eastAsia="arial" w:hAnsi="arial" w:cs="arial"/>
            <w:i/>
            <w:color w:val="0077CC"/>
            <w:sz w:val="20"/>
            <w:u w:val="single"/>
            <w:shd w:val="clear" w:color="auto" w:fill="FFFFFF"/>
            <w:lang w:val="en-US" w:eastAsia="en-US" w:bidi="ar-SA"/>
          </w:rPr>
          <w:t>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Williams (Guardian ad litem of) v. Low</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(Guardian ad litem of) v. Beazley</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aff'd </w:t>
      </w:r>
      <w:hyperlink r:id="rId758" w:history="1">
        <w:r>
          <w:rPr>
            <w:rFonts w:ascii="arial" w:eastAsia="arial" w:hAnsi="arial" w:cs="arial"/>
            <w:i/>
            <w:color w:val="0077CC"/>
            <w:sz w:val="20"/>
            <w:u w:val="single"/>
            <w:shd w:val="clear" w:color="auto" w:fill="FFFFFF"/>
            <w:lang w:val="en-US" w:eastAsia="en-US" w:bidi="ar-SA"/>
          </w:rPr>
          <w:t>2004 BCCA 290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 and 30, which set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purpose of the award for costs of future care is to restore, as best as possible with a monetary award, the injured person to the position he would have been in had the accident not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award is "based on what is reasonably necessary on the medical evidence to promote the mental and physical health of the plaintiff: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and adopted in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Future care costs must be appropriate on an objective test based on the medical evidence. There must be: (a) a medical justification for the claim for the cost of future care and, (b) the claim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Future care costs are "justified" if they are medically necessary and likely to be incurred. It is, accordingly, a matter of prediction as to what will happen in the future. If the plaintiff has not used a particular item or service in the past, it may be inappropriate to make such an award, given the lack of use in the past: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 (Litigation guardian of) v. Yung</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60, 68 and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The assessment of the cost of future care is not a precise accounting: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 which sets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the facts of this case, the plaintiff is being clearly urged to seek counselling on a psychological or psychiatric basis. The plaintiff, however, gave clear evidence that this counselling was covered by the RCMP. While I have determined it is unlikely that the plaintiff is going to leave the RCMP, I have found it is a substantial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plaintiff seeks cost of future care. There is no question that any future medical assistance that the plaintiff may require would be covered by the RCMP should she remain in her present employ. However, the Court must consider other scenarios.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other scenarios were testified to by Gerda Murray who presented them in her report. Ms. Murray considered three different scenarios with respect to future housekeeping needs based on the plaintiff's current capabilities and situation. The various scenarios are as follows:</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scenario involved the plaintiff continuing to live in her current home, which would result in $1,100 to $2,520 housekeeping assistance required on a yearly basis;</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scenario involved the plaintiff moving into her own home without children, which would see the amount double to $2,200 to $5,040 on a yearly basis; and</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scenario involved the plaintiff moving into her own home with children, which would see a yearly total of $3,240 to $9,720.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plaintiff submits that all these scenarios were relevant to the plaintiff as her present plan is to live with her parents until she marries Constable Vilardi in August of this year. The plaintiff testified that they hope to have children in a few years' time and consequently, the plaintiff would be moving from the first scenario (living in her current home) to the second scenario (moving into her own home without children when she marries Constable Vilardi) and further to the third scenario (when they have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Ms. Murray also accounted for the possibility that the plaintiff would experience an increase in her physical and functional abilities if she had a rehabilitation program which would require only for $540 to $1,260 a year. This amount was based on her living with her current family. Should she move out, the total would be $1,020 to $2,340.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defendants argued strenuously that the RCMP benefits would take care of the plaintiff's future care needs and that they would pay for any future treatment modalities although the plaintiff argues that this will not necessarily to remain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At present, the plaintiff continues to receive physiotherapy, massage therapy and acupuncture which provide her with temporary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Should she wish to avail herself of counselling services, these would be covered by the RCMP. In the event she chose to see a psychiatrist, it would be covered by the Medical Services Plan of B.C. Additionally, to make such an award, the Court must be satisfied that they will be used. I am not satisfied that the plaintiff who suffered the first accident some six years ago will, in fact, choose counselling services. Accordingly, I am not satisfied that this award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In terms of housekeeping services, lawn care and handyman services, the plaintiff argues those are thousands of dollars per year to assist her in dealing through her chronic pain, and will be required to assist her future family, and her future life in general. Applying Dr. Jeffrey Young's assessment of present value calculations of future care costs, the high and the low for the present value of these care costs ranges from Ms. Murray's report of $49,200 to a high of $283,900. The plaintiff submitted that, given that there has already been a vocational assessment which had been something taken into account by Dr. Young, that $150,000 was a reasonable amount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In contrast, the defence submitted that that the evidence does not support a finding that the plaintiff will incur any costs, given that it is clear that the plaintiff will not actually incur any of the expenses except the housekeeping services, citing </w:t>
      </w:r>
      <w:r>
        <w:rPr>
          <w:rFonts w:ascii="arial" w:eastAsia="arial" w:hAnsi="arial" w:cs="arial"/>
          <w:i/>
          <w:color w:val="000000"/>
          <w:sz w:val="20"/>
          <w:lang w:val="en-US" w:eastAsia="en-US" w:bidi="ar-SA"/>
        </w:rPr>
        <w:t>Scoates v. Dermott</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2012 BCSC 485</w:t>
        </w:r>
      </w:hyperlink>
      <w:r>
        <w:rPr>
          <w:rFonts w:ascii="arial" w:eastAsia="arial" w:hAnsi="arial" w:cs="arial"/>
          <w:color w:val="000000"/>
          <w:sz w:val="20"/>
          <w:lang w:val="en-US" w:eastAsia="en-US" w:bidi="ar-SA"/>
        </w:rPr>
        <w:t xml:space="preserve"> at paras. 208 to 210: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[208] An award for the cost of future care must be justified on the medical evidence, but that does not necessarily mean that each item must be specifically endorsed by a physician. In </w:t>
      </w:r>
      <w:r>
        <w:rPr>
          <w:rFonts w:ascii="arial" w:eastAsia="arial" w:hAnsi="arial" w:cs="arial"/>
          <w:i/>
          <w:color w:val="000000"/>
          <w:sz w:val="20"/>
          <w:lang w:val="en-US" w:eastAsia="en-US" w:bidi="ar-SA"/>
        </w:rPr>
        <w:t>Gregory v. ICBC,</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the court of appeal noted that evidence can be accepted from a variety of health care professionals and said, at para. 39: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consider it necessary, in order for a plaintiff to successfully advance a future cost of care claim, that a physician testify to the medical necessity of each and every item of care that is claimed. But there must be some evidentiary link drawn between the physician's assessment of pain, disability, and recommended treatment and the care recommended by a qualified health care professional: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at paras. 43, 63.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[209] In </w:t>
      </w:r>
      <w:r>
        <w:rPr>
          <w:rFonts w:ascii="arial" w:eastAsia="arial" w:hAnsi="arial" w:cs="arial"/>
          <w:i/>
          <w:color w:val="000000"/>
          <w:sz w:val="20"/>
          <w:lang w:val="en-US" w:eastAsia="en-US" w:bidi="ar-SA"/>
        </w:rPr>
        <w:t>Penner v. ICBC</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the Court of Appeal noted that this head of damage grew out of claims for catastrophic injuries, in which they are intended to ensure that the injured plaintiff could live as complete and independent a life as was reasonably attainable through an award of damages. While future care awards are not confined to catastrophic injuries, the court said that "a little common sense should inform claims under this head, however much they may be recommended by experts in the field".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[210] Like the award for loss of earning capacity, the quantification of damages for cost of future is an assessment, not a precise accounting exercise, and must include adjustments for contingencies: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items assessed by Ms. Gerda Murray in her future care report, were as follows:</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program;</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assessment and/or counselling;</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psychiatry;</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support/counselling;</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therapeutic modalities;</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housecleaning services;</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lawn care services;</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handyman services;</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ergonomic assessment of workplace (chair and document holder0; and</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prescription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Of these items, I find that the exercise program is covered by the RCMP, that the vocational assessment and/or counselling has been performed, psychiatry is covered by the Medical Services Plan of B.C., and that psychological support would be covered by the RCMP, as are the therapeutic modalities.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terms of housecleaning services, the plaintiff has never hired a housekeeper since the first accident, and I find it is unlikely that the plaintiff will do so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In respect of the lawn care services, it is not often that the plaintiff's Chilliwack property is not tenanted. Accordingly, it is unlikely that she would have to pay for lawn care services and should she have to do so, the physical capacity evaluation shows she could push 24 pounds of weight without wheels in terms of cutting the grass. Importantly, the plaintiff has not paid for law care services in the past six plus years since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In respect of handyman services, there is no evidence of the plaintiff paying for handyman services since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In respect of various ergonomic assessments for the workplace, she has put in a request at work for a standing desk.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In terms of the prescriptions, these are covered for her by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In all of the circumstances, I find that as the plaintiff has established that there is a possibility that she may leave the RCMP at some point in the future, an award of $35,000 is a reasonable present valuation of her future costs of care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plaintiff's special damages totalled $3,382.64, which are almost exclusively for mileage. I find that these expenses are fair and reasonable and the plaintiff should be compensated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Accordingly, I find the summary of award to be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$3,382.64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r>
              <w:rPr>
                <w:rFonts w:ascii="arial" w:eastAsia="arial" w:hAnsi="arial" w:cs="arial"/>
                <w:color w:val="000000"/>
                <w:sz w:val="18"/>
                <w:lang w:val="en-US" w:eastAsia="en-US" w:bidi="ar-SA"/>
              </w:rPr>
              <w:t>:</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$358,382.64</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 MAISONVILLE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7"/>
          <w:headerReference w:type="default" r:id="rId768"/>
          <w:footerReference w:type="even" r:id="rId769"/>
          <w:footerReference w:type="default" r:id="rId770"/>
          <w:headerReference w:type="first" r:id="rId771"/>
          <w:footerReference w:type="first" r:id="rId7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3" w:history="1">
        <w:r>
          <w:rPr>
            <w:rFonts w:ascii="arial" w:eastAsia="arial" w:hAnsi="arial" w:cs="arial"/>
            <w:b/>
            <w:bCs/>
            <w:i/>
            <w:color w:val="0077CC"/>
            <w:kern w:val="32"/>
            <w:sz w:val="28"/>
            <w:szCs w:val="32"/>
            <w:u w:val="single"/>
            <w:shd w:val="clear" w:color="auto" w:fill="FFFFFF"/>
            <w:lang w:val="en-US" w:eastAsia="en-US" w:bidi="ar-SA"/>
          </w:rPr>
          <w:t>Warner v. Taylor, [2015] B.C.J. No. 738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G.P.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29782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Penticton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738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2015 BCSC 598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Earl Warner, Plaintiff, and Larry Taylor,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6" w:name="Keywords_41"/>
      <w:bookmarkEnd w:id="286"/>
      <w:r>
        <w:rPr>
          <w:rFonts w:ascii="arial" w:eastAsia="arial" w:hAnsi="arial" w:cs="arial"/>
          <w:b/>
          <w:color w:val="000000"/>
          <w:sz w:val="20"/>
          <w:lang w:val="en-US" w:eastAsia="en-US" w:bidi="ar-SA"/>
        </w:rPr>
        <w:t>Damages — For torts — Affecting property -- personal property — Loss of use — Value of chattel — Action for value of two aircraft, aggravated damages and punitive damages allowed in part — Plaintiff purchased two aircraft — Defendant agreed to restore first aircraft to flying condition in exchange for plaintiff giving him second aircraft — First aircraft was destroyed by fire while defendant was attempting to fix its fuel gauge — Plaintiff entitled $28,000 for value of first aircraft and consequential losses totalling $8,989 — Anxiety, loss of sleep and emotional upset suffered by plaintiff warranted award of $5,00 for aggravated damages — Defendant's conduct was not sufficiently high-handed and cavalier to warrant punitive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Action for value of two aircraft, aggravated damages and punitive damages allowed in part — Plaintiff purchased two aircraft — Defendant agreed to restore first aircraft to flying condition in exchange for plaintiff giving him second aircraft — First aircraft was destroyed by fire while defendant was attempting to fix its fuel gauge — Defendant did not reasonable standard of care while attempting to repair fuel gauge — After smelling gas fumes, it should have been obvious to him there was a reasonable likelihood of explosion, especially with the cabin doors closed.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7" w:name="Case Summary_33"/>
            <w:bookmarkEnd w:id="2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the value of the two aircraft, aggravated damages, punitive damages, pre-judgment interest and costs. The parties were private pilots. The defendant was a skilled aircraft mechanic and was experienced in restoring aircraft. The plaintiff had purchased two private amateur built aircraft. The parties entered into an oral contract pursuant to which the defendant agreed to restore the first aircraft to flying condition in exchange for the plaintiff giving him the second aircraft. The plaintiff supplied most of the materials for the first aircraft's restoration. The first aircraft was destroyed by fire while the defendant was attempting to fix its fuel gauge. The aircraft's restoration was nearly complete at that time. The defendant sold the aircraft's engine, kept its propeller for his own use and did not account to the plaintiff for those actions. The defendant restored the second aircraft and subsequently registered the second aircraft in his name.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8" w:name="Holdings of Court_28"/>
            <w:bookmarkEnd w:id="288"/>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did not exercise the standard of care expected while attempting to repair the aircraft's fuel gauge. After smelling gas fumes, it should have been obvious to him that the buildup of gas fumes was dangerous and there was a reasonable likelihood that a fire or explosion could result, especially with the cabin doors closed. The defendant was liable to the plaintiff for the loss of the first aircraft. The measure of damages was the value of the first aircraft and the consequential losses the plaintiff suffered respecting it. The plaintiff was entitled to the replacement cost of $28,000 of the first aircraft as valued immediately prior to its destruction. The plaintiff was also entitled to the consequential losses he suffered respecting the aircraft totaling $8,989. The plaintiff's claim for damages for the value of the second aircraft failed. The plaintiff was estopped from making a claim for conversion for the second aircraft because he acquiesced to the defendant spending time and resources in its restoration when he knew the first aircraft's restoration was still a work in progress. The plaintiff's acquiescence coupled with the substantial performance of the agreement varied its terms such that the defendant was entitled to proceed on the basis that the second aircraft was his. The impact of the first aircraft's destruction on the plaintiff's life warranted an award of aggravated damages of $5,000. He suffered anxiety, loss of sleep and emotional upset. His retirement dream was destroyed. The defendant's conduct was not, however, sufficiently high-handed and cavalier to warrant the sanction of punitive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9" w:name="Counsel_41"/>
      <w:bookmarkEnd w:id="2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6"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E.L. Lund, M. Dorner,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Larry Taylor, Appearing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0" w:name="Judgment_40"/>
      <w:bookmarkEnd w:id="290"/>
      <w:r>
        <w:pict>
          <v:line id="_x0000_s1227" style="position:absolute;z-index:2518036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1" w:name="G.P. WEATHERILL J."/>
            <w:bookmarkEnd w:id="291"/>
            <w:r>
              <w:rPr>
                <w:rFonts w:ascii="arial" w:eastAsia="arial" w:hAnsi="arial" w:cs="arial"/>
                <w:b/>
                <w:color w:val="000000"/>
                <w:sz w:val="30"/>
                <w:lang w:val="en-US" w:eastAsia="en-US" w:bidi="ar-SA"/>
              </w:rPr>
              <w:t>G.P.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79 year old carpenter. The defendant is a locksmith. They are both private pilots, both members of the Penticton Flying Club and have known each other for over 15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dispute involves two private amateur built aircraft purchased by the plaintiff in 2001, the first a 1979 Maranada AMF-S-14, serial no. 151, ["First Aircraft"] and the second a 1961 Maranada AMF-S-14, serial no. 102 ["Second Aircraft"]. The First Aircraft and the Second Aircraft are jointly referred to as "the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2001 the parties entered into an oral contract. The defendant agreed to restore the First Aircraft to flying condition in exchange for the plaintiff giving him the Second Aircraft. The First Aircraft was destroyed by fire in November 2005 while the defendant was attempting to fix its fuel gauge. The defendant subsequently registered the Second Aircraft in his name. The plaintiff sues the defendant for the value of the both the First Aircraft and the Second Aircraft, together with aggravated damages, punitive damages, pre-judgment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applies for judgment under the summary trial provisions of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The defendant did not file affidavit evidence disputing the facts alleged in the plaintiff's affidavits. Nevertheless, when canvassed at the outset of the trial, the defendant said he was ready to proceed with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Since 1983, flying has been one of the plaintiff's main hobbies. He has owned several small aircraft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April 2001 the plaintiff purchased the Aircraft from another member of the Penticton Flying Club, a Mr. Abbey, who, in turn, had purchased them from a Mr. Laird in Smithers, B.C. Mr. Laird had stored both Aircraft outside for several years and they were partially disassembled. They had lost their certificates of air worthiness and were in need of significant remediation before either would fly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was a skilled aircraft mechanic and was experienced in restoring aircraft. He had previously built an aircraft from a kit.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and Mr. Abbey travelled to Smithers to dismantle and transport the Aircraft to Penticton. In so doing, the defendant had the opportunity of inspecting the Aircrafts'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wanted to purchase the Aircraft from Mr. Abbey. It was his retirement dream to fly a float plane to remote fishing lakes. He hoped the First Aircraft would be that plane, but he did not have the expertise to restore it to flying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agreeing to purchase the Aircraft, the plaintiff met with Mr. Abbey and the defendant at Mr. Abbey's hangar at the Penticton airport. An oral agreement was entered into between the plaintiff and the defendant, the basics of which were that the defendant would use his expertise to restore the First Aircraft to a condition of air worthiness in exchange for the plaintiff gifting the defendant the Second Aircraft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the Agreement was made, the parties did not discuss who would pay for parts or other materials needed to rebuild the First Aircraft, but the plaintiff understood that he would be responsible for all materials. The parties also did not discuss details of the assistance the plaintiff was to provide the defendant but the plaintiff understood that he would work together with the defendant in the First Aircraft's restoration.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 the Agreement in place, the plaintiff purchased the Aircraft from Mr. Abbey. As part of the purchase, Mr. Abbey provided the plaintiff with a large box containing the Aircraft's documentation including log books for the engines, propellers, and airframes as well as flight and maintenance histories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Shortly following the Agreement the plaintiff and defendant transported the Aircraft to the defendant's workshop. The plaintiff gave the defendant the Documents, which included bills of sale for the Aircraft signed in blank by Mr. Laird with the name of the purchaser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restoration of the First Aircraft began in 2001. Additional work outside the terms of the Agreement was necessary because the plaintiff wanted to modify the doors of the First Aircraft to provide more shoulder room, replace the seats and replace the windshield. There were other modifications that came up during the course of its restoration. Since these modifications to the First Aircraft weren't related to its airworthiness, the plaintiff considered them to be outside the terms of the Agreement and the cost would be to his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paid the defendant $1,500 to compensate him for extra time spent on these modifications as well as payment for instruments that the defendant installed on the First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also spent time restoring the First Aircraft. He built the wooden fuselage, longerons, struts, fairing strips, bulkheads, stringers and tail feathers. He also cut the wood to reframe the baggage compartment and reform the door stiles. He purchased aluminum and built a new engine cowl. The plaintiff estimates he spent approximately 2500 hours restoring the First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supplied most of the materials for the First Aircraft's restoration including the fabric used for the skin, a specialized paint and other parts at a cost of between $8,000 and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purchased floats for the First Aircraft from the United States. Including the cost of shipping, struts for the floats and customs' fees and duties, he spent $6,973.33.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Expecting the First Aircraft to be airworthy, the plaintiff also arranged to lease space at the Penticton Airport from Transport Canada at a cost of $836.59. It was his plan to build a hangar and he paid $2,675.01 for hangar design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few years after the parties began the restoration work on the First Aircraft, the plaintiff noted that the defendant had started restoring the Second Aircraft even though the First Aircraft's restoration hadn't yet been completed. The defendant did not ask the plaintiff if he could start restoring the Second Aircraft, nor did the plaintiff complain. The plaintiff says he trusted the defendant to honour the Agreement and restore the First Aircraft to the point of being airworthy.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the fall of 2005, the restoration work on the First Aircraft was nearly complete. The wings still had to be installed, the fuel gauge repaired and a final inspection completed before a certificate of airworthiness could be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November 2005 and without the plaintiff's knowledge, the defendant moved the First Aircraft from his shop to the Penticton Airport. On a windy day shortly afterwards, the defendant was inside the First Aircraft's cabin attempting to repair its fuel gauge. The cabin doors were closed because of the wind. The defendant could smell fuel vapours but continued working with the doors closed. The fuel vapours ignited and destroyed the First Aircraft by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was able to rescue the First Aircraft's engine and propeller from the inferno but the rest of the plane was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says that had he known that the defendant intended on moving the First Aircraft to the Penticton Airport he would have insured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was upset over the loss of the First Aircraft and relations between the parties deteriorated. Communications between them 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says his dream of being able to fly a floatplane when he retired evaporated with the destruction of the First Aircraft. His evidence is that he has lost sleep and continues to feel deprived and anxious about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Following the destruction of the First Aircraft and without the plaintiff's knowledge, the defendant sold the First Aircraft's engine to a third party for $3,000. He did not remit those funds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subsequently completed the restoration of the Second Aircraft. He installed the propeller from the First Aircraft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used the bill of sale signed by Mr. Laird for the Second Aircraft in blank to register himself as its owner. The defendant eventually restored the Second Aircraft to air worthiness and flies it under its new registration no. CF-RDV.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By letter dated September 20, 2007 demand was made by the plaintiff to the defendant for the return of the Second Aircraft. The defendant has refused to do so, claiming that he is its rightful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was able to sell the floats he had purchased for the First Aircraft for $1,500.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Because the defendant is the president of the Penticton Flying Club and accordingly knows the members, the plaintiff says he has been ostracized from the Club.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evidence is an appraisal of the First Aircraft prepared by Mr. Chris Falconar, who is an aeronautical engineer, a licenced aircraft maintenance engineer and a member of the Experimental Aircraft Association. He is also an advisor to owners of home built aircraft. Since 1943, he has been involved with nearly every aspect of aircraft construction, including design, woodwork, metalwork, welding, covering, electrical systems, instrumentation and controls. He is a private pilot and glider pilot, having flown over 65 different types of aircraft. He was also involved in the design of the Maranada S-14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Falconar's appraisal report is dated March 3, 2013. The defendant did not take issue with Mr. Falconar's qualifications as a Maranada aircraft appraiser and his report was entered into evidence without debate.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Falconar opines that the value of planes similar to the First Aircraft depends on a wide variety of factors such as the engine, special features, instruments, propeller and the like. His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value of an amateur built aircraft such as the AMF-S14 can vary greatly depending on various factors. An owner-builder will consider his handiwork as a form of art and count the cost of materials and a generous rate per hour of his labour and a rent for his tools and heated garage. At an auction the same plane could be bought for the buyer's perceived "fire sale" value of engine, prop, wheels, radio and a token for the 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another scenario, the owner may have become old and lost his pilot license. He only wants the plane to have a "good home". One such owner sold his AMF-S14 for only $8,000...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Another kind of buyer is in the ego pilot with dollars to spend and loves the S14's good looks and features. He wants it custom-built to his specs. A top price would be for a custom built, new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Taking into consideration the various factors involved in appraising an AMF-S14 aircraft, Mr. Falconar suggests a range of value between $8,000 and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After considering the work that remained immediately prior to the destruction of the First Aircraft including the weight and balance, fuel gauge system, wing inspection, final inspection, test flight and certificate of airworthiness renewal, he appraised the First Aircraft in a range of $22,000-$36,000.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part of his appraisal Mr. Falconar considered similar home-built aircraft offered for sale. Based on advertised prices it was his opinion the First Aircraft could be replaced for between $27,427 and $29,824.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seeks the following damages:</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Replacement cost of the First Aircraft negligently destroyed by the defendant - $29,824;</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wrongful detention/conversion of the Second Aircraft - $29,824;</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Net loss of the floats he purchased for the First Aircraft - $2,000;</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Shipping costs for floats - $2,226.49;</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Shipping costs of struts - $650.56;</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Customs fees - $596.28;</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Consultants' fees for design of hangar - $2,675.01;</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the Transport Canada lease for hangar - $836.89;</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 $5,000;</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The First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facts are not seriously in dispute. The defendant agreed to take a lead role in the restoration of the First Aircraft to the point of making it airworthy. In exchange, the plaintiff agreed to give him the Second Aircraft. The defendant agreed he would not take title to or become the owner of the Second Aircraft until the First Aircraft's restoration was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Even though the restoration of the First Aircraft was not complete, the defendant commenced restoration of the Second Aircraft to the plaintiff's knowledge. The plaintiff acquiesced in allowing the defendant to restore the Second Aircraft on the assumption that the defendant would complete the First Aircraft's restoration as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By November 2005 the First Aircraft's restoration was nearly complete. Four things remained to be done:</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engine inspection;</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fuel gauge repair;</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wing attachment; and,</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final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defendant admits it was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the destruction of the First Aircraft. His January 25, 2008 examination for discovery transcript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883 Q. Okay. This is -- - again, we have to do this. I am going to ask you a very specific question. So, you admit that the fire that destroyed aircraft number one was solely caused by your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guess I have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Conduct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it creates an objectively unreasonable risk of harm: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222. The defendant did not exercise the standard of care that would be expected of an ordinary, reasonable and prudent person in the same circumstances that he found himself in while attempting to repair the First Aircraft's fuel gauge. After smelling gas fumes, it should have been obvious to him that the buildup of gas fumes was dangerous and there was a reasonable likelihood that a fire or explosion could result, especially with the cabin doors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is liable to the plaintiff for the loss of the First Aircraft. The measure of damages is the value of the First Aircraft and the consequential losses the plaintiff suffered respecting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is entitled to the replacement cost of the First Aircraft as valued immediately prior to its destruction: </w:t>
      </w:r>
      <w:r>
        <w:rPr>
          <w:rFonts w:ascii="arial" w:eastAsia="arial" w:hAnsi="arial" w:cs="arial"/>
          <w:i/>
          <w:color w:val="000000"/>
          <w:sz w:val="20"/>
          <w:lang w:val="en-US" w:eastAsia="en-US" w:bidi="ar-SA"/>
        </w:rPr>
        <w:t>Nan v. Black Pine Manufacturing Ltd.</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[1991], 80 D.L.R. (4th) 153</w:t>
        </w:r>
      </w:hyperlink>
      <w:r>
        <w:rPr>
          <w:rFonts w:ascii="arial" w:eastAsia="arial" w:hAnsi="arial" w:cs="arial"/>
          <w:color w:val="000000"/>
          <w:sz w:val="20"/>
          <w:lang w:val="en-US" w:eastAsia="en-US" w:bidi="ar-SA"/>
        </w:rPr>
        <w:t>. I have considered Mr. Falconar's report appraising the First Aircraft at between $27,427 and $29,825. Noting that Mr. Falconar's report includes prices of planes advertised for sale that were airworthy and complete whereas the First Aircraft was not. Considering that the First Aircraft was nearly restored, I assess damages for the loss of the First Aircraft at $28,000.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is also entitled to damages claimed for the consequential losses he suffered respecting the First Aircraft as follows: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Net cost of floats - $2,000</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Shipping costs for floats - $2,226.49</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Shipping costs of struts - $650.56</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Customs fees - $596.28</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Consultants fees for hangar design - $2,675.01</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Taxes for lease of land for hangar - $836.89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464"/>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consequential losses: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$8,989.23.</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The Second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also claims damages for the value of the Second Aircraft assessed on the same basis as Mr. Falconar's valuation of the First Aircraft, namely $ 29,825. This claim is based on the tort of conversion and detinue. The plaintiff argues that he should be entitled to the benefit of the defendant's restoration work on the Second Aircraft citing </w:t>
      </w:r>
      <w:r>
        <w:rPr>
          <w:rFonts w:ascii="arial" w:eastAsia="arial" w:hAnsi="arial" w:cs="arial"/>
          <w:i/>
          <w:color w:val="000000"/>
          <w:sz w:val="20"/>
          <w:lang w:val="en-US" w:eastAsia="en-US" w:bidi="ar-SA"/>
        </w:rPr>
        <w:t>Mid Island Truck and Crane Ltd. v. Simian Cartage Inc.</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2011 BCSC 677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Mid Island Truck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Mid Island Truck,</w:t>
      </w:r>
      <w:r>
        <w:rPr>
          <w:rFonts w:ascii="arial" w:eastAsia="arial" w:hAnsi="arial" w:cs="arial"/>
          <w:color w:val="000000"/>
          <w:sz w:val="20"/>
          <w:lang w:val="en-US" w:eastAsia="en-US" w:bidi="ar-SA"/>
        </w:rPr>
        <w:t xml:space="preserve"> Joyce J. described the elements of a detinue action at para. 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R.I.M. Contracting Ltd. v. Nisi,</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[1976] B.C.J. No. 242</w:t>
        </w:r>
      </w:hyperlink>
      <w:r>
        <w:rPr>
          <w:rFonts w:ascii="arial" w:eastAsia="arial" w:hAnsi="arial" w:cs="arial"/>
          <w:color w:val="000000"/>
          <w:sz w:val="20"/>
          <w:lang w:val="en-US" w:eastAsia="en-US" w:bidi="ar-SA"/>
        </w:rPr>
        <w:t xml:space="preserve"> (S.C.) at para. 10, the essential elements to found an action in detinue were described as a demand for return of possession by the person claiming to be entitled, and a refusal of that demand by the person having possession. In the same case, at para. 11, the essential elements of the tort of conversion were said to be: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 ... The two elements necessary here are: a dealing with the goods in a manner inconsistent with the rights of a person entitled to them; and an intention in so doing to deny his right or to assert a dominion which is in fact inconsistent with such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is no dispute that, to the plaintiff's knowledge, the defendant worked on and restored the Second Aircraft at the same time as the First Aircraft. There is no evidence of the plaintiff taking any issue with the defendant's restoration of the Second Aircraft until September 27, 2007 when he made demand for its return. By then, the restoration work on the Second Aircraft was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my view, the plaintiff is estopped from making a claim for conversion/detinue for the Second Aircraft because he acquiesced to the defendant spending time and resources in its restoration when he knew the First Aircraft's restoration was still a work in progress. The plaintiff's acquiescence coupled with the substantial performance of the Agreement varied its terms such that the defendant was entitled to proceed on the basis that the Second Aircraft was his. The restoration of the First Aircraft, although nearly complete, could not be completed because the First Aircraft was destroyed through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parties should be placed into the same position they would have been in had the Agreement been completed. The plaintiff would have had an airworthy First Aircraft and the defendant would have had the Second Aircraft.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frustrated the completion of the Agreement. The plaintiff should be entitled to the value of the First Aircraft plus consequential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my judgment the plaintiff's claim for damages for the value of the Second Aircraft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 also seeks an award of $5,000 in aggravated damages arguing that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has been denied his retirement dream. He feels the defendant betrayed and took advantage of him by selling the First Aircraft's engine, keeping its propeller for his own use and not accounting to the plaintiff for those actions. He also feels that he has been ostracized by the Penticton Flying Club which was a source of social pleasure for him. He relies on </w:t>
      </w:r>
      <w:r>
        <w:rPr>
          <w:rFonts w:ascii="arial" w:eastAsia="arial" w:hAnsi="arial" w:cs="arial"/>
          <w:i/>
          <w:color w:val="000000"/>
          <w:sz w:val="20"/>
          <w:lang w:val="en-US" w:eastAsia="en-US" w:bidi="ar-SA"/>
        </w:rPr>
        <w:t>Huff v. Price</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[1990] B.C.J. No. 2692</w:t>
        </w:r>
      </w:hyperlink>
      <w:r>
        <w:rPr>
          <w:rFonts w:ascii="arial" w:eastAsia="arial" w:hAnsi="arial" w:cs="arial"/>
          <w:color w:val="000000"/>
          <w:sz w:val="20"/>
          <w:lang w:val="en-US" w:eastAsia="en-US" w:bidi="ar-SA"/>
        </w:rPr>
        <w:t xml:space="preserve">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aggravated damages are an award, or an augmentation of an award, of compensatory damages for non-pecuniary losses. They are designed to compensate the plaintiff, and they are measured by the plaintiff's suffering. Such intangible elements as pain, anguish, grief, humiliation, wounded pride, damaged self-confidence or self-esteem, loss of faith in friends or colleagues, and similar matters that are caused by the conduct of the defendant; that are of the type that the defendant should reasonably have foreseen in tort cases or had in contemplation in contract cases; that cannot be said to be fully compensated for in an award for pecuniary losses; and that are sufficiently significant in depth, or duration, or both, that they represent a significant influence on the plaintiff's life, can properly be the basis for the making of an award for non-pecuniary losses or for the augmentation of such an award. An award of that kind is frequently referred to as aggravated damages. It is, of course, not the damages that are aggravated but the injury. The damage award is for aggravation of the injury by the defendant's highhanded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satisfied on the evidence that the impact of the First Aircraft's destruction on the plaintiff's life warrants an award of aggravated damages. He has suffered anxiety, loss of sleep and emotional upset. His retirement dream was destroyed. Although he is still a pilot and presumably could have made arrangements to fly other float planes during his retirement, the evidence satisfies me that the defendant's conduct has had a negative effect on him that cannot be adequately compensated for in pecuniary damages. It is significant enough in depth and duration and has taken a large portion of the plaintiff's retirement life away from him. To add insult to injury, the defendant secretly sold the First Aircraft's engine and used its propeller on the Second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Aggravated damages are assessed at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also seeks an award of punitive damages for what he argues is the defendant's high-handed conduct in:</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selling the First Aircraft's engine without the plaintiff's permission and keeping the money;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keeping the First Aircraft's propeller and subsequently installing it on the Second Aircraft with no offer of payment to the plaintiff; and</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registering the Second Aircraft without permission by using the bill of sale documents entrusted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Punitive damages are an award imposed to punish a defendant and to set an example to others who might seek to act in a similar way. They are measured by the degree of moral culpability. An element of willfulness or recklessness such as would underlie a finding of guilt in a criminal act must usually be present before punitive damages will be awarded. The defendant must be proven to have acted harshly, vindictively, reprehensibly or maliciously: </w:t>
      </w:r>
      <w:r>
        <w:rPr>
          <w:rFonts w:ascii="arial" w:eastAsia="arial" w:hAnsi="arial" w:cs="arial"/>
          <w:i/>
          <w:color w:val="000000"/>
          <w:sz w:val="20"/>
          <w:lang w:val="en-US" w:eastAsia="en-US" w:bidi="ar-SA"/>
        </w:rPr>
        <w:t>Vorvis v. Insurance Corp. of British Columbia,</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Transit Trailer Leasing Ltd. v. Robinson</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[2004] O.T.C. 384</w:t>
        </w:r>
      </w:hyperlink>
      <w:r>
        <w:rPr>
          <w:rFonts w:ascii="arial" w:eastAsia="arial" w:hAnsi="arial" w:cs="arial"/>
          <w:color w:val="000000"/>
          <w:sz w:val="20"/>
          <w:lang w:val="en-US" w:eastAsia="en-US" w:bidi="ar-SA"/>
        </w:rPr>
        <w:t xml:space="preserve"> (O.N.S.C.) [</w:t>
      </w:r>
      <w:r>
        <w:rPr>
          <w:rFonts w:ascii="arial" w:eastAsia="arial" w:hAnsi="arial" w:cs="arial"/>
          <w:i/>
          <w:color w:val="000000"/>
          <w:sz w:val="20"/>
          <w:lang w:val="en-US" w:eastAsia="en-US" w:bidi="ar-SA"/>
        </w:rPr>
        <w:t>Transit Trailer</w:t>
      </w:r>
      <w:r>
        <w:rPr>
          <w:rFonts w:ascii="arial" w:eastAsia="arial" w:hAnsi="arial" w:cs="arial"/>
          <w:color w:val="000000"/>
          <w:sz w:val="20"/>
          <w:lang w:val="en-US" w:eastAsia="en-US" w:bidi="ar-SA"/>
        </w:rPr>
        <w:t xml:space="preserve">]. In my judgement that case is distinguishable on its facts. In </w:t>
      </w:r>
      <w:r>
        <w:rPr>
          <w:rFonts w:ascii="arial" w:eastAsia="arial" w:hAnsi="arial" w:cs="arial"/>
          <w:i/>
          <w:color w:val="000000"/>
          <w:sz w:val="20"/>
          <w:lang w:val="en-US" w:eastAsia="en-US" w:bidi="ar-SA"/>
        </w:rPr>
        <w:t>Transit Trailer</w:t>
      </w:r>
      <w:r>
        <w:rPr>
          <w:rFonts w:ascii="arial" w:eastAsia="arial" w:hAnsi="arial" w:cs="arial"/>
          <w:color w:val="000000"/>
          <w:sz w:val="20"/>
          <w:lang w:val="en-US" w:eastAsia="en-US" w:bidi="ar-SA"/>
        </w:rPr>
        <w:t xml:space="preserve"> the defendant registered a trailer in its name when, to its knowledge, it had no basis to claim ownership. The defendant was found to have been deceptive in its representation of ownership. The registration of the trailer was unlawful and unauthorized and was deserving of rebuke. Punitive damages were fixed at $5,000 to "illustrate the court's distain for such unlawful and unanswered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facts of this case do not approach the type of conduct disclosed in </w:t>
      </w:r>
      <w:r>
        <w:rPr>
          <w:rFonts w:ascii="arial" w:eastAsia="arial" w:hAnsi="arial" w:cs="arial"/>
          <w:i/>
          <w:color w:val="000000"/>
          <w:sz w:val="20"/>
          <w:lang w:val="en-US" w:eastAsia="en-US" w:bidi="ar-SA"/>
        </w:rPr>
        <w:t>Transit Trailer</w:t>
      </w:r>
      <w:r>
        <w:rPr>
          <w:rFonts w:ascii="arial" w:eastAsia="arial" w:hAnsi="arial" w:cs="arial"/>
          <w:color w:val="000000"/>
          <w:sz w:val="20"/>
          <w:lang w:val="en-US" w:eastAsia="en-US" w:bidi="ar-SA"/>
        </w:rPr>
        <w:t>. I have found that through his acquiescence to the defendant restoring the Second Aircraft, the plaintiff provided him with a colour of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Although the defendant salvaged the First Aircraft's engine and propeller and kept them for his own use without notice or accounting to the plaintiff, and although the plaintiff believes he acted harshly, vindictively, reprehensibly and maliciously in so doing, I am not satisfied that is the case. The defendant's conduct was not, in my view, sufficiently high-handed and cavalier to warrant the sanction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claim for punitive damages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is entitled to judgment for:</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Value of the First Aircraft: $28,000.</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consequential losses: $8,989.23.</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$5,000.00</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Pre-judgment interest on this sum of $41,989.23 from November 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is also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G.P.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8"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2"/>
          <w:headerReference w:type="default" r:id="rId783"/>
          <w:footerReference w:type="even" r:id="rId784"/>
          <w:footerReference w:type="default" r:id="rId785"/>
          <w:headerReference w:type="first" r:id="rId786"/>
          <w:footerReference w:type="first" r:id="rId7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88" w:history="1">
        <w:r>
          <w:rPr>
            <w:rFonts w:ascii="arial" w:eastAsia="arial" w:hAnsi="arial" w:cs="arial"/>
            <w:b/>
            <w:bCs/>
            <w:i/>
            <w:color w:val="0077CC"/>
            <w:kern w:val="32"/>
            <w:sz w:val="28"/>
            <w:szCs w:val="32"/>
            <w:u w:val="single"/>
            <w:shd w:val="clear" w:color="auto" w:fill="FFFFFF"/>
            <w:lang w:val="en-US" w:eastAsia="en-US" w:bidi="ar-SA"/>
          </w:rPr>
          <w:t>Watt v. 417698 Alberta Ltd., [2006] B.C.J. No. 985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Golden,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25 and 26, 2006.</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27, 2006.</w:t>
      </w:r>
    </w:p>
    <w:p>
      <w:pPr>
        <w:spacing w:before="120" w:line="260" w:lineRule="atLeast"/>
        <w:jc w:val="center"/>
        <w:rPr>
          <w:lang w:val="en-US" w:eastAsia="en-US" w:bidi="ar-SA"/>
        </w:rPr>
      </w:pPr>
      <w:r>
        <w:rPr>
          <w:rFonts w:ascii="arial" w:eastAsia="arial" w:hAnsi="arial" w:cs="arial"/>
          <w:color w:val="000000"/>
          <w:sz w:val="20"/>
          <w:lang w:val="en-US" w:eastAsia="en-US" w:bidi="ar-SA"/>
        </w:rPr>
        <w:t>Golden Registry No. 2879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985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677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148 A.C.W.S. (3d) 824</w:t>
      </w:r>
    </w:p>
    <w:p>
      <w:pPr>
        <w:spacing w:before="120" w:line="260" w:lineRule="atLeast"/>
        <w:rPr>
          <w:lang w:val="en-US" w:eastAsia="en-US" w:bidi="ar-SA"/>
        </w:rPr>
      </w:pPr>
      <w:r>
        <w:rPr>
          <w:rFonts w:ascii="arial" w:eastAsia="arial" w:hAnsi="arial" w:cs="arial"/>
          <w:color w:val="000000"/>
          <w:sz w:val="20"/>
          <w:lang w:val="en-US" w:eastAsia="en-US" w:bidi="ar-SA"/>
        </w:rPr>
        <w:t>Between Lisa Marie Watt and Jordann Lorraine Watt, an infant by her Litigation Guardian, Sheila Kraig, plaintiffs, and 417698 Alberta Ltd. and Carlo G. Lucente, defendants, and Lisa Marie Watt,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29" style="position:absolute;z-index:25170227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92" w:name="Keywords_42"/>
      <w:bookmarkEnd w:id="29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Signals and warnings — Speed — Action by the plaintiff against the defendant for damages arising from a motor vehicle accident — Action allowed in part — The plaintiff was driving southbound slowly, intending to make a left-hand turn — She did not turn on her signal or brake — The defendant came up behind the plaintiff and passed her — While the defendant was passing, the plaintiff turned into him causing the accident — The plaintiff and her passenger were not wearing seatbelts — The plaintiff should have done a shoulder or mirror check before proceeding — However, the defendant should have slowed down given the slow moving vehicle — The plaintiff was 75 per cent liable and the defendant was 25 per cent liable.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93" w:name="Case Summary_34"/>
            <w:bookmarkEnd w:id="29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Watt, against the defendant, Lucente, for damages relating to a motor vehicle accident -- Watt was proceeding slowly along (15 to 25 kilometres per hour) the southbound highway -- She wished to turn left and claimed she put on her signal -- Lucente was driving southbound and was behind Watt's vehicle -- He was driving at 90 kilometres per hour -- Lucente decided to pass Watt's vehicle -- As he was doing so, Watt drifted into the north-bound lane into Lucente's vehicle -- Lucente claimed that Watt did not turn on a signal and did not brake since she was driving so slowly -- Neither Watt nor her passenger were wearing their seatbelts -- HELD: Action allowed in part -- Watt did not press her brakes or turn on her signal -- Watt could not have done a shoulder or mirror check before proceeding or she would have seen Lucente's vehicle -- However, Lucente should have slowed down given the slow moving vehicle -- Watt was 75 per cent liable and Lucente was 25 per cent liable. </w:t>
            </w:r>
            <w:r>
              <w:rPr>
                <w:lang w:val="en-US" w:eastAsia="en-US" w:bidi="ar-SA"/>
              </w:rPr>
              <w:cr/>
            </w:r>
          </w:p>
          <w:p>
            <w:pPr>
              <w:rPr>
                <w:lang w:val="en-US" w:eastAsia="en-US" w:bidi="ar-SA"/>
              </w:rPr>
            </w:pPr>
          </w:p>
        </w:tc>
      </w:tr>
    </w:tbl>
    <w:p>
      <w:pPr>
        <w:jc w:val="both"/>
        <w:rPr>
          <w:lang w:val="en-US" w:eastAsia="en-US" w:bidi="ar-SA"/>
        </w:rPr>
      </w:pPr>
      <w:bookmarkStart w:id="294" w:name="Counsel_42"/>
      <w:bookmarkEnd w:id="29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30" style="position:absolute;z-index:2517534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third party and Defendant by counter-claim, Lisa Marie Watt: B. McKenzie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D.G. Detomasi and C. Babiuk</w:t>
      </w:r>
      <w:r>
        <w:rPr>
          <w:lang w:val="en-US" w:eastAsia="en-US" w:bidi="ar-SA"/>
        </w:rPr>
        <w:cr/>
      </w:r>
    </w:p>
    <w:p>
      <w:pPr>
        <w:spacing w:after="240"/>
        <w:rPr>
          <w:lang w:val="en-US" w:eastAsia="en-US" w:bidi="ar-SA"/>
        </w:rPr>
      </w:pPr>
      <w:bookmarkStart w:id="295" w:name="Judgment_41"/>
      <w:bookmarkEnd w:id="295"/>
      <w:r>
        <w:pict>
          <v:line id="_x0000_s1231" style="position:absolute;z-index:25180467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96" w:name="MELNICK J."/>
            <w:bookmarkEnd w:id="296"/>
            <w:r>
              <w:rPr>
                <w:rFonts w:ascii="arial" w:eastAsia="arial" w:hAnsi="arial" w:cs="arial"/>
                <w:b/>
                <w:color w:val="000000"/>
                <w:sz w:val="30"/>
                <w:lang w:val="en-US" w:eastAsia="en-US" w:bidi="ar-SA"/>
              </w:rPr>
              <w:t>MELNICK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concerned the issue of liability arising out of a motor vehicle accident.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BACKGROUND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motor vehicle accident occurred on August 18, 2001 on Highway 95 near Spillamacheen. Lisa Marie Watt ("Ms. Watt") and her daughter Jordann Lorraine Watt ("Miss Watt") had been visiting family members on Galena School Road ("Galena Road") early that evening. Thereafter, about 8:00 pm Ms. Watt was driving to her parents home nearby.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When they got to Highway 95, within sight of the home they had visited, Miss Watt noticed that a child's purse was on the hood of their vehicle, a 1980 Chevrolet pick-up ("the pick-up") owned by Ms. Watt's son. Ms. Watt pulled over to the right from the north-bound lane in which they had briefly been travelling. After securing the purse, Ms. Watt proceeded a short distance north on Highway 95, then pulled into a driveway on the west side of the highway. Neither Ms. Watt nor Miss Watt put their seat belts back on after the stop to get the purse.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Watt waited while some south-bound vehicles went by then backed onto the gravel shoulder adjoining the south-bound lane of Highway 95. She had only 170 metres to go to return to the Galena Road on the east side of the highway. She said she put her left turn signal on when she pulled onto the highway and, at the same time, observed a vehicle coming over a rise in the roadway to the north as well as a motor home coming from the south. She said she was positive she had her left turn signal on as she proceeded toward Galena Road although, on cross-examination, she expressed some uncertainty as to where she had first put it on. Miss Watt was also positive that she saw her mother activate the turn signal but could not say if this had been done before they re-entered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driver of the vehicle Ms. Watt had seen coming over the rise in the road to the north was the defendant, Carlo Lucente ("Mr. Lucente") who was operating a 1999 Dodge Durango owned by the corporate defendant. With him was his then girlfriend, Sheila Mirhashem ("Ms. Mirhashem"). They were en route from Calgary to Fairmont via Golden. Mr. Lucente was driving at about 90 kph. He was somewhat familiar with the road but not intimately familiar with that portion of it as was Ms. Watt. She had driven into Galena Road at least a thousand times, she said.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Lucente saw Ms. Watt's slow moving vehicle about 300 metres ahead. When approximately 100 metres from her vehicle he made the decision to pass her. Both Mr. Lucente and Ms. Mirhashem insisted that at no time did they see any signal light or brake lights on the pick-up. He neither accelerated nor slowed down when he began to pass.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close to Galena Road, Ms. Watt's pick-up drifted over at an angle into the north-bound lane, then occupied by Mr. Lucente's Durango. He sounded his horn and simultaneously steered hard to the right to try to get back into the south-bound lane to avoid the pick-up. However, the left front of his vehicle collided with the right rear of the pick-up at about the centre of the highway. Both vehicles left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Watt and her daughter both struck their heads on the rear window of the cab of the pick-up. Ms. Watt also struck her chest on the steering wheel. Miss Watt lost consciousness briefly and ended up on the floor of the cab.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Lucente ran to their vehicle to check on them after ensuring that Ms. Mirhashem was not injured. Ms. Watt told him that they were not injured (although it transpired that both had apparently suffered some minor injuries). Mr. Lucente said that Ms. Watt apologized repeatedly, saying she hadn't seen him. Ms. Watt agreed she apologized, then believing that perhaps a wheel coming off their truck had caused the accident, but said she never stated that she had not seen Mr. Lucente's vehicle coming.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Shortly after the accident, the Durango caught fire and was destroyed. From the photographs in evidence, it appears that the pick-up was much the worse for the accident as well. Ms. Watt and Miss Watt were taken by ambulance to Golden.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Watt's aunt, Francine Galbraith gave evidence that she saw the accident from her home. Ms. Watt was travelling slowly, she said, while Mr. Lucente was going fast. She said she was too far away to see if Ms. Watt's signal light was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Steve MacInnis ("Mr. MacInnis"), an expert in accident reconstruction, gave evidence that confirmed that the collision had taken place near the centre line of the highway (Ms. Watt had recalled it being closer to the entrance to Galena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His evidence also confirmed that the two vehicles had been travelling at roughly the speeds estimated by the parties - Mr. Lucente at 80 to 100 kph; Ms. Watt at 15 to 25 kph - at the time of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MacInnis offered the opinion that Mr. Lucente had the potential to avoid the collision as the Watt vehicle would have been visible to him for about 100 metres; that the Galena Road intersection was there to be seen; that this was an area with numerous exits to side roads; and that Mr. Lucente must have seen that Ms. Watt was travelling very slowly as he would have rapidly approached her position.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ANALYSIS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accept that Mr. Lucente and Ms. Mirhashem did not see any brake lights nor a left turn signal on the Watt pick-up for two reasons. I find it improbable that Ms. Watt applied her brakes during her left turning manoeuvre due to her slow speed. Further, I find that while she may well have engaged her left turn signal, it is improbable that she did so until immediately before impact, so that the signal would not have been seen by the occupants of the following vehicle. In other words, she turned it on too late for it to have warned Mr. Lucente of her intent to turn left when she attempted to do so. I do not accept that she engaged it back at the driveway where she turned around.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Further, Ms. Watt was at fault for even attempting a left turn when she did because of the proximity of the south-bound Durango, which she had seen at the time she pulled back onto the highway from the curb. She could not have done a mirror or shoulder check before starting to cross the line into the north-bound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the other hand, Mr. Lucente should have slowed his vehicle given that he saw such a slow-moving vehicle ahead of him. He too had a responsibility to be more prudent and more cautious than he was in the circumstances of coming rapidly upon a very slow moving vehicle on a two lane highway where there were numerous side roads evident. I will say, however, notwithstanding the evidence of Mr. MacInnis, that Galena Road was probably not all that evident to someone not intimately familiar with that stretch of Highway 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balance, however, I find that it was Ms. Watt's crossing into the north-bound lane without warning that was the principal cause of the accident. No doubt it would have been avoided if she had waited until Mr. Lucente passed her, or if she had signalled her intent to turn left in a timely way. So, too, may have it been avoided if Mr. Lucente had slowed and proceeded more cautiously.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III.</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Both drivers must bear some of the liability for the damages that occurred in the accident. I assess Ms. Watt's percentage of liability at 75% and Mr. Lucente's at 25%.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Mr. Lucente was largely successful, he is entitled to his costs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MELNICK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8548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9"/>
          <w:headerReference w:type="default" r:id="rId790"/>
          <w:footerReference w:type="even" r:id="rId791"/>
          <w:footerReference w:type="default" r:id="rId792"/>
          <w:headerReference w:type="first" r:id="rId793"/>
          <w:footerReference w:type="first" r:id="rId7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5" w:history="1">
        <w:r>
          <w:rPr>
            <w:rFonts w:ascii="arial" w:eastAsia="arial" w:hAnsi="arial" w:cs="arial"/>
            <w:b/>
            <w:bCs/>
            <w:i/>
            <w:color w:val="0077CC"/>
            <w:kern w:val="32"/>
            <w:sz w:val="28"/>
            <w:szCs w:val="32"/>
            <w:u w:val="single"/>
            <w:shd w:val="clear" w:color="auto" w:fill="FFFFFF"/>
            <w:lang w:val="en-US" w:eastAsia="en-US" w:bidi="ar-SA"/>
          </w:rPr>
          <w:t>Watt v. Health Sciences Assn. of British Columbia, [2015] B.C.J. No. 1589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8-11, 2014;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of the Plaintiffs received,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8, 2015;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of the Defendant Health Sciences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Association received, April 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of the Defendant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Trustees received, April 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reply submissions of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Plaintiffs received, April 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S134066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1589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2239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 C.C.P.B. (2d) 206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257 A.C.W.S. (3d) 527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52 C.C.L.I. (5th) 180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Nina Watt and James Hensman, Plaintiffs, and Health Sciences Association of British Columbia, Reid Johnson, Valerie Avery and Bruce MacDonald in their capacity as the Trustees of The Health Sciences Association of B.C. Trust Fund and the said The Health Sciences Association of B.C. Trust Fund, Reid Johnson, Bruce MacDonald and Marg Beddis in their capacity as the Trustees of the HSA Ltd Trust No. 2 and the said The HSA Ltd Trust No. 2, Reid Johnson, Bruce MacDonald, Valerie Avery and Marg Beddis in their capacity as the Trustees of the HSA Ltd Trust No. 3 and the said The HSA Ltd Trust No. 3, and Reid Johnson, Bruce MacDonald, Valerie Avery and Marg Beddis,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3"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7" w:name="Keywords_43"/>
      <w:bookmarkEnd w:id="297"/>
      <w:r>
        <w:rPr>
          <w:rFonts w:ascii="arial" w:eastAsia="arial" w:hAnsi="arial" w:cs="arial"/>
          <w:b/>
          <w:color w:val="000000"/>
          <w:sz w:val="20"/>
          <w:lang w:val="en-US" w:eastAsia="en-US" w:bidi="ar-SA"/>
        </w:rPr>
        <w:t>Civil litigation — Civil procedure — Pleadings — Parties — Class or representative actions — Certification — Application by plaintiff for certification of action as class proceeding allowed — Plaintiffs were union members and in receipt of long term disability benefits — Plaintiffs alleged union implemented changes to plaintiffs' long term disability benefits after they commenced receiving those benefits and sued union for breach of contract, breach of fiduciary duty, and breach Insurance Act — Not plain and obvious that union could not enter into a contract for disability benefits with its members — Common issues, except aggravated damages, were appropriate — Class proceeding was preferable procedure — Plaintiffs were suitable representative plaintiffs.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Labour law — Unions — Civil liability of unions — Duties — Application by plaintiff for certification of action as class proceeding allowed — Plaintiffs were union members and in receipt of long term disability benefits — Plaintiffs alleged union implemented changes to plaintiffs' long term disability benefits after they commenced receiving those benefits and sued union for breach of contract, breach of fiduciary duty, and breach Insurance Act — Not plain and obvious that union could not enter into a contract for disability benefits with its members — Common issues, except aggravated damages, were appropriate — Class proceeding was preferable procedure — Plaintiffs were suitable representative plaintiffs.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8" w:name="Case Summary_35"/>
            <w:bookmarkEnd w:id="2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certification of the action as a class proceeding. The plaintiffs were members in the defendant union, and received long term disability benefits associated with their union membership. The plaintiffs alleged that the union implemented changes to the plaintiffs' long term disability benefits after they commenced receiving those benefits and sued the union for breach of contract, breach of fiduciary duty, as well as contravention of the Insurance Act, alleging that the union satisfied the definition of insurer under that legislation. The plaintiffs argued that the defendant trustees breached fiduciary duties owed to the plaintiffs by failing to ensure the trusts were sufficiently funded and by actively opposing the referendum seeking increased contribution to the trusts by way of increased union dues. They also alleged that the trustees acted negligently in managing the trusts. The proposed representative plaintiffs sought to recover the damages suffered as a result of the reduction and termination of long term disability benefits under the various plans. The union challenged both the legal and factual existence of a contract and argued that as a matter of law the plaintiffs' claim in contract could not succeed.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9" w:name="Holdings of Court_29"/>
            <w:bookmarkEnd w:id="29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plain and obvious that a union could not enter into a contract for disability benefits with its members. While the union acted as an agent for its members when negotiating with the employer as the members' bargaining agent, when it allegedly assumed responsibility for long term disability benefits it potentially entered into a contractual relationship with its members. The alleged contracts arose from the conduct of the parties and communications between the union and its members. The pleadings disclosed a supportable cause of action for breach of contract. The pleadings disclosed a cause of action under the Insurance Act. An agreement to provide long term disability benefits to employees could amount to a contract of insurance. If the union assumed the employer's responsibility, it thereby arguably undertook to indemnify the employees for their loss of income in respect of the risk of long-term disability. The plaintiffs' pleadings disclosed a cause of action for breach of fiduciary duty against the union. The plaintiffs' proposed class definition was appropriate. The proposed common issues were suitable and triable common issues with the exception of the claim for aggravated damages. The impact of a breach of the long term disability agreements on class members' intangible elements would vary among class members, thereby requiring individual assessment. The class proceeding eased rather than aggravated the difficulties associated with the litigation, and as a result that the plaintiffs satisfied the preferable procedure requirement. The plaintiffs were suitable representative plaintiffs.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0" w:name="Legislation Cited_29"/>
      <w:bookmarkEnd w:id="3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4"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796" w:history="1">
        <w:r>
          <w:rPr>
            <w:rFonts w:ascii="arial" w:eastAsia="arial" w:hAnsi="arial" w:cs="arial"/>
            <w:i/>
            <w:color w:val="0077CC"/>
            <w:sz w:val="20"/>
            <w:u w:val="single"/>
            <w:shd w:val="clear" w:color="auto" w:fill="FFFFFF"/>
            <w:lang w:val="en-US" w:eastAsia="en-US" w:bidi="ar-SA"/>
          </w:rPr>
          <w:t>RSBC 1996, CHAPTER 50, s. 1</w:t>
        </w:r>
      </w:hyperlink>
      <w:r>
        <w:rPr>
          <w:rFonts w:ascii="arial" w:eastAsia="arial" w:hAnsi="arial" w:cs="arial"/>
          <w:color w:val="000000"/>
          <w:sz w:val="20"/>
          <w:lang w:val="en-US" w:eastAsia="en-US" w:bidi="ar-SA"/>
        </w:rPr>
        <w:t>, s. 4(1)(a), s. 4(1)(d), s.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Act, </w:t>
      </w:r>
      <w:hyperlink r:id="rId797" w:history="1">
        <w:r>
          <w:rPr>
            <w:rFonts w:ascii="arial" w:eastAsia="arial" w:hAnsi="arial" w:cs="arial"/>
            <w:i/>
            <w:color w:val="0077CC"/>
            <w:sz w:val="20"/>
            <w:u w:val="single"/>
            <w:shd w:val="clear" w:color="auto" w:fill="FFFFFF"/>
            <w:lang w:val="en-US" w:eastAsia="en-US" w:bidi="ar-SA"/>
          </w:rPr>
          <w:t>R.S.B.C. 2012, c. 1, s. 58</w:t>
        </w:r>
      </w:hyperlink>
      <w:r>
        <w:rPr>
          <w:rFonts w:ascii="arial" w:eastAsia="arial" w:hAnsi="arial" w:cs="arial"/>
          <w:color w:val="000000"/>
          <w:sz w:val="20"/>
          <w:lang w:val="en-US" w:eastAsia="en-US" w:bidi="ar-SA"/>
        </w:rPr>
        <w:t>, s. 116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Rul3 3-1(2)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1" w:name="Counsel_43"/>
      <w:bookmarkEnd w:id="30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5"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D.P. Church, Q.C., I. Schildt.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Health Sciences Association of British Columbia: C.A.B. Ferris, Q.C., A.M. Nathanson.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Trustees: R. Davies, Q.C., L.A. Blake.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2" w:name="Judgment_42"/>
      <w:bookmarkEnd w:id="302"/>
      <w:r>
        <w:pict>
          <v:line id="_x0000_s1236" style="position:absolute;z-index:251855872" from="0,12pt" to="512pt,12pt" strokecolor="#009ddb" strokeweight="1.5pt">
            <v:stroke linestyle="single"/>
          </v:line>
        </w:pic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CERTIFICATION APPLICATION</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for class proceeding certification arises from the defendant union's alleged assumption from the employer of "responsibility" for the provision of long-term disability benefits ("LTD benefits") to its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Both of the plaintiffs hold membership in the defendant union, the Health Sciences Association of British Columbia ("HSA"), and receive LTD benefits associated with their membership in HSA. The plaintiffs say that HSA implemented changes to the plaintiffs' LTD benefits after they commenced receiving those benefits and so claim against HSA for breach of contract, breach of fiduciary duty, as well as contravention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2012, c. 1</w:t>
      </w:r>
      <w:r>
        <w:rPr>
          <w:rFonts w:ascii="arial" w:eastAsia="arial" w:hAnsi="arial" w:cs="arial"/>
          <w:color w:val="000000"/>
          <w:sz w:val="20"/>
          <w:lang w:val="en-US" w:eastAsia="en-US" w:bidi="ar-SA"/>
        </w:rPr>
        <w:t xml:space="preserve">, alleging that HSA satisfies the definition of "insurer" under that legislation. The plaintiffs also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breach of fiduciary duty against the individual defendant trustees (the "Trustees") who administered certain trusts that paid the plaintiffs' LTD benefits. Claims against the trusts were dismissed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this application, I must determine whether the causes of action pleaded by the plaintiffs are supportable at law and appropriate for certification as a class action, assuming that the facts pleaded are true. While the merits of the action are not in issue, if it is plain and obvious a claim cannot succeed it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Nina Watt and James Hensman formerly worked as health care professionals in British Columbia and are HSA members. Mr. Hensman became disabled and in 1996 commenced receiving LTD benefits. Ms. Watt also became disabled and began receipt of LTD benefits in 2004. Both remain in receipt of LTD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HSA is a union certified under the </w:t>
      </w:r>
      <w:r>
        <w:rPr>
          <w:rFonts w:ascii="arial" w:eastAsia="arial" w:hAnsi="arial" w:cs="arial"/>
          <w:i/>
          <w:color w:val="000000"/>
          <w:sz w:val="20"/>
          <w:lang w:val="en-US" w:eastAsia="en-US" w:bidi="ar-SA"/>
        </w:rPr>
        <w:t>Labour Relations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Labour Code</w:t>
      </w:r>
      <w:r>
        <w:rPr>
          <w:rFonts w:ascii="arial" w:eastAsia="arial" w:hAnsi="arial" w:cs="arial"/>
          <w:color w:val="000000"/>
          <w:sz w:val="20"/>
          <w:lang w:val="en-US" w:eastAsia="en-US" w:bidi="ar-SA"/>
        </w:rPr>
        <w:t>], representing as bargaining agent approximately 17,000 health care and social service professionals at over 250 facilities and agencies providing acute care, long-term care and community health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Reid Johnson, Valerie Avery, Marg Beddis and Bruce MacDonald either are or were senior officers of HSA or members of HSA's Board of Directors at material times. They were also Trustees of trusts from which LTD benefits were paid to HSA members, referred to as Trust #1, Trust #2 and Trust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Prior to 1986, HSA members received LTD benefits through a plan provided by the employer, the Health Labour Relations Association of British Columbia ("HLRA"), and administered by the Health and Benefit Trust. HSA negotiated the terms of that plan with the employer on behalf of its members. The terms of the plan were set out in the applicable collective agreements. The plan also provided members with group life and accidental death and dismemberment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However, by 1986, it became clear to HSA that its members accessed employer-provided LTD benefits at a usage rate well below members of other bargaining units covered by the same plan. Despite that fact, HSA's members contributed to the plan at the same rate as members of these other bargaining units. Accordingly, HSA determined that it could deliver cost-effective LTD benefits to its members through an alternative structure, and thereby obtain a salary increase for its members in excess of what otherwise would have been available under wage regulation guidelines in place at the time (including the </w:t>
      </w:r>
      <w:r>
        <w:rPr>
          <w:rFonts w:ascii="arial" w:eastAsia="arial" w:hAnsi="arial" w:cs="arial"/>
          <w:i/>
          <w:color w:val="000000"/>
          <w:sz w:val="20"/>
          <w:lang w:val="en-US" w:eastAsia="en-US" w:bidi="ar-SA"/>
        </w:rPr>
        <w:t>Compensation Stabilization Act</w:t>
      </w:r>
      <w:r>
        <w:rPr>
          <w:rFonts w:ascii="arial" w:eastAsia="arial" w:hAnsi="arial" w:cs="arial"/>
          <w:color w:val="000000"/>
          <w:sz w:val="20"/>
          <w:lang w:val="en-US" w:eastAsia="en-US" w:bidi="ar-SA"/>
        </w:rPr>
        <w:t>, S.B.C. 1982, c.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During negotiations leading up to the 1986-1989 collective agreement between HSA and HLRA (the "Master Agreement"), HSA proposed assuming responsibility for providing LTD benefits to its members in exchange for a wage increase from HLRA. HLRA accepted that proposal, which then became Article 34.04 of the Master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Article 34.04</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Employer shall provide a mutually acceptable long term disability insurance plan, for regular, full time and regular part time employees, providing for two-thirds (2/ 3rds) salary continuation until age 65 in the event of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Employer shall pay 100% of the premium.</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Notwithstanding the foregoing, </w:t>
      </w:r>
      <w:r>
        <w:rPr>
          <w:rFonts w:ascii="arial" w:eastAsia="arial" w:hAnsi="arial" w:cs="arial"/>
          <w:color w:val="000000"/>
          <w:sz w:val="20"/>
          <w:u w:val="single"/>
          <w:lang w:val="en-US" w:eastAsia="en-US" w:bidi="ar-SA"/>
        </w:rPr>
        <w:t>as soon as practical the union will assume responsibility for the LTD Plan.</w:t>
      </w:r>
      <w:r>
        <w:rPr>
          <w:rFonts w:ascii="arial" w:eastAsia="arial" w:hAnsi="arial" w:cs="arial"/>
          <w:color w:val="000000"/>
          <w:sz w:val="20"/>
          <w:lang w:val="en-US" w:eastAsia="en-US" w:bidi="ar-SA"/>
        </w:rPr>
        <w:t xml:space="preserve"> At such time the Employer agrees to implement a general wage increase of 1.6% to all employees. The Employer will sign up regular full-time and regular part-time employees, as a condition of continuing employment, on such forms as the Union, or the plan carrier designated by the Union may require. The Employer will deduct an amount equal to 0.8% of each regular full time and regular part-time employee's straight time wages and remit monthly to a trust fund as designated by the Union.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Under the Master Agreement, funding for the LTD benefits plan would derive entirely from contributions by HSA members, deducted from their wages by the employer. These deductions, amounting to 0.8% of straight-time wages, would be remitted to a trust designated by HSA for the purpose of providing LTD benefits to the members. In exchange, HLRA agreed to raise HSA members' wages by 1.6%, meaning that the members ultimately enjoyed a net wage increase of 0.8% under the Master Agreement, accounting for the cost of LTD benefits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January - February 1987 edition of the "HSA Report," a newsletter published by HSA for its members, HSA advised its members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specified in the master contract settlement responsibility for the Long Term Disability Insurance Plan will be assumed by the union. The transfer date has been set as March 1, 1987.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this time the Employers (who now pay 100% of the premium) will grant a 1.6% general wage increase to all employees. Also at this time a .8% deduction will be taken to fund the cost of the new LTD plan. </w:t>
      </w:r>
      <w:r>
        <w:rPr>
          <w:rFonts w:ascii="arial" w:eastAsia="arial" w:hAnsi="arial" w:cs="arial"/>
          <w:color w:val="000000"/>
          <w:sz w:val="20"/>
          <w:u w:val="single"/>
          <w:lang w:val="en-US" w:eastAsia="en-US" w:bidi="ar-SA"/>
        </w:rPr>
        <w:t>The result will be a new union-run LTD plan with improved benefits as well as a net general wage increase of .8%. There will be a brochure made available on the details of the plan well before the March 1 implementation date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From March 1, 1987 to February 28, 1989, HSA arranged to provide LTD benefits through an insurance policy with the British Columbia Life &amp; Casualty Company ("BC Life &amp; Casualty"), a subsidiary of Pacific Blue Cross. That policy also provided HSA members with life insurance and an accidental death or dismemberment benefit of $30,000. At various times during this period HSA increased the premiums payable by its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By early 1989, HSA apparently determined that its LTD benefits arrangement with BC Life &amp; Casualty was too expensive and decided that it could better serve its members' interests by establishing a trust to fund provision of LTD benefits. Under this new arrangement, termed an "administrative services only" agreement, an insurer would continue to administer the LTD benefits program, but the trust rather than the insurer would be responsible for funding LTD benefits paid to HSA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HSA then established the "Health Sciences Association of B.C. Trust Fund" ("Trust #1") on April 1, 1989 to facilitate provision of LTD benefits, life insurance, and accidental death or dismemberment benefits to members who became disabled on or after March 1, 1989. Trust #1 is constituted by a trust agreement ("Trust #1 Agreement") executed by HSA and the three original Trustees: Douglas Bentley, Leila Lolua and Cindy Stewart. HSA described this new LTD benefits arrangement to its members in the March 1989 issue of the HSA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w:t>
      </w:r>
      <w:r>
        <w:rPr>
          <w:rFonts w:ascii="arial" w:eastAsia="arial" w:hAnsi="arial" w:cs="arial"/>
          <w:color w:val="000000"/>
          <w:sz w:val="20"/>
          <w:u w:val="single"/>
          <w:lang w:val="en-US" w:eastAsia="en-US" w:bidi="ar-SA"/>
        </w:rPr>
        <w:t>administrative changes</w:t>
      </w:r>
      <w:r>
        <w:rPr>
          <w:rFonts w:ascii="arial" w:eastAsia="arial" w:hAnsi="arial" w:cs="arial"/>
          <w:color w:val="000000"/>
          <w:sz w:val="20"/>
          <w:lang w:val="en-US" w:eastAsia="en-US" w:bidi="ar-SA"/>
        </w:rPr>
        <w:t xml:space="preserve"> with the </w:t>
      </w:r>
      <w:r>
        <w:rPr>
          <w:rFonts w:ascii="arial" w:eastAsia="arial" w:hAnsi="arial" w:cs="arial"/>
          <w:color w:val="000000"/>
          <w:sz w:val="20"/>
          <w:u w:val="single"/>
          <w:lang w:val="en-US" w:eastAsia="en-US" w:bidi="ar-SA"/>
        </w:rPr>
        <w:t>HSA run long term disability</w:t>
      </w:r>
      <w:r>
        <w:rPr>
          <w:rFonts w:ascii="arial" w:eastAsia="arial" w:hAnsi="arial" w:cs="arial"/>
          <w:color w:val="000000"/>
          <w:sz w:val="20"/>
          <w:lang w:val="en-US" w:eastAsia="en-US" w:bidi="ar-SA"/>
        </w:rPr>
        <w:t xml:space="preserve"> plan. .. The "carrier" was BC Life and Casualty; now Metropolitan Life administers the plan. This change resulted from a review conducted at the end of the contract with B.C.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HSA members, the only difference is that applications for LTD will go to Metropolitan Life. As well, premiums now will go to an HSA Group Insurance Fund, rather than B.C.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Article 6.4 of the Trust #1 Agreement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Trustees are authorized to establish a Plan known as the HSA Group Benefit Plan. The Trustees have the exclusive power and discretion, subject to the terms of this Agreement, to: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formulate the Plan;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time to time amend the Plan;</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the nature and extent of benefits to be provided to members;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the qualifications and conditions necessary for members to receive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Article 9.01 of the Trust #1 Agreement permits the Trustees of Trust #1 to amend the Agreement, while Article 9.2 allows amendment of HSA Group Benefit Plan ("Plan #1") established under Article 6.4. Those provisions read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627"/>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9.01</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Amendment of the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Trustees may, at any time, </w:t>
      </w:r>
      <w:r>
        <w:rPr>
          <w:rFonts w:ascii="arial" w:eastAsia="arial" w:hAnsi="arial" w:cs="arial"/>
          <w:color w:val="000000"/>
          <w:sz w:val="20"/>
          <w:u w:val="single"/>
          <w:lang w:val="en-US" w:eastAsia="en-US" w:bidi="ar-SA"/>
        </w:rPr>
        <w:t>with the consent of the Union</w:t>
      </w:r>
      <w:r>
        <w:rPr>
          <w:rFonts w:ascii="arial" w:eastAsia="arial" w:hAnsi="arial" w:cs="arial"/>
          <w:color w:val="000000"/>
          <w:sz w:val="20"/>
          <w:lang w:val="en-US" w:eastAsia="en-US" w:bidi="ar-SA"/>
        </w:rPr>
        <w:t>, modify or amend this Agreement, provided however, that no modification or amendment shall be made which:</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Alters the basic principles of this Agreement; or</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Eliminate the requirements for audits the results of which shall be available for inspection by any Trustee, the Union or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627"/>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9.02</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Amendment of the Plans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Trustees may with the approval of the Executive Council</w:t>
      </w:r>
      <w:r>
        <w:rPr>
          <w:rFonts w:ascii="arial" w:eastAsia="arial" w:hAnsi="arial" w:cs="arial"/>
          <w:color w:val="000000"/>
          <w:sz w:val="20"/>
          <w:lang w:val="en-US" w:eastAsia="en-US" w:bidi="ar-SA"/>
        </w:rPr>
        <w:t>, at any time, modify or amend the Plans, provided however, that no amendment shall be made which is inconsistent with the basic principles of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[Emphases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Both Trust #1 and Plan #1 were amended from time to time. According to a brochure issued to HSA members in March 1989, the LTD benefits under Plan #1 provided disabled members with a monthly payment amounting to 66.67% of their basic earnings to a maximum of $5,000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During the first decade of Plan #1's operation, HSA members brought claims under the Plan at a rate materially higher than expected. Plan #1 became underfunded as a result. This led to the reduction of LTD benefits under Plan #1 in 1995, such that disabled members received the lesser of the following: 66.67% of basic earnings to a maximum of $5,000 per month, or 85% of net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Trustees reported on the underfunding of Trust #1 at a bargaining conference prior to the 1998 round of collective bargaining, indicating that Trust #1's actuaries estimated a $6,000,000 deficit. Accordingly, the Trustees recommended that the continued funding of Trust #1 should be a priority at the upcoming collective bargaining, which was endorsed at the bargaining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1998, HSA engaged in collective bargaining with employers represented by the Health Employers Association of British Columbia ("HEABC") resulting in recommendations issued by Special Mediator Brian Foley on January 26, 1999. These recommendations acknowledged the underfunding of Trust #1 and Mr. Foley suggested the establishment of a new trust and a plan to provide LTD benefits for HSA members. HSA and HEABC accepted those recommendations, and in so doing secured a BC government contribution of $6,000,000 to establish the new trust ("Trust #2"). HSA then closed Trust #1 to members who became disabled after February 28, 1999. HSA members who became disabled on or after March 1, 1999 received LTD benefits pursuant to a new plan ("Plan #2") funded by Trust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Trust #2 was constituted by a trust agreement made between HSA, Her Majesty the Queen in Right of the Province of British Columbia, as represented by the Minister of Health and Minister Responsible for Seniors and the five original Trustees: Cindy Stewart, Kelly Finlayson, Faith Uchida, Reid Johnson and Rae Johnson. Trust #2 provided that HSA members disabled prior to March 1, 1999 would continue to receive benefits from Trust #1 under Plan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Trust #2 also stipulated that all HSA members would continue to contribute to Trust #1 until it attained sufficient funding, at which time member contributions would instead be directed to Trust #2. At the time, the Trustees and HSA understood Trust #1's to have an unfunded liability of $3,500,000. Members of HSA continued to make contributions to Trust #1 until February 28, 2001. Beginning March 1, 2001 their contributions were instead directed to Trust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purpose of Trust #2 is set out in s. 2 of its constituting document (the "Trust #2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Fund is established and it to be maintained, and the Trustees agree to receive the Fund and to hold and administer it, for the purpose of providing, to the extend the Fund permits, LTD benefits for Participating Employees, their eligible dependants, or eligible beneficiaries, if any, as authorized under the terms of this Agreement and in accordance with the Plan and for no other purpose except as specifically provided for in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was the case with Trust #1, Trust #2 permitted amendment of the Trust #2 Agreement and Plan #2, both of which were amended from time to time. The relevant provisions of Trust #2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9.01 Amendment of the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Trustees and HSA may, at any time, by mutual agreement, modify or amend this Agreement, provided however, that no modification or amendment shall be made which:</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Alters the basic principles of this Agreement; or</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Eliminates the requirements for audits the results of which shall be available for inspection by any Trustee, the HSA or any Participating Employee; or</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effect of directing the Fund or any part thereof to a purpose other than the purposes and uses herein provided for; or</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the consent of the Ministry allows the Fund to be used for any purpose other than providing LTD benefits to Participating Employees in accordance with the Foley Recommendations.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9.02 Amendment of the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Trustees may, at any time, modify or amend the Plan, provided however, that no amendment shall be made which is inconsistent with the basic principles of this Agreement. Without limitation, without the consent of the Ministry, no amendment shall be made which allows the Fund to be used for any purpose other than providing LTD benefits to Participating Employees in accordance with the Foley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From the outset, LTD benefits under Plan #2 differed slightly from those under Plan #1, providing disabled HSA members with the greater of the following: 70% of the first $4,500 of pre-disability monthly earnings plus 50% of pre-disability monthly earnings over $4,500, or, 66.67% of pre-disability monthly earnings. Those figures gradually changed over time, rising to the greater of 70% of the first $5,175 of pre-disability monthly earnings plus 50% of the excess by March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Unlike Plan #1, LTD benefits under Plan #2 were initially taxable. However, as of April 1, 2005, Plan #2 changed from a taxable to a non-taxable plan and all LTD benefits were re-calculated as of that date. This re-calculation ensured that the actual amount received by a beneficiary roughly equated the after-tax amount received by the beneficiary when the benefit was taxable. The LTD benefit calculation was also adjusted downwards at this time, providing eligible members with 66.67% of the first $3,000 of monthly pre-disability earnings, 50% of the next $2,000, and 41% of the excess over and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Between September 30, 2000 and August 3, 2006, the Trustees were advised from time to time of the combined unfunded liability of Trusts #1 and #2, which ranged in that period between $2,200,000 and $8,400,000. This unfunded liability amounted to the difference between the current value of the assets held in the Trusts and their expected growth, and the cost, as estimated by the actuaries of Plans #1 and #2, of all the benefits due as of the date of the valuation. Where the cost of the benefits payable under the Plans exceeded the value of the assets in the Trusts, the difference was the unfunded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Given the unfortunate performance of the employee-funded LTD benefits Plans, HSA decided that its assumption of responsibility for LTD benefits no longer represented the best interests of its members. As part of its bargaining plan it resolved it would seek to return this responsibility to the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Between January 2006 and March 2006, HSA engaged in collective bargaining for a new collective agreement. At that time, Trusts #1 and #2 were understood by HSA to be in a combined deficit position of approximately $12,000,000. During those negotiations, the employers agreed to assume responsibility for providing LTD benefits to employees by way of membership in HSA, with contributions to be jointly funded by the employers and HSA members. This arrangement replaced Plan #2 going forward and applied to HSA members who became disabled on or after August 4, 2006. Contributions to Trust #2 ceased on August 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However, the employer did not agree to take responsibility for members already receiving LTD benefits under Plans #1 and #2. Those members continued to receive benefits under those Plans, funded by their respective Trusts. The employer similarly declined to assume responsibility for the unfunded liability of the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part of the 2006 collective bargaining, the employer offered a signing bonus of $3,300 to each full-time employee or a pro-rated sum for each part-time employee upon acceptance and ratification of the new collective agreement. This bonus totalled $45,870,000. The bargaining committee agreed with the Trustees to provide funds out of the signing bonus amounts to address the deficits in Trusts #1 and #2, supplemented by another $5,000,000 provided as a contingency fund for a total of $17,000,000 (the "LTD Stabilization Grant"). At the time, HSA understood that this figure would be sufficient to eliminate the accrued deficiency in the Trusts.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HSA settled the LTD Stabilization Grant into a new trust in April 2006 ("Trust #3"), constituted by a trust agreement between HSA and the three original Trustees Cindy Stewart, Brian Isberg and Reid Johnson ("Trust #3 Agreement"). HSA intended for Trust #3 to provide funding for LTD benefits under Plans #1 and #2, once either or both of Trusts #1 and #2 became exhausted. Article 2.4 of Trust #3 allowed the Trustees to determine the nature and extent of the LTD benefits to be provided ("Plan #3"). Article 8.1 of Trust #3 allowed the trustees and HSA to amend the Agreement. Trust #3 and Plan #3 were amended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Article 2.2 of Trust #3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732"/>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Purpose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Fund is established and is to be maintained, and the Trustees agreed to hold and administer it, for the purposes set out in Recital E of this Agreement and for no other purpose except as specifically provided for in this Agreement in accordance with the terms and conditions of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Article 2.3 of Trust #3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732"/>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Limitation on Rights to the Fund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limitations shall apply to the rights to, interest in, or use of, the Fund:</w:t>
      </w:r>
    </w:p>
    <w:p>
      <w:pPr>
        <w:numPr>
          <w:numId w:val="1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of the HSA nor any other person, firm, corporation, society or association shall have any right, title, interest, in or to the Fund, except as specifically provided by this Agreement;</w:t>
      </w:r>
    </w:p>
    <w:p>
      <w:pPr>
        <w:numPr>
          <w:numId w:val="1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otherwise provided in this Agreement, no part of the Fund is to be used for or diverted to purposes other than those set forth in Article 2.2 hereof; and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money, property, equity or interest of any nature whatsoever in the Fund or any benefits or monies payable therefrom shall be subject in any manner to sale, transfer, alienation, assignment, encumbrance, garnishment, lien or charge by any person in receipt of or eligible to receive LTD benefits hereunder or any person claiming through any such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Article 2.4 of Trust #3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732"/>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Trustees are authorized and directed to establish a program of LTD benefits consistent with the purposes of the Fund set forth in Article 2.2 hereof and the Trustees have the exclusive power and discretion to:</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Formulate the plan;</w:t>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time to time change or amend the plan or establish a successor plan with or without retroactive effect;</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the nature and extent of the LTD benefits to be provided; and</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the qualifications and conditions necessary to receive LTD benefits;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Provided, however, that no modification or amendment to the plan shall be made which allows the Fund to be used for any purpose other than those set forth in Article 2.2 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Article 8.1 of Trust #3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732"/>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8.1</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Amendment of the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Trustees and HSA may from time to time, by mutual agreement, modify or amend this Agreement as the HSA and the Trustees in their absolute discretion may decide, including without limitation modifications or amendments which revoke surplus entitlement under Article 8.5(c) or 8.5(d) upon wind up and termination, provided however that no modification or amendment shall be made which:</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Eliminates the requirements for audits the results of which shall be available for inspection by any Trustee and the HSA; or</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effect of directing the Fund or any part thereof to a purpose other than the purposes and uses herein provided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Unfortunately, the LTD Stabilization Grant fell short, as the unfunded liabilities under Trusts #1 and #2 were greater than anticipated. In February 2008, actuaries for the union advised that as a result of a change in their valuation assumptions, the increased liability now amounted to $16,000,000, almost the entirety of the funds in the LTD Stabilization Grant. In September 2008, a further revaluation showed a combined unfunded liability for Trusts #1, #2 and #3 of $7,079,375.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Further investigations resulted in the Trustees concluding in early 2010 that the cost of benefits under Plans #1 and #2 materially exceeded the assets available to pay those future benefits in Trusts #1, #2 and #3. This shortfall was caused by a number of factors including the cessation of contributions to the funds, a decline in the value of the funds' investments due to the economic downturn in 2008 and the underestimating of the shortfall by the Trustees' actuary. The Trustees of the three Trusts determined that action had to be taken to ensure the plans did not end up bankrupt. As a result the Trustees took a number of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2010, the Trustees of Trust #2 decided to suspend the indexing provision for future payments to LTD beneficiaries under Plan #2. In early 2010, the Trustees of all three Trusts began to consider other options available to address the unfunded liabilities, including:</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reducing claims costs;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discontinuing indexing of benefits, reducing expenses;</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utilizing other sources of income for people with disabilities that make them unable to work;</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implementing early retirement programs;</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reinstating contributions;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sharing the cost for the enhanced healthcare;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redesigning the benefit formula;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possibly having a third party purchase the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Trustees determined that if the Trusts ran out of funds before all of the beneficiaries under the Plans turned 65, the youngest beneficiaries would be those most severely affected, because of the terms of the pension plan and because these persons would have to wait for a greater period of time before becoming eligible to receive retirement benefits in lieu of LTD. By the end of 2010, the Trustees concluded that the options noted above would not adequately address the unfunded liabilities under the Plans, necessitating consideration of other more drastic measures such as a reduction to benefit levels or an assessment against active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After communicating with the LTD benefit recipients in early 2012, the Trustees approved an option providing for a reduction in LTD benefits and early retirement. At this time, HSA and the Trustees had been advised that the unfunded liability under the Trusts amounted to approximately $31,000,000. In March 2012, the beneficiaries under Plan #1 were informed that one of three things was going to occur:</w:t>
      </w:r>
      <w:r>
        <w:rPr>
          <w:rFonts w:ascii="arial" w:eastAsia="arial" w:hAnsi="arial" w:cs="arial"/>
          <w:sz w:val="20"/>
          <w:lang w:val="en-US" w:eastAsia="en-US" w:bidi="ar-SA"/>
        </w:rPr>
        <w:cr/>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their claim would close due to mandatory retirement and if they qualified for a lump sum payment, the amount of that lump sum payment,</w:t>
      </w:r>
    </w:p>
    <w:p>
      <w:pPr>
        <w:numPr>
          <w:numId w:val="3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their claim would close due to voluntary retirement, or</w:t>
      </w:r>
    </w:p>
    <w:p>
      <w:pPr>
        <w:numPr>
          <w:numId w:val="3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their claim could remain active with reduced benefits or that their claim would remain active with reduced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proposed reduction would decrease by 7% the first $500 in gross benefit received, 13.9% for the next $500, with the reduction increasing by 7% per $500 tier thereafter until reaching a maximum reduction of 69.7% for gross benefits received over $5000 per month. Ancillary benefits such as life insurance and accidental death or dismemberment benefits would no longer be available to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of March 27, 2012 all beneficiaries then receiving benefits from Trust #2 commenced instead to receive their benefits from Trust #3, Division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HSA membership declined to take action to rectify the underfunding of the Trusts. At HSA's 2012 Annual General Meeting, held in April of that year, the issue was discussed, and delegates asked to adopt an extraordinary resolution. This resolution would seek an increase in union dues to maintain the LTD benefits for disabled members under Plans members on disability under Plans #1, #2 and #3 at current levels. The issue went to a referendum vote in July 2012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Do you support an increase of HSA union dues from the</w:t>
      </w:r>
    </w:p>
    <w:p>
      <w:pPr>
        <w:spacing w:before="120" w:line="260" w:lineRule="atLeast"/>
        <w:jc w:val="center"/>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current rate of 1.6% of earning to 2% of earning in order</w:t>
      </w:r>
    </w:p>
    <w:p>
      <w:pPr>
        <w:spacing w:before="120" w:line="260" w:lineRule="atLeast"/>
        <w:jc w:val="center"/>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to preserve long term disability benefits at January 2012</w:t>
      </w:r>
    </w:p>
    <w:p>
      <w:pPr>
        <w:spacing w:before="120" w:line="260" w:lineRule="atLeast"/>
        <w:jc w:val="center"/>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levels for HSA members covered by the HSA Ltd Trusts?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If successful, the dues increase would need to remain in place for ten years, generating a total of $31,000,000 in revenue for the Trusts. The Board of Directors of HSA opposed the increase in dues for a number of reasons, and indicated their opposition in referendum materials. They explained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board is opposed to the increase in dues. We arrived at this position based on the following:</w:t>
      </w:r>
    </w:p>
    <w:p>
      <w:pPr>
        <w:numPr>
          <w:numId w:val="3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reduced benefits payable from the HSA LTD Trusts provide reasonable protection for disabled members. Those with smaller monthly benefits saw smaller percentage reductions in benefits than those with larger benefits. </w:t>
      </w:r>
      <w:r>
        <w:rPr>
          <w:rFonts w:ascii="arial" w:eastAsia="arial" w:hAnsi="arial" w:cs="arial"/>
          <w:i/>
          <w:color w:val="000000"/>
          <w:sz w:val="20"/>
          <w:lang w:val="en-US" w:eastAsia="en-US" w:bidi="ar-SA"/>
        </w:rPr>
        <w:t>After the reduction, the average monthly income for disabled members is around $2,100, tax free</w:t>
      </w:r>
      <w:r>
        <w:rPr>
          <w:rFonts w:ascii="arial" w:eastAsia="arial" w:hAnsi="arial" w:cs="arial"/>
          <w:color w:val="000000"/>
          <w:sz w:val="20"/>
          <w:lang w:val="en-US" w:eastAsia="en-US" w:bidi="ar-SA"/>
        </w:rPr>
        <w: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Pensions for disabled members of the HSA LTD Trusts are often larger than those retiring from the active workforce. The average pensionable service for those disabled members moved to retirement was close to 26 years. The average pensionable service for those retiring from the active workforce is around 17 - 18 years. </w:t>
      </w:r>
      <w:r>
        <w:rPr>
          <w:rFonts w:ascii="arial" w:eastAsia="arial" w:hAnsi="arial" w:cs="arial"/>
          <w:i/>
          <w:color w:val="000000"/>
          <w:sz w:val="20"/>
          <w:lang w:val="en-US" w:eastAsia="en-US" w:bidi="ar-SA"/>
        </w:rPr>
        <w:t>Because of this service difference, disabled members moving to retirement will on average receive 40-50% higher pensions than those retiring from the active workforce. In addition, some of the disabled members moved to retirement will receive lump sum payments on closure of their LTD claim.</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Active members have already committed significant funds to the HSA LTD Trusts.</w:t>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August 2006, member premiums were increased to cover the shortfalls at the time.</w:t>
      </w:r>
    </w:p>
    <w:p>
      <w:pPr>
        <w:numPr>
          <w:numId w:val="4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1998, $6 million was negotiated in bargaining to address the shortfall,</w:t>
      </w:r>
    </w:p>
    <w:p>
      <w:pPr>
        <w:numPr>
          <w:numId w:val="4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2006, $17 million of the signing bonus offered by government was directed to the Trusts to support the 350 members collecting benefits at that time.</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of government restraint and "net zero" bargaining, active members have gained extremely low increases in pay for some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board of directors must act in the interests of all members. We believe that the changes put in place by plan trustees are the fairest to all parties. Disabled members in the HSA LTD Trusts will continue to receive reasonable protection. Active HSA members have made substantial contributions to the HSA LTD Trusts in the past. The board does not believe that another substantial commitment of active members to the HSA LTD Trusts is warranted.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encourage you to read the information included in this package, and to talk to the stewards and members at your workplace who attended the convention, or your representative on the Board of Directors, so that you can make an informed decision about whether to increase your union dues to fund the HSA LTD Trusts.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HSA detailed the history of the Trusts as follows in the referendum materials: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past several years, LTD Trustees have been struggling with the union's long term disability Trusts (A), which were heading to insolvency. Bankruptcy was not an option, and a viable financial rescue plan could not be found. In February this year, after much deliberation, the Trustees changed the trust rules to reduce the number of people collecting LTD payments, and reduced benefits paid out in order to avoid bankruptcy of the Trusts, which would have occurred in as little as five years. Without those changes, the Trusts would be bankrupt and members on LTD would receive no payments at all by 2017.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of reducing benefits to the 220 members on the HSA Trusts was raised at the union's convention in April 2012. Delegates and members requested the union's board of directors to ask all HSA members if they would consider an increase in union dues to maintain the monthly benefits of those LTD beneficiaries at the level they were prior to the changes implemented by the Trustees.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monthly benefits were maintained at an unreduced amount, [that is], at the level they were prior to the changes implemented by the Trustees, the Trusts would incur a $31 million unfunded liability. HSA members currently pay 1.6% of income in dues. In order to offset this liability, union dues for all HSA members would increase to 2% of income (a 25% increase) for the next 10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HISTORY OF THE LTD TRUSTS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late 1980s, the union decided that because the government refused to pay for wage increases in the public sector under wage restraint legislation, HSA would look for money somewhere else to ensure members got a raise. In 1989, thousands of members were paying into the government-administered LTD fund. The usage rate by HSA members was well below other health care workers, but HSA members were paying the same premium rate as others. The union decided to take over the plan. HSA members got an income increase by paying a lower amount for the LTD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the usage rate started to rise significantly and costs escalated in order to pay members on LTD, but the premiums were not increased. An unfunded liability began to build.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 the years, the unfunded liability was addressed by reducing benefits, capping the maximum, increasing the waiting time, limiting health and welfare benefits, not offering indexing on all plans, increasing the contribution rate (some rate increases were offset by negotiations at the bargaining table) and reducing administration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Management of the fund was eventually moved to a management company, and Trustees were convinced that trends would stabilize and there would be no need for increased premium payments.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bargaining in the late 1990s, HSA negotiated $6.1 million for the LTD Trusts to cover the shortfall.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union learned quickly that $6.1 million was not enough. The unfunded liability grew to $13 million. Through good management the trusts started to address the unfunded liability by changed the investment portfolio and started to get better returns. But then investment returns stalled and premiums paid by members were increased.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mid-1990s, returning the LTD plan to the employer to administer became a union demand at every bargaining 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2006 bargaining ... HSA successfully negotiated the return of the LTD plan to the employer. HEABC took it over, with members paying 30% of the premium instead of the previous 100%. Members paid $17 million of a signing bonus into the HSA LTD Trusts to address the liability of the HSA plan, and the premiums paid by members for LTD were reduced by 70 per cent, which meant increased real income for HSA members. However, HEABC refused to take the HSA members already receiving LTD benefits into the new plan. The HSA Trusts were closed to new claimants and no further contributions flowed in. A year later, with positive investment returns, the HSA Trusts were in surplus.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2008, the global financial and equity markets collapsed. ... In the course of just one year, the HSA LTD Trusts lost $5 million on an asset of $45 million. ... The Trusts continued to pay benefits from an asset of declining value,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unfunded liability continued to grow, and in February 2012 the Trustees of the HSA LTD Trusts changed the trust rules: members who had enough pensionable service were moved off of LTD benefits to the Municipal Pension Plan effective July 2012, and LTD benefit payments were reduced an average of 23 per cent effective July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HSA membership rejected the proposal for a dues increase by a margin of 84% to 16%, with 30% of the total HSA membership voting in the Referendum.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the Board of Trustees' Meeting for Trusts #1, #2 and #3 on September 21, 2012 the Trustees adopted a Resolution to amend Plans #1 and #3, effective as of June 1, 2012. This amendment adopted the proposed reduction in LTD benefits and introduced the mandatory early retirement program. The actuary to the Plans advised the Trustees that as a result of the reductions in LTD benefits, the unfunded liability of the Plans had diminished to approximately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Claims and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behalf of the disabled HSA members, the two proposed representative plaintiffs seek to recover the damages suffered as a result of the reduction and termination of LTD benefits under the various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noted, Mr. Hensman is a former health care professional and current member of HSA. He began working as a respiratory therapist in 1986 and joined HSA in 1990. In or around 1996 he developed health issues and as a result applied for LTD benefits at that time. He continues to receive those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Watt is also a former health care professional. She began working as an X-Ray Technologist in 1994, joining HSA in 1994. She fell ill in October 2003. In 2004 she applied for and began receiving LTD benefits. She continues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plaintiffs seek certification of their action as a class proceeding pursuant to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They advance their claims against the defendant HSA in breach of contract, breach of fiduciary duty and contravention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They also claim against the defendant Trustees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contractual claim against HSA focuses on the allegation that HSA contracted with its members to provide LTD benefits and that the subsequent reductions in LTD benefits amount to a breach of that contract. The plaintiffs refer to the alleged contracts as LTD Agreements #1 and #2 (collectively, the "LTD Agreements"). LTD Agreement #1 relates to benefits provided under Plan #1 and LTD Agreement #2 relates to benefits provided under Plan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the alternative the plaintiffs assert that HSA breached its fiduciary duty to the disabled HSA members receiving benefits under Plans #1 and #2. The pleadings allege that HSA had a fiduciary duty to the disabled members because it established the trust funds to manage LTD and related benefits to the members, retained control over the trust structure and as a result took on fiduciary duties directly or as a trustee </w:t>
      </w:r>
      <w:r>
        <w:rPr>
          <w:rFonts w:ascii="arial" w:eastAsia="arial" w:hAnsi="arial" w:cs="arial"/>
          <w:i/>
          <w:color w:val="000000"/>
          <w:sz w:val="20"/>
          <w:lang w:val="en-US" w:eastAsia="en-US" w:bidi="ar-SA"/>
        </w:rPr>
        <w:t>de son tort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Respecting the plaintiffs' claims against the Trustees, the plaintiffs identify the individual defendants as Trustees and the disabled HSA members as beneficiaries. They submit that the Trustees breached fiduciary duties owed to the plaintiffs by failing to ensure the Trusts were sufficiently funded and by actively opposing the referendum seeking increased contribution to the Trusts by way of increased union dues. They also say that the Trustees acted negligently in managing the Trusts.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raise a number of issues in response to the certification application. Primarily, they say that the plaintiffs' pleadings do not disclose reasonable causes of action, arguing the absence of the requisite evidentiary basis to satisfy certification requirements. The defendants also say that there are no common issues that can be certified and submit that a class proceeding is not the preferable procedure for resolution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turn now to the requirements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Certification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Certification of a class proceeding considers the form of the action and whether it should proceed as a class proceeding: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xml:space="preserve"> at para. 99 [</w:t>
      </w:r>
      <w:r>
        <w:rPr>
          <w:rFonts w:ascii="arial" w:eastAsia="arial" w:hAnsi="arial" w:cs="arial"/>
          <w:i/>
          <w:color w:val="000000"/>
          <w:sz w:val="20"/>
          <w:lang w:val="en-US" w:eastAsia="en-US" w:bidi="ar-SA"/>
        </w:rPr>
        <w:t>Pro-Sys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Watson v. Bank of America Corp.,</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2014 BCSC 532</w:t>
        </w:r>
      </w:hyperlink>
      <w:r>
        <w:rPr>
          <w:rFonts w:ascii="arial" w:eastAsia="arial" w:hAnsi="arial" w:cs="arial"/>
          <w:color w:val="000000"/>
          <w:sz w:val="20"/>
          <w:lang w:val="en-US" w:eastAsia="en-US" w:bidi="ar-SA"/>
        </w:rPr>
        <w:t xml:space="preserve"> at para. 58. Section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sets out the requirements for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(1) The court must certify a proceeding as a class proceeding on an application under section 2 or 3 if all of the following requirements are met:</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7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7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As explained by Bauman C.J.S.C. (as he then was) in </w:t>
      </w:r>
      <w:r>
        <w:rPr>
          <w:rFonts w:ascii="arial" w:eastAsia="arial" w:hAnsi="arial" w:cs="arial"/>
          <w:i/>
          <w:color w:val="000000"/>
          <w:sz w:val="20"/>
          <w:lang w:val="en-US" w:eastAsia="en-US" w:bidi="ar-SA"/>
        </w:rPr>
        <w:t>Watson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Subsection (a) requires that the pleadings disclose a cause of action. This requirement is assessed on the same standard as on a motion to strike pleadings under Rule 9-5(1)(a). Accordingly, the plaintiff satisfies this requirement unless it is plain and obvious that the claim cannot succeed: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63. For this analysis, the Court must assume that all the pleaded facts are true unless they are patently unreasonable or incapable of proof. Further, a claim must not be struck merely because it is novel or complex: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Subsections 4(1)(b)-(e)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require the plaintiff to show "some basis in fact" for each requirement: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25. The plaintiff must show that there is some basis in fact which establishes each of the four requirements, but does not need to establish some basis in fact for the claim itself. Again, the Court is concerned with the appropriateness of a class proceeding, not the strength of the claim. Further, courts are ill-equipped to resolve conflicts in the evidence at certification: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paras. 100-102.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There is limited utility in attempting to define the "some basis in fact" standard in the abstract; each case must be decided on its own facts. The standard does not require proof on a balance of probabilities, but it requires more than a symbolic scrutiny of the sufficiency of the evidence. Ultimately, the Court must be satisfied "that the conditions for certification have been met to a degree that allow the matter to proceed on a class basis without foundering at the merits stage by reason of the requirements of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not having been met":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paras. 103-104.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With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and these principles in mind I address each of the requirements for certification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Section 4(1)(a): Cause of Action Disclosed by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As noted, s. 4(1)(a)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makes class certification contingent upon the proceedings disclosing a cause of action. The courts assess this issue on the same standard applied on a motion to dismiss: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paras. 32-34.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Rule 3-1(2)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requires that a notice of civil claim set out a concise statement of the material facts giving rise to the claim. Under Rule 9-5(1)(a) pleadings may be struck if they disclose no reasonable claim. No evidence is admissible on an application to strike pleadings: Rule 9-5(2). The basis for striking pleadings in such circumstances is that the case cannot succeed as a matter of law: </w:t>
      </w:r>
      <w:r>
        <w:rPr>
          <w:rFonts w:ascii="arial" w:eastAsia="arial" w:hAnsi="arial" w:cs="arial"/>
          <w:i/>
          <w:color w:val="000000"/>
          <w:sz w:val="20"/>
          <w:lang w:val="en-US" w:eastAsia="en-US" w:bidi="ar-SA"/>
        </w:rPr>
        <w:t>Drummond v. Moore,</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2012 BCSC 496</w:t>
        </w:r>
      </w:hyperlink>
      <w:r>
        <w:rPr>
          <w:rFonts w:ascii="arial" w:eastAsia="arial" w:hAnsi="arial" w:cs="arial"/>
          <w:color w:val="000000"/>
          <w:sz w:val="20"/>
          <w:lang w:val="en-US" w:eastAsia="en-US" w:bidi="ar-SA"/>
        </w:rPr>
        <w:t xml:space="preserve"> at paras. 16-23.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Pleadings will only be struck if it is plain and obvious, assuming the truth of the facts pleaded, that no reasonable cause of action is disclosed. The Court will not assume to be true allegations incapable of proof: </w:t>
      </w:r>
      <w:r>
        <w:rPr>
          <w:rFonts w:ascii="arial" w:eastAsia="arial" w:hAnsi="arial" w:cs="arial"/>
          <w:i/>
          <w:color w:val="000000"/>
          <w:sz w:val="20"/>
          <w:lang w:val="en-US" w:eastAsia="en-US" w:bidi="ar-SA"/>
        </w:rPr>
        <w:t>Young v. Borzoni et al,</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at paras. 30-32. If there is a reasonable prospect of success, the matter should not be struck but should be allowed to proceed to trial: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 On the other hand, if it is plain and obvious that the claims cannot succeed, no reasonable claim is disclosed: </w:t>
      </w:r>
      <w:r>
        <w:rPr>
          <w:rFonts w:ascii="arial" w:eastAsia="arial" w:hAnsi="arial" w:cs="arial"/>
          <w:i/>
          <w:color w:val="000000"/>
          <w:sz w:val="20"/>
          <w:lang w:val="en-US" w:eastAsia="en-US" w:bidi="ar-SA"/>
        </w:rPr>
        <w:t>Pro-Sys</w:t>
      </w:r>
      <w:r>
        <w:rPr>
          <w:rFonts w:ascii="arial" w:eastAsia="arial" w:hAnsi="arial" w:cs="arial"/>
          <w:color w:val="000000"/>
          <w:sz w:val="20"/>
          <w:lang w:val="en-US" w:eastAsia="en-US" w:bidi="ar-SA"/>
        </w:rPr>
        <w:t>, at para.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 the Plaintiffs' Pleadings Disclose a Cause of Action in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plaintiffs' contractual argument hinges on the existence of an agreement between HSA and the plaintiffs relating to their responsibility to provide HSA's disabled members with LTD benefits. The plaintiffs must plead sufficient facts to meet the threshold found at s. 4(1)(a)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 bare assertion of a cause of action unsupported by sufficient facts will not meet the requirements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That said, if the parties dispute the existence of material facts about the contract, such issues generally cannot be resolved at this stage of the proceeding. In </w:t>
      </w:r>
      <w:r>
        <w:rPr>
          <w:rFonts w:ascii="arial" w:eastAsia="arial" w:hAnsi="arial" w:cs="arial"/>
          <w:i/>
          <w:color w:val="000000"/>
          <w:sz w:val="20"/>
          <w:lang w:val="en-US" w:eastAsia="en-US" w:bidi="ar-SA"/>
        </w:rPr>
        <w:t>Spina v. Shoppers Drug Mart Inc.,</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2012 ONSC 5563</w:t>
        </w:r>
      </w:hyperlink>
      <w:r>
        <w:rPr>
          <w:rFonts w:ascii="arial" w:eastAsia="arial" w:hAnsi="arial" w:cs="arial"/>
          <w:color w:val="000000"/>
          <w:sz w:val="20"/>
          <w:lang w:val="en-US" w:eastAsia="en-US" w:bidi="ar-SA"/>
        </w:rPr>
        <w:t>, Perell J. noted the following in relation to analogous provisions of the Ontario class action legislation and rules of civil procedure: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[116] Generally speaking, in the context of an alleged breach of contract, Rule 21 is not designed to answer questions of law where materials facts about the contract dispute are in dispute: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Where the question of law turns on the construction of a contract with unclear or ambiguous terms, a Rule 21 motion, is not an appropriate way to resolve the legal question: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a court should be loathe to construe a contract in the absence of evidence as to the surrounding circumstances and business context in which the contract was negotiated and signed.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[117] However, conversely, if the factual nexus is not contentious and the construction of the contract is a matter of applying principles of contract interpretation, which are issues of law, then a Rule 21 motion may be an appropriate way to resolve the legal issue or to determine whether the plaintiff has shown a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this case HSA challenges both the legal and factual existence of a contract, and argues that as a matter of law the plaintiffs' claim in contract cannot succeed. HSA in its written argument submits that it merely assumed responsibility "for setting up a new LTD plan" to be funded by the members and did not take on contractual responsibility for providing LTD benefits to HSA's disabled members. HSA further contends that legally, it could not under the collective agreement make a contract with itself, as it negotiated as agent for the members, not as an adverse party to the members. It says there is no authority for a union and its members to enter into a contract beyond the membership agreement formed when a person joins a union. HSA argues that the contractual framework asserted by the plaintiffs simply does not apply to the relationship between a union and its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assertion that there is no existing authority that a union and its members can enter into a contract beyond the membership agreement does not mean such a claim cannot be advanced. The circumstances giving rise to this application may well be unique, given unions apparently do not generally provide LTD benefits to their members. However, just because there is no authority addressing the issue, or that no union has entered into such a contract previously, does not mean that this is impossible to do. Indeed, as Macaulay J. recognized in </w:t>
      </w:r>
      <w:r>
        <w:rPr>
          <w:rFonts w:ascii="arial" w:eastAsia="arial" w:hAnsi="arial" w:cs="arial"/>
          <w:i/>
          <w:color w:val="000000"/>
          <w:sz w:val="20"/>
          <w:lang w:val="en-US" w:eastAsia="en-US" w:bidi="ar-SA"/>
        </w:rPr>
        <w:t>Collette v. Great Pacific Management et al</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2001 BCSC 237</w:t>
        </w:r>
      </w:hyperlink>
      <w:r>
        <w:rPr>
          <w:rFonts w:ascii="arial" w:eastAsia="arial" w:hAnsi="arial" w:cs="arial"/>
          <w:color w:val="000000"/>
          <w:sz w:val="20"/>
          <w:lang w:val="en-US" w:eastAsia="en-US" w:bidi="ar-SA"/>
        </w:rPr>
        <w:t>, the novelty of the cause of action raised on an application for certification ought not militate against the plaintiffs (para. 36) and the law "must be allowed to evolve" (</w:t>
      </w:r>
      <w:r>
        <w:rPr>
          <w:rFonts w:ascii="arial" w:eastAsia="arial" w:hAnsi="arial" w:cs="arial"/>
          <w:i/>
          <w:color w:val="000000"/>
          <w:sz w:val="20"/>
          <w:lang w:val="en-US" w:eastAsia="en-US" w:bidi="ar-SA"/>
        </w:rPr>
        <w:t>Spina,</w:t>
      </w:r>
      <w:r>
        <w:rPr>
          <w:rFonts w:ascii="arial" w:eastAsia="arial" w:hAnsi="arial" w:cs="arial"/>
          <w:color w:val="000000"/>
          <w:sz w:val="20"/>
          <w:lang w:val="en-US" w:eastAsia="en-US" w:bidi="ar-SA"/>
        </w:rPr>
        <w:t xml:space="preserve"> at para. 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the unique circumstances of a union, the bargaining agent of the members in negotiating collective agreements that gives rise to HSA's objection. As related earlier, HSA assumed responsibility for LTD benefits from the employer in the course of its negotiations. HSA states it did not take over contractual responsibility for the LTD plan, but instead asserts that it settled and established a benefit trust that would provide and administer LTD benefits for HSA members. On the other hand the plaintiffs state that HSA did take over responsibility, in contract, for ensuring that an LTD benefits plan was in place for HSA's disabled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Berry v. Pulley</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2002 SCC 40</w:t>
        </w:r>
      </w:hyperlink>
      <w:r>
        <w:rPr>
          <w:rFonts w:ascii="arial" w:eastAsia="arial" w:hAnsi="arial" w:cs="arial"/>
          <w:color w:val="000000"/>
          <w:sz w:val="20"/>
          <w:lang w:val="en-US" w:eastAsia="en-US" w:bidi="ar-SA"/>
        </w:rPr>
        <w:t>, Justice Iacobucci writing for a unanimous Supreme Court of Canada addressed the nature of a union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Since these early cases, the field of labour relations has become increasingly sophisticated and regulated, with the granting of significant statutory powers and duties to trade unions. </w:t>
      </w:r>
      <w:r>
        <w:rPr>
          <w:rFonts w:ascii="arial" w:eastAsia="arial" w:hAnsi="arial" w:cs="arial"/>
          <w:color w:val="000000"/>
          <w:sz w:val="20"/>
          <w:u w:val="single"/>
          <w:lang w:val="en-US" w:eastAsia="en-US" w:bidi="ar-SA"/>
        </w:rPr>
        <w:t>In light of these developments, unions have come to be recognized as entities which possess a legal personality with respect to their labour relations role</w:t>
      </w:r>
      <w:r>
        <w:rPr>
          <w:rFonts w:ascii="arial" w:eastAsia="arial" w:hAnsi="arial" w:cs="arial"/>
          <w:color w:val="000000"/>
          <w:sz w:val="20"/>
          <w:lang w:val="en-US" w:eastAsia="en-US" w:bidi="ar-SA"/>
        </w:rPr>
        <w:t>. This status not only allows a union member to bring suit against his or her union directly, but also enables the union to enter into contracts of membership with each of its members.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Berry</w:t>
      </w:r>
      <w:r>
        <w:rPr>
          <w:rFonts w:ascii="arial" w:eastAsia="arial" w:hAnsi="arial" w:cs="arial"/>
          <w:color w:val="000000"/>
          <w:sz w:val="20"/>
          <w:lang w:val="en-US" w:eastAsia="en-US" w:bidi="ar-SA"/>
        </w:rPr>
        <w:t xml:space="preserve"> considered whether a union member could claim damages in breach of contract against other union members, based on the terms of the union constitution. To resolve that question, the Court addressed more generally the nature of the obligations between union members and the legal status of unions. The Court held that the modern legal context no longer required continuance of the notion that a complex of contracts binds union members to one another; it is no longer necessary to uphold the notion that each union member has a contract with every other member (para. 4). Instead, the Court said this about the legal status of unions: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 the recognition of the legal status of trade unions enables the adoption of a more common sense approach, namely, that each union member has a contractual relationship with the union itself. This relationship is based on the constating documents of the union, although it must be read in light of the statutory labour relations regime and governing principles of labour law which regulate unions and their activities.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case at bar raises similar issues: firstly, whether a union is restricted as a legal entity to obligations arising from its function in the field of labour relations, or in other words, given the nature of the contract between a union and its members, which is one of adhesion, what contractual powers can the union or its members exercise? Secondly, if the union can only assume obligations arising from its role as a bargaining agent for its members, is the alleged contract in issue one that arises from the union's role in the field of labour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Labour Code</w:t>
      </w:r>
      <w:r>
        <w:rPr>
          <w:rFonts w:ascii="arial" w:eastAsia="arial" w:hAnsi="arial" w:cs="arial"/>
          <w:color w:val="000000"/>
          <w:sz w:val="20"/>
          <w:lang w:val="en-US" w:eastAsia="en-US" w:bidi="ar-SA"/>
        </w:rPr>
        <w:t xml:space="preserve"> stipulates: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entity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Every trade union and every employers' organization is a legal entity for the purposes of this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Labour Code</w:t>
      </w:r>
      <w:r>
        <w:rPr>
          <w:rFonts w:ascii="arial" w:eastAsia="arial" w:hAnsi="arial" w:cs="arial"/>
          <w:color w:val="000000"/>
          <w:sz w:val="20"/>
          <w:lang w:val="en-US" w:eastAsia="en-US" w:bidi="ar-SA"/>
        </w:rPr>
        <w:t xml:space="preserve"> further provides that a bargaining agent means "a trade union certified by the board as an agent to bargain collectively for an appropriate bargaining unit" in s. 1(1). It also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(1) ...</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"collective agreement"</w:t>
      </w:r>
      <w:r>
        <w:rPr>
          <w:rFonts w:ascii="arial" w:eastAsia="arial" w:hAnsi="arial" w:cs="arial"/>
          <w:color w:val="000000"/>
          <w:sz w:val="20"/>
          <w:lang w:val="en-US" w:eastAsia="en-US" w:bidi="ar-SA"/>
        </w:rPr>
        <w:t xml:space="preserve"> means a written agreement between an employer, or an employers' organization authorized by the employer, and a trade union, providing for rates of pay, hours of work or other conditions of employment, which may include compensation to a dependent contractor for furnishing his or her own tools, vehicles, equipment, machinery, material or any other thing;</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"collective bargaining"</w:t>
      </w:r>
      <w:r>
        <w:rPr>
          <w:rFonts w:ascii="arial" w:eastAsia="arial" w:hAnsi="arial" w:cs="arial"/>
          <w:color w:val="000000"/>
          <w:sz w:val="20"/>
          <w:lang w:val="en-US" w:eastAsia="en-US" w:bidi="ar-SA"/>
        </w:rPr>
        <w:t xml:space="preserve"> means negotiating in good faith with a view to the conclusion of a collective agreement or its renewal or revision, or to the regulation of relations between an employer and employees;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"employer"</w:t>
      </w:r>
      <w:r>
        <w:rPr>
          <w:rFonts w:ascii="arial" w:eastAsia="arial" w:hAnsi="arial" w:cs="arial"/>
          <w:color w:val="000000"/>
          <w:sz w:val="20"/>
          <w:lang w:val="en-US" w:eastAsia="en-US" w:bidi="ar-SA"/>
        </w:rPr>
        <w:t xml:space="preserve"> means a person who employs one or more employees or uses the services of one or more dependent contractors and includes an employers' organization;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"trade union"</w:t>
      </w:r>
      <w:r>
        <w:rPr>
          <w:rFonts w:ascii="arial" w:eastAsia="arial" w:hAnsi="arial" w:cs="arial"/>
          <w:color w:val="000000"/>
          <w:sz w:val="20"/>
          <w:lang w:val="en-US" w:eastAsia="en-US" w:bidi="ar-SA"/>
        </w:rPr>
        <w:t xml:space="preserve"> means a local or Provincial organization or association of employees, or a local or Provincial branch of a national or international organization or association of employees in British Columbia, that has as one of its purposes the regulation in British Columbia of relations between employers and employees through collective bargaining, and includes an association or council of trade unions, but not an organization or association of employees that is dominated or influenced by an employer;</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"unit"</w:t>
      </w:r>
      <w:r>
        <w:rPr>
          <w:rFonts w:ascii="arial" w:eastAsia="arial" w:hAnsi="arial" w:cs="arial"/>
          <w:color w:val="000000"/>
          <w:sz w:val="20"/>
          <w:lang w:val="en-US" w:eastAsia="en-US" w:bidi="ar-SA"/>
        </w:rPr>
        <w:t xml:space="preserve"> means an employee or a group of employees, and the expression </w:t>
      </w:r>
      <w:r>
        <w:rPr>
          <w:rFonts w:ascii="arial" w:eastAsia="arial" w:hAnsi="arial" w:cs="arial"/>
          <w:b/>
          <w:color w:val="000000"/>
          <w:sz w:val="20"/>
          <w:lang w:val="en-US" w:eastAsia="en-US" w:bidi="ar-SA"/>
        </w:rPr>
        <w:t>"appropriate for collective bargaining"</w:t>
      </w:r>
      <w:r>
        <w:rPr>
          <w:rFonts w:ascii="arial" w:eastAsia="arial" w:hAnsi="arial" w:cs="arial"/>
          <w:color w:val="000000"/>
          <w:sz w:val="20"/>
          <w:lang w:val="en-US" w:eastAsia="en-US" w:bidi="ar-SA"/>
        </w:rPr>
        <w:t xml:space="preserve"> or </w:t>
      </w:r>
      <w:r>
        <w:rPr>
          <w:rFonts w:ascii="arial" w:eastAsia="arial" w:hAnsi="arial" w:cs="arial"/>
          <w:b/>
          <w:color w:val="000000"/>
          <w:sz w:val="20"/>
          <w:lang w:val="en-US" w:eastAsia="en-US" w:bidi="ar-SA"/>
        </w:rPr>
        <w:t>"appropriate bargaining unit"</w:t>
      </w:r>
      <w:r>
        <w:rPr>
          <w:rFonts w:ascii="arial" w:eastAsia="arial" w:hAnsi="arial" w:cs="arial"/>
          <w:color w:val="000000"/>
          <w:sz w:val="20"/>
          <w:lang w:val="en-US" w:eastAsia="en-US" w:bidi="ar-SA"/>
        </w:rPr>
        <w:t>, with reference to a unit, means a unit determined by the board to be appropriate for collective bargaining, whether it is an employer unit, craft unit, technical unit, plant unit or another unit, and whether or not the employees in it are employed by one or more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a result a trade union is the representative of the employees for the purposes of collective bargaining with an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my view, the issue of whether HSA possesses the legal status necessary to enter into the alleged agreements with the plaintiffs turns on the meaning of the following passages in </w:t>
      </w:r>
      <w:r>
        <w:rPr>
          <w:rFonts w:ascii="arial" w:eastAsia="arial" w:hAnsi="arial" w:cs="arial"/>
          <w:i/>
          <w:color w:val="000000"/>
          <w:sz w:val="20"/>
          <w:lang w:val="en-US" w:eastAsia="en-US" w:bidi="ar-SA"/>
        </w:rPr>
        <w:t>Berry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As the above cases and statutory provisions suggest, the world of labour relations in Canada has evolved considerably since the decision of this Court in </w:t>
      </w:r>
      <w:r>
        <w:rPr>
          <w:rFonts w:ascii="arial" w:eastAsia="arial" w:hAnsi="arial" w:cs="arial"/>
          <w:i/>
          <w:color w:val="000000"/>
          <w:sz w:val="20"/>
          <w:lang w:val="en-US" w:eastAsia="en-US" w:bidi="ar-SA"/>
        </w:rPr>
        <w:t>Orchard</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[1957] S.C.R. 436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We now have a sophisticated statutory regime under which trade unions are recognized as entities with significant rights and obligations. As part of this gradual evolution the view has emerged that, by conferring these rights and obligations on trade unions, legislatures have intended, absent express legislative provisions to the contrary, to bestow on these entities the legal status to sue and be sued in their own name. </w:t>
      </w:r>
      <w:r>
        <w:rPr>
          <w:rFonts w:ascii="arial" w:eastAsia="arial" w:hAnsi="arial" w:cs="arial"/>
          <w:color w:val="000000"/>
          <w:sz w:val="20"/>
          <w:u w:val="single"/>
          <w:lang w:val="en-US" w:eastAsia="en-US" w:bidi="ar-SA"/>
        </w:rPr>
        <w:t>As such, unions are legal entities</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at least</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for the purpose of discharging their function and performing their role in the field of labour relations</w:t>
      </w:r>
      <w:r>
        <w:rPr>
          <w:rFonts w:ascii="arial" w:eastAsia="arial" w:hAnsi="arial" w:cs="arial"/>
          <w:color w:val="000000"/>
          <w:sz w:val="20"/>
          <w:lang w:val="en-US" w:eastAsia="en-US" w:bidi="ar-SA"/>
        </w:rPr>
        <w:t>. It follows from this that, in such a proceeding, a union may be held liable to the extent of its own assets.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Viewed in this modern context, </w:t>
      </w:r>
      <w:r>
        <w:rPr>
          <w:rFonts w:ascii="arial" w:eastAsia="arial" w:hAnsi="arial" w:cs="arial"/>
          <w:color w:val="000000"/>
          <w:sz w:val="20"/>
          <w:u w:val="single"/>
          <w:lang w:val="en-US" w:eastAsia="en-US" w:bidi="ar-SA"/>
        </w:rPr>
        <w:t>the proposition that a trade union does not have the legal status to enter into</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contracts</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with its members is implausible</w:t>
      </w:r>
      <w:r>
        <w:rPr>
          <w:rFonts w:ascii="arial" w:eastAsia="arial" w:hAnsi="arial" w:cs="arial"/>
          <w:color w:val="000000"/>
          <w:sz w:val="20"/>
          <w:lang w:val="en-US" w:eastAsia="en-US" w:bidi="ar-SA"/>
        </w:rPr>
        <w:t xml:space="preserve">. The impediments that prevented Rand J. in </w:t>
      </w:r>
      <w:r>
        <w:rPr>
          <w:rFonts w:ascii="arial" w:eastAsia="arial" w:hAnsi="arial" w:cs="arial"/>
          <w:i/>
          <w:color w:val="000000"/>
          <w:sz w:val="20"/>
          <w:lang w:val="en-US" w:eastAsia="en-US" w:bidi="ar-SA"/>
        </w:rPr>
        <w:t>Orchard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from holding that by joining a union, the member contracts directly with the union as a legal entity, have been overcome. In order for trade unions to fulfill their labour relations functions, it is essential for unions to control and regulate their internal affairs. </w:t>
      </w:r>
      <w:r>
        <w:rPr>
          <w:rFonts w:ascii="arial" w:eastAsia="arial" w:hAnsi="arial" w:cs="arial"/>
          <w:color w:val="000000"/>
          <w:sz w:val="20"/>
          <w:u w:val="single"/>
          <w:lang w:val="en-US" w:eastAsia="en-US" w:bidi="ar-SA"/>
        </w:rPr>
        <w:t>Since the regulation of union membership is a fundamental part of the role of trade unions, it is only logical that it should fall within the sphere of activities for which unions have legal status.</w:t>
      </w:r>
      <w:r>
        <w:rPr>
          <w:rFonts w:ascii="arial" w:eastAsia="arial" w:hAnsi="arial" w:cs="arial"/>
          <w:color w:val="000000"/>
          <w:sz w:val="20"/>
          <w:lang w:val="en-US" w:eastAsia="en-US" w:bidi="ar-SA"/>
        </w:rPr>
        <w:t xml:space="preserve"> It follows that unions </w:t>
      </w:r>
      <w:r>
        <w:rPr>
          <w:rFonts w:ascii="arial" w:eastAsia="arial" w:hAnsi="arial" w:cs="arial"/>
          <w:color w:val="000000"/>
          <w:sz w:val="20"/>
          <w:u w:val="single"/>
          <w:lang w:val="en-US" w:eastAsia="en-US" w:bidi="ar-SA"/>
        </w:rPr>
        <w:t>must have sufficient legal personality</w:t>
      </w:r>
      <w:r>
        <w:rPr>
          <w:rFonts w:ascii="arial" w:eastAsia="arial" w:hAnsi="arial" w:cs="arial"/>
          <w:color w:val="000000"/>
          <w:sz w:val="20"/>
          <w:lang w:val="en-US" w:eastAsia="en-US" w:bidi="ar-SA"/>
        </w:rPr>
        <w:t xml:space="preserve"> to enter into contracts of membership, and that this is an aspect of union affairs for which legislatures have impliedly conferred legal status on unions. In addition, I agree with Lord Morton's statement in </w:t>
      </w:r>
      <w:r>
        <w:rPr>
          <w:rFonts w:ascii="arial" w:eastAsia="arial" w:hAnsi="arial" w:cs="arial"/>
          <w:i/>
          <w:color w:val="000000"/>
          <w:sz w:val="20"/>
          <w:lang w:val="en-US" w:eastAsia="en-US" w:bidi="ar-SA"/>
        </w:rPr>
        <w:t>Bonsor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that there are no "vital differences" between an action in tort and an action in breach of contract brought by a member against the union, and to draw a line between the legal status to be sued in tort and the legal status to enter into contracts with its members is arbitrary and illogical.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light of the above, the time has come to recognize formally that when a member joins a union, a relationship in the nature of a contract arises between the member and the trade union </w:t>
      </w:r>
      <w:r>
        <w:rPr>
          <w:rFonts w:ascii="arial" w:eastAsia="arial" w:hAnsi="arial" w:cs="arial"/>
          <w:i/>
          <w:color w:val="000000"/>
          <w:sz w:val="20"/>
          <w:lang w:val="en-US" w:eastAsia="en-US" w:bidi="ar-SA"/>
        </w:rPr>
        <w:t>as a legal entity</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By the act of membership, both the union and the member agree to be bound by the terms of the union constitution, and an action may be brought by a member against the union for its breach</w:t>
      </w:r>
      <w:r>
        <w:rPr>
          <w:rFonts w:ascii="arial" w:eastAsia="arial" w:hAnsi="arial" w:cs="arial"/>
          <w:color w:val="000000"/>
          <w:sz w:val="20"/>
          <w:lang w:val="en-US" w:eastAsia="en-US" w:bidi="ar-SA"/>
        </w:rPr>
        <w:t xml:space="preserve">; however, since the union itself is the contracting party, the liability of the union is limited to the assets of the union and cannot extend to its members personally. I say that this relationship is in the </w:t>
      </w:r>
      <w:r>
        <w:rPr>
          <w:rFonts w:ascii="arial" w:eastAsia="arial" w:hAnsi="arial" w:cs="arial"/>
          <w:i/>
          <w:color w:val="000000"/>
          <w:sz w:val="20"/>
          <w:lang w:val="en-US" w:eastAsia="en-US" w:bidi="ar-SA"/>
        </w:rPr>
        <w:t>nature</w:t>
      </w:r>
      <w:r>
        <w:rPr>
          <w:rFonts w:ascii="arial" w:eastAsia="arial" w:hAnsi="arial" w:cs="arial"/>
          <w:color w:val="000000"/>
          <w:sz w:val="20"/>
          <w:lang w:val="en-US" w:eastAsia="en-US" w:bidi="ar-SA"/>
        </w:rPr>
        <w:t xml:space="preserve"> of a contract because it is unlike a typical commercial contract. Although the relationship includes at least some of the indicia of a common law contract (for example offer and acceptance), the terms of the contractual relationship between the union and the member will be greatly determined by the statutory regime affecting unions generally as well as the labour law principles that courts have fashioned over the years. With this in mind, for ease of reference I will refer to the membership agreement between the individual member and the union as a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 -- Italics]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[Emphases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making these statements, the Court noted that the contractual powers of a union differ from those of a commercial entity: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Having said that there exists an enforceable contract between union members and the union, I believe it is worth elaborating on several factors which make this contract unique. First, it is essentially an adhesion contract as, practically speaking, the applicant has no bargaining power with the union. Moreover, in many situations, union membership is a prerequisite to employment, leaving the individual with little choice but to accept the contract and its terms. Finally, it must be borne in mind that a statutory labour relations scheme is superimposed over the contract between the member and the union, and can create legal obligations. Consequently, the contract must be viewed in this overall statutory context. For example, the statutory right of members to be represented by the union of their choice implies that the contract only exists as long as the members maintain that union as their bargaining agent, and no penalty could be imposed by the contract against members for exercising this statutory right. As it is not necessary to interpret the terms of the membership contract or determine its scope on the facts of this case, I decline from elaborating further on these matters. I simply note that the unique character and context of this contract, as well as the nature of the questions in issue, will necessarily inform its construction in any given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plaintiffs submit that the membership contract does not exhaust a union's ability to enter into agreements with its members. They note that in </w:t>
      </w:r>
      <w:r>
        <w:rPr>
          <w:rFonts w:ascii="arial" w:eastAsia="arial" w:hAnsi="arial" w:cs="arial"/>
          <w:i/>
          <w:color w:val="000000"/>
          <w:sz w:val="20"/>
          <w:lang w:val="en-US" w:eastAsia="en-US" w:bidi="ar-SA"/>
        </w:rPr>
        <w:t>Berry</w:t>
      </w:r>
      <w:r>
        <w:rPr>
          <w:rFonts w:ascii="arial" w:eastAsia="arial" w:hAnsi="arial" w:cs="arial"/>
          <w:color w:val="000000"/>
          <w:sz w:val="20"/>
          <w:lang w:val="en-US" w:eastAsia="en-US" w:bidi="ar-SA"/>
        </w:rPr>
        <w:t xml:space="preserve"> the Court held that "unions are legal entities </w:t>
      </w:r>
      <w:r>
        <w:rPr>
          <w:rFonts w:ascii="arial" w:eastAsia="arial" w:hAnsi="arial" w:cs="arial"/>
          <w:color w:val="000000"/>
          <w:sz w:val="20"/>
          <w:u w:val="single"/>
          <w:lang w:val="en-US" w:eastAsia="en-US" w:bidi="ar-SA"/>
        </w:rPr>
        <w:t>at least</w:t>
      </w:r>
      <w:r>
        <w:rPr>
          <w:rFonts w:ascii="arial" w:eastAsia="arial" w:hAnsi="arial" w:cs="arial"/>
          <w:color w:val="000000"/>
          <w:sz w:val="20"/>
          <w:lang w:val="en-US" w:eastAsia="en-US" w:bidi="ar-SA"/>
        </w:rPr>
        <w:t xml:space="preserve"> for the purpose of discharging their function and performing their role in the field of labour relations" (para. 46). The plaintiffs say that the words "at least" indicate that the ability of a union to contract with its members is the minimum of its contractual powers and that our highest Court contemplated a union assuming contractual obligations which exceed this baseline.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Berry</w:t>
      </w:r>
      <w:r>
        <w:rPr>
          <w:rFonts w:ascii="arial" w:eastAsia="arial" w:hAnsi="arial" w:cs="arial"/>
          <w:color w:val="000000"/>
          <w:sz w:val="20"/>
          <w:lang w:val="en-US" w:eastAsia="en-US" w:bidi="ar-SA"/>
        </w:rPr>
        <w:t xml:space="preserve"> addressed the legal status of unions solely within the context of their capacity to contract in the labour relations field. The Court emphasized this point by stating that the legal recognition accorded to unions does not automatically extend to other unincorporated associations, and further by expressly attributing the unique status of unions in this regard to the "complex labour relations regime governing their existence and operations" (para. 51). Iacobucci J. then enumerated factors specific to the field of labour relations which are addressed by granting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legal status to unions: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However, apart from the fact that there were and are remedies available to the appellants in these particular circumstances, on a more general level, it seems problematic for a court to fill legislative gaps in the labour relations scheme by contorting what is essentially a contractual metaphor into a basis for a breach of contract action. Absent an independent basis for recognizing a breach of contract action between members, the mere argument that there exists a legislative gap is insufficient justification for transforming this contractual metaphor, initially created to provide a foundation for finding </w:t>
      </w:r>
      <w:r>
        <w:rPr>
          <w:rFonts w:ascii="arial" w:eastAsia="arial" w:hAnsi="arial" w:cs="arial"/>
          <w:color w:val="000000"/>
          <w:sz w:val="20"/>
          <w:u w:val="single"/>
          <w:lang w:val="en-US" w:eastAsia="en-US" w:bidi="ar-SA"/>
        </w:rPr>
        <w:t>group</w:t>
      </w:r>
      <w:r>
        <w:rPr>
          <w:rFonts w:ascii="arial" w:eastAsia="arial" w:hAnsi="arial" w:cs="arial"/>
          <w:color w:val="000000"/>
          <w:sz w:val="20"/>
          <w:lang w:val="en-US" w:eastAsia="en-US" w:bidi="ar-SA"/>
        </w:rPr>
        <w:t xml:space="preserve"> liability, into a concrete basis which allows for </w:t>
      </w:r>
      <w:r>
        <w:rPr>
          <w:rFonts w:ascii="arial" w:eastAsia="arial" w:hAnsi="arial" w:cs="arial"/>
          <w:color w:val="000000"/>
          <w:sz w:val="20"/>
          <w:u w:val="single"/>
          <w:lang w:val="en-US" w:eastAsia="en-US" w:bidi="ar-SA"/>
        </w:rPr>
        <w:t>personal</w:t>
      </w:r>
      <w:r>
        <w:rPr>
          <w:rFonts w:ascii="arial" w:eastAsia="arial" w:hAnsi="arial" w:cs="arial"/>
          <w:color w:val="000000"/>
          <w:sz w:val="20"/>
          <w:lang w:val="en-US" w:eastAsia="en-US" w:bidi="ar-SA"/>
        </w:rPr>
        <w:t xml:space="preserve"> liability to exist between union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Therefore, I must next evaluate whether the parameters of the union's labour relations role include contracts such as those alleged here. That is, can a union contract to provide LTD benefits to its members as a whole? In doing so is it contracting within the parameters established by the Court in </w:t>
      </w:r>
      <w:r>
        <w:rPr>
          <w:rFonts w:ascii="arial" w:eastAsia="arial" w:hAnsi="arial" w:cs="arial"/>
          <w:i/>
          <w:color w:val="000000"/>
          <w:sz w:val="20"/>
          <w:lang w:val="en-US" w:eastAsia="en-US" w:bidi="ar-SA"/>
        </w:rPr>
        <w:t>Berry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As noted, the Supreme Court of Canada in </w:t>
      </w:r>
      <w:r>
        <w:rPr>
          <w:rFonts w:ascii="arial" w:eastAsia="arial" w:hAnsi="arial" w:cs="arial"/>
          <w:i/>
          <w:color w:val="000000"/>
          <w:sz w:val="20"/>
          <w:lang w:val="en-US" w:eastAsia="en-US" w:bidi="ar-SA"/>
        </w:rPr>
        <w:t>Berry</w:t>
      </w:r>
      <w:r>
        <w:rPr>
          <w:rFonts w:ascii="arial" w:eastAsia="arial" w:hAnsi="arial" w:cs="arial"/>
          <w:color w:val="000000"/>
          <w:sz w:val="20"/>
          <w:lang w:val="en-US" w:eastAsia="en-US" w:bidi="ar-SA"/>
        </w:rPr>
        <w:t xml:space="preserve"> dealt with the contractual relationship between a union and its members in the context of the union's constitution. However, it is not clear that in doing so, the Court restricted the contractual powers of a union only to that factual situation and to such contracts. Had such a result been intended, it could have been stated but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submit that there is no reason why the agreement of a union to provide benefits to its members would not fall within the scope of the field of labour relations, or the union's role as bargaining agent within that field. They also note that as conceded by HSA, a union has the ability to enter into contracts for matters such as the supply of office materials and presumably contracts of employment. In addition, HSA entered into a policy of insurance with BC Life &amp; Casualty in March 1987 and has entered into the three Trust Agreements at issue in this proceeding. They submit that if HSA is able to enter into all of these agreements, it must also have sufficient legal status to enter into the LTD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plaintiffs further say that there is nothing in the </w:t>
      </w:r>
      <w:r>
        <w:rPr>
          <w:rFonts w:ascii="arial" w:eastAsia="arial" w:hAnsi="arial" w:cs="arial"/>
          <w:i/>
          <w:color w:val="000000"/>
          <w:sz w:val="20"/>
          <w:lang w:val="en-US" w:eastAsia="en-US" w:bidi="ar-SA"/>
        </w:rPr>
        <w:t>Labour Code</w:t>
      </w:r>
      <w:r>
        <w:rPr>
          <w:rFonts w:ascii="arial" w:eastAsia="arial" w:hAnsi="arial" w:cs="arial"/>
          <w:color w:val="000000"/>
          <w:sz w:val="20"/>
          <w:lang w:val="en-US" w:eastAsia="en-US" w:bidi="ar-SA"/>
        </w:rPr>
        <w:t xml:space="preserve"> that limits a union's ability to contract. While HSA argues that s. 27 sets out the entirety of the rights and obligations as regards their membership in HSA, the plaintiffs say that s. 27 merely provides a certified trade union with "exclusive authority to bargain collectively" in certain circumstances. In other words, the plaintiffs take the position that s. 27 does not limit HSA's obligations to its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addition, the plaintiffs submit that there is nothing in HSA's constitution which limits its power to enter into contracts noting, to the contrary, that Article 3(b) provides that one of HSA's "objects and purposes" is to "regulate relations between employees and employers through collective bargaining, and to establish and maintain the best possible standards of pay, benefits, and other working conditions." The plaintiffs submit that entering into the LTD Agreements is consistent with that mandate.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note that HSA did not advance any authority for the proposition that as a union, it lacked capacity to enter into the alleged LTD Agreements. As noted earlier that may be a result of the unique facts of this case, as apparently no other similar arrangement by a union to provide LTD benefits to its members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While it is clear that HSA acted in its capacity as a bargaining agent for the members when it negotiated "to assume responsibility for providing the long term disability plan" HSA's characterization of the relationship, that is that the union would be contracting with itself, is not the end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my opinion, while HSA acted as an agent for its members when negotiating with the employer as the members' bargaining agent, when it allegedly assumed responsibility for LTD benefits it potentially entered into a contractual relationship with its members. In other words, the union acted merely as an agent for its members where it negotiated with third parties, but may have assumed a different legal status where HSA itself undertook obligations owed to the members distinct from HSA's own duty to negotiate.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contractual claims advanced by the plaintiffs appear to accord with HSA's own characterization of the events, that is, that HSA "proposed assuming responsibility for providing the long term disability plan" from the employer, a proposal which the employer accepted during the 1986 collective bargaining. It is clear that the employer's obligation was contractual with regard to the provision of LTD benefits. That is, the previous collective agreement in which the employer provided LTD benefits formed a contract obliging the employer to provide HSA's disabled members with LTD benefits (see </w:t>
      </w:r>
      <w:r>
        <w:rPr>
          <w:rFonts w:ascii="arial" w:eastAsia="arial" w:hAnsi="arial" w:cs="arial"/>
          <w:i/>
          <w:color w:val="000000"/>
          <w:sz w:val="20"/>
          <w:lang w:val="en-US" w:eastAsia="en-US" w:bidi="ar-SA"/>
        </w:rPr>
        <w:t>Ali v. Manufacturers Life Insurance Co.,</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2005 BCCA 294</w:t>
        </w:r>
      </w:hyperlink>
      <w:r>
        <w:rPr>
          <w:rFonts w:ascii="arial" w:eastAsia="arial" w:hAnsi="arial" w:cs="arial"/>
          <w:color w:val="000000"/>
          <w:sz w:val="20"/>
          <w:lang w:val="en-US" w:eastAsia="en-US" w:bidi="ar-SA"/>
        </w:rPr>
        <w:t xml:space="preserve"> at paras. 7-10). There is little before me to suggest that HSA altered the nature of the employer's responsibility to HSA's disabled members when it allegedly assumed that from the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conclude that it is not plain and obvious that a union cannot enter into such a contract with its members. I now consider whether the pleadings support the contractual claims advanced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For its part, HSA submits that the plaintiffs have not pleaded sufficient material facts to support their breach of contract claim, specifically citing an alleged absence of the following:</w:t>
      </w:r>
      <w:r>
        <w:rPr>
          <w:rFonts w:ascii="arial" w:eastAsia="arial" w:hAnsi="arial" w:cs="arial"/>
          <w:sz w:val="20"/>
          <w:lang w:val="en-US" w:eastAsia="en-US" w:bidi="ar-SA"/>
        </w:rPr>
        <w:cr/>
      </w:r>
    </w:p>
    <w:p>
      <w:pPr>
        <w:numPr>
          <w:numId w:val="7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 as to how the alleged contracts were formed;</w:t>
      </w:r>
    </w:p>
    <w:p>
      <w:pPr>
        <w:numPr>
          <w:numId w:val="8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sufficient particulars of the documents that gave rise to each of the contracts;</w:t>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sufficient particulars of the terms of the alleged contracts; and</w:t>
      </w:r>
    </w:p>
    <w:p>
      <w:pPr>
        <w:numPr>
          <w:numId w:val="8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material facts as to how later joining members became parties to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plaintiffs argue that sufficient facts have been pleaded and rely primarily on two decisions in support of their contractual argument against HSA: </w:t>
      </w:r>
      <w:r>
        <w:rPr>
          <w:rFonts w:ascii="arial" w:eastAsia="arial" w:hAnsi="arial" w:cs="arial"/>
          <w:i/>
          <w:color w:val="000000"/>
          <w:sz w:val="20"/>
          <w:lang w:val="en-US" w:eastAsia="en-US" w:bidi="ar-SA"/>
        </w:rPr>
        <w:t>Lacey v. Weyerhaeuser Company Limited</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2013 BCCA 252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O'Neill v. General Motors of Canada</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2013 ONSC 4654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Lacey</w:t>
      </w:r>
      <w:r>
        <w:rPr>
          <w:rFonts w:ascii="arial" w:eastAsia="arial" w:hAnsi="arial" w:cs="arial"/>
          <w:color w:val="000000"/>
          <w:sz w:val="20"/>
          <w:lang w:val="en-US" w:eastAsia="en-US" w:bidi="ar-SA"/>
        </w:rPr>
        <w:t xml:space="preserve"> involved the reduction of employer contributions to the cost of medical benefits provided to retired employees. At trial, the Court found that these retirement benefits constituted deferred compensation that the employer was contractually obligated to provide. By unilaterally modifying those benefits, the employer breached its contractual obligations to the employees. The Court of Appeal upheld that finding (paras. 66-67).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O'Neill</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Lacey</w:t>
      </w:r>
      <w:r>
        <w:rPr>
          <w:rFonts w:ascii="arial" w:eastAsia="arial" w:hAnsi="arial" w:cs="arial"/>
          <w:color w:val="000000"/>
          <w:sz w:val="20"/>
          <w:lang w:val="en-US" w:eastAsia="en-US" w:bidi="ar-SA"/>
        </w:rPr>
        <w:t>, an employer modified post-retirement benefits of its employees. Significant to the Court's decision to allow the plaintiffs' motion for summary judgment was the finding that the benefits in question were deferred compensation and accordingly formed part of the employees' compensation agreement (paras. 37-41).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HSA submits that </w:t>
      </w:r>
      <w:r>
        <w:rPr>
          <w:rFonts w:ascii="arial" w:eastAsia="arial" w:hAnsi="arial" w:cs="arial"/>
          <w:i/>
          <w:color w:val="000000"/>
          <w:sz w:val="20"/>
          <w:lang w:val="en-US" w:eastAsia="en-US" w:bidi="ar-SA"/>
        </w:rPr>
        <w:t>Lacey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O'Neill</w:t>
      </w:r>
      <w:r>
        <w:rPr>
          <w:rFonts w:ascii="arial" w:eastAsia="arial" w:hAnsi="arial" w:cs="arial"/>
          <w:color w:val="000000"/>
          <w:sz w:val="20"/>
          <w:lang w:val="en-US" w:eastAsia="en-US" w:bidi="ar-SA"/>
        </w:rPr>
        <w:t xml:space="preserve"> involved claims for benefits provided by an employer to their employees, not a union to its members. It says that the underlying relationships in those cases therefore differ from the present facts and urges the Court to distinguish them accordingly. In particular, HSA says that the nature of an employer differs significantly from that of a union, particularly where the latter acts as a bargaining agent. In addition, both </w:t>
      </w:r>
      <w:r>
        <w:rPr>
          <w:rFonts w:ascii="arial" w:eastAsia="arial" w:hAnsi="arial" w:cs="arial"/>
          <w:i/>
          <w:color w:val="000000"/>
          <w:sz w:val="20"/>
          <w:lang w:val="en-US" w:eastAsia="en-US" w:bidi="ar-SA"/>
        </w:rPr>
        <w:t>Lacey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O'Neill</w:t>
      </w:r>
      <w:r>
        <w:rPr>
          <w:rFonts w:ascii="arial" w:eastAsia="arial" w:hAnsi="arial" w:cs="arial"/>
          <w:color w:val="000000"/>
          <w:sz w:val="20"/>
          <w:lang w:val="en-US" w:eastAsia="en-US" w:bidi="ar-SA"/>
        </w:rPr>
        <w:t xml:space="preserve"> involve post-retirement benefits for which they submit different principles and considerations apply than those applicable to an LTD plan provided during the course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This argument presupposes, however, that the union was not capable of contracting to provide LTD benefits to its members and that the assumption of responsibility by HSA from the employer changed the nature of the obligation so assumed; suppositions which are open to challenge as I have indicated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HSA further asserts that merely particularizing documents, which "confirm" the terms of the alleged LTD Agreements, does not sufficiently establish that any contracts were actually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discussed, the plaintiffs' pleadings allege two separate contracts between HSA and its members, LTD Agreement #1 entered into on March 1, 1989 and LTD Agreement #2, entered into on March 1, 1999. The contracts pleaded are not in the form of signed agreements but rather are alleged to have come into being "through the terms of the notice and publications to its members, including but not limited to the various collective agreements ... HSA entered into a binding agreement with members, including the plaintiffs, to provide, among other things long term disability insurance benefits to its members." The "notices and publications" pleaded are:</w:t>
      </w:r>
      <w:r>
        <w:rPr>
          <w:rFonts w:ascii="arial" w:eastAsia="arial" w:hAnsi="arial" w:cs="arial"/>
          <w:sz w:val="20"/>
          <w:lang w:val="en-US" w:eastAsia="en-US" w:bidi="ar-SA"/>
        </w:rPr>
        <w:cr/>
      </w:r>
    </w:p>
    <w:p>
      <w:pPr>
        <w:numPr>
          <w:numId w:val="8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brochure dated March 31, 1989 but not issued until in or around October 1995;</w:t>
      </w:r>
    </w:p>
    <w:p>
      <w:pPr>
        <w:numPr>
          <w:numId w:val="8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brochure issued on or about September 1, 1998; and</w:t>
      </w:r>
    </w:p>
    <w:p>
      <w:pPr>
        <w:numPr>
          <w:numId w:val="9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brochure issued on or about April 1, 2005 (collectively the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Notices state that they only summarize the terms of the LTD benefit arrangements, that they are subject to the terms of the documents governing the applicable Plans and Trusts. The Notices further state that they are not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Hensman does not recall whether he saw the Notices, though he saw and attached a similar one to his affidavit. Ms. Watt believes she either saw the brochures or ones similar to the Notices. It is not disputed that all members received the same materials from HSA.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HSA submits that the basis for the claim is pleaded as a combination of brochures and notices sent to members yet there is a lack of evidence that the plaintiffs saw or relied on them. They note as well the plaintiffs assert the Collective Agreement is part of the contract even though it is an agreement between the employer and the members, not the employees and their bargaining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plaintiffs take the position that it is the general course of communications issued by HSA to its members that forms the basis for the alleged contract. They submit that it is not necessary to refer to the subjective knowledge of individual HSA members; rather, they assert that the test is objective. In </w:t>
      </w:r>
      <w:r>
        <w:rPr>
          <w:rFonts w:ascii="arial" w:eastAsia="arial" w:hAnsi="arial" w:cs="arial"/>
          <w:i/>
          <w:color w:val="000000"/>
          <w:sz w:val="20"/>
          <w:lang w:val="en-US" w:eastAsia="en-US" w:bidi="ar-SA"/>
        </w:rPr>
        <w:t>Lacey,</w:t>
      </w:r>
      <w:r>
        <w:rPr>
          <w:rFonts w:ascii="arial" w:eastAsia="arial" w:hAnsi="arial" w:cs="arial"/>
          <w:color w:val="000000"/>
          <w:sz w:val="20"/>
          <w:lang w:val="en-US" w:eastAsia="en-US" w:bidi="ar-SA"/>
        </w:rPr>
        <w:t xml:space="preserve"> the employer described the retirement health benefits package at issue to its employees through various employee publications, including handbooks. In construing the terms and the nature of the defendant's obligation, the Court applied an objective analysis emphasizing the manner in which the plan was described and presented to the employees. The employees did not testify at trial in </w:t>
      </w:r>
      <w:r>
        <w:rPr>
          <w:rFonts w:ascii="arial" w:eastAsia="arial" w:hAnsi="arial" w:cs="arial"/>
          <w:i/>
          <w:color w:val="000000"/>
          <w:sz w:val="20"/>
          <w:lang w:val="en-US" w:eastAsia="en-US" w:bidi="ar-SA"/>
        </w:rPr>
        <w:t>Lacey,</w:t>
      </w:r>
      <w:r>
        <w:rPr>
          <w:rFonts w:ascii="arial" w:eastAsia="arial" w:hAnsi="arial" w:cs="arial"/>
          <w:color w:val="000000"/>
          <w:sz w:val="20"/>
          <w:lang w:val="en-US" w:eastAsia="en-US" w:bidi="ar-SA"/>
        </w:rPr>
        <w:t xml:space="preserve"> hence while the evidence showed that communications had been made to the employees, evidence as to whether any particular plaintiff actually received or reviewed those communications was not before the Court. As a result the subjective knowledge or understanding of any individual plaintiff was irrelevant to the analysis in </w:t>
      </w:r>
      <w:r>
        <w:rPr>
          <w:rFonts w:ascii="arial" w:eastAsia="arial" w:hAnsi="arial" w:cs="arial"/>
          <w:i/>
          <w:color w:val="000000"/>
          <w:sz w:val="20"/>
          <w:lang w:val="en-US" w:eastAsia="en-US" w:bidi="ar-SA"/>
        </w:rPr>
        <w:t>Lacey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It is important to keep in mind that this is a certification application. While the evidence of systemic communication in </w:t>
      </w:r>
      <w:r>
        <w:rPr>
          <w:rFonts w:ascii="arial" w:eastAsia="arial" w:hAnsi="arial" w:cs="arial"/>
          <w:i/>
          <w:color w:val="000000"/>
          <w:sz w:val="20"/>
          <w:lang w:val="en-US" w:eastAsia="en-US" w:bidi="ar-SA"/>
        </w:rPr>
        <w:t>Lacey</w:t>
      </w:r>
      <w:r>
        <w:rPr>
          <w:rFonts w:ascii="arial" w:eastAsia="arial" w:hAnsi="arial" w:cs="arial"/>
          <w:color w:val="000000"/>
          <w:sz w:val="20"/>
          <w:lang w:val="en-US" w:eastAsia="en-US" w:bidi="ar-SA"/>
        </w:rPr>
        <w:t xml:space="preserve"> was better developed than in the case at bar there is still evidence in this case of such systemic communication. For example:</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various brochures identified in the pleadings, and in the evidence, appear, on their face, to be intended for communication to HSA members;</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noting that responsibility for the "Long Term Disability Insurance Plan will be assumed by the union", went on to provide that "There will be a brochure made available on the details of the plan well before the March 1 implementation date."</w:t>
      </w:r>
    </w:p>
    <w:p>
      <w:pPr>
        <w:numPr>
          <w:numId w:val="9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1.04 of the 1989 Plan Document provides in part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HSA shall issue to each Employer, for delivery to each Employee who becomes protected under this Plan, a brochure and/or other document outlining the benefit to which such Employee is entitled hereunder, the circumstances under which the coverage terminates and the rights of the Employee upon termination of her/his coverage. If a brochure and/or other document is issued to, or is held by, any Employee who, for any reason, is not entitled to coverage hereunder, such document shall be of no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intention of HSA was that every union member would be provided with a copy of the collective agreements and that it was employer's responsibility to provide them with copies. According to HSA such delivery occurred merely for "informational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Given that the plaintiffs' pleadings refer to the series of communications to the members by HSA, they are consistent with the approach accepted by the Court in </w:t>
      </w:r>
      <w:r>
        <w:rPr>
          <w:rFonts w:ascii="arial" w:eastAsia="arial" w:hAnsi="arial" w:cs="arial"/>
          <w:i/>
          <w:color w:val="000000"/>
          <w:sz w:val="20"/>
          <w:lang w:val="en-US" w:eastAsia="en-US" w:bidi="ar-SA"/>
        </w:rPr>
        <w:t>Lacey</w:t>
      </w:r>
      <w:r>
        <w:rPr>
          <w:rFonts w:ascii="arial" w:eastAsia="arial" w:hAnsi="arial" w:cs="arial"/>
          <w:color w:val="000000"/>
          <w:sz w:val="20"/>
          <w:lang w:val="en-US" w:eastAsia="en-US" w:bidi="ar-SA"/>
        </w:rPr>
        <w:t xml:space="preserve"> as providing the basis for a contract. It cannot be said that they necessarily fail to disclose a cause of action in contract. As in </w:t>
      </w:r>
      <w:r>
        <w:rPr>
          <w:rFonts w:ascii="arial" w:eastAsia="arial" w:hAnsi="arial" w:cs="arial"/>
          <w:i/>
          <w:color w:val="000000"/>
          <w:sz w:val="20"/>
          <w:lang w:val="en-US" w:eastAsia="en-US" w:bidi="ar-SA"/>
        </w:rPr>
        <w:t>Lacey,</w:t>
      </w:r>
      <w:r>
        <w:rPr>
          <w:rFonts w:ascii="arial" w:eastAsia="arial" w:hAnsi="arial" w:cs="arial"/>
          <w:color w:val="000000"/>
          <w:sz w:val="20"/>
          <w:lang w:val="en-US" w:eastAsia="en-US" w:bidi="ar-SA"/>
        </w:rPr>
        <w:t xml:space="preserve"> here the alleged contracts arise from the conduct of the parties and communications between HSA and its members. Similarly, it is alleged that HSA assumed responsibility for LTD benefits from the employer, an obligation which could be construed as a collective obligation rather than an individual obligation. In my view, the pleadings thus disclose a supportable cause of action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Finally, HSA says that the plaintiffs' claims in contract must fail due to the lack of consideration flowing from the plaintiffs to HSA. In support, HSA notes that the Plans and LTD benefits provided under those plans were entirely employee funded. HSA submits that it did not pay the benefits; the Trustees who administered the Trusts did so, and retained a plan administrator to deal with claims. HSA also denies responsibility for the reductions to the plaintiffs' LTD benefits, noting that the Trustees made the decision to modify these benefits. Accordingly, HSA denies that it entered into a contract with its disabled members, and even if it did so, it did not breach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plaintiffs submit that notwithstanding HSA's remission of premiums deducted by the employer to the Trusts, HSA in fact controlled the manner in which the funds were used. Hence the plaintiffs submit that the mere fact that HSA chose to direct the funds to the Trusts does not mean that HSA did not "receive" consideration under the alleged LTD Agreements. Further, the plaintiffs assert that the act or promise comprising the consideration does not have to be to the benefit of the promisor: </w:t>
      </w:r>
      <w:r>
        <w:rPr>
          <w:rFonts w:ascii="arial" w:eastAsia="arial" w:hAnsi="arial" w:cs="arial"/>
          <w:i/>
          <w:color w:val="000000"/>
          <w:sz w:val="20"/>
          <w:lang w:val="en-US" w:eastAsia="en-US" w:bidi="ar-SA"/>
        </w:rPr>
        <w:t>Westman v. MacDonald</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[1941] 4 D.L.R. 793</w:t>
        </w:r>
      </w:hyperlink>
      <w:r>
        <w:rPr>
          <w:rFonts w:ascii="arial" w:eastAsia="arial" w:hAnsi="arial" w:cs="arial"/>
          <w:color w:val="000000"/>
          <w:sz w:val="20"/>
          <w:lang w:val="en-US" w:eastAsia="en-US" w:bidi="ar-SA"/>
        </w:rPr>
        <w:t xml:space="preserve"> at para. 8 (B.C.S.C.), and </w:t>
      </w:r>
      <w:r>
        <w:rPr>
          <w:rFonts w:ascii="arial" w:eastAsia="arial" w:hAnsi="arial" w:cs="arial"/>
          <w:i/>
          <w:color w:val="000000"/>
          <w:sz w:val="20"/>
          <w:lang w:val="en-US" w:eastAsia="en-US" w:bidi="ar-SA"/>
        </w:rPr>
        <w:t>Bank of Montreal v. Unified Homes Ltd</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(1994), 47 A.C.W.S. (3d) 590</w:t>
        </w:r>
      </w:hyperlink>
      <w:r>
        <w:rPr>
          <w:rFonts w:ascii="arial" w:eastAsia="arial" w:hAnsi="arial" w:cs="arial"/>
          <w:color w:val="000000"/>
          <w:sz w:val="20"/>
          <w:lang w:val="en-US" w:eastAsia="en-US" w:bidi="ar-SA"/>
        </w:rPr>
        <w:t xml:space="preserve"> at paras. 38-39 (Ont. C.J.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case law indicates that the requirement of consideration under a contract is met if the promisee does some act or suffers some detriment which he or she would not have done but for the promise. In this case, the plaintiffs assert they suffered a detriment in the form of a salary reduction for premium payments. Further, when employers offer benefits to employees, these are often viewed as consideration for the employee's labour. In my view, the same may apply to a trade union, which stands to benefit from increased membership, increased dues and enhanced bargaining power in exchange for agreeing to provide benefits to union members. As such benefits may influence an employee's decision to work for a particular employer provision of benefits by the union may affect the employee's decision to work for that employer as a member of a particular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my opinion it cannot be said that it is plain and obvious that the contractual claim will inevitably fail. I conclude there is a basis for the claim and without considering the strength of the claim, I find that it does rise at least to the standard required for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 the Plaintiffs' Pleadings Disclose a Cause of Action Under the Insurance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plaintiffs also plead that the LTD Agreements should be construed as contracts of insurance under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and that HSA is an insurer under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Accordingly, they submit that ss. 58 and 116 apply to the LTD Agreements: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Termination and replacement of group policies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(1) If a contract of group insurance, or a benefit provision in a contract of group insurance, under which the insurer undertakes to pay insurance money or provide other benefits if a group life insured becomes disabled as a result of bodily injury or disease is terminated, the insurer continues, as though the contract or benefit provision had remained in full force and effect, to be liable to pay insurance money or provide benefits in respect of a group life insured for liability arising from an accident or disease that occurred before the termination of the contract or benefit provision if the disability is reported to the insurer within the 6 month period following the termination or a longer continuous period specified in the contract.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Termination and replacement of group policies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(1) If a contract of group insurance or a benefit provision in a contract of group insurance is terminated, the insurer continues, as though the contract or benefit provision had remained in full force and effect, to be liable to pay to or in respect of a group person insured under the contract benefits relating to</w:t>
      </w:r>
    </w:p>
    <w:p>
      <w:pPr>
        <w:numPr>
          <w:numId w:val="9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income because of disability,</w:t>
      </w:r>
    </w:p>
    <w:p>
      <w:pPr>
        <w:numPr>
          <w:numId w:val="9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death,</w:t>
      </w:r>
    </w:p>
    <w:p>
      <w:pPr>
        <w:numPr>
          <w:numId w:val="9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dismemberment, or</w:t>
      </w:r>
    </w:p>
    <w:p>
      <w:pPr>
        <w:numPr>
          <w:numId w:val="9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accidental damage to natural teeth,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arising from an accident or sickness that occurred before the termination of the contract or benefit provision, if the disability, death, dismemberment or accidental damage to natural teeth is reported to the insurer within the 6 month period following the termination or a longer continuous period specified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According to the plaintiffs, these provisions obligate HSA to continue to pay LTD benefits to the plaintiffs under the applicable LTD Agreements even following termination of those LTD Agreements. The defendants say that the plaintiffs have not pleaded sufficient material facts for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While the legislature amended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at various times over the course of the material period, the relevant definitions survive unchanged throughout the various iterations of the legislation (R.S.B.C. 1979, c. 200, </w:t>
      </w:r>
      <w:hyperlink r:id="rId103"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R.S.B.C. 2012, c. 1</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"contract"</w:t>
      </w:r>
      <w:r>
        <w:rPr>
          <w:rFonts w:ascii="arial" w:eastAsia="arial" w:hAnsi="arial" w:cs="arial"/>
          <w:color w:val="000000"/>
          <w:sz w:val="20"/>
          <w:lang w:val="en-US" w:eastAsia="en-US" w:bidi="ar-SA"/>
        </w:rPr>
        <w:t xml:space="preserve"> means a contract of insurance and includes a policy, certificate, interim receipt, renewal receipt or writing evidencing the contract, whether sealed or not, and a binding oral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"insurance"</w:t>
      </w:r>
      <w:r>
        <w:rPr>
          <w:rFonts w:ascii="arial" w:eastAsia="arial" w:hAnsi="arial" w:cs="arial"/>
          <w:color w:val="000000"/>
          <w:sz w:val="20"/>
          <w:lang w:val="en-US" w:eastAsia="en-US" w:bidi="ar-SA"/>
        </w:rPr>
        <w:t xml:space="preserve"> means the undertaking by one person to indemnify another person against loss or liability for loss in respect of a certain risk or peril to which the object of the insurance may be exposed, or to pay a sum of money or other thing of value on the happening of a certain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"insurer"</w:t>
      </w:r>
      <w:r>
        <w:rPr>
          <w:rFonts w:ascii="arial" w:eastAsia="arial" w:hAnsi="arial" w:cs="arial"/>
          <w:color w:val="000000"/>
          <w:sz w:val="20"/>
          <w:lang w:val="en-US" w:eastAsia="en-US" w:bidi="ar-SA"/>
        </w:rPr>
        <w:t xml:space="preserve"> means the person who undertakes, agrees or offers to undertake, a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"premium"</w:t>
      </w:r>
      <w:r>
        <w:rPr>
          <w:rFonts w:ascii="arial" w:eastAsia="arial" w:hAnsi="arial" w:cs="arial"/>
          <w:color w:val="000000"/>
          <w:sz w:val="20"/>
          <w:lang w:val="en-US" w:eastAsia="en-US" w:bidi="ar-SA"/>
        </w:rPr>
        <w:t xml:space="preserve"> means the single or periodical payment under a contract for the insurance, and includes dues, assessments and other consideration.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To find a contract of insurance, the following must be made out:</w:t>
      </w:r>
      <w:r>
        <w:rPr>
          <w:rFonts w:ascii="arial" w:eastAsia="arial" w:hAnsi="arial" w:cs="arial"/>
          <w:sz w:val="20"/>
          <w:lang w:val="en-US" w:eastAsia="en-US" w:bidi="ar-SA"/>
        </w:rPr>
        <w:cr/>
      </w:r>
    </w:p>
    <w:p>
      <w:pPr>
        <w:numPr>
          <w:numId w:val="9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undertaking of one person;</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indemnify another person;</w:t>
      </w:r>
    </w:p>
    <w:p>
      <w:pPr>
        <w:numPr>
          <w:numId w:val="10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 agreed consideration;</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loss or liability in respect of an event; and</w:t>
      </w:r>
    </w:p>
    <w:p>
      <w:pPr>
        <w:numPr>
          <w:numId w:val="10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happening of which is uncertain.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Barbara Billingsley, </w:t>
      </w:r>
      <w:r>
        <w:rPr>
          <w:rFonts w:ascii="arial" w:eastAsia="arial" w:hAnsi="arial" w:cs="arial"/>
          <w:i/>
          <w:color w:val="000000"/>
          <w:sz w:val="20"/>
          <w:lang w:val="en-US" w:eastAsia="en-US" w:bidi="ar-SA"/>
        </w:rPr>
        <w:t>General Principles of Canadian Insurance Law</w:t>
      </w:r>
      <w:r>
        <w:rPr>
          <w:rFonts w:ascii="arial" w:eastAsia="arial" w:hAnsi="arial" w:cs="arial"/>
          <w:color w:val="000000"/>
          <w:sz w:val="20"/>
          <w:lang w:val="en-US" w:eastAsia="en-US" w:bidi="ar-SA"/>
        </w:rPr>
        <w:t>, 1st ed. (Markham: LexisNexis, 2008), at p.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If the plaintiffs establish the alleged LTD Agreements, HSA may be construed as an insurer if the plaintiffs further show that HSA undertook, agreed to undertake, or offered to undertake, a contract of insurance respecting the plaintiffs. The plaintiffs concede, however, that their claim under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will fail if the LTD Agreements cannot be established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my view, an agreement to provide LTD benefits to employees may amount to a contract of insurance. In </w:t>
      </w:r>
      <w:r>
        <w:rPr>
          <w:rFonts w:ascii="arial" w:eastAsia="arial" w:hAnsi="arial" w:cs="arial"/>
          <w:i/>
          <w:color w:val="000000"/>
          <w:sz w:val="20"/>
          <w:lang w:val="en-US" w:eastAsia="en-US" w:bidi="ar-SA"/>
        </w:rPr>
        <w:t>Kopet v. Simon Fraser University</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2013 BCCA 143</w:t>
        </w:r>
      </w:hyperlink>
      <w:r>
        <w:rPr>
          <w:rFonts w:ascii="arial" w:eastAsia="arial" w:hAnsi="arial" w:cs="arial"/>
          <w:color w:val="000000"/>
          <w:sz w:val="20"/>
          <w:lang w:val="en-US" w:eastAsia="en-US" w:bidi="ar-SA"/>
        </w:rPr>
        <w:t>, the plaintiff was a unionized employee of the defendant university. The applicable collective agreement entitled the plaintiff to various benefits, including LTD benefits. The plaintiff made an unsuccessful claim for LTD benefits and brought an action against both the employer and a third-party insurance company for damages as a result. The trial judge construed the action as having been brought on a contract of insurance, thereby engaging a statutory limitation period with which the plaintiff had not complied. The action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Kopet,</w:t>
      </w:r>
      <w:r>
        <w:rPr>
          <w:rFonts w:ascii="arial" w:eastAsia="arial" w:hAnsi="arial" w:cs="arial"/>
          <w:color w:val="000000"/>
          <w:sz w:val="20"/>
          <w:lang w:val="en-US" w:eastAsia="en-US" w:bidi="ar-SA"/>
        </w:rPr>
        <w:t xml:space="preserve"> the collective bargaining agreement between the employer and the union required the employer to "maintain long term disability insurance and group life insurance for all eligible employees." The employer arranged for LTD benefits to be provided to union members via an "administrative services only" agreement. Under this plan, a third-party administrator determined entitlement to benefits and remunerated recipients out of funds provided by the employer (paras.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appeal, the plaintiff contended that there was no contract of insurance, and that the trial judge erred in construing a single provision of a comprehensive collective bargaining agreement as such a contract. Primarily, the plaintiff's argument hinged on the contention that LTD benefits provided through an administrative services agreement do not constitute "insurance." In support of this position, the plaintiff cited commentary to the effect that an administrative services only arrangement respecting LTD benefits is instead "part of the employment contract" and thus not governed by insurance law (para. 9). The plaintiff further contended that in this regard an essential characteristic of insurance was lacking as the provision of LTD benefits via an administrative services agreement does not have the effect of transferring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Court did not accede to the plaintiff's arguments, instead concluding that the trial judge had correctly construed the plaintiff's entitlement to LTD benefits under the Collective Agreement as a contract of insurance. The essential characteristics of such a contract, including consideration and the transfer of risk were apparent on the facts. Consideration stemmed from the employee's provision of labour, skill and knowledge to the employer, with transfer of risk occasioned by the fact that the employer was obligated to fund the benefits payments to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Kopet</w:t>
      </w:r>
      <w:r>
        <w:rPr>
          <w:rFonts w:ascii="arial" w:eastAsia="arial" w:hAnsi="arial" w:cs="arial"/>
          <w:color w:val="000000"/>
          <w:sz w:val="20"/>
          <w:lang w:val="en-US" w:eastAsia="en-US" w:bidi="ar-SA"/>
        </w:rPr>
        <w:t xml:space="preserve"> held that nothing turned on the fact that the LTD benefits were provided through an administrative services only agreement: a plan for insurance is no less a plan for insurance merely because it is underwritten by an employer rather than a third-party insurer. On this point, the Court approvingly cited C</w:t>
      </w:r>
      <w:r>
        <w:rPr>
          <w:rFonts w:ascii="arial" w:eastAsia="arial" w:hAnsi="arial" w:cs="arial"/>
          <w:i/>
          <w:color w:val="000000"/>
          <w:sz w:val="20"/>
          <w:lang w:val="en-US" w:eastAsia="en-US" w:bidi="ar-SA"/>
        </w:rPr>
        <w:t>anada (Attorney General) v. Confederation Life Insurance Co</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(1995), 24 O.R. (3d) 717</w:t>
        </w:r>
      </w:hyperlink>
      <w:r>
        <w:rPr>
          <w:rFonts w:ascii="arial" w:eastAsia="arial" w:hAnsi="arial" w:cs="arial"/>
          <w:color w:val="000000"/>
          <w:sz w:val="20"/>
          <w:lang w:val="en-US" w:eastAsia="en-US" w:bidi="ar-SA"/>
        </w:rPr>
        <w:t xml:space="preserve"> (Gen. Div.) [</w:t>
      </w:r>
      <w:r>
        <w:rPr>
          <w:rFonts w:ascii="arial" w:eastAsia="arial" w:hAnsi="arial" w:cs="arial"/>
          <w:i/>
          <w:color w:val="000000"/>
          <w:sz w:val="20"/>
          <w:lang w:val="en-US" w:eastAsia="en-US" w:bidi="ar-SA"/>
        </w:rPr>
        <w:t>Confederation Life</w:t>
      </w:r>
      <w:r>
        <w:rPr>
          <w:rFonts w:ascii="arial" w:eastAsia="arial" w:hAnsi="arial" w:cs="arial"/>
          <w:color w:val="000000"/>
          <w:sz w:val="20"/>
          <w:lang w:val="en-US" w:eastAsia="en-US" w:bidi="ar-SA"/>
        </w:rPr>
        <w:t>], stating that an employee's entitlement to LTD benefits may constitute a contract of insurance notwithstanding they are provided pursuant to an administrative services agreement (</w:t>
      </w:r>
      <w:r>
        <w:rPr>
          <w:rFonts w:ascii="arial" w:eastAsia="arial" w:hAnsi="arial" w:cs="arial"/>
          <w:i/>
          <w:color w:val="000000"/>
          <w:sz w:val="20"/>
          <w:lang w:val="en-US" w:eastAsia="en-US" w:bidi="ar-SA"/>
        </w:rPr>
        <w:t>Kopet,</w:t>
      </w:r>
      <w:r>
        <w:rPr>
          <w:rFonts w:ascii="arial" w:eastAsia="arial" w:hAnsi="arial" w:cs="arial"/>
          <w:color w:val="000000"/>
          <w:sz w:val="20"/>
          <w:lang w:val="en-US" w:eastAsia="en-US" w:bidi="ar-SA"/>
        </w:rPr>
        <w:t xml:space="preserve"> at paras. 20-21).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Following </w:t>
      </w:r>
      <w:r>
        <w:rPr>
          <w:rFonts w:ascii="arial" w:eastAsia="arial" w:hAnsi="arial" w:cs="arial"/>
          <w:i/>
          <w:color w:val="000000"/>
          <w:sz w:val="20"/>
          <w:lang w:val="en-US" w:eastAsia="en-US" w:bidi="ar-SA"/>
        </w:rPr>
        <w:t>Confederation Life,</w:t>
      </w:r>
      <w:r>
        <w:rPr>
          <w:rFonts w:ascii="arial" w:eastAsia="arial" w:hAnsi="arial" w:cs="arial"/>
          <w:color w:val="000000"/>
          <w:sz w:val="20"/>
          <w:lang w:val="en-US" w:eastAsia="en-US" w:bidi="ar-SA"/>
        </w:rPr>
        <w:t xml:space="preserve"> the relationship between an employer and a third-party administrator under an administrative services agreement is not itself a contract of insurance, but rather a contract for administrative services. However, this must be distinguished from the relationship between an employer and an employee, which may well give rise to a contract of insurance depending on the circumstances. Notably, the relevant statutory definitions in that case, under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R.S.O. 1990, c. I.8</w:t>
        </w:r>
      </w:hyperlink>
      <w:r>
        <w:rPr>
          <w:rFonts w:ascii="arial" w:eastAsia="arial" w:hAnsi="arial" w:cs="arial"/>
          <w:color w:val="000000"/>
          <w:sz w:val="20"/>
          <w:lang w:val="en-US" w:eastAsia="en-US" w:bidi="ar-SA"/>
        </w:rPr>
        <w:t xml:space="preserve">, are substantially the same as those considered in </w:t>
      </w:r>
      <w:r>
        <w:rPr>
          <w:rFonts w:ascii="arial" w:eastAsia="arial" w:hAnsi="arial" w:cs="arial"/>
          <w:i/>
          <w:color w:val="000000"/>
          <w:sz w:val="20"/>
          <w:lang w:val="en-US" w:eastAsia="en-US" w:bidi="ar-SA"/>
        </w:rPr>
        <w:t>Kopet</w:t>
      </w:r>
      <w:r>
        <w:rPr>
          <w:rFonts w:ascii="arial" w:eastAsia="arial" w:hAnsi="arial" w:cs="arial"/>
          <w:color w:val="000000"/>
          <w:sz w:val="20"/>
          <w:lang w:val="en-US" w:eastAsia="en-US" w:bidi="ar-SA"/>
        </w:rPr>
        <w:t xml:space="preserve"> and at issue on the present facts:</w:t>
      </w:r>
      <w:r>
        <w:rPr>
          <w:rFonts w:ascii="arial" w:eastAsia="arial" w:hAnsi="arial" w:cs="arial"/>
          <w:sz w:val="20"/>
          <w:lang w:val="en-US" w:eastAsia="en-US" w:bidi="ar-SA"/>
        </w:rPr>
        <w:cr/>
      </w:r>
    </w:p>
    <w:p>
      <w:pPr>
        <w:numPr>
          <w:numId w:val="10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"contract" means a contract of insurance, and includes a policy, certificate, interim receipt, renewal receipt, or writing evidencing the contract, whether sealed or not, and a binding oral agreement;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"insurance" means the undertaking by one person to indemnify another person against loss or liability for loss in respect of a certain risk or peril to which the object of the insurance may be exposed, or to pay a sum of money or other thing of value upon the happening of a certain event, and includes life insurance;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"insurer" means the person who undertakes or agrees or offers to undertake a contract;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analysis undertaken in </w:t>
      </w:r>
      <w:r>
        <w:rPr>
          <w:rFonts w:ascii="arial" w:eastAsia="arial" w:hAnsi="arial" w:cs="arial"/>
          <w:i/>
          <w:color w:val="000000"/>
          <w:sz w:val="20"/>
          <w:lang w:val="en-US" w:eastAsia="en-US" w:bidi="ar-SA"/>
        </w:rPr>
        <w:t>Kopet</w:t>
      </w:r>
      <w:r>
        <w:rPr>
          <w:rFonts w:ascii="arial" w:eastAsia="arial" w:hAnsi="arial" w:cs="arial"/>
          <w:color w:val="000000"/>
          <w:sz w:val="20"/>
          <w:lang w:val="en-US" w:eastAsia="en-US" w:bidi="ar-SA"/>
        </w:rPr>
        <w:t xml:space="preserve"> suggests that the Court must focus on the wording of the collective agreement in determining whether the obligations or entitlements created by it constitute contracts of insurance. The Court of Appeal noted in that case that the wording of the collective agreement defined the nature of the plaintiff's entitlement by expressly obligating the employer to maintain LTD </w:t>
      </w:r>
      <w:r>
        <w:rPr>
          <w:rFonts w:ascii="arial" w:eastAsia="arial" w:hAnsi="arial" w:cs="arial"/>
          <w:color w:val="000000"/>
          <w:sz w:val="20"/>
          <w:u w:val="single"/>
          <w:lang w:val="en-US" w:eastAsia="en-US" w:bidi="ar-SA"/>
        </w:rPr>
        <w:t>insurance</w:t>
      </w:r>
      <w:r>
        <w:rPr>
          <w:rFonts w:ascii="arial" w:eastAsia="arial" w:hAnsi="arial" w:cs="arial"/>
          <w:color w:val="000000"/>
          <w:sz w:val="20"/>
          <w:lang w:val="en-US" w:eastAsia="en-US" w:bidi="ar-SA"/>
        </w:rPr>
        <w:t xml:space="preserve">. The applicable provision of the collective agreement in </w:t>
      </w:r>
      <w:r>
        <w:rPr>
          <w:rFonts w:ascii="arial" w:eastAsia="arial" w:hAnsi="arial" w:cs="arial"/>
          <w:i/>
          <w:color w:val="000000"/>
          <w:sz w:val="20"/>
          <w:lang w:val="en-US" w:eastAsia="en-US" w:bidi="ar-SA"/>
        </w:rPr>
        <w:t>Kopet</w:t>
      </w:r>
      <w:r>
        <w:rPr>
          <w:rFonts w:ascii="arial" w:eastAsia="arial" w:hAnsi="arial" w:cs="arial"/>
          <w:color w:val="000000"/>
          <w:sz w:val="20"/>
          <w:lang w:val="en-US" w:eastAsia="en-US" w:bidi="ar-SA"/>
        </w:rPr>
        <w:t xml:space="preserv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046"/>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51.04 Long Term Disability and Life Insurance Plans</w:t>
      </w:r>
    </w:p>
    <w:p>
      <w:pPr>
        <w:numPr>
          <w:numId w:val="10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University shall maintain long term disability insurance and group life insurance for all eligible employees</w:t>
      </w:r>
      <w:r>
        <w:rPr>
          <w:rFonts w:ascii="arial" w:eastAsia="arial" w:hAnsi="arial" w:cs="arial"/>
          <w:color w:val="000000"/>
          <w:sz w:val="20"/>
          <w:lang w:val="en-US" w:eastAsia="en-US" w:bidi="ar-SA"/>
        </w:rPr>
        <w:t>. The operation of these plans shall be governed solely by the master agreements between the University and the plan carriers.</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employees who work a minimum of thirty-five (35) hours biweekly are eligible for coverage commencing on the first day of employment in a continuing position.</w:t>
      </w:r>
    </w:p>
    <w:p>
      <w:pPr>
        <w:numPr>
          <w:numId w:val="10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University shall pay the required premiums for the long term disability insurance and the basic coverage of the group life insurance plan. Eligible employees may elect to contribute to additional benefits coverage under the group life insurance plan as provided for in the plan.</w:t>
      </w:r>
    </w:p>
    <w:p>
      <w:pPr>
        <w:numPr>
          <w:numId w:val="10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long term disability plan will provide a benefit of seventy (70) percent of basic regular annual earnings payable after a waiting period of twenty-six (26) weeks. The basic life insurance will provide coverage equal to one (1) times basic annual earnings rounded to the next higher multiple of one thousand (1000) dollars, if not already a multiple.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Court of Appeal declined to follow the commentary cited by the plaintiff finding it "not specific to the wording of the collective agreement here or to anywhere where an employer has been required to maintain insurance" (para. 15). Accordingly, the Court found that the employer "undertook to indemnify the employees for their loss of income in respect of the risk of long-term disability. </w:t>
      </w:r>
      <w:r>
        <w:rPr>
          <w:rFonts w:ascii="arial" w:eastAsia="arial" w:hAnsi="arial" w:cs="arial"/>
          <w:color w:val="000000"/>
          <w:sz w:val="20"/>
          <w:u w:val="single"/>
          <w:lang w:val="en-US" w:eastAsia="en-US" w:bidi="ar-SA"/>
        </w:rPr>
        <w:t>The plan was then a contract of insurance, and the University was the insurer</w:t>
      </w:r>
      <w:r>
        <w:rPr>
          <w:rFonts w:ascii="arial" w:eastAsia="arial" w:hAnsi="arial" w:cs="arial"/>
          <w:color w:val="000000"/>
          <w:sz w:val="20"/>
          <w:lang w:val="en-US" w:eastAsia="en-US" w:bidi="ar-SA"/>
        </w:rPr>
        <w:t xml:space="preserve">, consistent with the definitions of "contract", "insurer", and "insurance" in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(para. 21) (emphasis added). The Court of Appeal held that a provision in the collective agreement at issue, substantially similar to Article 34.04(a) of the Master Agreement, gave rise to a contractual liability on the part of the employer to pay LTD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my view, the provision of LTD benefits in the employment context, whether in exchange for a cash premium or consideration in the form of labour, and whether provided via a self-funded administrative services agreement or through a third-party insurer, likely constitutes a contract of insurance as contemplated by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In other words, the provision of such benefits constitutes an undertaking to indemnify employees against loss attributable to disability, or alternatively constitutes an undertaking the pay to employees a certain sum (a proportion of their earnings) upon the happening of a certain thing (being rendered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While the jurisprudence deals almost exclusively with circumstances where LTD benefits are provided to employees by an employer as opposed to a union, HSA itself stated in pleadings and elsewhere that it "assume[d] responsibility" for the LTD plan from the employer. I am of the opinion the jurisprudence dealing with employers is applicable to the extent that it provides guidance as to the nature of the obligation and responsibility assumed by HSA. The employer's obligation in this regard stemmed from the following article under the collective agreement: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34.04 Long Term Disability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Employer shall provide a mutually acceptable Long-Term Disability Insurance Plan</w:t>
      </w:r>
      <w:r>
        <w:rPr>
          <w:rFonts w:ascii="arial" w:eastAsia="arial" w:hAnsi="arial" w:cs="arial"/>
          <w:color w:val="000000"/>
          <w:sz w:val="20"/>
          <w:lang w:val="en-US" w:eastAsia="en-US" w:bidi="ar-SA"/>
        </w:rPr>
        <w:t>, for regular full-time and regular part-time employees, providing for two-thirds (2/3rds) salary continuation until age 65 in the event of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Employer shall pay 100% of the premium.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collective agreement in this case employs language nearly identical to that used in </w:t>
      </w:r>
      <w:r>
        <w:rPr>
          <w:rFonts w:ascii="arial" w:eastAsia="arial" w:hAnsi="arial" w:cs="arial"/>
          <w:i/>
          <w:color w:val="000000"/>
          <w:sz w:val="20"/>
          <w:lang w:val="en-US" w:eastAsia="en-US" w:bidi="ar-SA"/>
        </w:rPr>
        <w:t>Kopet</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Kopet</w:t>
      </w:r>
      <w:r>
        <w:rPr>
          <w:rFonts w:ascii="arial" w:eastAsia="arial" w:hAnsi="arial" w:cs="arial"/>
          <w:color w:val="000000"/>
          <w:sz w:val="20"/>
          <w:lang w:val="en-US" w:eastAsia="en-US" w:bidi="ar-SA"/>
        </w:rPr>
        <w:t xml:space="preserve"> applies, and so if HSA assumed the employer's responsibility, it thereby arguably "undertook to indemnify the employees for their loss of income in respect of the risk of long-term disability" as contemplated at para. 21 of </w:t>
      </w:r>
      <w:r>
        <w:rPr>
          <w:rFonts w:ascii="arial" w:eastAsia="arial" w:hAnsi="arial" w:cs="arial"/>
          <w:i/>
          <w:color w:val="000000"/>
          <w:sz w:val="20"/>
          <w:lang w:val="en-US" w:eastAsia="en-US" w:bidi="ar-SA"/>
        </w:rPr>
        <w:t>Kopet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remaining question is whether the nature of the responsibility assumed by HSA changed in or after early 1989, when HSA discontinued its relationship with a third-party insurer and instead established a self-funded benefits trust for the purposes of providing its members with LTD benefits. Essentially, HSA adopted an administrative services only model in place of the previous third-party insurer model. HSA informed its members that the "</w:t>
      </w:r>
      <w:r>
        <w:rPr>
          <w:rFonts w:ascii="arial" w:eastAsia="arial" w:hAnsi="arial" w:cs="arial"/>
          <w:color w:val="000000"/>
          <w:sz w:val="20"/>
          <w:u w:val="single"/>
          <w:lang w:val="en-US" w:eastAsia="en-US" w:bidi="ar-SA"/>
        </w:rPr>
        <w:t>only difference</w:t>
      </w:r>
      <w:r>
        <w:rPr>
          <w:rFonts w:ascii="arial" w:eastAsia="arial" w:hAnsi="arial" w:cs="arial"/>
          <w:color w:val="000000"/>
          <w:sz w:val="20"/>
          <w:lang w:val="en-US" w:eastAsia="en-US" w:bidi="ar-SA"/>
        </w:rPr>
        <w:t xml:space="preserve">" as a result of these "administrative changes" would be that applications for LTD would be processed by Metropolitan Life, rather than BC Life &amp; Casualty, and that premiums would thereafter go to an "HSA Group </w:t>
      </w:r>
      <w:r>
        <w:rPr>
          <w:rFonts w:ascii="arial" w:eastAsia="arial" w:hAnsi="arial" w:cs="arial"/>
          <w:color w:val="000000"/>
          <w:sz w:val="20"/>
          <w:u w:val="single"/>
          <w:lang w:val="en-US" w:eastAsia="en-US" w:bidi="ar-SA"/>
        </w:rPr>
        <w:t>Insurance</w:t>
      </w:r>
      <w:r>
        <w:rPr>
          <w:rFonts w:ascii="arial" w:eastAsia="arial" w:hAnsi="arial" w:cs="arial"/>
          <w:color w:val="000000"/>
          <w:sz w:val="20"/>
          <w:lang w:val="en-US" w:eastAsia="en-US" w:bidi="ar-SA"/>
        </w:rPr>
        <w:t xml:space="preserve"> Fund" (emphases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light of this change, can it be said that HSA continued to undertake to indemnify employees for their loss of income in respect of the risk of long-term disability? </w:t>
      </w:r>
      <w:r>
        <w:rPr>
          <w:rFonts w:ascii="arial" w:eastAsia="arial" w:hAnsi="arial" w:cs="arial"/>
          <w:i/>
          <w:color w:val="000000"/>
          <w:sz w:val="20"/>
          <w:lang w:val="en-US" w:eastAsia="en-US" w:bidi="ar-SA"/>
        </w:rPr>
        <w:t>Kopet</w:t>
      </w:r>
      <w:r>
        <w:rPr>
          <w:rFonts w:ascii="arial" w:eastAsia="arial" w:hAnsi="arial" w:cs="arial"/>
          <w:color w:val="000000"/>
          <w:sz w:val="20"/>
          <w:lang w:val="en-US" w:eastAsia="en-US" w:bidi="ar-SA"/>
        </w:rPr>
        <w:t xml:space="preserve"> again provides some guidance, indicating that an insurance plan remains an insurance plan regardless if it is "underwritten by the [employer] as opposed to a third-party insurer"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Thus, the mere adoption of an administrative services only model on its own does not warrant or demonstrate any alteration of HSA's responsibilities or undertakings. The use of the words "only difference" indicates that it was intended and represented by HSA that its obligations, as assumed from the employer in 1987, would otherwise continue unchanged following the administrative services changeover in 1989. The same is evidenced by the fact that HSA continued to collect what it termed "premiums" which would go into an "insurance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These factors, along with the fact that the substantive benefits provided by HSA at the time were consistent with those previously provided by the employer, and which clearly provided indemnification against disability, demonstrate that the LTD benefits from March 1989-1999 may well have constituted insurance. It is probable that the same remains true regarding the period of March 1999 through April 2006, although there is less evidence available as to the representations made by HSA in this latter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 conclude it cannot be said that it is plain and obvious that the claims against HSA under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will inevitably fail. There is some basis in fact to support the plaintiffs' claims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 the Plaintiffs' Pleadings Disclose a Cause of Action for Breach of Fiduciary Duty against HSA?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No contractual claim is advanced against the Trustees. However, as an alternative claim the plaintiffs plead a breach of fiduciary duty by both HSA and the Trustees for their failure to properly fund the Trusts to ensure full payment of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plaintiffs plead that because the individual defendants are Trustees of the Trusts under which disabled HSA members are beneficiaries, that relationship gives rise to a fiduciary duty. Indeed, the individual defendant Trustees concede that they owe a fiduciary duty to the beneficiaries of the Trusts.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plaintiffs also plead that HSA owes a fiduciary obligation because HSA created the Trusts and controlled the actions of the Trustees. The plaintiffs plead that HSA's fiduciary duty arose from their relationship to the Trusts and the disabled HSA members, that is,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duty or, in the alternative, in their role as a trustee </w:t>
      </w:r>
      <w:r>
        <w:rPr>
          <w:rFonts w:ascii="arial" w:eastAsia="arial" w:hAnsi="arial" w:cs="arial"/>
          <w:i/>
          <w:color w:val="000000"/>
          <w:sz w:val="20"/>
          <w:lang w:val="en-US" w:eastAsia="en-US" w:bidi="ar-SA"/>
        </w:rPr>
        <w:t>de son tort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This allegation is denied by HSA. Firstly HSA denies it owed a fiduciary duty to the beneficiaries of the Trusts and secondly denies that its control of the Trusts was such that it rendered HSA a trustee </w:t>
      </w:r>
      <w:r>
        <w:rPr>
          <w:rFonts w:ascii="arial" w:eastAsia="arial" w:hAnsi="arial" w:cs="arial"/>
          <w:i/>
          <w:color w:val="000000"/>
          <w:sz w:val="20"/>
          <w:lang w:val="en-US" w:eastAsia="en-US" w:bidi="ar-SA"/>
        </w:rPr>
        <w:t>de son tort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 turn first to whether HSA owes a fiduciary duty to its disabled members as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then as a trustee </w:t>
      </w:r>
      <w:r>
        <w:rPr>
          <w:rFonts w:ascii="arial" w:eastAsia="arial" w:hAnsi="arial" w:cs="arial"/>
          <w:i/>
          <w:color w:val="000000"/>
          <w:sz w:val="20"/>
          <w:lang w:val="en-US" w:eastAsia="en-US" w:bidi="ar-SA"/>
        </w:rPr>
        <w:t>de son tort</w:t>
      </w:r>
      <w:r>
        <w:rPr>
          <w:rFonts w:ascii="arial" w:eastAsia="arial" w:hAnsi="arial" w:cs="arial"/>
          <w:color w:val="000000"/>
          <w:sz w:val="20"/>
          <w:lang w:val="en-US" w:eastAsia="en-US" w:bidi="ar-SA"/>
        </w:rPr>
        <w:t>, and finally to whether the Trustees are open to a claim for the alleged breach of their fiduciary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Does HSA Owe an Ad Hoc Fiduciary Duty to its Disabled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relationship between HSA and the plaintiffs is not one of the recognized types of relationships that give rise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to a fiduciary relationship. As a result the plaintiffs rely on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duty, that is, a duty that arises from the particular circumstances of the relationship in question. They do not argue that HSA owes a fiduciary duty to all members, just to the disabled HSA members. The plaintiffs assert that the element that distinguishes the disabled HSA members from HSA members generally is the element of vulnerability.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issue is not whether there was a fiduciary relationship between the defendants and the plaintiffs, but rather whether the facts pleaded support the possible existence of such a relationship and the breach of the defendants' obligations in the context of that relationship (see </w:t>
      </w:r>
      <w:r>
        <w:rPr>
          <w:rFonts w:ascii="arial" w:eastAsia="arial" w:hAnsi="arial" w:cs="arial"/>
          <w:i/>
          <w:color w:val="000000"/>
          <w:sz w:val="20"/>
          <w:lang w:val="en-US" w:eastAsia="en-US" w:bidi="ar-SA"/>
        </w:rPr>
        <w:t>Spina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Girardet v. Crease &amp; Company</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(1987), 11 B.C.L.R. (2d) 361</w:t>
        </w:r>
      </w:hyperlink>
      <w:r>
        <w:rPr>
          <w:rFonts w:ascii="arial" w:eastAsia="arial" w:hAnsi="arial" w:cs="arial"/>
          <w:color w:val="000000"/>
          <w:sz w:val="20"/>
          <w:lang w:val="en-US" w:eastAsia="en-US" w:bidi="ar-SA"/>
        </w:rPr>
        <w:t xml:space="preserve"> at para. 3 (S.C.) and </w:t>
      </w:r>
      <w:r>
        <w:rPr>
          <w:rFonts w:ascii="arial" w:eastAsia="arial" w:hAnsi="arial" w:cs="arial"/>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at paras. 30-31, 147). A breach of a fiduciary duty must be "a wrong which is a betrayal of that trust component of the relationship", and a breach of duty by a fiduciary will not in all cases constitute a breach of fiduciary duty: </w:t>
      </w:r>
      <w:r>
        <w:rPr>
          <w:rFonts w:ascii="arial" w:eastAsia="arial" w:hAnsi="arial" w:cs="arial"/>
          <w:i/>
          <w:color w:val="000000"/>
          <w:sz w:val="20"/>
          <w:lang w:val="en-US" w:eastAsia="en-US" w:bidi="ar-SA"/>
        </w:rPr>
        <w:t>Varcoe v. Sterling</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(1992), 7 O.R. (3d) 204</w:t>
        </w:r>
      </w:hyperlink>
      <w:r>
        <w:rPr>
          <w:rFonts w:ascii="arial" w:eastAsia="arial" w:hAnsi="arial" w:cs="arial"/>
          <w:color w:val="000000"/>
          <w:sz w:val="20"/>
          <w:lang w:val="en-US" w:eastAsia="en-US" w:bidi="ar-SA"/>
        </w:rPr>
        <w:t xml:space="preserve"> at para. 72 (S.C. (Gen. Div.)), aff'd </w:t>
      </w:r>
      <w:hyperlink r:id="rId813" w:history="1">
        <w:r>
          <w:rPr>
            <w:rFonts w:ascii="arial" w:eastAsia="arial" w:hAnsi="arial" w:cs="arial"/>
            <w:i/>
            <w:color w:val="0077CC"/>
            <w:sz w:val="20"/>
            <w:u w:val="single"/>
            <w:shd w:val="clear" w:color="auto" w:fill="FFFFFF"/>
            <w:lang w:val="en-US" w:eastAsia="en-US" w:bidi="ar-SA"/>
          </w:rPr>
          <w:t>(1992) 10 O.R. (3d) 574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Spina</w:t>
      </w:r>
      <w:r>
        <w:rPr>
          <w:rFonts w:ascii="arial" w:eastAsia="arial" w:hAnsi="arial" w:cs="arial"/>
          <w:color w:val="000000"/>
          <w:sz w:val="20"/>
          <w:lang w:val="en-US" w:eastAsia="en-US" w:bidi="ar-SA"/>
        </w:rPr>
        <w:t xml:space="preserve"> at paras. 192-194.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other words, the question is whether, in unilaterally reducing the LTD benefits, did HSA act in a way that demands the application of the "special protection" afforded by equity (See </w:t>
      </w:r>
      <w:r>
        <w:rPr>
          <w:rFonts w:ascii="arial" w:eastAsia="arial" w:hAnsi="arial" w:cs="arial"/>
          <w:i/>
          <w:color w:val="000000"/>
          <w:sz w:val="20"/>
          <w:lang w:val="en-US" w:eastAsia="en-US" w:bidi="ar-SA"/>
        </w:rPr>
        <w:t>Lac Minerals Ltd</w:t>
      </w:r>
      <w:r>
        <w:rPr>
          <w:rFonts w:ascii="arial" w:eastAsia="arial" w:hAnsi="arial" w:cs="arial"/>
          <w:color w:val="000000"/>
          <w:sz w:val="20"/>
          <w:lang w:val="en-US" w:eastAsia="en-US" w:bidi="ar-SA"/>
        </w:rPr>
        <w:t>.,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Galambos v. Perez,</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2009 SCC 48</w:t>
        </w:r>
      </w:hyperlink>
      <w:r>
        <w:rPr>
          <w:rFonts w:ascii="arial" w:eastAsia="arial" w:hAnsi="arial" w:cs="arial"/>
          <w:color w:val="000000"/>
          <w:sz w:val="20"/>
          <w:lang w:val="en-US" w:eastAsia="en-US" w:bidi="ar-SA"/>
        </w:rPr>
        <w:t xml:space="preserve">, the Supreme Court of Canada considered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duties noting that "[t]he existence of the fiduciary obligation is thus primarily a question of fact to be determined by examining specific facts and circumstances" (para. 48). Writing for a unanimous Court, Cromwell J. summarized the Court of Appeal's reasoning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The core of the Court of Appeal's reasoning consists of three points, two of which are expressly set out and the third of which is implied. The explicit points are, first, that a "power-dependency" relationship existed between Ms. Perez and Mr. Galambos and second, that in such relationships, fiduciary duties may arise simply on the basis of the reasonable expectations of the weaker party and without any mutual understanding of both parties that one must act in the interests of the other. The third point arises by implication because the court appears to have accepted the proposition, without expressly stating it, that a fiduciary duty may arise even though the fiduciary has no discretionary power to affect the other party's legal or important practical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Supreme Court held that the Court of Appeal erred in the three respects set out above (para. 51). Cromwell J. reasoned that the findings of the trial judge respecting "power-dependency" should not have been overturned. The existence of such dependency is clearly a question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Court further rejected the notion that where a relationship involves power-dependency, fiduciary duties may arise simply on the basis of the reasonable expectations of the weaker party and absent the mutual understanding of the parties that one must act in the interests of the other. On that point Cromwell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In my view, while a mutual understanding may not always be necessary (a point we need not decide here), it is fundamental to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duties that there be an undertaking by the fiduciary, which may be either express or implied, that the fiduciary will act in the best interests of the other party.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An important focus of fiduciary law is the protection of one party against abuse of power by another in certain types of relationships or in particular circumstances. However, to assert that the protection of the vulnerable is the role of fiduciary law puts the matter too broadly. The law seeks to protect the vulnerable in many contexts and through many different doctrines. As La Forest J. noted in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p. 406: "[W]hereas undue influence focuses on the sufficiency of consent and unconscionability looks at the reasonableness of a given transaction, </w:t>
      </w:r>
      <w:r>
        <w:rPr>
          <w:rFonts w:ascii="arial" w:eastAsia="arial" w:hAnsi="arial" w:cs="arial"/>
          <w:color w:val="000000"/>
          <w:sz w:val="20"/>
          <w:u w:val="single"/>
          <w:lang w:val="en-US" w:eastAsia="en-US" w:bidi="ar-SA"/>
        </w:rPr>
        <w:t>the fiduciary principle monitors the abuse of a loyalty reposed</w:t>
      </w:r>
      <w:r>
        <w:rPr>
          <w:rFonts w:ascii="arial" w:eastAsia="arial" w:hAnsi="arial" w:cs="arial"/>
          <w:color w:val="000000"/>
          <w:sz w:val="20"/>
          <w:lang w:val="en-US" w:eastAsia="en-US" w:bidi="ar-SA"/>
        </w:rPr>
        <w:t>" ... This brief sentence makes two important points which help sharpen the focus on the role of fiduciary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The first is that fiduciary law is more concerned with the position of the parties that </w:t>
      </w:r>
      <w:r>
        <w:rPr>
          <w:rFonts w:ascii="arial" w:eastAsia="arial" w:hAnsi="arial" w:cs="arial"/>
          <w:i/>
          <w:color w:val="000000"/>
          <w:sz w:val="20"/>
          <w:lang w:val="en-US" w:eastAsia="en-US" w:bidi="ar-SA"/>
        </w:rPr>
        <w:t>results from</w:t>
      </w:r>
      <w:r>
        <w:rPr>
          <w:rFonts w:ascii="arial" w:eastAsia="arial" w:hAnsi="arial" w:cs="arial"/>
          <w:color w:val="000000"/>
          <w:sz w:val="20"/>
          <w:lang w:val="en-US" w:eastAsia="en-US" w:bidi="ar-SA"/>
        </w:rPr>
        <w:t xml:space="preserve"> the relationship which gives rise to the fiduciary duty than with the respective positions of the parties </w:t>
      </w:r>
      <w:r>
        <w:rPr>
          <w:rFonts w:ascii="arial" w:eastAsia="arial" w:hAnsi="arial" w:cs="arial"/>
          <w:i/>
          <w:color w:val="000000"/>
          <w:sz w:val="20"/>
          <w:lang w:val="en-US" w:eastAsia="en-US" w:bidi="ar-SA"/>
        </w:rPr>
        <w:t>before</w:t>
      </w:r>
      <w:r>
        <w:rPr>
          <w:rFonts w:ascii="arial" w:eastAsia="arial" w:hAnsi="arial" w:cs="arial"/>
          <w:color w:val="000000"/>
          <w:sz w:val="20"/>
          <w:lang w:val="en-US" w:eastAsia="en-US" w:bidi="ar-SA"/>
        </w:rPr>
        <w:t xml:space="preserve"> they enter into the relationship. .. Thus, while vulnerability in the broad sense resulting from factors external to the relationship is a relevant consideration, a more important one is the extent to which vulnerability arises from the relationship: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at p. 406.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The second is that a critical aspect of a fiduciary relationship is an undertaking of loyalty: the fiduciary undertakes to act in the interests of the other party. This was put succinctly by McLachlin J. (as she then was) in </w:t>
      </w:r>
      <w:r>
        <w:rPr>
          <w:rFonts w:ascii="arial" w:eastAsia="arial" w:hAnsi="arial" w:cs="arial"/>
          <w:i/>
          <w:color w:val="000000"/>
          <w:sz w:val="20"/>
          <w:lang w:val="en-US" w:eastAsia="en-US" w:bidi="ar-SA"/>
        </w:rPr>
        <w:t>Norberg</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at p. 273, when she said that "fiduciary relationships ... are always dependent on the fiduciary's undertaking to act in the beneficiary's interests". See also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 Forest J., at pp. 404-7.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 Underpinning all of this is the focus of fiduciary law on relationships. ... The particular relationships on which fiduciary law focuses are those in which one party is given a discretionary power to affect the legal or vital practical interests of the other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I return to the Court of Appeal's holding that a fiduciary duty may arise in "power-dependency" relationships without any express or implied undertaking by the fiduciary to act in the best interests of the other party. I respectfully disagree with this approach, for two reasons: "power-dependency" relationships are not a special category of fiduciary relationships and the law is, in my view, clear that fiduciary duties will only be imposed on those who have expressly or impliedly undertaken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With respect to the Court of Appeal's holding that fiduciary duties may arise on the basis of the reasonable expectations of one party, Cromwell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[76] Thus, what is required in all cases of </w:t>
      </w:r>
      <w:r>
        <w:rPr>
          <w:rFonts w:ascii="arial" w:eastAsia="arial" w:hAnsi="arial" w:cs="arial"/>
          <w:i/>
          <w:color w:val="000000"/>
          <w:sz w:val="20"/>
          <w:u w:val="single"/>
          <w:lang w:val="en-US" w:eastAsia="en-US" w:bidi="ar-SA"/>
        </w:rPr>
        <w:t>ad hoc</w:t>
      </w:r>
      <w:r>
        <w:rPr>
          <w:rFonts w:ascii="arial" w:eastAsia="arial" w:hAnsi="arial" w:cs="arial"/>
          <w:color w:val="000000"/>
          <w:sz w:val="20"/>
          <w:u w:val="single"/>
          <w:lang w:val="en-US" w:eastAsia="en-US" w:bidi="ar-SA"/>
        </w:rPr>
        <w:t xml:space="preserve"> fiduciary obligations is that there be an undertaking on the part of the fiduciary to exercise a discretionary power in the interests of that other party</w:t>
      </w:r>
      <w:r>
        <w:rPr>
          <w:rFonts w:ascii="arial" w:eastAsia="arial" w:hAnsi="arial" w:cs="arial"/>
          <w:color w:val="000000"/>
          <w:sz w:val="20"/>
          <w:lang w:val="en-US" w:eastAsia="en-US" w:bidi="ar-SA"/>
        </w:rPr>
        <w:t xml:space="preserve">. To repeat what was said by McLachlin J. in </w:t>
      </w:r>
      <w:r>
        <w:rPr>
          <w:rFonts w:ascii="arial" w:eastAsia="arial" w:hAnsi="arial" w:cs="arial"/>
          <w:i/>
          <w:color w:val="000000"/>
          <w:sz w:val="20"/>
          <w:lang w:val="en-US" w:eastAsia="en-US" w:bidi="ar-SA"/>
        </w:rPr>
        <w:t>Norberg</w:t>
      </w:r>
      <w:r>
        <w:rPr>
          <w:rFonts w:ascii="arial" w:eastAsia="arial" w:hAnsi="arial" w:cs="arial"/>
          <w:color w:val="000000"/>
          <w:sz w:val="20"/>
          <w:lang w:val="en-US" w:eastAsia="en-US" w:bidi="ar-SA"/>
        </w:rPr>
        <w:t xml:space="preserve">, "fiduciary relationships ... are always dependent on the fiduciary's undertaking to act in the beneficiary's interests" (p. 273). As Dickson J. put it in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fiduciary duties may arise where "by statute, agreement, or perhaps by unilateral undertaking, one party has an obligation to act for the benefit of another" (p. 384).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The fiduciary's undertaking may be the result of the exercise of statutory powers, the express or implied terms of an agreement or, perhaps, simply an undertaking to act in this way. In cases of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relationships, this undertaking will be found in the nature of the category of relationship in issue. T</w:t>
      </w:r>
      <w:r>
        <w:rPr>
          <w:rFonts w:ascii="arial" w:eastAsia="arial" w:hAnsi="arial" w:cs="arial"/>
          <w:color w:val="000000"/>
          <w:sz w:val="20"/>
          <w:u w:val="single"/>
          <w:lang w:val="en-US" w:eastAsia="en-US" w:bidi="ar-SA"/>
        </w:rPr>
        <w:t xml:space="preserve">he critical point is that in both </w:t>
      </w:r>
      <w:r>
        <w:rPr>
          <w:rFonts w:ascii="arial" w:eastAsia="arial" w:hAnsi="arial" w:cs="arial"/>
          <w:i/>
          <w:color w:val="000000"/>
          <w:sz w:val="20"/>
          <w:u w:val="single"/>
          <w:lang w:val="en-US" w:eastAsia="en-US" w:bidi="ar-SA"/>
        </w:rPr>
        <w:t>per se</w:t>
      </w:r>
      <w:r>
        <w:rPr>
          <w:rFonts w:ascii="arial" w:eastAsia="arial" w:hAnsi="arial" w:cs="arial"/>
          <w:color w:val="000000"/>
          <w:sz w:val="20"/>
          <w:u w:val="single"/>
          <w:lang w:val="en-US" w:eastAsia="en-US" w:bidi="ar-SA"/>
        </w:rPr>
        <w:t xml:space="preserve"> and </w:t>
      </w:r>
      <w:r>
        <w:rPr>
          <w:rFonts w:ascii="arial" w:eastAsia="arial" w:hAnsi="arial" w:cs="arial"/>
          <w:i/>
          <w:color w:val="000000"/>
          <w:sz w:val="20"/>
          <w:u w:val="single"/>
          <w:lang w:val="en-US" w:eastAsia="en-US" w:bidi="ar-SA"/>
        </w:rPr>
        <w:t>ad hoc</w:t>
      </w:r>
      <w:r>
        <w:rPr>
          <w:rFonts w:ascii="arial" w:eastAsia="arial" w:hAnsi="arial" w:cs="arial"/>
          <w:color w:val="000000"/>
          <w:sz w:val="20"/>
          <w:u w:val="single"/>
          <w:lang w:val="en-US" w:eastAsia="en-US" w:bidi="ar-SA"/>
        </w:rPr>
        <w:t xml:space="preserve"> fiduciary relationships, there will be some undertaking on the part of the fiduciary to act with loyalty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This does not mean, however, that an express undertaking is required. Rather, the fiduciary's undertaking may be implied in the particular circumstances of the parties' relationship. Relevant to the enquiry of whether there is such an implied undertaking are considerations such as professional norms, industry or other common practices and whether the alleged fiduciary induced the other party into relying on the fiduciary's loyalty.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McLachlin C.J.C. discussed the requirements of a claim alleging breach of fiduciary duty in </w:t>
      </w:r>
      <w:r>
        <w:rPr>
          <w:rFonts w:ascii="arial" w:eastAsia="arial" w:hAnsi="arial" w:cs="arial"/>
          <w:i/>
          <w:color w:val="000000"/>
          <w:sz w:val="20"/>
          <w:lang w:val="en-US" w:eastAsia="en-US" w:bidi="ar-SA"/>
        </w:rPr>
        <w:t>Alberta v. Elder Advocates of Alberta Society,</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Relationships in which a fiduciary obligation have been imposed seem to possess three general characteristics:</w:t>
      </w:r>
    </w:p>
    <w:p>
      <w:pPr>
        <w:numPr>
          <w:numId w:val="10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As useful as the three "hallmarks" ... are in explaining the source fiduciary duties, they are not a complete code for identifying fiduciary duties. It is now clear from the foundational principles ... that the elements outlined in the paragraphs that follow are those which identify the existence of a fiduciary duty in cases not covered by an existing category in which fiduciary duties have been recognized.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First, the evidence must show that the alleged fiduciary gave an undertaking of responsibility to act in the best interests of a beneficiary ... As Cromwell J. wrote in </w:t>
      </w:r>
      <w:r>
        <w:rPr>
          <w:rFonts w:ascii="arial" w:eastAsia="arial" w:hAnsi="arial" w:cs="arial"/>
          <w:i/>
          <w:color w:val="000000"/>
          <w:sz w:val="20"/>
          <w:lang w:val="en-US" w:eastAsia="en-US" w:bidi="ar-SA"/>
        </w:rPr>
        <w:t>Galambos</w:t>
      </w:r>
      <w:r>
        <w:rPr>
          <w:rFonts w:ascii="arial" w:eastAsia="arial" w:hAnsi="arial" w:cs="arial"/>
          <w:color w:val="000000"/>
          <w:sz w:val="20"/>
          <w:lang w:val="en-US" w:eastAsia="en-US" w:bidi="ar-SA"/>
        </w:rPr>
        <w:t>, at para. 75: "what is required in all cases is an undertaking by the fiduciary, express or implied, to act in accordance with the duty of loyalty reposed on him or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existence and character of the undertaking is informed by the norms relating to the particular relationship: </w:t>
      </w:r>
      <w:r>
        <w:rPr>
          <w:rFonts w:ascii="arial" w:eastAsia="arial" w:hAnsi="arial" w:cs="arial"/>
          <w:i/>
          <w:color w:val="000000"/>
          <w:sz w:val="20"/>
          <w:lang w:val="en-US" w:eastAsia="en-US" w:bidi="ar-SA"/>
        </w:rPr>
        <w:t>Galambos</w:t>
      </w:r>
      <w:r>
        <w:rPr>
          <w:rFonts w:ascii="arial" w:eastAsia="arial" w:hAnsi="arial" w:cs="arial"/>
          <w:color w:val="000000"/>
          <w:sz w:val="20"/>
          <w:lang w:val="en-US" w:eastAsia="en-US" w:bidi="ar-SA"/>
        </w:rPr>
        <w:t>, at para. 77. The party asserting the duty must be able to point to a forsaking by the alleged fiduciary of the interests of all others in favour of those of the beneficiary, in relation to the specific legal interest at stake.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 undertaking may be found in the relationship between the parties, in an imposition of responsibility by statute, or under an express agreement to act as trustee of the beneficiary's interests.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Second, the duty must be owed to a defined person or class of persons who must be vulnerable to the fiduciary in the sense that the fiduciary has a discretionary power over them. Fiduciary duties do not exist at large; they are confined to specific relationships between particular parties.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historically recognized, fiduciary relationships exist as a matter of course within the traditional categories of trustee-</w:t>
      </w:r>
      <w:r>
        <w:rPr>
          <w:rFonts w:ascii="arial" w:eastAsia="arial" w:hAnsi="arial" w:cs="arial"/>
          <w:i/>
          <w:color w:val="000000"/>
          <w:sz w:val="20"/>
          <w:lang w:val="en-US" w:eastAsia="en-US" w:bidi="ar-SA"/>
        </w:rPr>
        <w:t>cestui qui trust</w:t>
      </w:r>
      <w:r>
        <w:rPr>
          <w:rFonts w:ascii="arial" w:eastAsia="arial" w:hAnsi="arial" w:cs="arial"/>
          <w:color w:val="000000"/>
          <w:sz w:val="20"/>
          <w:lang w:val="en-US" w:eastAsia="en-US" w:bidi="ar-SA"/>
        </w:rPr>
        <w:t xml:space="preserve">, executor-beneficiary, solicitor-client, agent-principal, director-corporation and guardian-ward or parent-child. By contrast,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relationships must be established on a case-by-case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Finally, to establish a fiduciary duty, the claimant must show that the alleged fiduciary's power may affect the legal or substantial practical interests of the beneficiary: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Wilson J., at p. 142.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In the traditional categories of fiduciary relationship, the nature of the relationship itself defines the interest at stake. However, a party seeking to establish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duty must be able to point to an identifiable legal or vital practical interest that is at stake. The most obvious example is an interest in property, although other interests recognized by law may also be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the context of unions and their members there is some, albeit qualified, support in the jurisprudence for the existence of a fiduciary duty. For instance, in </w:t>
      </w:r>
      <w:r>
        <w:rPr>
          <w:rFonts w:ascii="arial" w:eastAsia="arial" w:hAnsi="arial" w:cs="arial"/>
          <w:i/>
          <w:color w:val="000000"/>
          <w:sz w:val="20"/>
          <w:lang w:val="en-US" w:eastAsia="en-US" w:bidi="ar-SA"/>
        </w:rPr>
        <w:t>Dayco (Canada) Ltd. v. CAW-Canada</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[1993] 2 S.C.R. 230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Dayco</w:t>
      </w:r>
      <w:r>
        <w:rPr>
          <w:rFonts w:ascii="arial" w:eastAsia="arial" w:hAnsi="arial" w:cs="arial"/>
          <w:color w:val="000000"/>
          <w:sz w:val="20"/>
          <w:lang w:val="en-US" w:eastAsia="en-US" w:bidi="ar-SA"/>
        </w:rPr>
        <w:t xml:space="preserve">], La Forest J. recognized the possibility that the relationship between retirees and their former union might be fiduciary. On this point, he held for the majority that "[i]f a union failed to consider the interests of retirees during collective bargaining, or refused to process a grievance on behalf of those retirees, such conduct </w:t>
      </w:r>
      <w:r>
        <w:rPr>
          <w:rFonts w:ascii="arial" w:eastAsia="arial" w:hAnsi="arial" w:cs="arial"/>
          <w:color w:val="000000"/>
          <w:sz w:val="20"/>
          <w:u w:val="single"/>
          <w:lang w:val="en-US" w:eastAsia="en-US" w:bidi="ar-SA"/>
        </w:rPr>
        <w:t>might</w:t>
      </w:r>
      <w:r>
        <w:rPr>
          <w:rFonts w:ascii="arial" w:eastAsia="arial" w:hAnsi="arial" w:cs="arial"/>
          <w:color w:val="000000"/>
          <w:sz w:val="20"/>
          <w:lang w:val="en-US" w:eastAsia="en-US" w:bidi="ar-SA"/>
        </w:rPr>
        <w:t xml:space="preserve"> form the basis of a claim for breach of fiduciary duty" (emphasis added) (para. 87). The position of the plaintiffs is analogous to the retirees in </w:t>
      </w:r>
      <w:r>
        <w:rPr>
          <w:rFonts w:ascii="arial" w:eastAsia="arial" w:hAnsi="arial" w:cs="arial"/>
          <w:i/>
          <w:color w:val="000000"/>
          <w:sz w:val="20"/>
          <w:lang w:val="en-US" w:eastAsia="en-US" w:bidi="ar-SA"/>
        </w:rPr>
        <w:t>Dayco,</w:t>
      </w:r>
      <w:r>
        <w:rPr>
          <w:rFonts w:ascii="arial" w:eastAsia="arial" w:hAnsi="arial" w:cs="arial"/>
          <w:color w:val="000000"/>
          <w:sz w:val="20"/>
          <w:lang w:val="en-US" w:eastAsia="en-US" w:bidi="ar-SA"/>
        </w:rPr>
        <w:t xml:space="preserve"> in that both groups were members of a collective bargaining unit, subsequently withdrew from the employment relationship, and sought to assert or protect accrued employment rights (para. 61). However, it should be noted that La Forest J.'s ruling on this point was qualified and equivocal.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Quebec Court of Appeal applied </w:t>
      </w:r>
      <w:r>
        <w:rPr>
          <w:rFonts w:ascii="arial" w:eastAsia="arial" w:hAnsi="arial" w:cs="arial"/>
          <w:i/>
          <w:color w:val="000000"/>
          <w:sz w:val="20"/>
          <w:lang w:val="en-US" w:eastAsia="en-US" w:bidi="ar-SA"/>
        </w:rPr>
        <w:t>Dayco</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Association provinciale des retraités d'Hydro-Québec v. Hydro-Québec,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2005 QCCA 304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Association provinciale</w:t>
      </w:r>
      <w:r>
        <w:rPr>
          <w:rFonts w:ascii="arial" w:eastAsia="arial" w:hAnsi="arial" w:cs="arial"/>
          <w:color w:val="000000"/>
          <w:sz w:val="20"/>
          <w:lang w:val="en-US" w:eastAsia="en-US" w:bidi="ar-SA"/>
        </w:rPr>
        <w:t>]. The plaintiffs in that case were retired former employees of the defendant and entitled to retirement benefits paid out of a pension fund maintained by the defendant. Over time that fund generated a significant surplus which the defendant disbursed largely for the benefit of the defendant and current employees. The plaintiffs accordingly brought a class action claim asserting entitlement to a greater portion of the surplus. The trial court denied certification and the plaintiffs appealed.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Among other things, the plaintiffs in </w:t>
      </w:r>
      <w:r>
        <w:rPr>
          <w:rFonts w:ascii="arial" w:eastAsia="arial" w:hAnsi="arial" w:cs="arial"/>
          <w:i/>
          <w:color w:val="000000"/>
          <w:sz w:val="20"/>
          <w:lang w:val="en-US" w:eastAsia="en-US" w:bidi="ar-SA"/>
        </w:rPr>
        <w:t>Association provinciale</w:t>
      </w:r>
      <w:r>
        <w:rPr>
          <w:rFonts w:ascii="arial" w:eastAsia="arial" w:hAnsi="arial" w:cs="arial"/>
          <w:color w:val="000000"/>
          <w:sz w:val="20"/>
          <w:lang w:val="en-US" w:eastAsia="en-US" w:bidi="ar-SA"/>
        </w:rPr>
        <w:t xml:space="preserve"> claimed a breach of fiduciary duty on the part of the employer. They claimed that the defendant had to take the interests of the retirees into account when negotiating the disbursement of the pension surplus. Citing </w:t>
      </w:r>
      <w:r>
        <w:rPr>
          <w:rFonts w:ascii="arial" w:eastAsia="arial" w:hAnsi="arial" w:cs="arial"/>
          <w:i/>
          <w:color w:val="000000"/>
          <w:sz w:val="20"/>
          <w:lang w:val="en-US" w:eastAsia="en-US" w:bidi="ar-SA"/>
        </w:rPr>
        <w:t>Dayco,</w:t>
      </w:r>
      <w:r>
        <w:rPr>
          <w:rFonts w:ascii="arial" w:eastAsia="arial" w:hAnsi="arial" w:cs="arial"/>
          <w:color w:val="000000"/>
          <w:sz w:val="20"/>
          <w:lang w:val="en-US" w:eastAsia="en-US" w:bidi="ar-SA"/>
        </w:rPr>
        <w:t xml:space="preserve"> the Court of Appeal rejected the notion that former members of a bargaining unit could claim against the employer in this context: "if an obligation to act as a trustee exists with respect to former members of the bargaining unit, logically this duty must be incumbent upon the union and not the ex-employer" (para.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decision of the New Brunswick Court of Appeal in </w:t>
      </w:r>
      <w:r>
        <w:rPr>
          <w:rFonts w:ascii="arial" w:eastAsia="arial" w:hAnsi="arial" w:cs="arial"/>
          <w:i/>
          <w:color w:val="000000"/>
          <w:sz w:val="20"/>
          <w:lang w:val="en-US" w:eastAsia="en-US" w:bidi="ar-SA"/>
        </w:rPr>
        <w:t>C.B.R.T. &amp; G.W. v. Knight</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(1988), 95 N.B.R. (2d) 342</w:t>
        </w:r>
      </w:hyperlink>
      <w:r>
        <w:rPr>
          <w:rFonts w:ascii="arial" w:eastAsia="arial" w:hAnsi="arial" w:cs="arial"/>
          <w:color w:val="000000"/>
          <w:sz w:val="20"/>
          <w:lang w:val="en-US" w:eastAsia="en-US" w:bidi="ar-SA"/>
        </w:rPr>
        <w:t xml:space="preserve"> (C.A.), LTA ref'd, </w:t>
      </w:r>
      <w:hyperlink r:id="rId820" w:history="1">
        <w:r>
          <w:rPr>
            <w:rFonts w:ascii="arial" w:eastAsia="arial" w:hAnsi="arial" w:cs="arial"/>
            <w:i/>
            <w:color w:val="0077CC"/>
            <w:sz w:val="20"/>
            <w:u w:val="single"/>
            <w:shd w:val="clear" w:color="auto" w:fill="FFFFFF"/>
            <w:lang w:val="en-US" w:eastAsia="en-US" w:bidi="ar-SA"/>
          </w:rPr>
          <w:t>[1989] S.C.C.A. No. 67</w:t>
        </w:r>
      </w:hyperlink>
      <w:r>
        <w:rPr>
          <w:rFonts w:ascii="arial" w:eastAsia="arial" w:hAnsi="arial" w:cs="arial"/>
          <w:color w:val="000000"/>
          <w:sz w:val="20"/>
          <w:lang w:val="en-US" w:eastAsia="en-US" w:bidi="ar-SA"/>
        </w:rPr>
        <w:t xml:space="preserve"> also provides guidance. There, the plaintiffs were casual employees of the Canadian National Railway and members of the defendant union. They brought an action alleging a breach of fiduciary duty by the defendant. The defendant unsuccessfully applied to have the plaintiff's action dismissed on the basis that no fiduciary duty was owed by a union to its members beyond the statutory duty of fair representation. The Court of Appeal rejected that contention, finding that the claims respecting fiduciary obligations "did not arise out of rights created by a collective agreement but are ... independent of a statutory duty of fair representation" (paras. 5,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New Brunswick Court of Appeal discussed the </w:t>
      </w:r>
      <w:r>
        <w:rPr>
          <w:rFonts w:ascii="arial" w:eastAsia="arial" w:hAnsi="arial" w:cs="arial"/>
          <w:i/>
          <w:color w:val="000000"/>
          <w:sz w:val="20"/>
          <w:lang w:val="en-US" w:eastAsia="en-US" w:bidi="ar-SA"/>
        </w:rPr>
        <w:t>ratio</w:t>
      </w:r>
      <w:r>
        <w:rPr>
          <w:rFonts w:ascii="arial" w:eastAsia="arial" w:hAnsi="arial" w:cs="arial"/>
          <w:color w:val="000000"/>
          <w:sz w:val="20"/>
          <w:lang w:val="en-US" w:eastAsia="en-US" w:bidi="ar-SA"/>
        </w:rPr>
        <w:t xml:space="preserve"> of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in a subsequent judgment, </w:t>
      </w:r>
      <w:r>
        <w:rPr>
          <w:rFonts w:ascii="arial" w:eastAsia="arial" w:hAnsi="arial" w:cs="arial"/>
          <w:i/>
          <w:color w:val="000000"/>
          <w:sz w:val="20"/>
          <w:lang w:val="en-US" w:eastAsia="en-US" w:bidi="ar-SA"/>
        </w:rPr>
        <w:t>Comeau v. Canadian Union of Postal Workers</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(1991), 112 N.B.R. (2d) 432</w:t>
        </w:r>
      </w:hyperlink>
      <w:r>
        <w:rPr>
          <w:rFonts w:ascii="arial" w:eastAsia="arial" w:hAnsi="arial" w:cs="arial"/>
          <w:color w:val="000000"/>
          <w:sz w:val="20"/>
          <w:lang w:val="en-US" w:eastAsia="en-US" w:bidi="ar-SA"/>
        </w:rPr>
        <w:t xml:space="preserve"> (C.A.). There the Court explained that the statutory duty of fair representation exhausts the obligations owed by a union to its members with regard to the administration of the rights of an employee under a collective agreement. Thus, no claim for fiduciary duty can be sustained where the dispute falls within the bounds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On the other hand, as held in </w:t>
      </w:r>
      <w:r>
        <w:rPr>
          <w:rFonts w:ascii="arial" w:eastAsia="arial" w:hAnsi="arial" w:cs="arial"/>
          <w:i/>
          <w:color w:val="000000"/>
          <w:sz w:val="20"/>
          <w:lang w:val="en-US" w:eastAsia="en-US" w:bidi="ar-SA"/>
        </w:rPr>
        <w:t>Comeau,</w:t>
      </w:r>
      <w:r>
        <w:rPr>
          <w:rFonts w:ascii="arial" w:eastAsia="arial" w:hAnsi="arial" w:cs="arial"/>
          <w:color w:val="000000"/>
          <w:sz w:val="20"/>
          <w:lang w:val="en-US" w:eastAsia="en-US" w:bidi="ar-SA"/>
        </w:rPr>
        <w:t xml:space="preserve"> where the conduct of the union arises beyond the bounds of the collective agreement, a claim for fiduciary duty may be viable. With regard to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the duty of fair representation did not apply in that case because the relevant conduct of the union involved negotiating on behalf of employees "outside of the rights created by their collective agreement," a circumstance in which a fiduciary obligation between the union and its members could exist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On the present facts as pleaded, the fiduciary obligation alleged by the plaintiffs flows from the Collective Agreement in that it arose out of collective bargaining with the employer, but cannot be said to reside within the bounds of the Collective Agreement. Indeed, if the obligation in question exists, it does so specifically because responsibility for provision of LTD benefits to HSA members was for a time removed from the collective bargaining context. Further, I note that in </w:t>
      </w:r>
      <w:r>
        <w:rPr>
          <w:rFonts w:ascii="arial" w:eastAsia="arial" w:hAnsi="arial" w:cs="arial"/>
          <w:i/>
          <w:color w:val="000000"/>
          <w:sz w:val="20"/>
          <w:lang w:val="en-US" w:eastAsia="en-US" w:bidi="ar-SA"/>
        </w:rPr>
        <w:t>Trustees of the IWA - Forest Industry LTD Plan v. Ainsworth Engineered Canada Limited Partnership,</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2013 BCSC 41</w:t>
        </w:r>
      </w:hyperlink>
      <w:r>
        <w:rPr>
          <w:rFonts w:ascii="arial" w:eastAsia="arial" w:hAnsi="arial" w:cs="arial"/>
          <w:color w:val="000000"/>
          <w:sz w:val="20"/>
          <w:lang w:val="en-US" w:eastAsia="en-US" w:bidi="ar-SA"/>
        </w:rPr>
        <w:t xml:space="preserve">, the Court construed a union LTD benefits plan funded through a trust as "separate and distinct" from the collective agreement so that s. 27(1)(c) of the </w:t>
      </w:r>
      <w:r>
        <w:rPr>
          <w:rFonts w:ascii="arial" w:eastAsia="arial" w:hAnsi="arial" w:cs="arial"/>
          <w:i/>
          <w:color w:val="000000"/>
          <w:sz w:val="20"/>
          <w:lang w:val="en-US" w:eastAsia="en-US" w:bidi="ar-SA"/>
        </w:rPr>
        <w:t>Labour Code,</w:t>
      </w:r>
      <w:r>
        <w:rPr>
          <w:rFonts w:ascii="arial" w:eastAsia="arial" w:hAnsi="arial" w:cs="arial"/>
          <w:color w:val="000000"/>
          <w:sz w:val="20"/>
          <w:lang w:val="en-US" w:eastAsia="en-US" w:bidi="ar-SA"/>
        </w:rPr>
        <w:t xml:space="preserve"> which specifically pertains to collective agreements, did not apply to the benefits trust (paras. 35-36).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There is some contrary jurisprudence as well. In </w:t>
      </w:r>
      <w:r>
        <w:rPr>
          <w:rFonts w:ascii="arial" w:eastAsia="arial" w:hAnsi="arial" w:cs="arial"/>
          <w:i/>
          <w:color w:val="000000"/>
          <w:sz w:val="20"/>
          <w:lang w:val="en-US" w:eastAsia="en-US" w:bidi="ar-SA"/>
        </w:rPr>
        <w:t>Bjordal v. Labour Relations Board of British Columbia</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2014 BCSC 1248</w:t>
        </w:r>
      </w:hyperlink>
      <w:r>
        <w:rPr>
          <w:rFonts w:ascii="arial" w:eastAsia="arial" w:hAnsi="arial" w:cs="arial"/>
          <w:color w:val="000000"/>
          <w:sz w:val="20"/>
          <w:lang w:val="en-US" w:eastAsia="en-US" w:bidi="ar-SA"/>
        </w:rPr>
        <w:t>, the Court noted "there is no current authoritative finding that there is a fiduciary relationship between a union and its members" (para. 42). In numerous other cases, courts in this jurisdiction dismissed or struck claims of breach of fiduciary duties brought against unions by their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However, and perhaps without exception, courts founded such decisions on the notion that the essential character of the allegations related to the duty of fair representation under labour relations legislation, thereby depriving the court of jurisdiction: </w:t>
      </w:r>
      <w:r>
        <w:rPr>
          <w:rFonts w:ascii="arial" w:eastAsia="arial" w:hAnsi="arial" w:cs="arial"/>
          <w:i/>
          <w:color w:val="000000"/>
          <w:sz w:val="20"/>
          <w:lang w:val="en-US" w:eastAsia="en-US" w:bidi="ar-SA"/>
        </w:rPr>
        <w:t>Ancheta v. Joe et al</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2003 BCSC 93</w:t>
        </w:r>
      </w:hyperlink>
      <w:r>
        <w:rPr>
          <w:rFonts w:ascii="arial" w:eastAsia="arial" w:hAnsi="arial" w:cs="arial"/>
          <w:color w:val="000000"/>
          <w:sz w:val="20"/>
          <w:lang w:val="en-US" w:eastAsia="en-US" w:bidi="ar-SA"/>
        </w:rPr>
        <w:t xml:space="preserve"> at para. 107; </w:t>
      </w:r>
      <w:r>
        <w:rPr>
          <w:rFonts w:ascii="arial" w:eastAsia="arial" w:hAnsi="arial" w:cs="arial"/>
          <w:i/>
          <w:color w:val="000000"/>
          <w:sz w:val="20"/>
          <w:lang w:val="en-US" w:eastAsia="en-US" w:bidi="ar-SA"/>
        </w:rPr>
        <w:t>Klein v. Construction &amp; Specialized Workers Union,</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2013 BCPC 49</w:t>
        </w:r>
      </w:hyperlink>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Speckling v. Local 76 of the Communications, Energy and Paperworkers' Union of Canada et al</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2005 BCSC 349</w:t>
        </w:r>
      </w:hyperlink>
      <w:r>
        <w:rPr>
          <w:rFonts w:ascii="arial" w:eastAsia="arial" w:hAnsi="arial" w:cs="arial"/>
          <w:color w:val="000000"/>
          <w:sz w:val="20"/>
          <w:lang w:val="en-US" w:eastAsia="en-US" w:bidi="ar-SA"/>
        </w:rPr>
        <w:t xml:space="preserve"> at para. 68; </w:t>
      </w:r>
      <w:r>
        <w:rPr>
          <w:rFonts w:ascii="arial" w:eastAsia="arial" w:hAnsi="arial" w:cs="arial"/>
          <w:i/>
          <w:color w:val="000000"/>
          <w:sz w:val="20"/>
          <w:lang w:val="en-US" w:eastAsia="en-US" w:bidi="ar-SA"/>
        </w:rPr>
        <w:t>Speckling v. Local 76 of the Communications, Energy and Paperworkers' Union of Canada,</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2009 BCCA 258</w:t>
        </w:r>
      </w:hyperlink>
      <w:r>
        <w:rPr>
          <w:rFonts w:ascii="arial" w:eastAsia="arial" w:hAnsi="arial" w:cs="arial"/>
          <w:color w:val="000000"/>
          <w:sz w:val="20"/>
          <w:lang w:val="en-US" w:eastAsia="en-US" w:bidi="ar-SA"/>
        </w:rPr>
        <w:t xml:space="preserve"> at para. 56; Daniels v. British Columbia Government Employees' Union </w:t>
      </w:r>
      <w:hyperlink r:id="rId828" w:history="1">
        <w:r>
          <w:rPr>
            <w:rFonts w:ascii="arial" w:eastAsia="arial" w:hAnsi="arial" w:cs="arial"/>
            <w:i/>
            <w:color w:val="0077CC"/>
            <w:sz w:val="20"/>
            <w:u w:val="single"/>
            <w:shd w:val="clear" w:color="auto" w:fill="FFFFFF"/>
            <w:lang w:val="en-US" w:eastAsia="en-US" w:bidi="ar-SA"/>
          </w:rPr>
          <w:t>(1995), 59 A.C.W.S. (3d) 1122</w:t>
        </w:r>
      </w:hyperlink>
      <w:r>
        <w:rPr>
          <w:rFonts w:ascii="arial" w:eastAsia="arial" w:hAnsi="arial" w:cs="arial"/>
          <w:color w:val="000000"/>
          <w:sz w:val="20"/>
          <w:lang w:val="en-US" w:eastAsia="en-US" w:bidi="ar-SA"/>
        </w:rPr>
        <w:t xml:space="preserve"> at paras. 14-16 (B.C.S.C.); Bergman v. Canadian Union of Public Employees, Local 608 </w:t>
      </w:r>
      <w:hyperlink r:id="rId829" w:history="1">
        <w:r>
          <w:rPr>
            <w:rFonts w:ascii="arial" w:eastAsia="arial" w:hAnsi="arial" w:cs="arial"/>
            <w:i/>
            <w:color w:val="0077CC"/>
            <w:sz w:val="20"/>
            <w:u w:val="single"/>
            <w:shd w:val="clear" w:color="auto" w:fill="FFFFFF"/>
            <w:lang w:val="en-US" w:eastAsia="en-US" w:bidi="ar-SA"/>
          </w:rPr>
          <w:t>(1999), 11 B.C.T.C. 81</w:t>
        </w:r>
      </w:hyperlink>
      <w:r>
        <w:rPr>
          <w:rFonts w:ascii="arial" w:eastAsia="arial" w:hAnsi="arial" w:cs="arial"/>
          <w:color w:val="000000"/>
          <w:sz w:val="20"/>
          <w:lang w:val="en-US" w:eastAsia="en-US" w:bidi="ar-SA"/>
        </w:rPr>
        <w:t xml:space="preserve"> at paras. 30, 33 (S.C.); Joseph v. AUPE, </w:t>
      </w:r>
      <w:hyperlink r:id="rId830" w:history="1">
        <w:r>
          <w:rPr>
            <w:rFonts w:ascii="arial" w:eastAsia="arial" w:hAnsi="arial" w:cs="arial"/>
            <w:i/>
            <w:color w:val="0077CC"/>
            <w:sz w:val="20"/>
            <w:u w:val="single"/>
            <w:shd w:val="clear" w:color="auto" w:fill="FFFFFF"/>
            <w:lang w:val="en-US" w:eastAsia="en-US" w:bidi="ar-SA"/>
          </w:rPr>
          <w:t>2004 ABQB 977</w:t>
        </w:r>
      </w:hyperlink>
      <w:r>
        <w:rPr>
          <w:rFonts w:ascii="arial" w:eastAsia="arial" w:hAnsi="arial" w:cs="arial"/>
          <w:color w:val="000000"/>
          <w:sz w:val="20"/>
          <w:lang w:val="en-US" w:eastAsia="en-US" w:bidi="ar-SA"/>
        </w:rPr>
        <w:t xml:space="preserve"> at para.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light of the above, have the plaintiffs pleaded a claim for breach of fiduciary duty that is not bound to fail? The material facts pleaded in support of this claim in the plaintiff's amended notice of civil claim are:</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HSA owed a fiduciary duty to the Disabled HSA Members, including the Plaintiffs. HSA's fiduciary duty arose out of its relationships to the Trusts and to the Disabled HSA Members including:</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party establishing or settling each of the Trusts;</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signatory to each of the Trusts;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party responsible for funding each of the Trusts; and</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party exercising control over the Trusts by its ability to replace trustees of the Trusts and appoint trustees of the Trusts.</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HSA owed a duty of loyalty to protect the Disabled HSA Members, including the Plaintiffs. The Disabled HSA Members were vulnerable to an abuse of power by the HSA.</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by virtue of its creation of the Trusts and its dealings with the Trusts, HSA was, in effect, a de facto trustee of each of the Trusts, and owed the Disabled HSA Members the same duties as a named trustee under the Trusts. In the alternative, by virtue of its actions, including its role in receiving funding for the Trusts, HSA was a trustee de son tort.</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HSA breached its fiduciary duty to the Disabled HSA Members including the Plaintiffs by failing to ensure that the Trusts were adequately funded to pay to the Disabled HSA Members the full amounts they were owed under LTD Agreement #1 and LTD Agreement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plaintiffs submit that the facts pleaded establish that HSA undertook to assume responsibility for the provision of LTD benefits and related benefits to its members, that there is a clearly defined class vulnerable to HSA's power (the disabled members) and that the disabled beneficiaries' LTD benefits and other benefits, are subject to being adversely affected by HSA's actions. They plead the latter on the basis that HSA determined the manner in which the benefits were to be provided, negotiated responsibility for LTD benefits back to the employer, retained control over the appointment of Trustees, and appointed mainly HSA executives as Trustees. The plaintiffs also point to the operation of the Trusts, the terms of the Trust Agreements, and the modification of the Plans under which benefits were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first factor in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xml:space="preserve"> requires that there be an undertaking by the alleged fiduciary to act in the best interests of the alleged beneficiary or beneficiaries. At first blush, the representations made by HSA to its members do not appear to forsake their loyalty to all members of the union other than the plaintiffs. It seems more likely that HSA's conduct evinced an intention to continue to administer the LTD benefits in a manner consistent with the employer's previous administration of the plan. Nevertheless, given the limited analysis appropriate on an application for certification, in my view it is at least arguable that HSA's systemic communications could be construed as an undertaking to act in the disabled members' best interests. Definitive resolution of this question requires interpretation of the significance of HSA's conduct, an undertaking inappropriate on an application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Further, some aspects of the relationship between HSA and the plaintiffs suggest an implicit undertaking to act with loyalty. Of particular note is the fact that the provision of LTD benefits is at the very least akin to a contract of insurance, which are agreements of "utmost good faith," although this does not itself establish a fiduciary relationship: </w:t>
      </w:r>
      <w:r>
        <w:rPr>
          <w:rFonts w:ascii="arial" w:eastAsia="arial" w:hAnsi="arial" w:cs="arial"/>
          <w:i/>
          <w:color w:val="000000"/>
          <w:sz w:val="20"/>
          <w:lang w:val="en-US" w:eastAsia="en-US" w:bidi="ar-SA"/>
        </w:rPr>
        <w:t>Warrington v. Great-West Life Assurance Co</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(1996), 139 D.L.R. (4th) 18</w:t>
        </w:r>
      </w:hyperlink>
      <w:r>
        <w:rPr>
          <w:rFonts w:ascii="arial" w:eastAsia="arial" w:hAnsi="arial" w:cs="arial"/>
          <w:color w:val="000000"/>
          <w:sz w:val="20"/>
          <w:lang w:val="en-US" w:eastAsia="en-US" w:bidi="ar-SA"/>
        </w:rPr>
        <w:t xml:space="preserve"> at para. 10 (B.C.C.A.). Prior to becoming disabled the plaintiffs would have understood HSA to be obligated to represent their interests fairly and to not act in a manner which was arbitrary, discriminatory, or in bad faith. While there is little to suggest that HSA undertook to forsake the interests of all others in favour of the plaintiffs, and such an undertaking would perhaps be inconsistent with HSA's indisputable and ongoing obligations to its non-disabled members, I cannot say that the plaintiffs' position in this regard is doomed to failure. In my view, the first requirement under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xml:space="preserve"> is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second requirement of the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xml:space="preserve"> test requires that there be a defined person or class of persons vulnerable to a fiduciary's control. The plaintiffs are HSA members who have become disabled, a defined class. If no contractual relationship is established respecting the plaintiffs' entitlement to disability benefits, HSA, by assuming responsibility for the provision of the benefits will enjoy essentially complete and unfettered power in that regard. Most significantly for the present purposes, HSA would be able to exercise discretion as to whether to fund shortfalls in the Trusts. Further, as contended by the plaintiffs, it may be that HSA exercises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control over the trusts as well, which would also put matters of duration, amount, and entitlement to benefits within HSA's discretion. I find that the second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xml:space="preserve"> factor is also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last of the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xml:space="preserve"> requirements is that the beneficiary or beneficiaries must have a legal or substantial practical interest that stands to be adversely affected by the alleged fiduciary's exercise of discretion or control. The interest at stake is the amount of, and potentially the duration of, LTD benefits. This is clearly an identifiable legal or substantial practical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It is possible that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relationship arises between HSA and the plaintiffs respecting administration of LTD benefits. The plaintiffs plead sufficient facts to support a claim that the plaintiffs have a legal or substantial practical interest which may be adversely affected by the actions of HSA, and that HSA undertook to protect the best interests of the plaintiffs in administering the LTD benefits Plans. The pleadings also allege breaches of those fiduciary obligations. I cannot find that it is plain and obvious that the plaintiffs' claims under this heading will fail.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Is HSA a Trustee </w:t>
      </w:r>
      <w:r>
        <w:rPr>
          <w:rFonts w:ascii="arial" w:eastAsia="arial" w:hAnsi="arial" w:cs="arial"/>
          <w:b/>
          <w:i/>
          <w:color w:val="000000"/>
          <w:sz w:val="20"/>
          <w:lang w:val="en-US" w:eastAsia="en-US" w:bidi="ar-SA"/>
        </w:rPr>
        <w:t>De Son Tort</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The plaintiffs alternatively plead that HSA acted as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trustee </w:t>
      </w:r>
      <w:r>
        <w:rPr>
          <w:rFonts w:ascii="arial" w:eastAsia="arial" w:hAnsi="arial" w:cs="arial"/>
          <w:i/>
          <w:color w:val="000000"/>
          <w:sz w:val="20"/>
          <w:lang w:val="en-US" w:eastAsia="en-US" w:bidi="ar-SA"/>
        </w:rPr>
        <w:t>or</w:t>
      </w:r>
      <w:r>
        <w:rPr>
          <w:rFonts w:ascii="arial" w:eastAsia="arial" w:hAnsi="arial" w:cs="arial"/>
          <w:color w:val="000000"/>
          <w:sz w:val="20"/>
          <w:lang w:val="en-US" w:eastAsia="en-US" w:bidi="ar-SA"/>
        </w:rPr>
        <w:t xml:space="preserve"> trustee </w:t>
      </w:r>
      <w:r>
        <w:rPr>
          <w:rFonts w:ascii="arial" w:eastAsia="arial" w:hAnsi="arial" w:cs="arial"/>
          <w:i/>
          <w:color w:val="000000"/>
          <w:sz w:val="20"/>
          <w:lang w:val="en-US" w:eastAsia="en-US" w:bidi="ar-SA"/>
        </w:rPr>
        <w:t>de son tort</w:t>
      </w:r>
      <w:r>
        <w:rPr>
          <w:rFonts w:ascii="arial" w:eastAsia="arial" w:hAnsi="arial" w:cs="arial"/>
          <w:color w:val="000000"/>
          <w:sz w:val="20"/>
          <w:lang w:val="en-US" w:eastAsia="en-US" w:bidi="ar-SA"/>
        </w:rPr>
        <w:t xml:space="preserve">. A trustee </w:t>
      </w:r>
      <w:r>
        <w:rPr>
          <w:rFonts w:ascii="arial" w:eastAsia="arial" w:hAnsi="arial" w:cs="arial"/>
          <w:i/>
          <w:color w:val="000000"/>
          <w:sz w:val="20"/>
          <w:lang w:val="en-US" w:eastAsia="en-US" w:bidi="ar-SA"/>
        </w:rPr>
        <w:t>de son tort</w:t>
      </w:r>
      <w:r>
        <w:rPr>
          <w:rFonts w:ascii="arial" w:eastAsia="arial" w:hAnsi="arial" w:cs="arial"/>
          <w:color w:val="000000"/>
          <w:sz w:val="20"/>
          <w:lang w:val="en-US" w:eastAsia="en-US" w:bidi="ar-SA"/>
        </w:rPr>
        <w:t xml:space="preserve"> is a person who is not a trustee and does not have authority from a trustee yet intermeddles with trust matters or does acts characteristic of the office of trustee. Such a person voluntarily assumes responsibility for the trust, but must also have title or control over trust property: Philip H. Pettit, </w:t>
      </w:r>
      <w:r>
        <w:rPr>
          <w:rFonts w:ascii="arial" w:eastAsia="arial" w:hAnsi="arial" w:cs="arial"/>
          <w:i/>
          <w:color w:val="000000"/>
          <w:sz w:val="20"/>
          <w:lang w:val="en-US" w:eastAsia="en-US" w:bidi="ar-SA"/>
        </w:rPr>
        <w:t>Equity and the Law of Trusts</w:t>
      </w:r>
      <w:r>
        <w:rPr>
          <w:rFonts w:ascii="arial" w:eastAsia="arial" w:hAnsi="arial" w:cs="arial"/>
          <w:color w:val="000000"/>
          <w:sz w:val="20"/>
          <w:lang w:val="en-US" w:eastAsia="en-US" w:bidi="ar-SA"/>
        </w:rPr>
        <w:t>, 11th ed. (Oxford: Oxford University Press, 2009), at p. 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defendants submit that the Trustees were "independent from the union." The plaintiffs however submit that since HSA set up the Trusts, appointed the Trustees, did so mainly from members of the HSA executive, negotiated the deductions from the employer and directed the funds to the Trusts, there is "some basis in fact" to support the allegation that HSA was a trustee </w:t>
      </w:r>
      <w:r>
        <w:rPr>
          <w:rFonts w:ascii="arial" w:eastAsia="arial" w:hAnsi="arial" w:cs="arial"/>
          <w:i/>
          <w:color w:val="000000"/>
          <w:sz w:val="20"/>
          <w:lang w:val="en-US" w:eastAsia="en-US" w:bidi="ar-SA"/>
        </w:rPr>
        <w:t>de son tort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Specifically, the plaintiffs state that if they establish that HSA has to "some" degree effectively possessed and administered the trust property, then HSA will be considered a trustee </w:t>
      </w:r>
      <w:r>
        <w:rPr>
          <w:rFonts w:ascii="arial" w:eastAsia="arial" w:hAnsi="arial" w:cs="arial"/>
          <w:i/>
          <w:color w:val="000000"/>
          <w:sz w:val="20"/>
          <w:lang w:val="en-US" w:eastAsia="en-US" w:bidi="ar-SA"/>
        </w:rPr>
        <w:t>de son tort</w:t>
      </w:r>
      <w:r>
        <w:rPr>
          <w:rFonts w:ascii="arial" w:eastAsia="arial" w:hAnsi="arial" w:cs="arial"/>
          <w:color w:val="000000"/>
          <w:sz w:val="20"/>
          <w:lang w:val="en-US" w:eastAsia="en-US" w:bidi="ar-SA"/>
        </w:rPr>
        <w:t xml:space="preserve"> and treated as though it was a properly appointed trustee. They refer to </w:t>
      </w:r>
      <w:r>
        <w:rPr>
          <w:rFonts w:ascii="arial" w:eastAsia="arial" w:hAnsi="arial" w:cs="arial"/>
          <w:i/>
          <w:color w:val="000000"/>
          <w:sz w:val="20"/>
          <w:lang w:val="en-US" w:eastAsia="en-US" w:bidi="ar-SA"/>
        </w:rPr>
        <w:t>Interstate Investments Ltd. v. Pacific International Securities Inc</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1995 CanLII 873</w:t>
        </w:r>
      </w:hyperlink>
      <w:r>
        <w:rPr>
          <w:rFonts w:ascii="arial" w:eastAsia="arial" w:hAnsi="arial" w:cs="arial"/>
          <w:color w:val="000000"/>
          <w:sz w:val="20"/>
          <w:lang w:val="en-US" w:eastAsia="en-US" w:bidi="ar-SA"/>
        </w:rPr>
        <w:t xml:space="preserve"> at para. 49 (B.C.S.C.), wherein Madam Justice Koenigsberg excerpted with approval from Waters, </w:t>
      </w:r>
      <w:r>
        <w:rPr>
          <w:rFonts w:ascii="arial" w:eastAsia="arial" w:hAnsi="arial" w:cs="arial"/>
          <w:i/>
          <w:color w:val="000000"/>
          <w:sz w:val="20"/>
          <w:lang w:val="en-US" w:eastAsia="en-US" w:bidi="ar-SA"/>
        </w:rPr>
        <w:t>Law of Trusts In Canada</w:t>
      </w:r>
      <w:r>
        <w:rPr>
          <w:rFonts w:ascii="arial" w:eastAsia="arial" w:hAnsi="arial" w:cs="arial"/>
          <w:color w:val="000000"/>
          <w:sz w:val="20"/>
          <w:lang w:val="en-US" w:eastAsia="en-US" w:bidi="ar-SA"/>
        </w:rPr>
        <w:t>, 1984:</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who was not appointed a trustee, but who takes it upon himself 'to possess and administer trust property for the beneficiaries' will be treated as if he were a trustee. He is known as a trustee de son tort. He becomes a trustee by imposition of law. Though he may subject himself to actions at law, he is not liable because he has taken upon himself the office of trustee, but because he has possessed and administered trust property contrary to the terms of the trust of which he is aware or ought to be aware. In other words, he is treated as if he were a properly appointed trustee from the moment that he starts to possess and administer that property, knowing actually or constructively that it is trust property, and he becomes liable if he acts in a way which would be a breach of trust in a properly appointed trustee. He need not be concerned with making any profit for himself; indeed, he is purporting to act for others, the beneficiaries of the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some element of doubt as to what sort of relationship to the trust property the trustee de son tort must have, however. In Re Barney Kekewich J. made a particular point of saying that to be such a trustee a person must have the legal interest or the right to call for it. ... In practice, however, it is likely that one who is "possessed" of trust property and is administering it as if he were a trustee, would have had to acquire some title right in the property or else he could not administer it. Provided he had had either title or "dominion and control" at the time of the improper act, he would be a trustee de son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more usual in practice for the alleged intermeddling stranger to be an agent of the trustees, as, for instance, a banker, broker or lawyer. Such a person will have duties to fulfill on instructions from the trustees, and, if he acts within the scope of his lawful agency, he is neither an intermeddling stranger nor liable to the beneficiaries in any way because of losses caused by the trustee. But, if he acts outside his legal powers as an agent, he too may become liable as a constructive trustee. ... But, if he joins with the trustee in what he knows to be a dishonest and fraudulent design to injure the trust beneficiaries, he is accountable as a constructive trustee whether or not any trust property ever came to his hands. ... In both cases, either as a trustee de son tort or as a participant in a fraudulent design, he assumes the obligation, jointly and severally with the appointed trustees, to make good the loss which the design has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necessary degree of control requires that a person "can, if he will, put into his own pocket or pay away as he pleases to someone else" (</w:t>
      </w:r>
      <w:r>
        <w:rPr>
          <w:rFonts w:ascii="arial" w:eastAsia="arial" w:hAnsi="arial" w:cs="arial"/>
          <w:i/>
          <w:color w:val="000000"/>
          <w:sz w:val="20"/>
          <w:lang w:val="en-US" w:eastAsia="en-US" w:bidi="ar-SA"/>
        </w:rPr>
        <w:t>Re Barney,</w:t>
      </w:r>
      <w:r>
        <w:rPr>
          <w:rFonts w:ascii="arial" w:eastAsia="arial" w:hAnsi="arial" w:cs="arial"/>
          <w:color w:val="000000"/>
          <w:sz w:val="20"/>
          <w:lang w:val="en-US" w:eastAsia="en-US" w:bidi="ar-SA"/>
        </w:rPr>
        <w:t xml:space="preserve"> [1892] 2 Ch 265, at p. 276). In other words, as described in </w:t>
      </w:r>
      <w:r>
        <w:rPr>
          <w:rFonts w:ascii="arial" w:eastAsia="arial" w:hAnsi="arial" w:cs="arial"/>
          <w:i/>
          <w:color w:val="000000"/>
          <w:sz w:val="20"/>
          <w:lang w:val="en-US" w:eastAsia="en-US" w:bidi="ar-SA"/>
        </w:rPr>
        <w:t>Interstate Investments Ltd.,</w:t>
      </w:r>
      <w:r>
        <w:rPr>
          <w:rFonts w:ascii="arial" w:eastAsia="arial" w:hAnsi="arial" w:cs="arial"/>
          <w:color w:val="000000"/>
          <w:sz w:val="20"/>
          <w:lang w:val="en-US" w:eastAsia="en-US" w:bidi="ar-SA"/>
        </w:rPr>
        <w:t xml:space="preserve"> a party becomes a trustee </w:t>
      </w:r>
      <w:r>
        <w:rPr>
          <w:rFonts w:ascii="arial" w:eastAsia="arial" w:hAnsi="arial" w:cs="arial"/>
          <w:i/>
          <w:color w:val="000000"/>
          <w:sz w:val="20"/>
          <w:lang w:val="en-US" w:eastAsia="en-US" w:bidi="ar-SA"/>
        </w:rPr>
        <w:t>de son tort</w:t>
      </w:r>
      <w:r>
        <w:rPr>
          <w:rFonts w:ascii="arial" w:eastAsia="arial" w:hAnsi="arial" w:cs="arial"/>
          <w:color w:val="000000"/>
          <w:sz w:val="20"/>
          <w:lang w:val="en-US" w:eastAsia="en-US" w:bidi="ar-SA"/>
        </w:rPr>
        <w:t xml:space="preserve"> where, exerting dominion and control of trust property, and, knowing of the trust, whether constructively or factually, that party acts inconsistently with the terms or existence of the trust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plaintiffs specifically plead that the alleged LTD Agreement #1 stipulated that HSA members would be charged a premium that would be deducted from their paycheques "and remitted to the 'HSA Group Insurance Fund.'" The cheques were made out to a specific trust fund or to "HSA LTD Trust," not to HSA, and the employer directed these cheques to the administrators of the LTD Plan, not to HSA.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 defendants submit that while the plaintiffs' pleadings allege that HSA had control over the trusts that is not the correct legal test even if sufficient material facts were pleaded. They submit the test is whether HSA had control over the trust </w:t>
      </w:r>
      <w:r>
        <w:rPr>
          <w:rFonts w:ascii="arial" w:eastAsia="arial" w:hAnsi="arial" w:cs="arial"/>
          <w:color w:val="000000"/>
          <w:sz w:val="20"/>
          <w:u w:val="single"/>
          <w:lang w:val="en-US" w:eastAsia="en-US" w:bidi="ar-SA"/>
        </w:rPr>
        <w:t>property</w:t>
      </w:r>
      <w:r>
        <w:rPr>
          <w:rFonts w:ascii="arial" w:eastAsia="arial" w:hAnsi="arial" w:cs="arial"/>
          <w:color w:val="000000"/>
          <w:sz w:val="20"/>
          <w:lang w:val="en-US" w:eastAsia="en-US" w:bidi="ar-SA"/>
        </w:rPr>
        <w:t>, and say that the plaintiffs have not pleaded that to be the case. The plaintiffs submit however that they have pleaded that HSA had to some degree effectively possessed and administered the trust property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pleadings identify HSA as the entity that chose to establish the Trusts, the entity responsible for funding the Trusts, the entity exercising control over the appointment of the Trustees, and ultimately, the entity that controlled the Trusts. The plaintiffs' note that the wording of the relevant trust agreements, along with the evidence on this application substantiate the allegation of HSA control over the trusts. For instance, HSA directed the employer how much to deduct from HSA members and what to do with the funds so deducted. As a result the plaintiffs submit that there is "some basis in fact" to support the allegation that the relationship between HSA and the Trusts was such that HSA was a trustee </w:t>
      </w:r>
      <w:r>
        <w:rPr>
          <w:rFonts w:ascii="arial" w:eastAsia="arial" w:hAnsi="arial" w:cs="arial"/>
          <w:i/>
          <w:color w:val="000000"/>
          <w:sz w:val="20"/>
          <w:lang w:val="en-US" w:eastAsia="en-US" w:bidi="ar-SA"/>
        </w:rPr>
        <w:t>de son tort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Assuming such a duty exists, the plaintiffs further plead a breach of that duty by HSA. They submit that HSA was in a conflict of interest situation when opposing the resolution designed to avoid a reduction of the LTD benefits; HSA's loyalties were divided between the competing interests of its disabled members in continuing to receive full LTD benefits on one hand, and the interest of its other members in avoiding increased dues payments. They also say that HSA breached its fiduciary duty by failing to ensure that the Trusts were adequately funded so as to pay out the benefits entitlements under the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HSA submits that it did not do anything dishonest, fraudulent or untoward that affected the Plans or Trusts. Therefore even if it is a trustee </w:t>
      </w:r>
      <w:r>
        <w:rPr>
          <w:rFonts w:ascii="arial" w:eastAsia="arial" w:hAnsi="arial" w:cs="arial"/>
          <w:i/>
          <w:color w:val="000000"/>
          <w:sz w:val="20"/>
          <w:lang w:val="en-US" w:eastAsia="en-US" w:bidi="ar-SA"/>
        </w:rPr>
        <w:t>de son tort</w:t>
      </w:r>
      <w:r>
        <w:rPr>
          <w:rFonts w:ascii="arial" w:eastAsia="arial" w:hAnsi="arial" w:cs="arial"/>
          <w:color w:val="000000"/>
          <w:sz w:val="20"/>
          <w:lang w:val="en-US" w:eastAsia="en-US" w:bidi="ar-SA"/>
        </w:rPr>
        <w:t xml:space="preserve"> as alleged, HSA says it did not breach its duty to the plaintiffs. In my view the law does not necessarily require proof of dishonesty or fraud in order to found liability against a defendant as a trustee </w:t>
      </w:r>
      <w:r>
        <w:rPr>
          <w:rFonts w:ascii="arial" w:eastAsia="arial" w:hAnsi="arial" w:cs="arial"/>
          <w:i/>
          <w:color w:val="000000"/>
          <w:sz w:val="20"/>
          <w:lang w:val="en-US" w:eastAsia="en-US" w:bidi="ar-SA"/>
        </w:rPr>
        <w:t>de son tort</w:t>
      </w:r>
      <w:r>
        <w:rPr>
          <w:rFonts w:ascii="arial" w:eastAsia="arial" w:hAnsi="arial" w:cs="arial"/>
          <w:color w:val="000000"/>
          <w:sz w:val="20"/>
          <w:lang w:val="en-US" w:eastAsia="en-US" w:bidi="ar-SA"/>
        </w:rPr>
        <w:t xml:space="preserve">. Indeed, in </w:t>
      </w:r>
      <w:r>
        <w:rPr>
          <w:rFonts w:ascii="arial" w:eastAsia="arial" w:hAnsi="arial" w:cs="arial"/>
          <w:i/>
          <w:color w:val="000000"/>
          <w:sz w:val="20"/>
          <w:lang w:val="en-US" w:eastAsia="en-US" w:bidi="ar-SA"/>
        </w:rPr>
        <w:t>Interstate Investments Ltd.</w:t>
      </w:r>
      <w:r>
        <w:rPr>
          <w:rFonts w:ascii="arial" w:eastAsia="arial" w:hAnsi="arial" w:cs="arial"/>
          <w:color w:val="000000"/>
          <w:sz w:val="20"/>
          <w:lang w:val="en-US" w:eastAsia="en-US" w:bidi="ar-SA"/>
        </w:rPr>
        <w:t xml:space="preserve"> the Court expressly found "no evidence of dishonest or fraudulent behaviour on the part of the Defendant," yet noted that liability could nevertheless attach where a party knowingly acts contrary to the terms or existence of a trust (paras. 50-53).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HSA further notes that the Plans and Trusts were entirely employee funded, with the underfunding occurring as a result of the increase in frequency in LTD benefits claims, as well as a recession economy. These positions raise factual issues requiring resolution by way of trial, and therefore offer little assistance on this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It is not for this Court, on a certification application, to consider the likelihood of the plaintiff being successful on this issue against HSA. The test asks whether the plaintiffs plead reasonable causes of action and only if it is plain and obvious or beyond doubt that the plaintiffs will not succeed in their claims will they fail to satisfy s. 4(1)(a). I conclude for the reasons given that such has not been shown.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Do the Plaintiffs' Pleadings Disclose a Cause of Action for Breach of Fiduciary Duty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Trustees remind the Court that although certification is not the place for a dispute on the merits of the case, or for the resolution of conflicts in the evidence, it is nevertheless intended to be a meaningful screening device. That is, there must be more than a superficial scrutiny of the plaintiffs' case. They submit that in this instance the plaintiffs fail to raise any genuine issues between themselves and the Trustees, noting that in order to satisfy ss. 4(1)(a) and (c)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the plaintiffs must plead a cause of action that is a genuine issue between the parties and that raises common issues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Marshall v. United Furniture Warehouse Limited Partnership,</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2013 BCSC 2050</w:t>
        </w:r>
      </w:hyperlink>
      <w:r>
        <w:rPr>
          <w:rFonts w:ascii="arial" w:eastAsia="arial" w:hAnsi="arial" w:cs="arial"/>
          <w:color w:val="000000"/>
          <w:sz w:val="20"/>
          <w:lang w:val="en-US" w:eastAsia="en-US" w:bidi="ar-SA"/>
        </w:rPr>
        <w:t>, Fisher J. described the "common issues" requirement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[143] ... while the common issues criterion is not a high legal hurdle, the plaintiffs must adduce some basis in the evidence to show that an issue exists and the court is able to assess it in common. Otherwise, the court's task "would not be to determine a common issue, but rather to identify one.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plaintiffs base their claims against the Trustees on the assertion that the Trustees owed the plaintiffs the specific fiduciary obligation to ensure that HSA fulfilled its obligations under the alleged LTD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plaintiffs pleadings respecting the Trustees are repeated for convenience:</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the Trustees of Trust No. 1 owed a fiduciary duty to the Disabled HSA Members </w:t>
      </w:r>
      <w:r>
        <w:rPr>
          <w:rFonts w:ascii="arial" w:eastAsia="arial" w:hAnsi="arial" w:cs="arial"/>
          <w:color w:val="000000"/>
          <w:sz w:val="20"/>
          <w:u w:val="single"/>
          <w:lang w:val="en-US" w:eastAsia="en-US" w:bidi="ar-SA"/>
        </w:rPr>
        <w:t>whose benefits were paid out of</w:t>
      </w:r>
      <w:r>
        <w:rPr>
          <w:rFonts w:ascii="arial" w:eastAsia="arial" w:hAnsi="arial" w:cs="arial"/>
          <w:color w:val="000000"/>
          <w:sz w:val="20"/>
          <w:lang w:val="en-US" w:eastAsia="en-US" w:bidi="ar-SA"/>
        </w:rPr>
        <w:t xml:space="preserve"> Trust No. 1, including the Plaintiff Hensman. In particular, the Trustees of Trust No. 1 had the ability to exercise control over the affairs of Trust No. 1. Each of the Disabled HSA Members of </w:t>
      </w:r>
      <w:r>
        <w:rPr>
          <w:rFonts w:ascii="arial" w:eastAsia="arial" w:hAnsi="arial" w:cs="arial"/>
          <w:color w:val="000000"/>
          <w:sz w:val="20"/>
          <w:u w:val="single"/>
          <w:lang w:val="en-US" w:eastAsia="en-US" w:bidi="ar-SA"/>
        </w:rPr>
        <w:t>whose benefits were paid out of</w:t>
      </w:r>
      <w:r>
        <w:rPr>
          <w:rFonts w:ascii="arial" w:eastAsia="arial" w:hAnsi="arial" w:cs="arial"/>
          <w:color w:val="000000"/>
          <w:sz w:val="20"/>
          <w:lang w:val="en-US" w:eastAsia="en-US" w:bidi="ar-SA"/>
        </w:rPr>
        <w:t xml:space="preserve"> Trust No. 1, were particularly vulnerable to the exercise of the power by the Trustees of Trust No. 1. The Trustees of Trust No. 1 were, at all material times, aware of these facts.</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their fiduciary duty to the Disabled HSA Members whose benefits were paid out of Trust No. 1, including the Plaintiff, Hensman, the Trustees of Trust No. 1 failed to ensure that Trust No. 1 was adequately funded to pay to the Disabled HSA Members the full amounts they were owed under LTD Agreement #1.</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Trustees of Trust No. 1 owed a duty of care to the Disabled HSA Members whose benefits were paid out of Trust No. 1 to act reasonably in the administration of Trust No. 1 and to act in accordance with sound business practices, custom, usage and applicable law in the administration of Trust No. 1. The Trustees of Trust No. 1 were negligent, or grossly negligent, and breached their duty of care to the Disabled HSA Members whose benefits were paid out of Trust No. 1 and failed to act in accordance with sound business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pleadings are similar with respect to Trust #2 and LTD Agreement #2. With respect to Trust #3 the plaintiffs plead:</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trustees of Trust No. 3, the Trustees of Trust No. 3 owed an undivided duty of loyalty to the Disabled HSA Members whose benefits were paid out of Trust No. 3 and the obligation to act in their best interests.</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Trustees of Trust No. 3 owed a fiduciary duty to the disabled HSA Members of Trust No. 3, including the Plaintiffs. In particular, the Trustees of Trust No. 3 had the ability to exercise control over the affairs of Trust No. 3. Each of the Disabled H[SA] Members whose benefits were paid out of Trust No. 3, were particularly vulnerable to the exercise of the power by the Trustees of Trust No. 3. The Trustees of Trust No. 3 were, at all material times, aware of these facts.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their fiduciary duty to the Disabled HSA Members whose benefits were paid out of Trust No. 3, including the Plaintiffs, the Trustees of Trust No. 3 failed to ensure that benefits were maintained in so far as they affected Trust No.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Trustees of Trust #1 and Trust #2 alleges that they failed to obtain and consider appropriate actuarial advice in 2006 when they determined the amount required to fully pay out the benefits to disabled HSA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plaintiffs' pleadings do not allege that the Trustees were a party to either LTD Agreement #1 or #2. Indeed the plaintiffs plead that the LTD Agreements do not include either the terms of the Trust documents or the Plans for Trusts #1, #2, or #3. The allegation is that the Trustees' role required it to "facilitate" HSA in carrying out its obligations under the alleged LTD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Trustees submit that "[t]he plaintiffs cannot have it both ways -- they either have a contract with HSA, and only with HSA, or they are beneficiaries of a benefits trust, and their claims are against the Trustees and only against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 Trustees submit that the plaintiffs' claim against the Trustees for breach of fiduciary duty ignores the terms of the Trust Agreements. They state that the Trust documents set out the content and the scope of the Trustees' fiduciary obligations and cannot be inconsistent with them: </w:t>
      </w:r>
      <w:r>
        <w:rPr>
          <w:rFonts w:ascii="arial" w:eastAsia="arial" w:hAnsi="arial" w:cs="arial"/>
          <w:i/>
          <w:color w:val="000000"/>
          <w:sz w:val="20"/>
          <w:lang w:val="en-US" w:eastAsia="en-US" w:bidi="ar-SA"/>
        </w:rPr>
        <w:t>Waters et al. Waters' Law of Trusts in Canada,</w:t>
      </w:r>
      <w:r>
        <w:rPr>
          <w:rFonts w:ascii="arial" w:eastAsia="arial" w:hAnsi="arial" w:cs="arial"/>
          <w:color w:val="000000"/>
          <w:sz w:val="20"/>
          <w:lang w:val="en-US" w:eastAsia="en-US" w:bidi="ar-SA"/>
        </w:rPr>
        <w:t xml:space="preserve"> 4th ed. (Toronto: Thomson Carswell, 2012) at p. 912. In addition they submit the allegations against the Trustees for any failure to perform their obligations are those that the Trustees are answerable to HSA only, not the plaintiffs. The Trustees state that as a result there is no genuine issue between the plaintiffs and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plaintiffs submit that the fact that they claim against HSA for breach of contract does not preclude an alternative or additional claim against the Trustees for breach of fiduciary duty 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say there is nothing inconsistent about the two claims and that they may succeed on both of them. They also state that the fact that HSA established the Trusts to facilitate the provision of benefits does not mean that such a purpose constituted the entire scope of the Trustees' duties. Finally, they argue that even if the claim against the Trustees is inconsistent with the contractual claim against HSA, there is no reason they cannot pursue their claims against the Trustees in the alternative if the contractual claims are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Trustees do not dispute that they owed all of the beneficiaries of Trust #1, #2 and #3 a fiduciary obligation. That obligation may include the duty to act proactively in the face of the underfunding that occurred. The Trust Agreements and the Plans themselves specifically allowed the Trustees to reduce LTD disability benefits. The plaintiffs do not suggest the Trustees did not have such a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Trust Agreements authorized establishment of group benefits plans, and granted the Trustees exclusive power and discretion, subject to the terms of the Trust Agreements, to:</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formulate the Plan;</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time to time amend the Plan;</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the nature and extent of benefits to be provided to members;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the qualifications and conditions necessary for members to receive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Trustees submit that because they were empowered to reduce benefits, no claim can be advanced against them for doing so. However, as the plaintiffs note they are not claiming against the Trustees for reducing benefits. The breaches alleged in the pleadings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37A. HSA and the Trust No. 1 Trustees, Trust No. 2 Trustees and Trust No. 3 </w:t>
      </w:r>
      <w:r>
        <w:rPr>
          <w:rFonts w:ascii="arial" w:eastAsia="arial" w:hAnsi="arial" w:cs="arial"/>
          <w:color w:val="000000"/>
          <w:sz w:val="20"/>
          <w:u w:val="single"/>
          <w:lang w:val="en-US" w:eastAsia="en-US" w:bidi="ar-SA"/>
        </w:rPr>
        <w:t>Trustees failed to take steps to ensure that the Trusts were fully funded</w:t>
      </w:r>
      <w:r>
        <w:rPr>
          <w:rFonts w:ascii="arial" w:eastAsia="arial" w:hAnsi="arial" w:cs="arial"/>
          <w:color w:val="000000"/>
          <w:sz w:val="20"/>
          <w:lang w:val="en-US" w:eastAsia="en-US" w:bidi="ar-SA"/>
        </w:rPr>
        <w:t xml:space="preserve"> such as obtaining additional funds from HSA members and/or open the Trusts for additional contributions.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37E. In July 2012. HSA and/or the Trust No. 1 Trustees. Trust No. 2 Trustees and Trust No. 3 </w:t>
      </w:r>
      <w:r>
        <w:rPr>
          <w:rFonts w:ascii="arial" w:eastAsia="arial" w:hAnsi="arial" w:cs="arial"/>
          <w:color w:val="000000"/>
          <w:sz w:val="20"/>
          <w:u w:val="single"/>
          <w:lang w:val="en-US" w:eastAsia="en-US" w:bidi="ar-SA"/>
        </w:rPr>
        <w:t>Trustees actively opposed a referendum</w:t>
      </w:r>
      <w:r>
        <w:rPr>
          <w:rFonts w:ascii="arial" w:eastAsia="arial" w:hAnsi="arial" w:cs="arial"/>
          <w:color w:val="000000"/>
          <w:sz w:val="20"/>
          <w:lang w:val="en-US" w:eastAsia="en-US" w:bidi="ar-SA"/>
        </w:rPr>
        <w:t xml:space="preserve"> seeking support to raise HSA union dues from 1.6% to 2% in order to ensure that the Disabled HSA Members' benefits were maintained at their January 2012 levels. That referendum failed.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[Emphases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plaintiffs allege that the Trustees failed to take steps to ensure that the Trusts were adequately funded after 2011, and that the Trustees actively opposed the referendum seeking to address the underfunding of the Trusts through increased union dues. The allegation is that in acting as Trustees, even if in accordance with the Trust Agreements, they acted in breach of their fiduciary duties to the plaintiffs. The fact that the Trust Agreements gave the Trustees power to amend the terms of the LTD benefits Plans begs the question of whether in exercising that power they did so in a manner that breached their fiduciary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plaintiffs submit that the nature and scope of the Trustees' duties is an issue to be resolved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With respect to the allegation that the Trustees opposed the referendum issue, the Trustees submit that the plaintiffs have not advanced any evidence showing that to be the case. The plaintiffs respond that there is no dispute that Trustees appointed from HSA's board of directors administered the trusts and that all of the defendant Trustees were also officers or directors of HSA. The plaintiffs note that the Trustees do not assert that they abstained, opposed or otherwise refused to participate in HSA's decision to oppose the referendum. As a result, the plaintiffs say that it is a reasonable inference that the Trustees did support and participate in that conduct. The plaintiffs state that in any event, given that the evidence on this issue is in the hands of the defendants, they cannot criticize the plaintiffs for not advancing what they do not have in their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my view the pleadings do raise issues between the plaintiffs and the Trustees. In question is the nature and scope of the Trustees' duties and obligations and whether in exercising their powers the Trustees breached their fiduciary obligation. It cannot be said that their claims are bound to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Section 4(1)(b):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As noted earlier, the plaintiffs must show some basis in fact for the existence of an identifiable class of two or more people. That class must be clearly defined.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As held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there must be a rational connection between the class as defined and the asserted common issues (para. 20). That connection however is required to ensure "that the class is not unnecessarily broad -- that is, that the class could not be defined more narrowly without arbitrarily excluding some people who share the same interest in the resolution of the common issue"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Western Canadian</w:t>
      </w:r>
      <w:r>
        <w:rPr>
          <w:rFonts w:ascii="arial" w:eastAsia="arial" w:hAnsi="arial" w:cs="arial"/>
          <w:color w:val="000000"/>
          <w:sz w:val="20"/>
          <w:lang w:val="en-US" w:eastAsia="en-US" w:bidi="ar-SA"/>
        </w:rPr>
        <w:t>], McLachlin C.J.C. for the Court held that class definition should state objective criteria by which members of the class can be identified, those criteria bearing a rational relationship to the common issues but not being dependent on the outcome of the litigation. She also explained that class definition is critical in the certification process, as it permits identification of the individuals entitled to notice, relief, and those who are "bound" by the judgment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At the certification hearing in December 2014, the class definition proposed by the plaintiffs encompassed "all those members of the Health Sciences Association of British Columbia ... who became entitled to receive long-term disability benefits between March 1, 1989 and August 3, 2006, and who were receiving such benefits as of June 1, 2012." The plaintiffs now divide this into two subclasses:</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HSA members who became entitled to receive long term disability benefits between March 1, 1989 and February 28, 1999 and who were receiving such benefits as of June 1, 2012 (LTD Agreement #1 Subclass); and</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HSA members who became entitled to receive long term disability benefits between March 1, 1999 and August 3, 2006 and who were receiving such benefits as of June 1, 2012 (LTD Agreement #2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However during the course of submissions counsel for HSA objected to the proposed class definition. Primarily HSA objected on grounds that the word "entitled" founded the class definition in "merit" as opposed to objective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The plaintiffs, while arguing the acceptability of the original definition, accordingly suggest instead referring to members "who started receiving" LTD benefits instead of members "who became entitled to receive" such benefits. They say this alteration removes any perceived ambiguity on the issue of entitlement. The plaintiffs also submit that the words "who were receiving such benefits as of June" can be replaced with "who were </w:t>
      </w:r>
      <w:r>
        <w:rPr>
          <w:rFonts w:ascii="arial" w:eastAsia="arial" w:hAnsi="arial" w:cs="arial"/>
          <w:color w:val="000000"/>
          <w:sz w:val="20"/>
          <w:u w:val="single"/>
          <w:lang w:val="en-US" w:eastAsia="en-US" w:bidi="ar-SA"/>
        </w:rPr>
        <w:t>still</w:t>
      </w:r>
      <w:r>
        <w:rPr>
          <w:rFonts w:ascii="arial" w:eastAsia="arial" w:hAnsi="arial" w:cs="arial"/>
          <w:color w:val="000000"/>
          <w:sz w:val="20"/>
          <w:lang w:val="en-US" w:eastAsia="en-US" w:bidi="ar-SA"/>
        </w:rPr>
        <w:t xml:space="preserve"> receiving such benefits as of June" (emphasis added). According to the plaintiffs, that addition ensures that HSA members who started receiving the benefits within the periods described, discontinued those benefits at a later date, and then subsequently began receiving LTD benefits again after the periods described would be properly excluded from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HSA objects to the plaintiffs' proposed class definition as unworkable because the individuals who fall within either of the proposed class definitions do not or may not have common legal rights or a common factual basis upon which to assert their individual claims. They submit that in defining a class the critical question is not whether you can say that there is a group of individuals, but rather whether the class definition identifies a class that has a rational connection with the common issues and is not overly broad. They refer to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20-21: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respondent is of course correct to state that implicit in the "identifiable class" requirement is the requirement that there be some rational relationship between the class and common issues. Little has been said about this requirement because, in the usual case, the relationship is clear from the facts. In a single-incident mass tort case (for example, an airplane crash), the scope of the appropriate class is not usually in dispute. The same is true in product liability actions (where the class is usually composed of those who purchased the product), or securities fraud actions (where the class is usually composed of those who owned the stock). In a case such as this, however, the appropriate scope of the class is not so obvious. It falls to the putative representative to show that the class is defined sufficiently narrowly.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 requirement is not an onerous one. The representative need not show that </w:t>
      </w:r>
      <w:r>
        <w:rPr>
          <w:rFonts w:ascii="arial" w:eastAsia="arial" w:hAnsi="arial" w:cs="arial"/>
          <w:color w:val="000000"/>
          <w:sz w:val="20"/>
          <w:u w:val="single"/>
          <w:lang w:val="en-US" w:eastAsia="en-US" w:bidi="ar-SA"/>
        </w:rPr>
        <w:t>everyone</w:t>
      </w:r>
      <w:r>
        <w:rPr>
          <w:rFonts w:ascii="arial" w:eastAsia="arial" w:hAnsi="arial" w:cs="arial"/>
          <w:color w:val="000000"/>
          <w:sz w:val="20"/>
          <w:lang w:val="en-US" w:eastAsia="en-US" w:bidi="ar-SA"/>
        </w:rPr>
        <w:t xml:space="preserve"> in the class shares the same interest in the resolution of the asserted common issue. There must be some showing, however, that the class is not </w:t>
      </w:r>
      <w:r>
        <w:rPr>
          <w:rFonts w:ascii="arial" w:eastAsia="arial" w:hAnsi="arial" w:cs="arial"/>
          <w:color w:val="000000"/>
          <w:sz w:val="20"/>
          <w:u w:val="single"/>
          <w:lang w:val="en-US" w:eastAsia="en-US" w:bidi="ar-SA"/>
        </w:rPr>
        <w:t>unnecessarily</w:t>
      </w:r>
      <w:r>
        <w:rPr>
          <w:rFonts w:ascii="arial" w:eastAsia="arial" w:hAnsi="arial" w:cs="arial"/>
          <w:color w:val="000000"/>
          <w:sz w:val="20"/>
          <w:lang w:val="en-US" w:eastAsia="en-US" w:bidi="ar-SA"/>
        </w:rPr>
        <w:t xml:space="preserve"> broad -- that is, that the class could not be defined more narrowly without arbitrarily excluding some people who share the same interest in the resolution of the common issue. Where the class could be defined more narrowly, the court should either disallow certification or allow certification on condition that the definition of the class be amended: ... </w:t>
      </w:r>
      <w:r>
        <w:rPr>
          <w:rFonts w:ascii="arial" w:eastAsia="arial" w:hAnsi="arial" w:cs="arial"/>
          <w:i/>
          <w:color w:val="000000"/>
          <w:sz w:val="20"/>
          <w:lang w:val="en-US" w:eastAsia="en-US" w:bidi="ar-SA"/>
        </w:rPr>
        <w:t>Webb v. K-Mart Canada Ltd</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(1999), 45 O.R. (3d) 389</w:t>
        </w:r>
      </w:hyperlink>
      <w:r>
        <w:rPr>
          <w:rFonts w:ascii="arial" w:eastAsia="arial" w:hAnsi="arial" w:cs="arial"/>
          <w:color w:val="000000"/>
          <w:sz w:val="20"/>
          <w:lang w:val="en-US" w:eastAsia="en-US" w:bidi="ar-SA"/>
        </w:rPr>
        <w:t xml:space="preserve">(S.C.J.) (claim for compensation for wrongful dismissal; class definition overbroad because included those who could be proven to have been terminated for just cause); </w:t>
      </w:r>
      <w:r>
        <w:rPr>
          <w:rFonts w:ascii="arial" w:eastAsia="arial" w:hAnsi="arial" w:cs="arial"/>
          <w:i/>
          <w:color w:val="000000"/>
          <w:sz w:val="20"/>
          <w:lang w:val="en-US" w:eastAsia="en-US" w:bidi="ar-SA"/>
        </w:rPr>
        <w:t>Mouhteros v. DeVry Canada Inc</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(1998), 41 O.R. (3d) 63</w:t>
        </w:r>
      </w:hyperlink>
      <w:r>
        <w:rPr>
          <w:rFonts w:ascii="arial" w:eastAsia="arial" w:hAnsi="arial" w:cs="arial"/>
          <w:color w:val="000000"/>
          <w:sz w:val="20"/>
          <w:lang w:val="en-US" w:eastAsia="en-US" w:bidi="ar-SA"/>
        </w:rPr>
        <w:t xml:space="preserve"> (Gen. Div.) (claim against school for misrepresentations about marketability of students after graduation; class definition overinclusive because included students who had found work after graduation).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HSA submits that simply being a beneficiary of one of the Trusts is not sufficient to make someone a class member. They suggest the proposed definitions include individuals without claims because they were, for example, not parties to either of the LTD Agreements or have different claims arising from different factual circumstances such as the contractual terms varying depending on when they became parties to the LTD Agreements. They note as well that the class as defined could include individuals in receipt of LTD benefits for one disability when the benefits were reduced but were in receipt of LTD benefits for a different disability during the relevant time period. They also note that there are numerous subsets of the proposed sub-classes such as members who took early retirement or qualified for the early retirement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HSA further says that the class definition must define class membership as members who are parties to the LTD Agreements because that is the basis for the plaintiffs' contractual claims. They state a proper definition must establish a class that can objectively be said to have the same contract claims, noting that the proposed class definitions fail in this regard by relying instead on the status of being a trust beneficiary. In addition, HSA contends that the class definition fails to address the necessary common elements of a contract claim such as offer, acceptance and certainty of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Trustees largely adopt the objections of HSA. They note as well that to properly address the issue of who was "entitled" to benefits under Trusts #1, #2 and #3 on the basis of the plaintiffs' contractual claim it must be clear what the terms of the alleged LTD Agreement were as regards each specific plaintiff. They submit as well that each member of the class must have qualified for benefits, continued to qualify for them as of June 1, 2012 and continued to qualify for and be in receipt of those benefits as of the day those benefits were reduced by the Trustees. They state that in fact that during the month of June 2012 some of the beneficiaries were subject to mandatory retirement, leaving only 151 beneficiaries who continued to receive benefits as of June 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HSA and the Trustees also propose an alternative definition, subject to the qualification that in so doing they are not suggesting that there is an identifiable class of two or more people. By proposing this definition, the defendants say they intend to address the problem created by the use of the word "entitled." The proposed definition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HSA members who commenced receipt of long term disability benefits from either Trust No. 1 or Trust No. 2 for a disability between March 1, 1989 and August 3, 2006, and who were in receipt of long term disability benefits for the same disability as of the date long term disability benefits were reduced by the Trustees on September 21, 2012, such reductions retroactive to June 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agree with the plaintiffs that their proposed rephrasing of the definition to remove the word "entitled" sufficiently addresses any ambiguity created by that word and ensures that the class will be objectively defined.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Regarding the definition proposed by the defendants, I find that the words "in receipt of long term disability benefits </w:t>
      </w:r>
      <w:r>
        <w:rPr>
          <w:rFonts w:ascii="arial" w:eastAsia="arial" w:hAnsi="arial" w:cs="arial"/>
          <w:color w:val="000000"/>
          <w:sz w:val="20"/>
          <w:u w:val="single"/>
          <w:lang w:val="en-US" w:eastAsia="en-US" w:bidi="ar-SA"/>
        </w:rPr>
        <w:t>for the same disability</w:t>
      </w:r>
      <w:r>
        <w:rPr>
          <w:rFonts w:ascii="arial" w:eastAsia="arial" w:hAnsi="arial" w:cs="arial"/>
          <w:color w:val="000000"/>
          <w:sz w:val="20"/>
          <w:lang w:val="en-US" w:eastAsia="en-US" w:bidi="ar-SA"/>
        </w:rPr>
        <w:t>" (emphasis added) limit the class too narrowly. What must remain constant over time is the identity of the "scheme" or Plan under which a disabled HSA member receives benefits, not the nature of the disability that makes the member eligible to obtain those benefits. In my view, this concept is adequately captured by inclusion of the words "</w:t>
      </w:r>
      <w:r>
        <w:rPr>
          <w:rFonts w:ascii="arial" w:eastAsia="arial" w:hAnsi="arial" w:cs="arial"/>
          <w:color w:val="000000"/>
          <w:sz w:val="20"/>
          <w:u w:val="single"/>
          <w:lang w:val="en-US" w:eastAsia="en-US" w:bidi="ar-SA"/>
        </w:rPr>
        <w:t>still</w:t>
      </w:r>
      <w:r>
        <w:rPr>
          <w:rFonts w:ascii="arial" w:eastAsia="arial" w:hAnsi="arial" w:cs="arial"/>
          <w:color w:val="000000"/>
          <w:sz w:val="20"/>
          <w:lang w:val="en-US" w:eastAsia="en-US" w:bidi="ar-SA"/>
        </w:rPr>
        <w:t xml:space="preserve"> receiving </w:t>
      </w:r>
      <w:r>
        <w:rPr>
          <w:rFonts w:ascii="arial" w:eastAsia="arial" w:hAnsi="arial" w:cs="arial"/>
          <w:color w:val="000000"/>
          <w:sz w:val="20"/>
          <w:u w:val="single"/>
          <w:lang w:val="en-US" w:eastAsia="en-US" w:bidi="ar-SA"/>
        </w:rPr>
        <w:t>such</w:t>
      </w:r>
      <w:r>
        <w:rPr>
          <w:rFonts w:ascii="arial" w:eastAsia="arial" w:hAnsi="arial" w:cs="arial"/>
          <w:color w:val="000000"/>
          <w:sz w:val="20"/>
          <w:lang w:val="en-US" w:eastAsia="en-US" w:bidi="ar-SA"/>
        </w:rPr>
        <w:t xml:space="preserve"> benefits" (emphasis added) as recommended by the plaintiffs. That phrasing imports the necessary continuity by requiring not only that the member continue to receive benefits as of June 1, 2012 but also that the benefits be "such" as those the member began to receive in either of the two prescribed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assertion of the defendants that because the plaintiffs' claims are founded on alleged contracts the plaintiffs must establish a class that can objectively be said to have the same contract claims is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 note that the plaintiffs allege objectively-assessed agreements arising out of a course of systemic communications on the part of HSA, rather than agreements arrived at as a result of individual negotiations between HSA and each member, relying on </w:t>
      </w:r>
      <w:r>
        <w:rPr>
          <w:rFonts w:ascii="arial" w:eastAsia="arial" w:hAnsi="arial" w:cs="arial"/>
          <w:i/>
          <w:color w:val="000000"/>
          <w:sz w:val="20"/>
          <w:lang w:val="en-US" w:eastAsia="en-US" w:bidi="ar-SA"/>
        </w:rPr>
        <w:t>Lacey</w:t>
      </w:r>
      <w:r>
        <w:rPr>
          <w:rFonts w:ascii="arial" w:eastAsia="arial" w:hAnsi="arial" w:cs="arial"/>
          <w:color w:val="000000"/>
          <w:sz w:val="20"/>
          <w:lang w:val="en-US" w:eastAsia="en-US" w:bidi="ar-SA"/>
        </w:rPr>
        <w:t xml:space="preserve">. I consider as well that this is a by-product of the fact that the alleged assumption of responsibility for the provision of LTD benefits by HSA arose out of </w:t>
      </w:r>
      <w:r>
        <w:rPr>
          <w:rFonts w:ascii="arial" w:eastAsia="arial" w:hAnsi="arial" w:cs="arial"/>
          <w:color w:val="000000"/>
          <w:sz w:val="20"/>
          <w:u w:val="single"/>
          <w:lang w:val="en-US" w:eastAsia="en-US" w:bidi="ar-SA"/>
        </w:rPr>
        <w:t>collective</w:t>
      </w:r>
      <w:r>
        <w:rPr>
          <w:rFonts w:ascii="arial" w:eastAsia="arial" w:hAnsi="arial" w:cs="arial"/>
          <w:color w:val="000000"/>
          <w:sz w:val="20"/>
          <w:lang w:val="en-US" w:eastAsia="en-US" w:bidi="ar-SA"/>
        </w:rPr>
        <w:t xml:space="preserve"> bargaining between HSA and an employer on behalf of HSA's membership. That could mean that HSA undertook a single contractual obligation owed to all of its members, rather than individual and potentially unique obligations owed to each member. In any event, the assertion that all members of the class must have the same contract claims is too restrictive.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21, McLachlin J. stated that there is no need to show that "everyone in the class shares the same interest in the resolution of the asserted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This is a certification hearing. At this stage in the proceedings the plaintiffs do not have to establish all of the elements of the contractual claim, nor need they show that each class member has exactly the same contractual claim. That is not the purpose of requiring a class definition.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merely requires that a class definition permit identification of class members based on objective criteria, and, as noted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"the requirement ... is not an onerous one" (para. 21). At this point the Court is not attempting to resolve the issues raised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In addition, I note that the plaintiffs' claims are advanced in contract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for breach of fiduciary duty by both HSA and the Trustees, as well as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solely against the Trustees. The defendants' submission regarding the lack of commonality in the contractual claims, assuming for the moment that it has merit, nevertheless overlooks or ignores the additional claims 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argument of the defendants that those disabled HSA members who retired should be excluded is not supportable, given the plaintiffs' claim is that HSA imposed early retirement on certain persons receiving benefits under LTD Agreement #1 and LTD Agreement #2, such imposition itself being alleged to be a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As a result I conclude that the plaintiffs' proposed class definition as amended (the "Class") is appropriate. For convenience, I reproduce it below:</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HSA members who started receiving long term disability benefits between March 1, 1989 and February 28, 1999 and who were still receiving such benefits as of June 1, 2012 (LTD Agreement #1 Subclass); and</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HSA members who started receiving long term disability benefits between March 1, 1999 and August 3, 2006 and who were still receiving such benefits as of June 1, 2012 (LTD Agreement #2 Subclass).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Section 4(1)(c):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defines common issues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common issues</w:t>
      </w:r>
      <w:r>
        <w:rPr>
          <w:rFonts w:ascii="arial" w:eastAsia="arial" w:hAnsi="arial" w:cs="arial"/>
          <w:color w:val="000000"/>
          <w:sz w:val="20"/>
          <w:lang w:val="en-US" w:eastAsia="en-US" w:bidi="ar-SA"/>
        </w:rPr>
        <w:t>" means</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fact, or</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law that arise from common but not necessarily identical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The Class members' claims must share a substantial common ingredient: </w:t>
      </w:r>
      <w:r>
        <w:rPr>
          <w:rFonts w:ascii="arial" w:eastAsia="arial" w:hAnsi="arial" w:cs="arial"/>
          <w:i/>
          <w:color w:val="000000"/>
          <w:sz w:val="20"/>
          <w:lang w:val="en-US" w:eastAsia="en-US" w:bidi="ar-SA"/>
        </w:rPr>
        <w:t>Western Canadian,</w:t>
      </w:r>
      <w:r>
        <w:rPr>
          <w:rFonts w:ascii="arial" w:eastAsia="arial" w:hAnsi="arial" w:cs="arial"/>
          <w:color w:val="000000"/>
          <w:sz w:val="20"/>
          <w:lang w:val="en-US" w:eastAsia="en-US" w:bidi="ar-SA"/>
        </w:rPr>
        <w:t xml:space="preserve"> at para. 39. However, common issues cannot depend on findings that will require individual trials nor can they be based on assumptions that circumvent the need for individual inquiries. (</w:t>
      </w:r>
      <w:r>
        <w:rPr>
          <w:rFonts w:ascii="arial" w:eastAsia="arial" w:hAnsi="arial" w:cs="arial"/>
          <w:i/>
          <w:color w:val="000000"/>
          <w:sz w:val="20"/>
          <w:lang w:val="en-US" w:eastAsia="en-US" w:bidi="ar-SA"/>
        </w:rPr>
        <w:t>Nadolny v. Peel (Region)</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(2009) 78 C.P.C. (6th) 252</w:t>
        </w:r>
      </w:hyperlink>
      <w:r>
        <w:rPr>
          <w:rFonts w:ascii="arial" w:eastAsia="arial" w:hAnsi="arial" w:cs="arial"/>
          <w:color w:val="000000"/>
          <w:sz w:val="20"/>
          <w:lang w:val="en-US" w:eastAsia="en-US" w:bidi="ar-SA"/>
        </w:rPr>
        <w:t xml:space="preserve"> a paras. 50-52 (Ont.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The fact that there is "a common cause of action" does not in itself give rise to a common issue. A common issue cannot be dependent upon findings of fact which have to be made with respect to each individual claimant," </w:t>
      </w:r>
      <w:r>
        <w:rPr>
          <w:rFonts w:ascii="arial" w:eastAsia="arial" w:hAnsi="arial" w:cs="arial"/>
          <w:i/>
          <w:color w:val="000000"/>
          <w:sz w:val="20"/>
          <w:lang w:val="en-US" w:eastAsia="en-US" w:bidi="ar-SA"/>
        </w:rPr>
        <w:t>Williams v. Mutual Life Assurance Co. of Canada</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(2000), 51 O.R. (3d) 54</w:t>
        </w:r>
      </w:hyperlink>
      <w:r>
        <w:rPr>
          <w:rFonts w:ascii="arial" w:eastAsia="arial" w:hAnsi="arial" w:cs="arial"/>
          <w:color w:val="000000"/>
          <w:sz w:val="20"/>
          <w:lang w:val="en-US" w:eastAsia="en-US" w:bidi="ar-SA"/>
        </w:rPr>
        <w:t xml:space="preserve"> (S.C.J.),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 now consider whether the claims advanced by the plaintiffs raise common issues as contemplated under s. 4(1)(c) of the </w:t>
      </w:r>
      <w:r>
        <w:rPr>
          <w:rFonts w:ascii="arial" w:eastAsia="arial" w:hAnsi="arial" w:cs="arial"/>
          <w:i/>
          <w:color w:val="000000"/>
          <w:sz w:val="20"/>
          <w:lang w:val="en-US" w:eastAsia="en-US" w:bidi="ar-SA"/>
        </w:rPr>
        <w:t>CPA.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Claim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first two proposed common issues relate to the breach of contract claim:</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HSA enter into a binding agreement with its members to provide various benefits specifically through LTD Agreement #1 and LTD Agreement #2, as alleged in the Amended Notice of Civil Claim?</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HSA did enter into LTD Agreement #1 and LTD Agreement #2, what were the terms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These two issues address whether the pleaded contracts between HSA and the proposed Class exist. The plaintiffs submit that resolution of these two issues will apply to all of the members of the defined Class. As previously discussed they rely on </w:t>
      </w:r>
      <w:r>
        <w:rPr>
          <w:rFonts w:ascii="arial" w:eastAsia="arial" w:hAnsi="arial" w:cs="arial"/>
          <w:i/>
          <w:color w:val="000000"/>
          <w:sz w:val="20"/>
          <w:lang w:val="en-US" w:eastAsia="en-US" w:bidi="ar-SA"/>
        </w:rPr>
        <w:t>Lacey</w:t>
      </w:r>
      <w:r>
        <w:rPr>
          <w:rFonts w:ascii="arial" w:eastAsia="arial" w:hAnsi="arial" w:cs="arial"/>
          <w:color w:val="000000"/>
          <w:sz w:val="20"/>
          <w:lang w:val="en-US" w:eastAsia="en-US" w:bidi="ar-SA"/>
        </w:rPr>
        <w:t>, and note the following passage as particularly apt with respect to this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There is no dispute that the task of the judge was to view the evidence objectively to determine whether retirement medical benefits were part of the contract of employment for each respondent. Nor is there any dispute that, </w:t>
      </w:r>
      <w:r>
        <w:rPr>
          <w:rFonts w:ascii="arial" w:eastAsia="arial" w:hAnsi="arial" w:cs="arial"/>
          <w:color w:val="000000"/>
          <w:sz w:val="20"/>
          <w:u w:val="single"/>
          <w:lang w:val="en-US" w:eastAsia="en-US" w:bidi="ar-SA"/>
        </w:rPr>
        <w:t>because the communications by MB with its salaried employees were general, if there was an enforceable contractual obligation for MB to provide retirement medical benefits to any plaintiff there was an identical contractual obligation to all of them</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While breach of contract as a cause of action appears to apply across the Class in this instance, the defendants argue the proposed common issues are not common to all members of the Class. They note that in this case there is no standard form contract where the interpretation of a term is a common issue that will advance the litigation. Indeed the very existence of the alleged contracts is a common issue. They submit that raises consideration of individual findings of fact in order to establish who is a party to the alleged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defendants also submit the pleadings do not plead material facts that establish that the common issues are common to all of the proposed Class members. For example, they assert the terms of the alleged contracts will change over time depending on when they became parties to either LTD Agreement #1 or LTD Agreement #2. Individual findings of fact will be required in order to determine the terms of the alleged contracts given the plaintiffs' assertions respecting how the contract or contracts were 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Asp v. Boughton Law Corporation,</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2014 BCSC 1124</w:t>
        </w:r>
      </w:hyperlink>
      <w:r>
        <w:rPr>
          <w:rFonts w:ascii="arial" w:eastAsia="arial" w:hAnsi="arial" w:cs="arial"/>
          <w:color w:val="000000"/>
          <w:sz w:val="20"/>
          <w:lang w:val="en-US" w:eastAsia="en-US" w:bidi="ar-SA"/>
        </w:rPr>
        <w:t xml:space="preserve"> at para. 59 where Blok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I am unable to accept the plaintiffs' argument. This case does not involve a standard agreement. The plaintiffs' argument that "all proposed class members entered into a similar or identical version" of the alleged agreement begs the question: Did they? On the plaintiffs' own pleadings the agreement is said to have been reached through various unparticularised discussions and communications, partly oral, partly in writing and partly by conduct, occurring over a four-year span. The facts suggest that the proposed class members will have had varying involvement in or with these discussions. I agree with the submissions of the defendants that this demonstrates that individual issues will predominate.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Huddart J.A. for the majority in </w:t>
      </w:r>
      <w:r>
        <w:rPr>
          <w:rFonts w:ascii="arial" w:eastAsia="arial" w:hAnsi="arial" w:cs="arial"/>
          <w:i/>
          <w:color w:val="000000"/>
          <w:sz w:val="20"/>
          <w:lang w:val="en-US" w:eastAsia="en-US" w:bidi="ar-SA"/>
        </w:rPr>
        <w:t>Harrington v. Dow Corning Corp</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 xml:space="preser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More important to a determination of common issues is the requirement that they be "common" but not necessarily "identical." In the context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"common" means that the resolution of the point in question must be applicable to all who are to be bound by it. I agree with the appellants that to be applicable to all parties, </w:t>
      </w:r>
      <w:r>
        <w:rPr>
          <w:rFonts w:ascii="arial" w:eastAsia="arial" w:hAnsi="arial" w:cs="arial"/>
          <w:color w:val="000000"/>
          <w:sz w:val="20"/>
          <w:u w:val="single"/>
          <w:lang w:val="en-US" w:eastAsia="en-US" w:bidi="ar-SA"/>
        </w:rPr>
        <w:t>the answer to the question must, at least, be capable of extrapolation to each member of the class or subclass on whose behalf the trial of the common issue is certified for trial by a class proceeding</w:t>
      </w:r>
      <w:r>
        <w:rPr>
          <w:rFonts w:ascii="arial" w:eastAsia="arial" w:hAnsi="arial" w:cs="arial"/>
          <w:color w:val="000000"/>
          <w:sz w:val="20"/>
          <w:lang w:val="en-US" w:eastAsia="en-US" w:bidi="ar-SA"/>
        </w:rPr>
        <w:t>. As the appellants note, this requirement will, of necessity, require that the answer be capable of extrapolation to all defendants who will be bound by it. This is the requirement the appellants argue that the case management judge overlooked in determining the common issue: are silicone gel breast implants reasonably fit for their intended purpose?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defendants further submit that because of the manner of distributing materials individual members will have received different materials and information. Ascertaining the contractual terms would require individualized assessments in order to determine the terms of each member's contract with HSA.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If, however, the alleged contracts are established on the basis relied upon by the Court in </w:t>
      </w:r>
      <w:r>
        <w:rPr>
          <w:rFonts w:ascii="arial" w:eastAsia="arial" w:hAnsi="arial" w:cs="arial"/>
          <w:i/>
          <w:color w:val="000000"/>
          <w:sz w:val="20"/>
          <w:lang w:val="en-US" w:eastAsia="en-US" w:bidi="ar-SA"/>
        </w:rPr>
        <w:t>Lacey</w:t>
      </w:r>
      <w:r>
        <w:rPr>
          <w:rFonts w:ascii="arial" w:eastAsia="arial" w:hAnsi="arial" w:cs="arial"/>
          <w:color w:val="000000"/>
          <w:sz w:val="20"/>
          <w:lang w:val="en-US" w:eastAsia="en-US" w:bidi="ar-SA"/>
        </w:rPr>
        <w:t xml:space="preserve"> the need for individual findings to establish who was a party does not arise. Resolution of this issue is a question of fact for trial and is dependent on the contracts claimed being proven. Relatedly, if HSA merely "assumed responsibility" for a collective contractual obligation owed to all HSA members and previously attaching to the employer, the need for individual findings to establish the agreements does not arise. I therefore reject the submissions of the defendants on this issue and find that the proposed common issues respecting the contract claim are appropriate and that their resolution will apply to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Proposed issues 3 and 4 are as follows:</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HSA breach LTD Agreement #1 through one or more of the following, with respect to HSA members who became disabled between March 1, 1989 and February 28, 1999:</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reduction in long term disability benefits;</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imposition of early retirement and the concurrent discontinuance of long term disability benefits; and / or</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termination of group life insurance and AD&amp;D insurance?</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HSA breach LTD Agreement #2 through one or more of the following, with respect to HSA members who became disabled between March 1, 1999 and August 3, 2006:</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reduction in long term disability payments under the Index Removal;</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reduction in long term disability benefits; and / or</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imposition of early retirement and the concurrent discontinuance of long term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These issues address the alleged breach by HSA of the LTD Agreements when they unilaterally reduced benefits to the disabled members. The issue mirrors that in </w:t>
      </w:r>
      <w:r>
        <w:rPr>
          <w:rFonts w:ascii="arial" w:eastAsia="arial" w:hAnsi="arial" w:cs="arial"/>
          <w:i/>
          <w:color w:val="000000"/>
          <w:sz w:val="20"/>
          <w:lang w:val="en-US" w:eastAsia="en-US" w:bidi="ar-SA"/>
        </w:rPr>
        <w:t>O'Neill</w:t>
      </w:r>
      <w:r>
        <w:rPr>
          <w:rFonts w:ascii="arial" w:eastAsia="arial" w:hAnsi="arial" w:cs="arial"/>
          <w:color w:val="000000"/>
          <w:sz w:val="20"/>
          <w:lang w:val="en-US" w:eastAsia="en-US" w:bidi="ar-SA"/>
        </w:rPr>
        <w:t>. I am satisfied that resolution of these issues will apply to all Class members falling within each of the two subclasses, and that there is a basis in fact for accepting that the plaintiffs' contractual claims are triable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Insurance Act</w:t>
      </w:r>
      <w:r>
        <w:rPr>
          <w:rFonts w:ascii="arial" w:eastAsia="arial" w:hAnsi="arial" w:cs="arial"/>
          <w:b/>
          <w:color w:val="000000"/>
          <w:sz w:val="20"/>
          <w:lang w:val="en-US" w:eastAsia="en-US" w:bidi="ar-SA"/>
        </w:rPr>
        <w:t xml:space="preserv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The issue of whether the LTD Agreements are contracts of insurance under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is raised because of the potential effects of ss. 58 (life insurance) and 116 (disability insurance)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which the plaintiffs say would preclude HSA from unilaterally reducing or eliminating benefits payable to disabled HSA members, notwithstanding whether the LTD Agreements permit HSA to do so. The proposed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issues are as follows:</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steps identified in paragraph 3, above, did not constitute a breach of LTD Agreement #1, on the basis that the terms thereof permitted HSA to undertake such actions:</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LTD Agreement #1 "group insurance" within the meaning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HSA an "insurer" within the meaning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and</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HSA thus precluded from taking the steps identified in paragraph 3, above, be sections 58 and / or 116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steps identified in paragraph 4, above, did not constitute a breach of the LTD Agreement #2, on the basis that the terms thereof permitted HSA to undertake such steps:</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LTD Agreement #2 "group insurance" within the meaning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HSA an "insurer" within the meaning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and</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HSA thus precluded from taking the steps identified in paragraph 4, above, by sections 116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The defendants make no submissions with respect to issues 5 and 6. If these issues require resolution, their resolution will affect all Class members. I am satisfied that there is a basis in fact for accepting that the plaintiffs'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claims are triable issues and are sufficiently described.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Claims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Four issues are proposed for certification with respect to the breach of fiduciary duty claim. Plaintiffs' counsel proposes two categories each with two issues:</w:t>
      </w:r>
      <w:r>
        <w:rPr>
          <w:rFonts w:ascii="arial" w:eastAsia="arial" w:hAnsi="arial" w:cs="arial"/>
          <w:sz w:val="20"/>
          <w:lang w:val="en-US" w:eastAsia="en-US" w:bidi="ar-SA"/>
        </w:rPr>
        <w:cr/>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HSA owe a fiduciary duty to the Disabled HSA members with respect to the provision of long term disability benefits and other benefits?</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HSA owes a fiduciary duty to the Disabled HSA Members, did it breach that duty by failing to ensure that sufficient funds were available to pay each of the Disabled HSA Members the full amount of the benefits to which they were entitled, either through the funding of the Trusts or otherwise?</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trustees of Trust No. 1, trustees of Trust No. 2 and trustees of Trust No. 3 (collectively, the "Trustees") owe a fiduciary duty to the Disabled HSA members?</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Trustees do owe a fiduciary duty to the Disabled HSA Members, did they breach that duty by failing to ensure that sufficient funds were available in their respective trusts to pay to each of the Disabled HSA Members the full amount of the benefits to which they are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Issues #7 and #9 relate to whether HSA and the Trustees owed fiduciary duties to HSA's disabled members, issues #8 and #10 to whether such duties were breached by HSA and the Trustees, respectively. The plaintiffs submit that resolution of these common issues will affect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HSA's objection to issue #7 arises out of their assertion that there is no recognized category of fiduciary duty for unions. This has already been addressed, and I am satisfied that it is a suitable common issue for trial, as its resolution would address a significant or substantial component of the plaintiffs' claims. Regarding issue #9, the Trustees admit that they owed a fiduciary duty to the disabled HSA members, hence there is no need to certify this 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Respecting issues #8 and #10, the defendants assert that these issues are unsuitable for resolution as common issues due to the individual nature of the inquiries involved. For instance, they note that vulnerability of the beneficiary is one of the "hallmarks" for identifying a fiduciary duty, and will vary from member to member therefore requiring individual assessment. They note as well that the evidence shows that Mr. Hensman was in receipt of information that other potential members did not receive and as a result his level of understanding is likely not shared by other potential members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However, as argued by the plaintiffs, the disabled HSA members' vulnerability to the exercise of discretion by HSA and the Trustees arose out of the members' status as disabled persons, a circumstance which does not require individual assessment. The Trustees further deny that they owed a duty to ensure that the Trusts were sufficiently funded in relation to liability under the Plans. While they may be correct in taking that position, the existence or nonexistence of the duty cannot be resolved on certification, except to the extent that I cannot say that the plaintiffs' position in this regard is doomed to failure. There is some evidence to support the plaintiffs' claims that the duty exists and was breached, and therefore, I find that it is appropriately described as a common issue, as is issue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Against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The plaintiffs propose the following with respect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Trustees:</w:t>
      </w:r>
      <w:r>
        <w:rPr>
          <w:rFonts w:ascii="arial" w:eastAsia="arial" w:hAnsi="arial" w:cs="arial"/>
          <w:sz w:val="20"/>
          <w:lang w:val="en-US" w:eastAsia="en-US" w:bidi="ar-SA"/>
        </w:rPr>
        <w:cr/>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trustees of Trust No. 1 and trustees of Trust No. 2 owe one or more of the following duties of care to the Disabled HSA Members, who are the beneficiaries of the Trusts:</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act reasonably in the administration of each trust; and / or</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act in accordance with sound business practices, custom, usage and applicable law in the administration of each trust?</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trustees of Trust No. 1 and Trust No. 2 negligent or grossly negligent or, in the alternative, did the trustees of Trust No. 1 and Trust No. 2 fail to act in accordance with sound business practice by failing to properly obtain, and utilize, actuarial advice in determining the amount of funds to be placed in Trust No.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plaintiffs submit that issue #11 addresses the existence of a duty of care on the part of the Trustees of Trust #1 and Trust #2 as well as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The Trustees concede the existence of the obligation to act prudently in the administration of each Trust and to act in the best interests of all beneficiaries when making decisions. They also admit that they had to fulfill their responsibilities as set out in the terms of the Trust documents and applicable Plans, as well as fulfilling equitable and statutory obligations. They submit that this answers issue #11: they argue that it does not advance this litigation to decide whether the Trustees' obligations fall under the law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 law of fiduciary duty or both. They further submit that the important question, and the one in issue, is whether that obligation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However, Perell J.'s decision in </w:t>
      </w:r>
      <w:r>
        <w:rPr>
          <w:rFonts w:ascii="arial" w:eastAsia="arial" w:hAnsi="arial" w:cs="arial"/>
          <w:i/>
          <w:color w:val="000000"/>
          <w:sz w:val="20"/>
          <w:lang w:val="en-US" w:eastAsia="en-US" w:bidi="ar-SA"/>
        </w:rPr>
        <w:t>Cavanaugh v. Grenville Christian College</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[2009] O.J. No. 875</w:t>
        </w:r>
      </w:hyperlink>
      <w:r>
        <w:rPr>
          <w:rFonts w:ascii="arial" w:eastAsia="arial" w:hAnsi="arial" w:cs="arial"/>
          <w:color w:val="000000"/>
          <w:sz w:val="20"/>
          <w:lang w:val="en-US" w:eastAsia="en-US" w:bidi="ar-SA"/>
        </w:rPr>
        <w:t xml:space="preserve"> (S.C.J.) addresses that objection. He noted that "while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breaches of fiduciary duty may arise from the same facts, doctrinally they are distinct causes of action ...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not necessarily breaches of fiduciary duty and conversely breaches of fiduciary duty are not necessarily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(para. 30). The Ontario Court of Appeal did not disturb that finding on review: </w:t>
      </w:r>
      <w:r>
        <w:rPr>
          <w:rFonts w:ascii="arial" w:eastAsia="arial" w:hAnsi="arial" w:cs="arial"/>
          <w:i/>
          <w:color w:val="000000"/>
          <w:sz w:val="20"/>
          <w:lang w:val="en-US" w:eastAsia="en-US" w:bidi="ar-SA"/>
        </w:rPr>
        <w:t>Cavanaugh v. 226937 Ontario Ltd.</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2009 ONCA 753</w:t>
        </w:r>
      </w:hyperlink>
      <w:r>
        <w:rPr>
          <w:rFonts w:ascii="arial" w:eastAsia="arial" w:hAnsi="arial" w:cs="arial"/>
          <w:color w:val="000000"/>
          <w:sz w:val="20"/>
          <w:lang w:val="en-US" w:eastAsia="en-US" w:bidi="ar-SA"/>
        </w:rPr>
        <w:t xml:space="preserve"> at para. 5. Given the Court's limited role on an application for certification, I cannot at this stage identify the precise boundaries of the duties owed the plaintiffs under the Trustees' fiduciary obligations as opposed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paradigm. Thus, I cannot say that a breach of the former will necessarily constitute a breach of the latter or vice versa.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Trustees also submit that issue #11 is not common to the plaintiffs and the Trustees, because they say that the sufficiency of funding of the Trusts was a duty owed to HSA, not the plaintiffs. I am of the view that this question should be resolved at trial, as it requires interpretation and weighing of the evidence. I accept that there is a basis in fact for accepting that this is a 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With respect to issue #12, the plaintiffs allege that the Trustees were negligent in failing to seek actuarial advice when determining the amount of funds to be placed in Trust #3 in 2006, when the Trustees would have had opportunity to secure additional funds to eliminate the funding deficit. As with issue #11, the Trustees say that this issue is not common to the plaintiffs and Trustees, because the Trustees' duty regarding the adequacy of funding in the Trusts was owed to HSA, and not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plaintiffs' position with respect to proposed issue #12 is that it addresses the breach of the duty of care taking into account the applicable standard of care and is a common issue in that its resolution will affect all Class members. In light of my conclusions respecting the claim against the Trustees, I find that issue #12 is a suitable and triable common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plaintiffs propose the following issues #13, #14 and #15 with respect to damages and their assessment:</w:t>
      </w:r>
      <w:r>
        <w:rPr>
          <w:rFonts w:ascii="arial" w:eastAsia="arial" w:hAnsi="arial" w:cs="arial"/>
          <w:sz w:val="20"/>
          <w:lang w:val="en-US" w:eastAsia="en-US" w:bidi="ar-SA"/>
        </w:rPr>
        <w:cr/>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that the court concludes that there was a breach of contract (or contracts) on the part of HSA and/or breach of fiduciary duty on the part of HSA and the Trustees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trustees of Trust No. 1 or Trust No. 2, what damages were suffered by the class members as a result thereof?</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aggravated damages be awarded to the Class members against any of the Defendants? If so, in what amount?</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punitive damages be awarded to the Class members against any of the Defendants?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plaintiffs submit that these issues go to the availability and calculation of damages if the Court finds one or more of the defendants liable. As such they contend that these are common issues and their resolution will affect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defendants HSA and the Trustees respond only to issue #14, the claim for aggravated damages. Regarding issues #13 and #15, I am satisfied that they are suitable common issues sufficiently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Turning to issue #14, aggravated damages compensate plaintiffs, rather than punish defendants. They address non-pecuniary damages arising from such "intangible elements as pain, anguish, grief, humiliation, wounded pride, damaged self-confidence or self-esteem, loss of faith in friends or colleagues, and similar matters that are caused by the conduct of the defendant," </w:t>
      </w:r>
      <w:r>
        <w:rPr>
          <w:rFonts w:ascii="arial" w:eastAsia="arial" w:hAnsi="arial" w:cs="arial"/>
          <w:i/>
          <w:color w:val="000000"/>
          <w:sz w:val="20"/>
          <w:lang w:val="en-US" w:eastAsia="en-US" w:bidi="ar-SA"/>
        </w:rPr>
        <w:t>Huff v. Price</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(1990), 76 D.L.R. (4th) 138</w:t>
        </w:r>
      </w:hyperlink>
      <w:r>
        <w:rPr>
          <w:rFonts w:ascii="arial" w:eastAsia="arial" w:hAnsi="arial" w:cs="arial"/>
          <w:color w:val="000000"/>
          <w:sz w:val="20"/>
          <w:lang w:val="en-US" w:eastAsia="en-US" w:bidi="ar-SA"/>
        </w:rPr>
        <w:t xml:space="preserve"> at para. 50 (B.C.C.A.), LTA ref'd, </w:t>
      </w:r>
      <w:hyperlink r:id="rId842" w:history="1">
        <w:r>
          <w:rPr>
            <w:rFonts w:ascii="arial" w:eastAsia="arial" w:hAnsi="arial" w:cs="arial"/>
            <w:i/>
            <w:color w:val="0077CC"/>
            <w:sz w:val="20"/>
            <w:u w:val="single"/>
            <w:shd w:val="clear" w:color="auto" w:fill="FFFFFF"/>
            <w:lang w:val="en-US" w:eastAsia="en-US" w:bidi="ar-SA"/>
          </w:rPr>
          <w:t>[1991] S.C.C.A. No. 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Given the nature of aggravated damages, HSA asserts that the Court must assess entitlement to such damages on an individual basis, even where the entitlement of the Class to such damages flows from the same event. The defendants refer me to </w:t>
      </w:r>
      <w:r>
        <w:rPr>
          <w:rFonts w:ascii="arial" w:eastAsia="arial" w:hAnsi="arial" w:cs="arial"/>
          <w:i/>
          <w:color w:val="000000"/>
          <w:sz w:val="20"/>
          <w:lang w:val="en-US" w:eastAsia="en-US" w:bidi="ar-SA"/>
        </w:rPr>
        <w:t>Ladas v. Apple Inc</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2014 BCSC 1821</w:t>
        </w:r>
      </w:hyperlink>
      <w:r>
        <w:rPr>
          <w:rFonts w:ascii="arial" w:eastAsia="arial" w:hAnsi="arial" w:cs="arial"/>
          <w:color w:val="000000"/>
          <w:sz w:val="20"/>
          <w:lang w:val="en-US" w:eastAsia="en-US" w:bidi="ar-SA"/>
        </w:rPr>
        <w:t xml:space="preserve"> at para. 187, in support of its position that the Court cannot evaluate such damages commonly. As a result, HSA says that the plaintiffs fail to satisfy the burden of providing "some basis in fact" that the proposed common issues are common to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The plaintiffs argue that aggravated damages are common issues in that their "resolution will affect all class members." The plaintiffs submit that if they prove a breach of the LTD Agreements, that will entitle them to aggravated damages for mental and psychological distress, as a contract for LTD benefits is a contract for "peace of mind," </w:t>
      </w:r>
      <w:r>
        <w:rPr>
          <w:rFonts w:ascii="arial" w:eastAsia="arial" w:hAnsi="arial" w:cs="arial"/>
          <w:i/>
          <w:color w:val="000000"/>
          <w:sz w:val="20"/>
          <w:lang w:val="en-US" w:eastAsia="en-US" w:bidi="ar-SA"/>
        </w:rPr>
        <w:t>Fidler v. Sun Life Assurance Co. of Canada</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2006 SCC 30</w:t>
        </w:r>
      </w:hyperlink>
      <w:r>
        <w:rPr>
          <w:rFonts w:ascii="arial" w:eastAsia="arial" w:hAnsi="arial" w:cs="arial"/>
          <w:color w:val="000000"/>
          <w:sz w:val="20"/>
          <w:lang w:val="en-US" w:eastAsia="en-US" w:bidi="ar-SA"/>
        </w:rPr>
        <w:t xml:space="preserve"> at paras. 41, 51-52.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HSA's argument that the plaintiffs' aggravated damages claim lacks a basis in fact seems to relate to a lack of sufficient particularization. I note, however, that the plaintiffs pleaded that obtaining LTD coverage was to provide peace of mind to the plaintiffs in the event that they became disabled. In my view, the claim is sufficiently particularized in that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The plaintiffs acknowledge that aggravated damages may require individual assessment, but say that this is a common feature of class proceedings which legislators specifically anticipated under ss. 27-28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which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Determination of individual issues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(1) When the court determines common issues in favour of a class or subclass and determines that there are issues, other than those that may be determined under section 32, that are applicable only to certain individual members of the class or subclass, the court may</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those individual issues in further hearings presided over by the judge who determined the common issues or by another judge of the court,</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 one or more persons including, without limitation, one or more independent experts, to conduct an inquiry into those individual issues under the Supreme Court Civil Rules and report back to the court, or</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consent of the parties, direct that those individual issues be determined in any other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Individual assessment of liability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Without limiting section 27, if, after determining common issues in favour of a class or subclass, the court determines that the defendant's liability to individual class members cannot reasonably be determined without proof by those individual class members, section 27 applies to the determination of the defendant's liability to those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However, I agree with the defendants that aggravated damages do not properly constitute a common issue. The impact of a breach of the LTD Agreements on Class members' "intangible elements" will vary among Class members, thereby requiring individual assessment. Section 27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sets out procedures for determining individual issues that arise in the context of a class proceeding involving resolution of common issues, but does not contemplate treating individual issues as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Accordingly, I find that issues #13 and #15 are suitable common issues, but issue #14 is not.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Section 4(1)(d):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Assessment of this requirement assumes the existence of an identifiable class with common issues. Section 4(1)(d) requires a finding that "a class proceeding would be the preferable procedure for the fair and efficient resolution of the common issues". Section 4(2) then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(2) In determining whether a class proceeding would be the preferable procedure for the fair and efficient resolution of the common issues, the court must consider all relevant matters including the following:</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The Court must consider the question of preferable procedure in light of the three principal benefits of class actions: judicial economy, access to justice and behaviour modification. However, the plaintiffs need not prove that their proposed class action will actually achieve those goals. I must construe broadly the term "preferable", evaluating whether the proceeding will be a "fair, efficient, and manageable method of advancing the claim" and whether a class proceeding offers advantages over reasonably alternative means of resolving the claim, such as joinder or test cases: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27-28.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plaintiffs point to evidence indicating that the defendants' actions adversely affected approximately 220 disabled HSA members. Their individual claims, though not insubstantial (for example, $135,000 in Mr. Hensman's situation and $123,000 in Ms. Watt's) are nevertheless modest in the context of complex civil litigation. The plaintiffs therefore assert that individual members will not likely pursue individual claims. A class proceeding is therefore not only the preferable procedure in their estimation, but is the only form of proceeding likely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In response, HSA disputes the existence of the alleged LTD Agreements, and reiterates its position that resolution of the plaintiffs' claims will require individual determination of various issues, including which disabled HSA members are parties to the alleged contracts, which documents are integrated into the contracts, and whether HSA breached those agreements. HSA also says that the plaintiffs failed to allege how HSA members who were not receiving benefits at the time the contracts were formed became parties to the contracts, and therefore cannot say that proving the existence of the alleged contracts will mean success for all sub-class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The objections of HSA rest on the assumption that individual contracts will necessarily have to be established in order for the plaintiffs' claims to succeed. This however is not the approach pleaded by the plaintiffs who, relying on </w:t>
      </w:r>
      <w:r>
        <w:rPr>
          <w:rFonts w:ascii="arial" w:eastAsia="arial" w:hAnsi="arial" w:cs="arial"/>
          <w:i/>
          <w:color w:val="000000"/>
          <w:sz w:val="20"/>
          <w:lang w:val="en-US" w:eastAsia="en-US" w:bidi="ar-SA"/>
        </w:rPr>
        <w:t>Lacey,</w:t>
      </w:r>
      <w:r>
        <w:rPr>
          <w:rFonts w:ascii="arial" w:eastAsia="arial" w:hAnsi="arial" w:cs="arial"/>
          <w:color w:val="000000"/>
          <w:sz w:val="20"/>
          <w:lang w:val="en-US" w:eastAsia="en-US" w:bidi="ar-SA"/>
        </w:rPr>
        <w:t xml:space="preserve"> seek to establish, based on systemic publications by HSA to its members, that objectively assessed contracts exist. The plaintiffs similarly contend that HSA assumed from the employer an obligation owed collectively to the Class members. On either theory, or in relation to the plaintiffs' claims against the defendants for breach of fiduciary duty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my view that the common issues clearly predominate over any questions requiring individual determination. I accordingly conclude that s. 4(2)(a) weighs in favour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Turning to the other s. 4(2) factors, I am not aware of anything that would suggest that a significant number of Class members would have an interest in individually controlling the prosecution of separate actions, nor whether the plaintiffs' claims are the subject of any other proceedings. I accept that there is a basis in fact showing that other means of resolving the claims, particularly given the expense of the litigation and the sums involved, would be less efficient than a class proceeding, so much so that it strikes me as unlikely that these claims would be pursuable on an individual basis. Finally, given my view of the commonality of the issues raised by the plaintiffs' claims, I conclude that the class proceeding eases rather than aggravates the difficulties associated with the litigation, and as a result that the plaintiffs satisfy the "preferable procedure" requirement under s. 4(1)(d)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Section 4(1)(e): Representative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Section 4(1)(e) requires that the party seeking certification show that the proposed representative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(1) ...</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produced a plan for the proceeding that sets out a workable method of advancing the proceeding on behalf of the class and of notifying class members of the proceeding, and</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plaintiffs submit that these requirements are met, with Mr. Hensman representing LTD Agreement #1 Subclass and Ms. Watt representing LTD Agreement #2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HSA does not take issue with Ms. Watt and Mr. Hensman being appropriate representative plaintiffs if the Court is satisfied they meet the requirements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however they only do so in so far as they represent a similarly situated sub-class of members who were receiving benefits from either Trust #1 or Trust #2 as of June 30, 2012. They submit that the Class proposed by the plaintiffs be broken down into further subclasses represented by other representative plaintiffs. These subclasses should, in HSA's view, represent disabled HSA members who fell under the mandatory early retirement program as well as the subclass of individuals who elected to take early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Since I have concluded that the need for sub-classes of members proposed by the defendant HSA is not appropriate given how the plaintiffs' claims are formulated I do not accede to their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As a result I conclude that the plaintiffs are suitable representative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defendants made no submissions on the proposed litigation plan noting that a litigation plan can be revisited. On that basis the proposed litigation plan is approved as amended by me and is attached as Schedule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 grant the application to certify this action as a class proceeding in accordance with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SCHEDULE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NOTICE OF CERTIFICATION</w:t>
      </w:r>
      <w:r>
        <w:rPr>
          <w:rFonts w:ascii="arial" w:eastAsia="arial" w:hAnsi="arial" w:cs="arial"/>
          <w:sz w:val="20"/>
          <w:lang w:val="en-US" w:eastAsia="en-US" w:bidi="ar-SA"/>
        </w:rPr>
        <w:cr/>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certification is granted, notice shall be given to potential class members in accordance with section 19 of the </w:t>
      </w:r>
      <w:r>
        <w:rPr>
          <w:rFonts w:ascii="arial" w:eastAsia="arial" w:hAnsi="arial" w:cs="arial"/>
          <w:color w:val="000000"/>
          <w:sz w:val="20"/>
          <w:u w:val="single"/>
          <w:lang w:val="en-US" w:eastAsia="en-US" w:bidi="ar-SA"/>
        </w:rPr>
        <w:t>Class Proceedings Act</w:t>
      </w:r>
      <w:r>
        <w:rPr>
          <w:rFonts w:ascii="arial" w:eastAsia="arial" w:hAnsi="arial" w:cs="arial"/>
          <w:color w:val="000000"/>
          <w:sz w:val="20"/>
          <w:lang w:val="en-US" w:eastAsia="en-US" w:bidi="ar-SA"/>
        </w:rPr>
        <w:t xml:space="preserve"> (the "CPA").</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15 days of a successful result in the certification application, counsel for the Plaintiffs shall provide counsel for the Defendants with a proposed form of Notice to the class members. In the event that the parties are able to agree on the form of the Notice, it will be provided to the Court for approval pursuant to section 22 of the CPA. In the event that the parties are unable to agree on the form of the Notice, counsel for the Plaintiffs will bring an application to have the Court settle the terms of the Notice pursuant to section 19(6) of the CPA.</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agreement to, or settlement by the Court of, the form of the Notice to Class members, and assuming that the Court makes the orders sought in paragraphs 8 through 11 of Part 1 of the Plaintiffs' Notice of Application, publication of the Notice will be issued in the manner ordered by the Court, namely:</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letter to those persons whose names and addresses are provided to Church &amp; Company by the Defendant; and</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posting of a copy of the certification notice on Church &amp; Company's website.</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the certification order, class members will be entitled to opt out of the proceeding within 90 days of the last step in item (c) to occur by notice in writing, including by fax and email, to Church &amp; Company at 900 - 1040 West Georgia Street, Vancouver, British Columbia.</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the certification order, class members who reside outside of British Columbia may opt into the proceeding within 90 days of the last step in item (c) to occur, by notice in writing, including by fax and email to Church &amp; Company at 900 - 1040 West Georgia Street, Vancouver,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DOCUMENT PRODUCTION</w:t>
      </w:r>
      <w:r>
        <w:rPr>
          <w:rFonts w:ascii="arial" w:eastAsia="arial" w:hAnsi="arial" w:cs="arial"/>
          <w:sz w:val="20"/>
          <w:lang w:val="en-US" w:eastAsia="en-US" w:bidi="ar-SA"/>
        </w:rPr>
        <w:cr/>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point (b) below, document production will be undertaken in accordance with the provisions of Rule 7-1 of the Supreme Court Civil Rules, with the 35 day time limit for initial production under rule 7-1(1) commencing to run on the date of the entry of the certification order.</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Rather than waiting for the delivery of the opposing parties' initial list of documents, counsel for each party will deliver a list of the categories of documents that they expect to see produced by the other side and such delivery shall constitute notice for the purposes of Rules 7-1(10) and 7-1(11).</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anticipated that document production will be completed within three months of the entry of the certification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EXAMINATION FOR DISCOVERY</w:t>
      </w:r>
      <w:r>
        <w:rPr>
          <w:rFonts w:ascii="arial" w:eastAsia="arial" w:hAnsi="arial" w:cs="arial"/>
          <w:sz w:val="20"/>
          <w:lang w:val="en-US" w:eastAsia="en-US" w:bidi="ar-SA"/>
        </w:rPr>
        <w:cr/>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anticipated that initial examinations for discovery of the representative Plaintiffs and of the Defendants and their representatives will be completed within six months of the entry of the certification order.</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waiving the 7 hour restriction under Rule 7-12(2) may be sought by the Plaintiffs.</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counsel for the Plaintiffs does not anticipate it being required, to the extent that the Defendants seek examination of class members pursuant to section 17(2) of the CPA, such application would only be made after the examination for discovery of the representative Plaintiffs has been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POSSIBILITY OF MEDIATION</w:t>
      </w:r>
      <w:r>
        <w:rPr>
          <w:rFonts w:ascii="arial" w:eastAsia="arial" w:hAnsi="arial" w:cs="arial"/>
          <w:sz w:val="20"/>
          <w:lang w:val="en-US" w:eastAsia="en-US" w:bidi="ar-SA"/>
        </w:rPr>
        <w:cr/>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completion of discovery procedures, counsel for the Plaintiffs will consider the possibility of 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CASE MANAGEMENT</w:t>
      </w:r>
      <w:r>
        <w:rPr>
          <w:rFonts w:ascii="arial" w:eastAsia="arial" w:hAnsi="arial" w:cs="arial"/>
          <w:sz w:val="20"/>
          <w:lang w:val="en-US" w:eastAsia="en-US" w:bidi="ar-SA"/>
        </w:rPr>
        <w:cr/>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Active case management pursuant to section 12 of the CPA, to the extent required, will be used to complete the discovery (documentary and oral) process and to prepare the case for trial, including trial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 DETERMINATION / TRIAL OF COMMON ISSUES</w:t>
      </w:r>
      <w:r>
        <w:rPr>
          <w:rFonts w:ascii="arial" w:eastAsia="arial" w:hAnsi="arial" w:cs="arial"/>
          <w:sz w:val="20"/>
          <w:lang w:val="en-US" w:eastAsia="en-US" w:bidi="ar-SA"/>
        </w:rPr>
        <w:cr/>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possible, counsel for the Plaintiffs will attempt to determine if one or more of the common issues certified by the Court can be resolved by way of summary trial pursuant to Rule 9-7 of the Supreme Court Civil Rules. To the extent counsel for the Plaintiffs intends to proceed by this method, advance approval of the Court will be sought.</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resolution of all of the common issues is not possible by way of summary trial, a case management conference will be held at least 28 days before the trial date and the parties will file a trial certificate within 28 days of trial.</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aggregate award is likely to be sought for the punitive damages.</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outcome of the common issues trial, counsel for the Plaintiffs will prepare a proposed notice to class members of the outcome for approval by the Court. The notice will be published in the manner directed by the Court and in accordance with the provisions of section 20 of the CPA.</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the Plaintiffs are successful on one or more of the common issues, it is anticipated that further proceedings may be required in respect of individual damage assessments. Court assistance and direction will be sought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 MEDIATION OF INDIVIDUAL ISSUES</w:t>
      </w:r>
      <w:r>
        <w:rPr>
          <w:rFonts w:ascii="arial" w:eastAsia="arial" w:hAnsi="arial" w:cs="arial"/>
          <w:sz w:val="20"/>
          <w:lang w:val="en-US" w:eastAsia="en-US" w:bidi="ar-SA"/>
        </w:rPr>
        <w:cr/>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expected that the damages of individual class members will be relatively simple for the parties to compute. Mediation will likely be sought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 DETERMINATION OF INDIVIDUAL ISSUES</w:t>
      </w:r>
      <w:r>
        <w:rPr>
          <w:rFonts w:ascii="arial" w:eastAsia="arial" w:hAnsi="arial" w:cs="arial"/>
          <w:sz w:val="20"/>
          <w:lang w:val="en-US" w:eastAsia="en-US" w:bidi="ar-SA"/>
        </w:rPr>
        <w:cr/>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mediation is not successful in respect of individual damage assessments, it is proposed that the Defendants will produce a statement of the benefits received by each class member, both before and after the effective date of the Resolutions.</w:t>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determination of the individual damage assessments will likely be sought by way of summary trial, or as ordered by the Court.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7"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5"/>
          <w:headerReference w:type="default" r:id="rId846"/>
          <w:footerReference w:type="even" r:id="rId847"/>
          <w:footerReference w:type="default" r:id="rId848"/>
          <w:headerReference w:type="first" r:id="rId849"/>
          <w:footerReference w:type="first" r:id="rId8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1" w:history="1">
        <w:r>
          <w:rPr>
            <w:rFonts w:ascii="arial" w:eastAsia="arial" w:hAnsi="arial" w:cs="arial"/>
            <w:b/>
            <w:bCs/>
            <w:i/>
            <w:color w:val="0077CC"/>
            <w:kern w:val="32"/>
            <w:sz w:val="28"/>
            <w:szCs w:val="32"/>
            <w:u w:val="single"/>
            <w:shd w:val="clear" w:color="auto" w:fill="FFFFFF"/>
            <w:lang w:val="en-US" w:eastAsia="en-US" w:bidi="ar-SA"/>
          </w:rPr>
          <w:t>Wiggins v. British Columbia, [2009] B.C.J. No. 222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J.G. Groves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15-19,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S066445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Wiggins, Plaintiff,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8"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3" w:name="Keywords_44"/>
      <w:bookmarkEnd w:id="303"/>
      <w:r>
        <w:rPr>
          <w:rFonts w:ascii="arial" w:eastAsia="arial" w:hAnsi="arial" w:cs="arial"/>
          <w:b/>
          <w:color w:val="000000"/>
          <w:sz w:val="20"/>
          <w:lang w:val="en-US" w:eastAsia="en-US" w:bidi="ar-SA"/>
        </w:rPr>
        <w:t>Civil litigation — Civil procedure — Parties — Class or representative actions — Certification — Procedure — Application by plaintiff to certify class action against province dismissed — Plaintiff claimed he and proposed class were required to pay school fees in contravention of School Act — Plaintiff alleged Minister of Education was negligent in not monitoring school board to ensure such fees were not charged — Nothing in School Act imposed statutory duty on Minister to oversee day-to-day operations of schools boards — Presumption of regularity applied so Minister entitled to assume boards were complying with Act — Insufficient proximity between plaintiff and Minister for any common law duty to attach — Plain and obvious claim would not succeed.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Government law — Crown — Actions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Breach of statutory duty — Application by plaintiff to certify class action against province dismissed — Plaintiff claimed he and proposed class were required to pay school fees in contravention of School Act — Plaintiff alleged Minister of Education was negligent in not monitoring school board to ensure such fees were not charged — Nothing in School Act imposed statutory duty on Minister to oversee day-to-day operations of schools boards — Presumption of regularity applied so Minister entitled to assume boards were complying with Act — Insufficient proximity between plaintiff and Minister for any common law duty to attach — Plain and obvious claim would not succeed.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4" w:name="Case Summary_36"/>
            <w:bookmarkEnd w:id="30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certify a class action against the province. The plaintiff claimed that he and the proposed class were required to pay school fees in contravention of the School Act. The plaintiff alleged that the Minister of Education was negligent and had breach both its statutory and common law duties in not monitoring the school board to ensure compliance with the Act. The defendant argued that it owed no duty of care to the plaintiff, so the plaintiff had no cause of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5" w:name="Holdings of Court_30"/>
            <w:bookmarkEnd w:id="305"/>
            <w:r>
              <w:rPr>
                <w:rFonts w:ascii="arial" w:eastAsia="arial" w:hAnsi="arial" w:cs="arial"/>
                <w:color w:val="000000"/>
                <w:sz w:val="20"/>
                <w:lang w:val="en-US" w:eastAsia="en-US" w:bidi="ar-SA"/>
              </w:rPr>
              <w:t>HELD: The application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action stemmed from the Minster's failure to monitor the school board. However, there was a presumption of regularity and the Minister was entitled to assume that the board was complying with the Act. The harm to the plaintiff, then, was not foreseeable from the Minister's failure to monitor. Furthermore, there was nothing in the Act that expressly required the Minster to oversee day-to-day operations of the Board. While s. 168(2) stated that it "may" make orders to the Board, this was a permissive clause, not a requirement, and the Minster was not a regulatory body. Nothing in the Act supported the claim of a statutory duty owed by the Minister and courts had long recognized that such a claim would attract immunity. Finally, there was insufficient proximity between the plaintiff and the Minister to establish a common law duty of care. Indeed, the plaintiff had never had direct contact with the Minister. It was plain and obvious that the plaintiff's claim could not succeed.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6" w:name="Legislation Cited_30"/>
      <w:bookmarkEnd w:id="3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9"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852" w:history="1">
        <w:r>
          <w:rPr>
            <w:rFonts w:ascii="arial" w:eastAsia="arial" w:hAnsi="arial" w:cs="arial"/>
            <w:i/>
            <w:color w:val="0077CC"/>
            <w:sz w:val="20"/>
            <w:u w:val="single"/>
            <w:shd w:val="clear" w:color="auto" w:fill="FFFFFF"/>
            <w:lang w:val="en-US" w:eastAsia="en-US" w:bidi="ar-SA"/>
          </w:rPr>
          <w:t>RSBC 1996, CHAPTER 50, s. 4</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Interpretation Act, </w:t>
      </w:r>
      <w:r>
        <w:rPr>
          <w:rFonts w:ascii="arial" w:eastAsia="arial" w:hAnsi="arial" w:cs="arial"/>
          <w:i/>
          <w:color w:val="000000"/>
          <w:sz w:val="20"/>
          <w:lang w:val="en-US" w:eastAsia="en-US" w:bidi="ar-SA"/>
        </w:rPr>
        <w:t>RSBC 1996, CHAPTER 238, s.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School Act, </w:t>
      </w:r>
      <w:hyperlink r:id="rId853" w:history="1">
        <w:r>
          <w:rPr>
            <w:rFonts w:ascii="arial" w:eastAsia="arial" w:hAnsi="arial" w:cs="arial"/>
            <w:i/>
            <w:color w:val="0077CC"/>
            <w:sz w:val="20"/>
            <w:u w:val="single"/>
            <w:shd w:val="clear" w:color="auto" w:fill="FFFFFF"/>
            <w:lang w:val="en-US" w:eastAsia="en-US" w:bidi="ar-SA"/>
          </w:rPr>
          <w:t>RSBC 1996, CHAPTER 412, s. 30</w:t>
        </w:r>
      </w:hyperlink>
      <w:r>
        <w:rPr>
          <w:rFonts w:ascii="arial" w:eastAsia="arial" w:hAnsi="arial" w:cs="arial"/>
          <w:color w:val="000000"/>
          <w:sz w:val="20"/>
          <w:lang w:val="en-US" w:eastAsia="en-US" w:bidi="ar-SA"/>
        </w:rPr>
        <w:t>, s. 65, s. 75, s. 82(1), s. 82(3), s. 157-166, s. 168(2)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7" w:name="Counsel_44"/>
      <w:bookmarkEnd w:id="30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0"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Poyner and P.J. Poyner.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 MacLachlan, Q.C., E.W.H. Hughes and T.S. Rogers.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8" w:name="Judgment_43"/>
      <w:bookmarkEnd w:id="308"/>
      <w:r>
        <w:pict>
          <v:line id="_x0000_s1241"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9" w:name="J.G. GROVES J."/>
            <w:bookmarkEnd w:id="309"/>
            <w:r>
              <w:rPr>
                <w:rFonts w:ascii="arial" w:eastAsia="arial" w:hAnsi="arial" w:cs="arial"/>
                <w:b/>
                <w:color w:val="000000"/>
                <w:sz w:val="30"/>
                <w:lang w:val="en-US" w:eastAsia="en-US" w:bidi="ar-SA"/>
              </w:rPr>
              <w:t>J.G. GROVES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brought by the plaintiff, John Wiggins, seeking an order for certification of a class action proceeding against the defendant,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claims that he, and others in the proposed class, paid school fees, as required by school boards, in contravention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412</w:t>
      </w:r>
      <w:r>
        <w:rPr>
          <w:rFonts w:ascii="arial" w:eastAsia="arial" w:hAnsi="arial" w:cs="arial"/>
          <w:color w:val="000000"/>
          <w:sz w:val="20"/>
          <w:lang w:val="en-US" w:eastAsia="en-US" w:bidi="ar-SA"/>
        </w:rPr>
        <w:t>, and the School Board Fees Order, Ministerial Order 125/90.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cause of action alleged against the defendant by the plaintiff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clams that the defendant is in breach of a statutory and common law duty to "monitor and control" the school boards to ensure that there is no collection of unauthorized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submits that there is no such duty of care owed to the plaintiff in law, and thus the application for certification cannot succeed, as it fails to meet the threshold requirement to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Legislative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governs the delivery of education in the province, allocating responsibility between the Minister and school boards (now referred to as boards of education), as well as teachers and parents. The Minister outlines the standards required for learning outcomes, and sets policy for the implementation of educational services. This authority is discretionary, as according to s. 168(2), "the minister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make orders for the purpose of carrying out any of the minister's powers, duties or functions under this Act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Section 75 of the statute delegates authority for the provision of education programs to boards of education. Boards of education are established by s. 30, and pursuant to s. 65, have corporate status. As boards operate as independent entities, overseen by trustees elected by district residents, they have considerable operational discretion in the day-to-day programming of educational services 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provision dealing with fees is as follows:</w:t>
      </w:r>
      <w:r>
        <w:rPr>
          <w:rFonts w:ascii="arial" w:eastAsia="arial" w:hAnsi="arial" w:cs="arial"/>
          <w:sz w:val="20"/>
          <w:lang w:val="en-US" w:eastAsia="en-US" w:bidi="ar-SA"/>
        </w:rPr>
        <w:cr/>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board must provide free of charge to every student of school age resident in British Columbia and enrolled in an educational program in a school operated by the board:</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instruction in an educational program sufficient to meet general requirements for graduation,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educational resource materials necessary to participate in the educational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addition, under s. 82(3), the boards have the authority to charge fees at their discretion, subject to the Minister's orders, for goods and services that the boards provide. Thus,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delegates the decisions regarding the charging of fees to the boards of education, subject to the statutory provisions, and the Minister's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School Board Fees Order provides specific guidance to boards of education regarding the proper use of school fees: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board shall not charge fees for goods and services provided by the board to students of school age resident in the school district without which the student could not meet required learning outcomes or assessment requirements of an educational program provided by the board.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board may charge fees to school age students resident in the school district for</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materials used in goods that are intended for the student to take home for personal use or as a gift;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of paper, writing tools, calculators, student planners, exercise books, computer diskettes and other school supplies and equipment for a student's personal use; and</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rental of a musical instrument for a student's personal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board must not charge fees for goods and services under sections 4 and 5 except where the board has established policies and procedures to facilitate participation in activities by school age students resident in the school district who would otherwise be excluded due to financial hardship.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Young v. B.C. (Minister of Education)</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2006 BCSC 1415</w:t>
        </w:r>
      </w:hyperlink>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60 B.C.L.R. (4th) 163</w:t>
        </w:r>
      </w:hyperlink>
      <w:r>
        <w:rPr>
          <w:rFonts w:ascii="arial" w:eastAsia="arial" w:hAnsi="arial" w:cs="arial"/>
          <w:color w:val="000000"/>
          <w:sz w:val="20"/>
          <w:lang w:val="en-US" w:eastAsia="en-US" w:bidi="ar-SA"/>
        </w:rPr>
        <w:t>, Johnston J. interpreted s. 82(1) and the School Board Fees Order as follows: "... a school board is not permitted to charge students fees for any materials ... that are required for students to successfully complete a course leading to graduation"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Certification of Class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R.S.B.C. 1996, c. 50, s. 4</w:t>
        </w:r>
      </w:hyperlink>
      <w:r>
        <w:rPr>
          <w:rFonts w:ascii="arial" w:eastAsia="arial" w:hAnsi="arial" w:cs="arial"/>
          <w:color w:val="000000"/>
          <w:sz w:val="20"/>
          <w:lang w:val="en-US" w:eastAsia="en-US" w:bidi="ar-SA"/>
        </w:rPr>
        <w:t>(1), sets out the criteria required for a class action certification:</w:t>
      </w:r>
      <w:r>
        <w:rPr>
          <w:rFonts w:ascii="arial" w:eastAsia="arial" w:hAnsi="arial" w:cs="arial"/>
          <w:sz w:val="20"/>
          <w:lang w:val="en-US" w:eastAsia="en-US" w:bidi="ar-SA"/>
        </w:rPr>
        <w:cr/>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certify a proceeding as a class proceeding on an application under section 2 or 3 if all of the following requirements are met: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9"/>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Thus the plaintiff must first satisfy the threshold requirement that the statement of claim supports a cause of action. The case law has established that the relevant legal test for determining whether or not a plaintiff has disclosed a cause of action required by s. 4(1)(a)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is "... in essence an application under R. 19(24) of the British Columbia Rules of Court that the pleading discloses no reasonable cause of action": </w:t>
      </w:r>
      <w:r>
        <w:rPr>
          <w:rFonts w:ascii="arial" w:eastAsia="arial" w:hAnsi="arial" w:cs="arial"/>
          <w:b/>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(1998), 48 B.C.L.R. (3d) 90</w:t>
        </w:r>
      </w:hyperlink>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157 D.L.R. (4th) 465</w:t>
        </w:r>
      </w:hyperlink>
      <w:r>
        <w:rPr>
          <w:rFonts w:ascii="arial" w:eastAsia="arial" w:hAnsi="arial" w:cs="arial"/>
          <w:color w:val="000000"/>
          <w:sz w:val="20"/>
          <w:lang w:val="en-US" w:eastAsia="en-US" w:bidi="ar-SA"/>
        </w:rPr>
        <w:t xml:space="preserve"> at para. 6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Thus the standard for demonstrating a cause of action for the purposes of s. 4(1)(a) is low. In </w:t>
      </w:r>
      <w:r>
        <w:rPr>
          <w:rFonts w:ascii="arial" w:eastAsia="arial" w:hAnsi="arial" w:cs="arial"/>
          <w:b/>
          <w:i/>
          <w:color w:val="000000"/>
          <w:sz w:val="20"/>
          <w:lang w:val="en-US" w:eastAsia="en-US" w:bidi="ar-SA"/>
        </w:rPr>
        <w:t>Brogaard v. Canada (Attorney General)</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2002 BCSC 1149</w:t>
        </w:r>
      </w:hyperlink>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7 B.C.L.R. (4th) 358</w:t>
        </w:r>
      </w:hyperlink>
      <w:r>
        <w:rPr>
          <w:rFonts w:ascii="arial" w:eastAsia="arial" w:hAnsi="arial" w:cs="arial"/>
          <w:color w:val="000000"/>
          <w:sz w:val="20"/>
          <w:lang w:val="en-US" w:eastAsia="en-US" w:bidi="ar-SA"/>
        </w:rPr>
        <w:t xml:space="preserve"> at para. 30, Allan J. observed the following: "[i]t is beyond dispute that the Court will refuse to certify an action on the basis that the pleadings do not disclose a cause of action only if it is plain and obvious that the plaintiffs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 submits that the cause of action advanced by the plaintiff,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cannot be supported. According to the defendant, the law does not recognize any such cause of action for breach of statutory duty, or any other related common law duty absent establishing a sufficient proximity of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argues that the question of whether the pleadings disclose a cause of action has already been pronounced on, in the November 14, 2007 ruling of Madam Justice Garson. That order dealt with the plaintiff's application to amend the statement of claim. In granting the application, Garson J. decided, at para. 17, that "I cannot say that these pleadings are so deficient that they do not meet the low threshold to allow the application". However, as the defendant argues, these are two separate proceedings. The issue squarely before the court in that proceeding was not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and the purpose was not to undertake a comprehensive analysis on the "no cause of action" claim argued by the defendant in this proceeding. There were not any submissions made with respect to this issue before Garson J. This is a proceeding dealing with an application for class action certification, and as such, requires a careful analysis under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s. 4(1)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Do the Pleadings Disclose a Cause of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To succeed with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the plaintiff must demonstrate that there is a duty of care owed by the defendant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The </w:t>
      </w:r>
      <w:r>
        <w:rPr>
          <w:rFonts w:ascii="arial" w:eastAsia="arial" w:hAnsi="arial" w:cs="arial"/>
          <w:b/>
          <w:i/>
          <w:color w:val="000000"/>
          <w:sz w:val="20"/>
          <w:u w:val="single"/>
          <w:lang w:val="en-US" w:eastAsia="en-US" w:bidi="ar-SA"/>
        </w:rPr>
        <w:t>Anns</w:t>
      </w:r>
      <w:r>
        <w:rPr>
          <w:rFonts w:ascii="arial" w:eastAsia="arial" w:hAnsi="arial" w:cs="arial"/>
          <w:color w:val="000000"/>
          <w:sz w:val="20"/>
          <w:u w:val="single"/>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Whether a duty of care exists must be determined under the two-stage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as explained by the Supreme Court of Canada in </w:t>
      </w:r>
      <w:r>
        <w:rPr>
          <w:rFonts w:ascii="arial" w:eastAsia="arial" w:hAnsi="arial" w:cs="arial"/>
          <w:b/>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applying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The court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framed the appropriate analysis as follows,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two questions arise: (1) was the harm that occurred the reasonably foreseeable consequence of the defendant's act? and (2) are there reasons, notwithstanding the proximity between the parties established in the first part of this test, that tort liability should not be recognized here? The proximity analysis involved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focuses on factors arising from the </w:t>
      </w:r>
      <w:r>
        <w:rPr>
          <w:rFonts w:ascii="arial" w:eastAsia="arial" w:hAnsi="arial" w:cs="arial"/>
          <w:color w:val="000000"/>
          <w:sz w:val="20"/>
          <w:u w:val="single"/>
          <w:lang w:val="en-US" w:eastAsia="en-US" w:bidi="ar-SA"/>
        </w:rPr>
        <w:t>relationship</w:t>
      </w:r>
      <w:r>
        <w:rPr>
          <w:rFonts w:ascii="arial" w:eastAsia="arial" w:hAnsi="arial" w:cs="arial"/>
          <w:color w:val="000000"/>
          <w:sz w:val="20"/>
          <w:lang w:val="en-US" w:eastAsia="en-US" w:bidi="ar-SA"/>
        </w:rPr>
        <w:t xml:space="preserve"> between the plaintiff and the defendant. These factors include questions of policy, in the broad sense of that word. If foreseeability and proximity are established at the first stage,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At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question still remains whether there are residual policy considerations outside the relationship of the parties that may negative the imposition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Thus the first question in the</w:t>
      </w:r>
      <w:r>
        <w:rPr>
          <w:rFonts w:ascii="arial" w:eastAsia="arial" w:hAnsi="arial" w:cs="arial"/>
          <w:b/>
          <w:i/>
          <w:color w:val="000000"/>
          <w:sz w:val="20"/>
          <w:lang w:val="en-US" w:eastAsia="en-US" w:bidi="ar-SA"/>
        </w:rPr>
        <w:t xml:space="preserve"> Anns</w:t>
      </w:r>
      <w:r>
        <w:rPr>
          <w:rFonts w:ascii="arial" w:eastAsia="arial" w:hAnsi="arial" w:cs="arial"/>
          <w:color w:val="000000"/>
          <w:sz w:val="20"/>
          <w:lang w:val="en-US" w:eastAsia="en-US" w:bidi="ar-SA"/>
        </w:rPr>
        <w:t xml:space="preserve"> analysis is whether the circumstances disclose reasonably foreseeable harm and proximity sufficient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 explained by the Supreme Court of Canada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para. 31, proximity is generally established by reference to categories that have developed through the jurisprudence. In cases where a relationship of proximity is proposed that does not fit within a pre-existing category of duty of care, it is necessary to determine whether there is sufficient proximity between the parties to recognize a new duty of care. That is, it was put at para. 42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were the parties in "a close and direct relationship ... making it just to impose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offered the following guidance in regards to defining the proximity of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As this Court stated in </w:t>
            </w:r>
            <w:r>
              <w:rPr>
                <w:rFonts w:ascii="arial" w:eastAsia="arial" w:hAnsi="arial" w:cs="arial"/>
                <w:i/>
                <w:color w:val="000000"/>
                <w:sz w:val="18"/>
                <w:lang w:val="en-US" w:eastAsia="en-US" w:bidi="ar-SA"/>
              </w:rPr>
              <w:t>Hercules Management Ltd. v. Ernst &amp; Young</w:t>
            </w:r>
            <w:r>
              <w:rPr>
                <w:rFonts w:ascii="arial" w:eastAsia="arial" w:hAnsi="arial" w:cs="arial"/>
                <w:color w:val="000000"/>
                <w:sz w:val="18"/>
                <w:lang w:val="en-US" w:eastAsia="en-US" w:bidi="ar-SA"/>
              </w:rPr>
              <w:t xml:space="preserve">, </w:t>
            </w:r>
            <w:hyperlink r:id="rId857" w:history="1">
              <w:r>
                <w:rPr>
                  <w:rFonts w:ascii="arial" w:eastAsia="arial" w:hAnsi="arial" w:cs="arial"/>
                  <w:i/>
                  <w:color w:val="0077CC"/>
                  <w:sz w:val="18"/>
                  <w:u w:val="single"/>
                  <w:shd w:val="clear" w:color="auto" w:fill="FFFFFF"/>
                  <w:lang w:val="en-US" w:eastAsia="en-US" w:bidi="ar-SA"/>
                </w:rPr>
                <w:t>[1997] 2 S.C.R. 165</w:t>
              </w:r>
            </w:hyperlink>
            <w:r>
              <w:rPr>
                <w:rFonts w:ascii="arial" w:eastAsia="arial" w:hAnsi="arial" w:cs="arial"/>
                <w:color w:val="000000"/>
                <w:sz w:val="18"/>
                <w:lang w:val="en-US" w:eastAsia="en-US" w:bidi="ar-SA"/>
              </w:rPr>
              <w:t xml:space="preserve"> (S.C.C.) at para. 24, </w:t>
            </w:r>
            <w:r>
              <w:rPr>
                <w:rFonts w:ascii="arial" w:eastAsia="arial" w:hAnsi="arial" w:cs="arial"/>
                <w:i/>
                <w:color w:val="000000"/>
                <w:sz w:val="18"/>
                <w:lang w:val="en-US" w:eastAsia="en-US" w:bidi="ar-SA"/>
              </w:rPr>
              <w:t>per</w:t>
            </w:r>
            <w:r>
              <w:rPr>
                <w:rFonts w:ascii="arial" w:eastAsia="arial" w:hAnsi="arial" w:cs="arial"/>
                <w:color w:val="000000"/>
                <w:sz w:val="18"/>
                <w:lang w:val="en-US" w:eastAsia="en-US" w:bidi="ar-SA"/>
              </w:rPr>
              <w:t xml:space="preserve"> La Forest J.:</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label 'proximity', as it was used by Lord Wilberforce in </w:t>
      </w:r>
      <w:r>
        <w:rPr>
          <w:rFonts w:ascii="arial" w:eastAsia="arial" w:hAnsi="arial" w:cs="arial"/>
          <w:i/>
          <w:color w:val="000000"/>
          <w:sz w:val="20"/>
          <w:lang w:val="en-US" w:eastAsia="en-US" w:bidi="ar-SA"/>
        </w:rPr>
        <w:t>Anns, supra</w:t>
      </w:r>
      <w:r>
        <w:rPr>
          <w:rFonts w:ascii="arial" w:eastAsia="arial" w:hAnsi="arial" w:cs="arial"/>
          <w:color w:val="000000"/>
          <w:sz w:val="20"/>
          <w:lang w:val="en-US" w:eastAsia="en-US" w:bidi="ar-SA"/>
        </w:rPr>
        <w:t xml:space="preserve">, was clearly intended to connote that the circumstances of the relationship inhering between the plaintiff and the defendant are of </w:t>
      </w:r>
      <w:r>
        <w:rPr>
          <w:rFonts w:ascii="arial" w:eastAsia="arial" w:hAnsi="arial" w:cs="arial"/>
          <w:color w:val="000000"/>
          <w:sz w:val="20"/>
          <w:u w:val="single"/>
          <w:lang w:val="en-US" w:eastAsia="en-US" w:bidi="ar-SA"/>
        </w:rPr>
        <w:t>such a nature that the defendant may be said to be under an obligation to be mindful of the plaintiff's legitimate interests in conducting his or her affairs.</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Defining the relationship may involve looking at expectations, representations, reliance, and the property or other interests involved. Essentially, these are factors that allow us to evaluate the closeness of the relationship between the plaintiff and the defendant and to determine whether it is just and fair having regard to that relationship to impose a duty of care in law upon the defendant.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Finally, pursuant to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para. 43, as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is the source of the Province's powers in the area of education, "... the factors giving rise to proximity, if they exist, must arise from the statute" under which the Minister is appointed.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My understanding of the plaintiff's argument is that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arose when the Minister allegedly failed to monitor the compliance of the boards of education with s. 82(1)(a)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and the School Board Fees Order with regard to the charging of school fees. As it appears both parties acknowledge, the claim that the Province has a duty to individual parents with regard to the actions of boards of education is novel, and does not fall within nor is it analogous to an established category of cases recognizing a duty of care. Thus it is necessary to engage in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analysis to determine whether there is sufficient foreseeability and proximity to support a duty of care.</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Was there foreseeability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first question in the analytical framework is whether the harm that occurred, the plaintiff's claimed economic loss, was the reasonably foreseeable consequence of the defendant's act, the alleged failure to monitor the boards' actions in regards to the charging of school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Whatever the defendant's duty is found to be in the circumstances, the Province expects, and is entitled to assume, that the boards of education will comply with the School Board Fees Order. Indeed, there is a presumption of regularity with respect to the performance of a statutory duty by a public officer, reflected in the maxim </w:t>
      </w:r>
      <w:r>
        <w:rPr>
          <w:rFonts w:ascii="arial" w:eastAsia="arial" w:hAnsi="arial" w:cs="arial"/>
          <w:i/>
          <w:color w:val="000000"/>
          <w:sz w:val="20"/>
          <w:lang w:val="en-US" w:eastAsia="en-US" w:bidi="ar-SA"/>
        </w:rPr>
        <w:t>omnia praesumuntur rite esse acta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Clare v. Thomson</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(1993), 25 B.C.A.C. 146</w:t>
        </w:r>
      </w:hyperlink>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83 B.C.L.R. (2d) 263</w:t>
        </w:r>
      </w:hyperlink>
      <w:r>
        <w:rPr>
          <w:rFonts w:ascii="arial" w:eastAsia="arial" w:hAnsi="arial" w:cs="arial"/>
          <w:color w:val="000000"/>
          <w:sz w:val="20"/>
          <w:lang w:val="en-US" w:eastAsia="en-US" w:bidi="ar-SA"/>
        </w:rPr>
        <w:t xml:space="preserve"> at para. 23. The obligation to comply with the law in the charging of school fees lies with the bodies entrusted with the collection of the fees, the boards of education, not the Minister. Thus the plaintiff cannot establish that his harm was the foreseeable consequence of any alleged failure by the Province to monitor boards of education.</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Was there proximity between the parties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Whether there is sufficient proximity to support the claimed duty of care is really the crux of the issue. Unsurprisingly, the parties' positions as to the existence of proximity differ.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noted above, as this case involves litigation against the government, the proximity analysis must begin with the enabling statute. The plaintiff must demonstrate that the relevant legislation provides that the defendant owes a private law duty to individual parents to oversee and monitor the conduct of boards of education with respect to the collection of school fees. The defendant maintains that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does not provide for proximity between the Minister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 alleges that the boards of education are agents of the Province, relying on s. 168(2) and other provisions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The plaintiff claims that these provisions indicate that the Province has exclusive authority for, and control over, educational services within the province. However, as the defendant points out, there is no express provision in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which provides that the boards are agents of the Province, nor is there anything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indicating that the Minister is responsible for monitoring and overseeing the day-to-day operations of the boards. The Ministry of Education is not a regulatory body. In fact, it appears to be a fundamental underlying principle of the legislative regime that the boards operate as independent corporate entities with considerable autonomy, not as agents of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As noted above, s. 168(2)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permits the Minister to make broad rules of general application with respect to the boards' delivery of educational services. The relevant parts of s. 168(2) dealing with school fees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minister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make orders for the purpose of carrying out any of the minister's powers, duties or functions under this Act and, without restriction, may make orders: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governing educational resource materials in support of educational programs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governing fees that may be charged by a board or a francophone education authority, and those fees may be different for different circumstances,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minister otherwise considers advisable to effectively administer this Act or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use of the word "may" means that the Minister's authority under s. 168(2) is discretionary. The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 s. 29</w:t>
      </w:r>
      <w:r>
        <w:rPr>
          <w:rFonts w:ascii="arial" w:eastAsia="arial" w:hAnsi="arial" w:cs="arial"/>
          <w:color w:val="000000"/>
          <w:sz w:val="20"/>
          <w:lang w:val="en-US" w:eastAsia="en-US" w:bidi="ar-SA"/>
        </w:rPr>
        <w:t xml:space="preserve"> provides that: "'may' is to be construed as permissive and empowering". There does not appear to be anything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that suggests that the Minister is required to exercise his or her authority in any particular way, or indeed, at all. The Minister's bare, and discretionary, authority to issue an order does not amount to "control" over the boards, and certainly can not be construed as a duty to monitor and oversee the daily operations of a given board of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Minister's role, as it is conceived on my interpretation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is to establish general standards and formulate policy with respect to the provision of education programs in the province. In contrast, the actual delivery of educational programs, and the day-to-day operational decisions that this encompasses, such as the charging of school fees, is clearly delegated to the boards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specifically ss. 75, 82(1) and 82(3) as noted above. Note the use of the term "must" in the provision, as compared to the language in s. 168(2):</w:t>
      </w:r>
      <w:r>
        <w:rPr>
          <w:rFonts w:ascii="arial" w:eastAsia="arial" w:hAnsi="arial" w:cs="arial"/>
          <w:sz w:val="20"/>
          <w:lang w:val="en-US" w:eastAsia="en-US" w:bidi="ar-SA"/>
        </w:rPr>
        <w:cr/>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board </w:t>
      </w:r>
      <w:r>
        <w:rPr>
          <w:rFonts w:ascii="arial" w:eastAsia="arial" w:hAnsi="arial" w:cs="arial"/>
          <w:color w:val="000000"/>
          <w:sz w:val="20"/>
          <w:u w:val="single"/>
          <w:lang w:val="en-US" w:eastAsia="en-US" w:bidi="ar-SA"/>
        </w:rPr>
        <w:t>must</w:t>
      </w:r>
      <w:r>
        <w:rPr>
          <w:rFonts w:ascii="arial" w:eastAsia="arial" w:hAnsi="arial" w:cs="arial"/>
          <w:color w:val="000000"/>
          <w:sz w:val="20"/>
          <w:lang w:val="en-US" w:eastAsia="en-US" w:bidi="ar-SA"/>
        </w:rPr>
        <w:t xml:space="preserve"> provide free of charge to every student of school age resident in British Columbia and enrolled in an educational program in a school operated by the board:</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instruction in an educational program sufficient to meet general requirements for graduation,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educational resource materials necessary to participate in the educational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obvious conclusion to draw is that the boards have a mandatory duty, they </w:t>
      </w:r>
      <w:r>
        <w:rPr>
          <w:rFonts w:ascii="arial" w:eastAsia="arial" w:hAnsi="arial" w:cs="arial"/>
          <w:color w:val="000000"/>
          <w:sz w:val="20"/>
          <w:u w:val="single"/>
          <w:lang w:val="en-US" w:eastAsia="en-US" w:bidi="ar-SA"/>
        </w:rPr>
        <w:t>must,</w:t>
      </w:r>
      <w:r>
        <w:rPr>
          <w:rFonts w:ascii="arial" w:eastAsia="arial" w:hAnsi="arial" w:cs="arial"/>
          <w:color w:val="000000"/>
          <w:sz w:val="20"/>
          <w:lang w:val="en-US" w:eastAsia="en-US" w:bidi="ar-SA"/>
        </w:rPr>
        <w:t xml:space="preserve"> provide free education programs sufficient to meet graduation requirements, while the government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enact policy directives with regard to education programming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boards of education, as enabled by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exercise substantial discretion with respect to the day-to-day decisions about education programs, independent of the Minister. In </w:t>
      </w:r>
      <w:r>
        <w:rPr>
          <w:rFonts w:ascii="arial" w:eastAsia="arial" w:hAnsi="arial" w:cs="arial"/>
          <w:b/>
          <w:i/>
          <w:color w:val="000000"/>
          <w:sz w:val="20"/>
          <w:lang w:val="en-US" w:eastAsia="en-US" w:bidi="ar-SA"/>
        </w:rPr>
        <w:t>Chamberlain v. Surrey School District No. 36</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2002 SCC 86</w:t>
        </w:r>
      </w:hyperlink>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[2002] 4 S.C.R. 710</w:t>
        </w:r>
      </w:hyperlink>
      <w:r>
        <w:rPr>
          <w:rFonts w:ascii="arial" w:eastAsia="arial" w:hAnsi="arial" w:cs="arial"/>
          <w:color w:val="000000"/>
          <w:sz w:val="20"/>
          <w:lang w:val="en-US" w:eastAsia="en-US" w:bidi="ar-SA"/>
        </w:rPr>
        <w:t xml:space="preserve"> at para. 28, the Supreme Court of Canada made the following observations about school boards in British Columbia: "... like legislatures and municipal councils, school boards are elected bodies, endowed with rule-making and decision-making powers through which they are intended to further the interests of their constituents".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 appears to rely on the provisions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dealing with financial accounting, ss. 157 to 166, in support of the claim that the Minister should have been aware of any unauthorized charging of fees, and should have acted on it. With respect, I do not read the provisions in that light. Taken together, they essentially require the board, not the Minister, to prepare annual financial statements, and appoint an auditor to review the statements. Under s. 162, this auditor has a duty to report any irregularities to the board and to the Minister. Thus the statute simply requires that the Minister be informed of any financial irregularities. It does not impose a duty on the Minister to engage in a structured regime of monitoring fees collection, nor does it state that the Minister is ultimately responsible for any such irregularities.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With respect, nothing in the governing statute itself,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supports that plaintiff's assertion that the Province has a statutory duty to monitor and control the compliance of boards of education with law and policy regarding the charging of school fees. As the defendant submits, the purpose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is to establish a structure for the provision of educational services by independent boards. The statute clearly envisions boards of education as independent, elected bodies that operate with considerable autonomy. As such, the imposition of liability on the Province for the failure to control or monitor the schools or boards is contrary to the scheme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To the extent that the plaintiff relies on a claim of breach of a statutory duty, such a claim has already been recognized by the courts on numerous occasions as attracting immunity for government defendants. The Supreme Court of Canada has repeatedly held that there is no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 breach of statutory duty. As the court most recently commented in </w:t>
      </w:r>
      <w:r>
        <w:rPr>
          <w:rFonts w:ascii="arial" w:eastAsia="arial" w:hAnsi="arial" w:cs="arial"/>
          <w:b/>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294 D.L.R. (4th) 193</w:t>
        </w:r>
      </w:hyperlink>
      <w:r>
        <w:rPr>
          <w:rFonts w:ascii="arial" w:eastAsia="arial" w:hAnsi="arial" w:cs="arial"/>
          <w:color w:val="000000"/>
          <w:sz w:val="20"/>
          <w:lang w:val="en-US" w:eastAsia="en-US" w:bidi="ar-SA"/>
        </w:rPr>
        <w:t xml:space="preserve">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to date has not recognized an action for negligent breach of statutory duty. It is well established that mere breach of a statutory duty does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Queen in Right of Canada v. Saskatchewan Wheat Pool</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143 D.L.R. (3d) 9</w:t>
        </w:r>
      </w:hyperlink>
      <w:r>
        <w:rPr>
          <w:rFonts w:ascii="arial" w:eastAsia="arial" w:hAnsi="arial" w:cs="arial"/>
          <w:color w:val="000000"/>
          <w:sz w:val="20"/>
          <w:lang w:val="en-US" w:eastAsia="en-US" w:bidi="ar-SA"/>
        </w:rPr>
        <w:t>. The proper remedy for breach of statutory duty by a public authority, traditionally viewed, is judicial review for invalidity.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Holland</w:t>
      </w:r>
      <w:r>
        <w:rPr>
          <w:rFonts w:ascii="arial" w:eastAsia="arial" w:hAnsi="arial" w:cs="arial"/>
          <w:color w:val="000000"/>
          <w:sz w:val="20"/>
          <w:lang w:val="en-US" w:eastAsia="en-US" w:bidi="ar-SA"/>
        </w:rPr>
        <w:t xml:space="preserve">, the plaintiffs' claim was framed in an almost identical fashion to the case at bar. The statement of claim of the plaintiff game farmers claimed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Province of Saskatchewan, arguing that the government and its employees "were under a duty of care to the Class to ensure those Acts and Regulations were administered in accordance with law and not to operate in breach of them" (para. 7). The Supreme Court of Canada held that, framed as such, the claim fell into the category of breach of statutory duty, an action that the law does not recognize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Given this clear authority from the Supreme Court of Canada, it is plain and obvious that a claim for negligent breach of statutory duty does not comprise a cause of action in the case at bar. Furthermore, there is insufficient proximity in the relationship between the Province and the plaintiff to support any claim of a common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 recent decision from the Ontario Court of Appeal, </w:t>
      </w:r>
      <w:r>
        <w:rPr>
          <w:rFonts w:ascii="arial" w:eastAsia="arial" w:hAnsi="arial" w:cs="arial"/>
          <w:b/>
          <w:i/>
          <w:color w:val="000000"/>
          <w:sz w:val="20"/>
          <w:lang w:val="en-US" w:eastAsia="en-US" w:bidi="ar-SA"/>
        </w:rPr>
        <w:t>Attis v. Canada (Minister of Health)</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2008 ONCA 660</w:t>
        </w:r>
      </w:hyperlink>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59 C.P.C. (6th) 195</w:t>
        </w:r>
      </w:hyperlink>
      <w:r>
        <w:rPr>
          <w:rFonts w:ascii="arial" w:eastAsia="arial" w:hAnsi="arial" w:cs="arial"/>
          <w:color w:val="000000"/>
          <w:sz w:val="20"/>
          <w:lang w:val="en-US" w:eastAsia="en-US" w:bidi="ar-SA"/>
        </w:rPr>
        <w:t xml:space="preserve">, involves circumstances analogous to the case at bar. The plaintiff appealed the dismissal of a motion for class action certification for want of a cause of action. The plaintiff claimed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Crown in relation to the government's regulation of defective breast implants, arguing that Health Canada had a duty to ensure that all medical devices are safe. The Court of Appeal dismissed the appeal, observing as follows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regulations simply authorized Health Canada to enforce the various aspects of the compliance requirements if it chose to do so. Thus, Health Canada was akin to an overseer or watchdog, able to employ discretionary, but not mandatory, enforcement of the legislative scheme. Having the means to enforce compliance does not translate into an obligation to do so: see </w:t>
      </w:r>
      <w:r>
        <w:rPr>
          <w:rFonts w:ascii="arial" w:eastAsia="arial" w:hAnsi="arial" w:cs="arial"/>
          <w:i/>
          <w:color w:val="000000"/>
          <w:sz w:val="20"/>
          <w:lang w:val="en-US" w:eastAsia="en-US" w:bidi="ar-SA"/>
        </w:rPr>
        <w:t>Street v. Ontario Racing Commission</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(2008), 88 O.R. (3d) 563</w:t>
        </w:r>
      </w:hyperlink>
      <w:r>
        <w:rPr>
          <w:rFonts w:ascii="arial" w:eastAsia="arial" w:hAnsi="arial" w:cs="arial"/>
          <w:color w:val="000000"/>
          <w:sz w:val="20"/>
          <w:lang w:val="en-US" w:eastAsia="en-US" w:bidi="ar-SA"/>
        </w:rPr>
        <w:t xml:space="preserve"> (Ont. C.A.)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court went on to say, at para. 59: "... I conclude that the statute signals an intention that the government's duty is owed to the public as a whole, not to the individual consumer". In addition, the court affirmed that "... the law is clear that the government does not have a proximate relationship to an individual Canadian when it makes decisions of a political, social or economic nature: see </w:t>
      </w:r>
      <w:r>
        <w:rPr>
          <w:rFonts w:ascii="arial" w:eastAsia="arial" w:hAnsi="arial" w:cs="arial"/>
          <w:i/>
          <w:color w:val="000000"/>
          <w:sz w:val="20"/>
          <w:lang w:val="en-US" w:eastAsia="en-US" w:bidi="ar-SA"/>
        </w:rPr>
        <w:t>A.O. Farms Inc. v. Canada</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[2000] F.C.J. No. 1771</w:t>
        </w:r>
      </w:hyperlink>
      <w:r>
        <w:rPr>
          <w:rFonts w:ascii="arial" w:eastAsia="arial" w:hAnsi="arial" w:cs="arial"/>
          <w:color w:val="000000"/>
          <w:sz w:val="20"/>
          <w:lang w:val="en-US" w:eastAsia="en-US" w:bidi="ar-SA"/>
        </w:rPr>
        <w:t xml:space="preserve"> (Fed. T.D.)". This view reflects a fundamentally important principle in government litigation. When the government makes policy decisions, as it did in this case by issuing the School Boards Fees Order, it owes a duty to the public, and not to an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Even where the legislation has provided a duty to monitor, the Supreme Court of Canada has held that it is not the basis for a private law duty of care where there is insufficient proximity: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In that case, the plaintiffs, the parents of Manish Odhavji, who was shot and killed by the Toronto police, sued the police, the Police Services Board and the Province of Ontario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alleging that the police breached a statutory duty to cooperate. Against the Province, the parents alleged that it breached its duty based on the </w:t>
      </w:r>
      <w:r>
        <w:rPr>
          <w:rFonts w:ascii="arial" w:eastAsia="arial" w:hAnsi="arial" w:cs="arial"/>
          <w:b/>
          <w:i/>
          <w:color w:val="000000"/>
          <w:sz w:val="20"/>
          <w:lang w:val="en-US" w:eastAsia="en-US" w:bidi="ar-SA"/>
        </w:rPr>
        <w:t>Public Services Act</w:t>
      </w:r>
      <w:r>
        <w:rPr>
          <w:rFonts w:ascii="arial" w:eastAsia="arial" w:hAnsi="arial" w:cs="arial"/>
          <w:color w:val="000000"/>
          <w:sz w:val="20"/>
          <w:lang w:val="en-US" w:eastAsia="en-US" w:bidi="ar-SA"/>
        </w:rPr>
        <w:t xml:space="preserve"> to ensure that police cooperate with investigations.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imposed a general duty on the Solicitor General to monitor the police "to ensure that adequate and effective police services are provided"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Despite this provision, the Supreme Court of Canada dismissed the plaintiff's claim against the Province because: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lack of any direct involvement in the day-to-day conduct of the members of the force substantially weakens the nexus between the Province and the plaintiffs. The Province simply is too far removed from the day-to-day conduct of members of the force to be under a private law obligation to ensure that members of the force cooperate ...". (at para.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Likewise, in the case at bar, the Province does not have any direct involvement in the day-today conduct of the boards of education, and is simply too far removed from the daily activities of the boards to be under a private law obligation to ensure compliance with the law and policy governing the collection of school fees, a duty clearly delegated to the boards. Moreover,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does not contemplate that the Minister will have contact with parents or students on a day-to-day basis-that is the clearly delineated role of the boards of education and the schools. Indeed, there is nothing to suggest that the plaintiff Mr. Wiggins had any direct contact with the Minister. The bare fact that the Minister issued a binding policy order as to the collection of school fees by boards of education does not translate into any sort of relationship between the Minister and a parent who then contests the manner in which those fees were collected. The key player missing in this approach is the entity actually responsible for collecting the school fees in compliance with the law and the Minister's orders-the board of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has failed to demonstrate that there is sufficient proximity between the parties to support a common law duty of care. The relevant provisions of the governing statute and considerable case law indicate that it is plain and obvious that the parties were not in "a close and direct relationship ... making it just to impose a duty of care".</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Policy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Even if the plaintiff did succeed in establishing that the Minister has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to him in respect of the charging of school fees, residual policy concerns militate against the recognition of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 argues that the finding of a duty that could attract government liability in the circumstances of this case raises the following concerns: the Ministry would be faced with the prospect of unlimited liability, and the traditional approach to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governmental action, for which the remedy is a declaration or a prerogative remedy, would be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contention that the government could potentially be liable to private individuals, not for any action of the government, but for the actions of an independent school board in the course of carrying out government policy, extends accepted boundaries of the duty of care far beyond any scope previously acknowledged at law. For obvious reasons, the policy implications, including indeterminate liability, are significant. Moreover, it places the courts in the position of delineating the scope and extent of the powers of the government and government bodies, a task that clearly lies with the legislature.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Holland</w:t>
      </w:r>
      <w:r>
        <w:rPr>
          <w:rFonts w:ascii="arial" w:eastAsia="arial" w:hAnsi="arial" w:cs="arial"/>
          <w:color w:val="000000"/>
          <w:sz w:val="20"/>
          <w:lang w:val="en-US" w:eastAsia="en-US" w:bidi="ar-SA"/>
        </w:rPr>
        <w:t xml:space="preserve">, para. 10, the Supreme Court of Canada confirmed that the plaintiffs' action for breach of statutory duty was not recognized in law, but went on to note that even if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was established, policy considerations would negate a recognition of liability. These policy concerns, as explained by the Court of Appeal decision, included the "specter of indeterminate liability" and a fundamental shift in the traditional distinction between public law and private law remedies. Both concerns apply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Moreover, as stated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para. 38, "it is established that government actors are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policy decisions". The contention that the government owes a duty to a private individual for claims relating to the way in which policy was carried out by an independent school board runs counter to the long-standing principle that governments are immune from liability for policy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Finally, it must be noted that the wrong-doing pled by the plaintiff is that of the boards of education, not the Province. The claim against the Province relies on the plaintiff substantiating the allegation that the boards acted in contravention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and the School Board Fees Order. As the defendant argues, "the claim is misconceived as it seeks to impose at the very least binding declaratory relief against the boards, which are independent legal entities under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for their alleged actionable wrongdoing, without seeking to join them in the action". The comments of Johnston J. in </w:t>
      </w:r>
      <w:r>
        <w:rPr>
          <w:rFonts w:ascii="arial" w:eastAsia="arial" w:hAnsi="arial" w:cs="arial"/>
          <w:b/>
          <w:i/>
          <w:color w:val="000000"/>
          <w:sz w:val="20"/>
          <w:lang w:val="en-US" w:eastAsia="en-US" w:bidi="ar-SA"/>
        </w:rPr>
        <w:t>Young</w:t>
      </w:r>
      <w:r>
        <w:rPr>
          <w:rFonts w:ascii="arial" w:eastAsia="arial" w:hAnsi="arial" w:cs="arial"/>
          <w:color w:val="000000"/>
          <w:sz w:val="20"/>
          <w:lang w:val="en-US" w:eastAsia="en-US" w:bidi="ar-SA"/>
        </w:rPr>
        <w:t xml:space="preserve"> are worth noting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school boards are parties to this action. I will not infer that any of them are acting contrary to law, even inadvertently. Any suggestion that any school board is charging fees not permitted by the Act should be explored in an action supported by admissible evidence, and with the necessary parties before the court.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conclude that it is plain and obvious that the plaintiff cannot succeed in his claim that the defendant the Province of British Columbia owes a duty of care as pled by the plaintiff. As a result, the pleadings fail to disclose a cause of action. As the plaintiff has failed to meet the threshold requirement of the class action certification criteria, it is unnecessary to proceed any further in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application for certification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J.G. GROVES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2"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Wong v. Transamerica Life Canada, [2014] B.C.J. No. 148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B.I. 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S084050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30 C.C.L.I. (5th) 319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237 A.C.W.S. (3d) 882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219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Nelly Wong and Hoi To Wong, Plaintiffs, and Transamerica Life Canada, Kalano Jang, Trillion Financial Corp. doing business as Trillion Financial Group, Billion Financial Corp. doing business as Billion Financial Group, Anna Wong aka Anna Chang Wong, Pham Ngoc Professional Corporation doing business as Minh Ngoc Pham Law Office, Erica Minh-Ngoc Pham Thi aka Minh Ngoc Thi Pham and Allen Wong and Associates Insurance Agency Limited, Defendants, and Kalano Jang, Trillion Financial Corp., doing business as Trillion Financial Group, Billion Financial Corp. doing business as Billion Financial Group, Anna Wong aka Chun Yan Anna Wong aka Anna Chang Wong, Pham Ngoc Professional Corporation doing business as Minh-Ngoc Pham Law Office, Erica Minh-Ngoc Pham Thi aka Minh Ngoc Thi Pham,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3"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0" w:name="Keywords_45"/>
      <w:bookmarkEnd w:id="310"/>
      <w:r>
        <w:rPr>
          <w:rFonts w:ascii="arial" w:eastAsia="arial" w:hAnsi="arial" w:cs="arial"/>
          <w:b/>
          <w:color w:val="000000"/>
          <w:sz w:val="20"/>
          <w:lang w:val="en-US" w:eastAsia="en-US" w:bidi="ar-SA"/>
        </w:rPr>
        <w:t xml:space="preserve">Civil litigation — Civil procedure — Pleadings — Amendment of — Statement of claim — Adding subsequent facts — After expiry of limitation period — Prejudice — Application by plaintiffs for leave to file Further Amended Notice of Civil Claim allowed — Plaintiffs claimed damages for vicarious and direct liability,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and breach of duty of good faith against Transamerica for financial advice given by two agents — Plaintiffs sought to amend claim to add facts in support of allegation Transamerica breached duty to supervise or monitor agents despite record of past over-insurance and fraud — Limitation period was not postponed beyond date of agent's termination and had expired — Amendments nonetheless allowed, as Transamerica's lengthy delay in disclosing investigation documents outweighed any prejudice — Limitation Act, ss. 4(4), 6.</w:t>
      </w:r>
    </w:p>
    <w:p>
      <w:pPr>
        <w:jc w:val="both"/>
        <w:rPr>
          <w:rFonts w:ascii="arial" w:eastAsia="arial" w:hAnsi="arial" w:cs="arial"/>
          <w:sz w:val="20"/>
          <w:lang w:val="en-US" w:eastAsia="en-US" w:bidi="ar-SA"/>
        </w:rPr>
      </w:pPr>
      <w:bookmarkStart w:id="311" w:name="Legislation Cited_31"/>
      <w:bookmarkEnd w:id="3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4"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CHAPTER 266, s. 3(5), s. 4(4), s. 6, s. 6(1), s. 6(3)(c), s. 6(3)(d), s. 6(3)(e), s. 6(4)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2" w:name="Counsel_45"/>
      <w:bookmarkEnd w:id="3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5"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D.E.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Transamerica Life Canada: A.S. Dosanjh.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3" w:name="Judgment_44"/>
      <w:bookmarkEnd w:id="313"/>
      <w:r>
        <w:pict>
          <v:line id="_x0000_s1246"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4" w:name="B.I. COHEN J."/>
            <w:bookmarkEnd w:id="314"/>
            <w:r>
              <w:rPr>
                <w:rFonts w:ascii="arial" w:eastAsia="arial" w:hAnsi="arial" w:cs="arial"/>
                <w:b/>
                <w:color w:val="000000"/>
                <w:sz w:val="30"/>
                <w:lang w:val="en-US" w:eastAsia="en-US" w:bidi="ar-SA"/>
              </w:rPr>
              <w:t>B.I. 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apply for leave to file a Further Amended Notice of Civil Claim containing a claim in direct liability against the defendant Transamerica Life Canada ("Transamerica") for breach of an alleged duty on it to supervise or monitor two of its licensed agents, the defendants Kalano Jang ("Jang") and Anna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By way of background, in the Notice of Civil Claim filed June 6, 2008, the plaintiffs claim vicarious liability against Transamerica for the actions of Jang and Anna Wong during the years 2004 to 2005, the period of time the plaintiffs received financial advice from these agents. The plaintiffs also claim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breach of duty of good faith against Transamerica for its dealings with the plaintiffs during the aforementioned period of time as well as after the termination of Transamerica's contract with Jang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Jang and his companies, the defendants Billion Financial Group and Trillion Financial Group, did not file a defence and the plaintiffs have taken default judgment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plaintiffs filed this application on January 2, 2013, and it was heard by me on June 21, 2013. The amendments sought include,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an allegation in proposed para. 67(c) that Transamerica did not supervise or monitor Jang or Anna Wong, despite a record of past investigations for over-insuring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my Reasons for Judgment dated September 25, 2013, and indexed at </w:t>
      </w:r>
      <w:hyperlink r:id="rId871" w:history="1">
        <w:r>
          <w:rPr>
            <w:rFonts w:ascii="arial" w:eastAsia="arial" w:hAnsi="arial" w:cs="arial"/>
            <w:i/>
            <w:color w:val="0077CC"/>
            <w:sz w:val="20"/>
            <w:u w:val="single"/>
            <w:shd w:val="clear" w:color="auto" w:fill="FFFFFF"/>
            <w:lang w:val="en-US" w:eastAsia="en-US" w:bidi="ar-SA"/>
          </w:rPr>
          <w:t>2013 BCSC 1768</w:t>
        </w:r>
      </w:hyperlink>
      <w:r>
        <w:rPr>
          <w:rFonts w:ascii="arial" w:eastAsia="arial" w:hAnsi="arial" w:cs="arial"/>
          <w:color w:val="000000"/>
          <w:sz w:val="20"/>
          <w:lang w:val="en-US" w:eastAsia="en-US" w:bidi="ar-SA"/>
        </w:rPr>
        <w:t xml:space="preserve"> (the "Reasons"), I dismissed the plaintiffs' application relating to the aforementioned proposed amendment, finding that it amounted to a substantially different claim against Transamerica and pleaded a new cause of action. At paras. 15-16 of the Reasons, I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On the other hand, regarding the proposed amendment to para. 67, the plaintiffs have not pleaded any material facts in support of an allegation of breach of duty on the part of Transamerica to supervise or monitor Jang. Indeed, there is no general plea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Transamerica. Rather, para. 62 simply pleads that Transamerica is vicariously liable for the actions of Jang. The material facts pleaded in para. 63 deal with omissions on the part of Transamerica after the termination of Jang.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Thus, I agree with the position of Transamerica. I find the amendment proposed in para. 67(c) amounts to a substantially different claim against it and pleads a new cause of action. Therefore, the proposed amendment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At the initial hearing, the plaintiffs' position was that the addition of proposed para. 67(c) was simply a further particularization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duty allegations contained in the original pleading. It was fully understood and mutually agreed upon between counsel that any limitation issue which may arise in the event that I ruled against the plaintiffs was to be postponed pending my decision, with liberty to the plaintiffs to argue the limitation issue at a later date should it become necessary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October 1, 2013, counsel for the plaintiffs filed an Amended Notice of Application. At the subsequent hearing on November 29, 2013, Transamerica took the position that the plaintiffs should not be permitted to reopen their application to argue the limitation issue since the dismissal of the proposed amendment in para. 67(c) was justified on a separate ground, without the need to consider the limitation period issue, and therefore no further argument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Respectfully, I disagree. The plaintiffs' application was dismissed because I found that para. 67(c) raised a new cause of action. I consider it entirely appropriate that the plaintiffs be permitted to reopen by way of a renewed application for leave to file a Further Amended Notice of Civil Claim setting out the following proposed amendments containing material facts in support of their allegation of Transamerica's failure to supervise:</w:t>
      </w:r>
      <w:r>
        <w:rPr>
          <w:rFonts w:ascii="arial" w:eastAsia="arial" w:hAnsi="arial" w:cs="arial"/>
          <w:sz w:val="20"/>
          <w:lang w:val="en-US" w:eastAsia="en-US" w:bidi="ar-SA"/>
        </w:rPr>
        <w:cr/>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Transamerica is vicariously liable for the actions of Kalano Jang and Anna Wong, its insurance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62a.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Transamerica is directly liable to the Plaintiffs by reason of the following facts.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62b.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In 2000 - 2001, Transamerica conducted an investigation into the practices of Alan Wong and Associates, Trillion, and Kalano Jang. This investigation resulted in Transamerica finding: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80"/>
        <w:gridCol w:w="1858"/>
        <w:gridCol w:w="238"/>
        <w:gridCol w:w="474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evidence of "material misrepresentation as to facts with fraudulent intent, rebating, unethical practice, and the possible obtaining of loans under false pretenses";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(b)</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that the "abuse" involved clients who did not have established assets or income, financial data was padded excessively and misrepresented, loans were arranged under false pretenses, all paperwork was completed in advance and signed in blank, and assets on the clients' financial statements were false, and were in fact loans.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the improper activities were being carried out by or with the knowledge of Kalano Jang;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62c.</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After a meeting with Kalano Jang and Allen Wong to discuss the findings of the investigation, Transamerica noted that Kalano Jang lied to Transamerica about his involvement in loan arrangements and in a statement he made that loans were never arranged to fund sales.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62d.</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Transamerica's Chief Compliance Office recommended the immediate termination of Kalano Jang.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62e.</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For reasons unknown, Transamerica then did not terminate Kalano Jang.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62f.</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Despite the findings in the investigation, the conclusions in the Report and the recommendation by its own Chief Compliance Officer to terminate Kalano Jang, Transamerica did not implement any system to supervise of monitor Kalano Jang or his companies in 2001.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62g.</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In 2003, 2004, and 2005, Kalano Jang was Transamerica's top selling agent in Canada. He was presented with awards by Transamerica's senior officers at large presentations. Despite his past record of improper sales techniques and his incredible sales, Transamerica still did not investigate, supervise or monitor Kalano Jang.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Transamerica failed to exercise this degree of care and diligence in that: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1987"/>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(c)</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Transamerica did not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supervise or monitor Anna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Wong or Kalano Jang,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despite a record of past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investigations for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over-insuring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fraud.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central issue in this application is whether the limitation period applicable to the plaintiffs' proposed duty to supervise claim has expired. Transamerica argues that the plaintiffs' application is brought beyond the expiry of the limitation period for bringing such a claim pursuant to s. 3(5)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This section provides that such an action cannot be brought after the expiration of 6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As contained in the proposed amendments, the plaintiffs allege,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that Transamerica had a duty to supervise or monitor Jang during the period of time they relied on Jang's advice. Transamerica terminated its contract with Jang on June 1, 2006, and advised the plaintiffs of the appointment of a new advisor on June 16, 2006. Transamerica asserts that, assuming it had a duty to supervise or monitor Jang, which it denies, no such duty could exist after the termination of its contract with Jang and the appointment of a new advisor. Transamerica insists that, at the earliest, the limitation period for the plaintiffs' action on this ground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expired in November 2011, being 6 years after they relied on Jang's advice, and certainly no later than June 1 or June 16, 2012, being 6 years after Transamerica terminated its contract with Jang and appointed a new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rely on s. 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argue that the running of time for bringing an action based on Transamerica's alleged duty to supervise or monitor Jang was postponed to a date beyond 2006. They submit that the limitation period began to run at the earliest on October 30, 2007, the date on which Transamerica presented the plaintiffs with a formal release, prompting them to seek legal advice. The plaintiffs say this is the earliest date on which they could have contemplated a litigious dispute with Transamerica.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Alternatively, the plaintiffs argue that the limitation period began to run on January 15, 2009, when, as part of the document disclosure process in this litigation, the reasons for Jang's termination set out in a letter from Transamerica to Jang and his companies was first disclosed to them. I dealt with this fact in the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[According to Affidavit #1 of Nelly Wong sworn October 12, 2012, on] June 16, 2006, the plaintiffs received a letter from Transamerica advising them that Jang was no longer contracted as an insurance agent with Transamerica. At the time, Ms. Wong and her family members did not have any knowledge of the actual reasons for his termination. It was not until the discovery process in this litigation that they learned the actual reasons for his 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The reasons for Jang's termination are set out in a letter dated June 1, 2006, from Transamerica to Billion. The letter lists 17 reasons that Transamerica identified as cause to terminate its contracts with Jang, Billion and Trillion. Ms. Wong claims that the majority of the listed examples of "improper selling practices" match the circumstances surrounding the insurance policies issued to the plaintiffs and their family members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further alternative, the plaintiffs submit that the limitation period began to run on December 2, 2011, the date on which Transamerica first disclosed to them a large volume of documents containing the details of Transamerica's investigations into Jang's practices dating back to the year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agree with Transamerica's position on the limitation issue. For the following reasons, I conclude that the running of time for bringing the plaintiffs' duty to supervise action against Transamerica was not postponed beyond the date of Jang's termination, that date being June 1, 2006. Therefore, pursuant to s. 3(5), the right to bring such an action became statute barred on June 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my opinion, the plaintiffs cannot rely on s. 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argue that the limitation period was postponed. This section provides,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Running of time postponed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The running of time with respect to the limitation period set by this Act for an action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fraudulent breach of trust to which a trustee was a party or privy,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recover from a trustee trust property, or the proceeds from it, in the possession of the trustee or previously received by the trustee and converted to the trustee's own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postponed and does not begin to run against a beneficiary until that beneficiary becomes fully aware of the fraud, fraudulent breach of trust, conversion or other act of the trustee on which the action is based.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advice", in relation to facts, means the advice of competent persons, qualified in their respective fields, to advise on the medical, legal and other aspects of the facts, as the case may require,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or claimant by the defendant or respondent,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 or claimant,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that the running of time has been postponed under subsections (3) and (4) is on the person claiming the benefit of the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particular, the plaintiffs rely on ss. 6(3)(c)-(e) -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fraud or deceit, and concealment of material facts - in support of their argument that the time did not begin to run against them pursuant to s.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First, the plaintiffs submit that their claim falls within the ambit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even under the narrow view that there needs to be a contractual relationship between the parties. On the other hand, Transamerica argues that the specific amendments sought by the plaintiffs, not the overall relationship between the parties as a whole, is what governs whether the plea falls within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support a postponement under s. 6(3)(c). Transamerica notes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is its failure to supervise or monitor Jang, not for its provision of professional services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agree with Transamerica's position. The plaintiffs' allegation that it was negligent when it failed to supervise or monitor Jang is not an action grounded in the provision of professional services by Transamerica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Second, I agree with the position of Transamerica that the plaintiffs' allegation against it for a failure to supervise or monitor Jang is not "based on fraud or deceit" within s. 6(3)(d). As Transamerica notes, the same language is used in s. 6(1) to postpone the running of time for an action "based on fraud ... to which a trustee was a party or privy". The running of time for this kind of action is postponed against a beneficiary until that beneficiary becomes fully aware of the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my view, Transamerica is correct in its interpretation that the words "based on fraud" should be read in the context of s. 6(1) in order to capture allegations of a fraud perpetrated by a defendant against a plaintiff. With respect to the plaintiffs' proposed amendments, I find that there is no connection between their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Transamerica for its failure to supervise or monitor Jang and the intended ambit of s. 6(3)(d).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Finally, I am satisfied that Transamerica did not engage in wilful concealment of material facts relating to the plaintiffs' cause of action under s. 6(3)(e). In addition to the letter terminating Jang's contract, Transamerica's original list of documents provided to the plaintiffs on January 15, 2009, contained three documents dated 2001 which stated,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result of an investigation just concluded please initiation termination of the following contracts: Kalano Jang ..." (an internal email dated February 12, 2001);</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these terminations, the reason is for cause, and specifically misrepresentation of material facts with fraudulent intent" (the same email dated February 12, 2001);</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"Dear Mr. Jang: ... please accept this as notice the immediate termination of the above Contract" (a letter from Transamerica to Billion Financial Corp. dated February 15, 2001);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further consideration, it has been decided not to proceed with the terminations of Jang, ... at this time" (an internal email dated March 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the plaintiffs examined Ms. Ly, Transamerica's representative, on June 23, 2010. He asked her whether there were any documents pertaining to the investigation mentioned in the internal email dated February 12, 2001. Ms. Ly answered: "Not that I know of. I don't know the detail, just what I have - I was told. I was not there at that time." Plaintiffs' counsel then requested any documents related to the investigation resulting in this email which referred to the termination of Jang. Counsel for Transamerica said: "I think that has been produced." Plaintiffs' counsel then said: "My request means these internal documents that have not yet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December 2, 2011, a year and a half later, Transamerica disclosed documents relating to the previous investigations into Jang's practices: one in each of 2000-2001, 2003, and 2006. Nearly 1,000 pages of new material were provided to the plaintiffs on this day, of which 80 documents related to the first two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submit it was these documents which alerted them to the fact that Transamerica was put on notice by the prior investigations that there were issues with Jang's practices dating back several years. The plaintiffs insist it was at this time that the appropriate facts came to their attention which raised the allegation that Transamerica owed them a duty to supervise or monitor Jang during the time they received financial advice from him, especially since the advice they received exactly matched certain of the issues identified in the previous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Kirby v. Amalgamated Income et al</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2006 BCSC 974</w:t>
        </w:r>
      </w:hyperlink>
      <w:r>
        <w:rPr>
          <w:rFonts w:ascii="arial" w:eastAsia="arial" w:hAnsi="arial" w:cs="arial"/>
          <w:color w:val="000000"/>
          <w:sz w:val="20"/>
          <w:lang w:val="en-US" w:eastAsia="en-US" w:bidi="ar-SA"/>
        </w:rPr>
        <w:t xml:space="preserve"> at paras. 12-13, Metzger J. reviewed the law on wilful concealment: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w:t>
      </w:r>
      <w:r>
        <w:rPr>
          <w:rFonts w:ascii="arial" w:eastAsia="arial" w:hAnsi="arial" w:cs="arial"/>
          <w:i/>
          <w:color w:val="000000"/>
          <w:sz w:val="20"/>
          <w:lang w:val="en-US" w:eastAsia="en-US" w:bidi="ar-SA"/>
        </w:rPr>
        <w:t>Cimolai v. Hall</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2005 BCSC 31</w:t>
        </w:r>
      </w:hyperlink>
      <w:r>
        <w:rPr>
          <w:rFonts w:ascii="arial" w:eastAsia="arial" w:hAnsi="arial" w:cs="arial"/>
          <w:color w:val="000000"/>
          <w:sz w:val="20"/>
          <w:lang w:val="en-US" w:eastAsia="en-US" w:bidi="ar-SA"/>
        </w:rPr>
        <w:t>, H.J. Holmes J. considered at length s. 6(3)(e) and defined "wilful concealment" at para. 335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earlier indicated my conclusion that the legislature intended in s. 6(3)(e) to clarify, rather than alter, the pre-1975 provision for postponement based on fraudulent concealment. "Wilful concealment" in s. 6(3)(e) thus refers to knowingly keeping secret material facts relating to the cause of action, such that it would be unconscionable to allow a limitation defence to defeat the plaintiff's claim. Such may occur even where the motive for concealment is not a dishonest one. The "fraud", in the equitable sense, is inherent in knowingly preventing the plaintiff from seeking legal redress.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H.J. Holmes J. went on to find in that case that a party's non-disclosure, despite repeated requests, may be characterized as deliberate or active concealment.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Kirby</w:t>
      </w:r>
      <w:r>
        <w:rPr>
          <w:rFonts w:ascii="arial" w:eastAsia="arial" w:hAnsi="arial" w:cs="arial"/>
          <w:color w:val="000000"/>
          <w:sz w:val="20"/>
          <w:lang w:val="en-US" w:eastAsia="en-US" w:bidi="ar-SA"/>
        </w:rPr>
        <w:t xml:space="preserve">, the plaintiffs submit that it is not necessary for them to prove Transamerica had a dishonest motive, only that it withheld documents from the plaintiffs for a prolonged period of time after they were requested by counsel. They claim their case is stronger than the facts in </w:t>
      </w:r>
      <w:r>
        <w:rPr>
          <w:rFonts w:ascii="arial" w:eastAsia="arial" w:hAnsi="arial" w:cs="arial"/>
          <w:i/>
          <w:color w:val="000000"/>
          <w:sz w:val="20"/>
          <w:lang w:val="en-US" w:eastAsia="en-US" w:bidi="ar-SA"/>
        </w:rPr>
        <w:t>Kirby</w:t>
      </w:r>
      <w:r>
        <w:rPr>
          <w:rFonts w:ascii="arial" w:eastAsia="arial" w:hAnsi="arial" w:cs="arial"/>
          <w:color w:val="000000"/>
          <w:sz w:val="20"/>
          <w:lang w:val="en-US" w:eastAsia="en-US" w:bidi="ar-SA"/>
        </w:rPr>
        <w:t xml:space="preserve"> because the plaintiffs' impression from Ms. Ly's examination for discovery was that there were no documents. They say it would therefore be unconscionable to allow Transamerica to benefit from a limitation defence after disclosing the requested documents approximately 18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my opinion, the evidence in the case at bar falls far short of satisfying the test set out in the authorities. Ms. Ly testified at her discovery that she was not aware of further documents relating to the investigations. Transamerica's counsel confirmed, on the record, his belief that the documents had been produced. Moreover, counsel noted in his submission that Transamerica disclosed in its original list of documents the basis for its termination of Jang after an investigation "for cause, and specifically misrepresentation of material facts with fraudulent intent". Thus, I find that the plaintiffs have failed to establish evidence from which the conclusion could be drawn that Transamerica "knowingly [kept] secret material facts relating to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However, notwithstanding my conclusion that the time for bringing the plaintiffs' action against Transamerica's for failing to supervise or monitor Jang or Anna Wong has expired and was not postponed, I find that the amendments should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Section 4(4)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In any action the court may allow the amendment of a pleading, on terms as to costs or otherwise that the court considers just, even if between the issue of the writ and the application for amendment a fresh cause of action disclosed by the amendment would have become barred by the lapse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Westbank Lions Seniors Housing v. Scuka Enterprises Ltd.</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2013 BCSC 2118</w:t>
        </w:r>
      </w:hyperlink>
      <w:r>
        <w:rPr>
          <w:rFonts w:ascii="arial" w:eastAsia="arial" w:hAnsi="arial" w:cs="arial"/>
          <w:color w:val="000000"/>
          <w:sz w:val="20"/>
          <w:lang w:val="en-US" w:eastAsia="en-US" w:bidi="ar-SA"/>
        </w:rPr>
        <w:t xml:space="preserve"> at paras. 43-45, Armstrong J. recently summarized the applicable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The court's discretion to grant amendments is "completely unfettered and subject only to the general rule that all such discretion is to be exercised judicially, in accordance with the evidence adduced and such guidelines as may appear from the authorities":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[1996] B.C.J. No. 234</w:t>
        </w:r>
      </w:hyperlink>
      <w:r>
        <w:rPr>
          <w:rFonts w:ascii="arial" w:eastAsia="arial" w:hAnsi="arial" w:cs="arial"/>
          <w:color w:val="000000"/>
          <w:sz w:val="20"/>
          <w:lang w:val="en-US" w:eastAsia="en-US" w:bidi="ar-SA"/>
        </w:rPr>
        <w:t xml:space="preserve"> (B.C.C.A.) at para. 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Amendments to pleadings should be made to ensure that the real issues between the parties can be decided, and a generous approach to applications to amendments should be adopted: </w:t>
      </w:r>
      <w:r>
        <w:rPr>
          <w:rFonts w:ascii="arial" w:eastAsia="arial" w:hAnsi="arial" w:cs="arial"/>
          <w:i/>
          <w:color w:val="000000"/>
          <w:sz w:val="20"/>
          <w:lang w:val="en-US" w:eastAsia="en-US" w:bidi="ar-SA"/>
        </w:rPr>
        <w:t>Victoria Grey Metro Trust Co. v. Ford Gary Trust Co.</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[1982] B.C.J. No. 1500</w:t>
        </w:r>
      </w:hyperlink>
      <w:r>
        <w:rPr>
          <w:rFonts w:ascii="arial" w:eastAsia="arial" w:hAnsi="arial" w:cs="arial"/>
          <w:color w:val="000000"/>
          <w:sz w:val="20"/>
          <w:lang w:val="en-US" w:eastAsia="en-US" w:bidi="ar-SA"/>
        </w:rPr>
        <w:t xml:space="preserve"> at para.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If the opposing party can demonstrate prejudice, a court may refuse an amendment. Otherwise, amendments necessary to resolve the issues between the parties ought to be permitted. Amendment applications should still be allowed if the applicant has not acted in bad faith and the changes can be made without prejudice to the other side that cannot be compensated for by costs: </w:t>
      </w:r>
      <w:r>
        <w:rPr>
          <w:rFonts w:ascii="arial" w:eastAsia="arial" w:hAnsi="arial" w:cs="arial"/>
          <w:i/>
          <w:color w:val="000000"/>
          <w:sz w:val="20"/>
          <w:lang w:val="en-US" w:eastAsia="en-US" w:bidi="ar-SA"/>
        </w:rPr>
        <w:t>Langret Investments S.A. v. McDonnell</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[1996] B.C.J. No. 550</w:t>
        </w:r>
      </w:hyperlink>
      <w:r>
        <w:rPr>
          <w:rFonts w:ascii="arial" w:eastAsia="arial" w:hAnsi="arial" w:cs="arial"/>
          <w:color w:val="000000"/>
          <w:sz w:val="20"/>
          <w:lang w:val="en-US" w:eastAsia="en-US" w:bidi="ar-SA"/>
        </w:rPr>
        <w:t xml:space="preserve"> (B.C.C.A.) at para. 34;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[1988] B.C.J. No. 515</w:t>
        </w:r>
      </w:hyperlink>
      <w:r>
        <w:rPr>
          <w:rFonts w:ascii="arial" w:eastAsia="arial" w:hAnsi="arial" w:cs="arial"/>
          <w:color w:val="000000"/>
          <w:sz w:val="20"/>
          <w:lang w:val="en-US" w:eastAsia="en-US" w:bidi="ar-SA"/>
        </w:rPr>
        <w:t xml:space="preserve"> (B.C.C.A.)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Chouinard v. O'Connor</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2011 BCCA 161</w:t>
        </w:r>
      </w:hyperlink>
      <w:r>
        <w:rPr>
          <w:rFonts w:ascii="arial" w:eastAsia="arial" w:hAnsi="arial" w:cs="arial"/>
          <w:color w:val="000000"/>
          <w:sz w:val="20"/>
          <w:lang w:val="en-US" w:eastAsia="en-US" w:bidi="ar-SA"/>
        </w:rPr>
        <w:t xml:space="preserve"> at paras. 20-21, Groberman J.A., writing for the Court of Appeal,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82 B.C.L.R. (3d) 296</w:t>
        </w:r>
      </w:hyperlink>
      <w:r>
        <w:rPr>
          <w:rFonts w:ascii="arial" w:eastAsia="arial" w:hAnsi="arial" w:cs="arial"/>
          <w:color w:val="000000"/>
          <w:sz w:val="20"/>
          <w:lang w:val="en-US" w:eastAsia="en-US" w:bidi="ar-SA"/>
        </w:rPr>
        <w:t xml:space="preserve">, Esson J.A. for the Court cited from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and then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My understanding of the phrase "completely unfettered" in this context is that the discretion is not fettered by the relevant legislation, i.e., the Rule and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It is, however, fettered to the extent that, as was held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it must be exercised judicially, in accordance with the evidence adduced and such guidelines as may appear from the authorities. It was held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that the guidelines to which the chambers judge is required to have regard include these: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account for the delay;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delay;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connection, if any, between the existing claims and the proposed new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As can be seen from the chambers judgment in the case before us, this list of factors has come to be seen as a checklist in applications to add a cause of action or a party after the expiry of the limitation period. It is sometimes forgotten that the list of factors is not an exhaustive one, and that the overriding concern is whether the proposed amendment will be "just and convenient". The factors listed in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will typically be important factors to be considered by a chambers judge, but the decision is ultimately a discretionary one. Thus in </w:t>
      </w:r>
      <w:r>
        <w:rPr>
          <w:rFonts w:ascii="arial" w:eastAsia="arial" w:hAnsi="arial" w:cs="arial"/>
          <w:i/>
          <w:color w:val="000000"/>
          <w:sz w:val="20"/>
          <w:lang w:val="en-US" w:eastAsia="en-US" w:bidi="ar-SA"/>
        </w:rPr>
        <w:t>Boutsakis &amp; Kakavelakis, A Partnership v. Boutsakis</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2008 BCCA 13</w:t>
        </w:r>
      </w:hyperlink>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77 B.C.L.R. (4th) 113</w:t>
        </w:r>
      </w:hyperlink>
      <w:r>
        <w:rPr>
          <w:rFonts w:ascii="arial" w:eastAsia="arial" w:hAnsi="arial" w:cs="arial"/>
          <w:color w:val="000000"/>
          <w:sz w:val="20"/>
          <w:lang w:val="en-US" w:eastAsia="en-US" w:bidi="ar-SA"/>
        </w:rPr>
        <w:t xml:space="preserve">, this Court upheld the granting of amendments even though not all of the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factors had been specifically referred to in the judgment of the chambers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Plaintiffs' counsel concedes that the delay in bringing the action against Transamerica for its failure to supervise or monitor Jang and Anna Wong was lengthy. Counsel for the plaintiffs admits that the application should have been brought sooner after the plaintiffs received the disclosure of documents relating to the previous investigations in December 2011. Counsel did prepare a draft Amended Notice of Civil Claim at that time and admits that he should have acted on it more expeditiously, noting that any delay was the fault of counsel and not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Counsel for Transamerica accepts plaintiffs' counsel's explanation for the delay, including the assertion that the plaintiffs did not strategically choose to forego the duty to supervise claim in favour of such a claim against the defendant Allen Wong and Associates Insurance Agency Limited. However, Transamerica submits that the explanation is, at best, a neutral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My consideration of whether I should exercise discretion to allow the proposed amendments must be taken in the context of how the litigation process has unfolded in this case. Prejudice is presumed to arise when a limitation period expires and, although the extent of and reasons for the delay are factors to be weighed, I think my decision should rest most heavily on whether the factor of prejudice has been rebutted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regard to prejudice, Transamerica essentially relies on hearsay evidence of two former employees. In the affidavit of Ms. Charlotte Ferguson, a Legal Administrative Assistant employed by Transamerica's counsel, sworn January 28, 2013, she deposes as to what she was told by two former compliance officers who worked for Transamerica between 1996 and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Bob Bovaird is 74 years old. He was Transamerica's Chief Compliance Officer from September 1996 until he retired at the end of 2003, after which he acted as a consultant for Transamerica until 2006. He took a lead role in investigating policyholders' complaints against Jang in 2001 and 2003. Apparently, despite Jang's high profile and even after reviewing relevant documents, he told Ms. Ferguson that he has a hard time remembering the details of the investigation, cannot recall the dates of undated emails nor precisely place them in the sequence of documents, and cannot recall the reason Transamerica did not terminate its contract with Jang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Serge Cecchetto, age 65, was employed by Transamerica as Chief Compliance Officer from 2003 to 2006. He told Ms. Ferguson that he has no independent memory of the investigation of Jang in 2001 or 2003 and that his memory of events prior to 2006 has faded.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my opinion, despite the hearsay evidence regarding the alleged fading memories of Messrs. Bovaird and Cecchetto, it should not now lie in the mouth of Transamerica to complain about the plaintiffs' delay in bringing the action based on its failure to supervise or monitor Jang and Anna Wong. In my view, Transamerica's lengthy delay until December 2011 in disclosing the large volume of documents containing the details of its investigations into Jang's activities during the period of 2000 to 2006, while not amounting to wilful concealment, nevertheless outweighs any prejudice relied upon by Transamerica to defeat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Moreover, I note that the trial is currently scheduled for September 2014, giving Transamerica ample time to respond to the plaintiffs' proposed amendments in preparation for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upon a consideration of all of the factors, it is just and convenient to exercise discretion pursuant to s. 4(4) and grant the plaintiffs' application for leave to file a Further Amended Notice of Civil Claim. Any prejudice to Transamerica falls short of outweighing the effect of ensuring that the real issues between the parties can be decided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Should Transamerica be put to any additional expenses associated with the granting of the amendments related to the duty to supervise claim, then it can, in due course, seek compensation from the plaintiffs for such additional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Finally, I find that the plaintiffs should be responsible for the costs of this application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 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7"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Basi v. Buttar, [2010] B.C.J. No. 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10, 11 and 20,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M109358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184 A.C.W.S. (3d) 864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Ravinder Basi, Plaintiff, and Baljinder Buttar, Surdell Kennedy Taxi Ltd., Manjit Sarai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8"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5" w:name="Keywords_46"/>
      <w:bookmarkEnd w:id="315"/>
      <w:r>
        <w:rPr>
          <w:rFonts w:ascii="arial" w:eastAsia="arial" w:hAnsi="arial" w:cs="arial"/>
          <w:b/>
          <w:color w:val="000000"/>
          <w:sz w:val="20"/>
          <w:lang w:val="en-US" w:eastAsia="en-US" w:bidi="ar-SA"/>
        </w:rPr>
        <w:t>Civil litigation — Civil procedure — Costs — Bullock or Sanderson order — Action by plaintiff to recover damages for personal injuries against driver of car which caused her to collide with taxi allowed — At trial, plaintiff admitted taxi driver blameless — Defendant to pay costs of taxi driver to date of examination for discovery, and plaintiff to pay subsequent costs — British Columbia Rules of Court, Rule 66.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Physical injuries — Body injuries — Back and spine — Neck — Action by plaintiff to recover damages for personal injuries sustained in motor vehicle accident allowed — Plaintiff sustained soft-tissue injuries to neck and back which substantially resolved within six months — Missed some work and lost ability to participate in some sports and to perform household chores — Awarded total of $42,984 in damages, including past income loss, loss of housekeeping, non-pecuniary and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Loss of housekeeping ability — Retroactive loss of income — Special damages — Non-pecuniary loss — Pain and suffering — Affecting recreational activities — Action by plaintiff to recover damages for personal injuries sustained in motor vehicle accident allowed — Plaintiff sustained soft-tissue injuries to neck and back which substantially resolved within six months — Missed some work and lost ability to participate in some sports and to perform household chores — Awarded total of $42,984 in damages, including past income loss, loss of housekeeping, non-pecuniary and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Action by plaintiff to recover damages for personal injuries against driver of car which caused her to collide with taxi allowed — Left-turning driver should have yielded to plaintiff, proceeding straight through intersection, because he could not make his turn in front of her safely — Motor Vehicle Act, ss. 172, 174.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and highway traffic — Rules of the road — Turns — Left turn at intersection — Yielding — Right of way — Action by plaintiff to recover damages for personal injuries against driver who turned left in front of her, causing her to collide with other car, allowed — Left-turning driver should have yielded to plaintiff, proceeding straight through intersection, because he could not make his turn in front of her safely — Motor Vehicle Act, ss. 172, 174.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6" w:name="Case Summary_37"/>
            <w:bookmarkEnd w:id="3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Basi to recover damages for personal injuries sustained in a motor vehicle accident. Basi was proceeding straight through an intersection when she had to turn sharply to the left to avoid colliding with an oncoming car, operated by Sarai, trying to turn left in front of her. Sarai drove away but returned to the scene when a witness pursued him. Basi's car had collided with a taxi that was behind Sarai's van. Basi and the witness claimed Sarai should not have made his turn in front of Basi, while Sarai and the taxi driver claimed Sarai had adequate time to make the left turn. Basi initially sued the taxi driver as well as Sarai, but at trial agreed the action against the taxi driver should be dismissed. Basi claimed she sustained injuries to her neck and shoulders in the accident, which caused her significant pain, headaches and vomiting. She missed almost two months of work at her two jobs. She took pain medication and followed a treatment regime including massage and physiotherapy but remained somewhat limited in her activities more than two years later. She made claims for pain and suffering, lost wages, loss of enjoyment of recreational activities and loss of housekeeping ability. She gave evidence her injuries meant she was no longer able to run outside or socialize as she had in the past and had problems doing laundry and grocery shopping. Her medical history indicated she had previously complained about neck and back pain. Basi lived with her mother, father and brother and had performed much of the household chores prior to her accident. She and her mother claimed the impact of the accident continued to significantly impair her ability to work in the home.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7" w:name="Holdings of Court_31"/>
            <w:bookmarkEnd w:id="31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Basi was awarded $7000 for lost housekeeping ability, $3,857 for past wage loss, $2,127 in special damages and $30,000 for non-pecuniary damages, including pain and suffering and lost enjoyment of recreational activities. Sarai did not have time to make the left turn safely and should have yielded to Basi's car as it proceeded straight through the intersection. He was liable for her injuries. Basi had largely recovered by the date of trial and would improve further with continued exercise and treatments. The medical evidence did not support Basi's claims for lost housekeeping ability beyond the first six months. Sarai was ordered to pay the costs of the taxi driver up to the date of his examination for discovery, after which Basi was responsible for his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8" w:name="Legislation Cited_32"/>
      <w:bookmarkEnd w:id="3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9"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885" w:history="1">
        <w:r>
          <w:rPr>
            <w:rFonts w:ascii="arial" w:eastAsia="arial" w:hAnsi="arial" w:cs="arial"/>
            <w:i/>
            <w:color w:val="0077CC"/>
            <w:sz w:val="20"/>
            <w:u w:val="single"/>
            <w:shd w:val="clear" w:color="auto" w:fill="FFFFFF"/>
            <w:lang w:val="en-US" w:eastAsia="en-US" w:bidi="ar-SA"/>
          </w:rPr>
          <w:t>RSBC 1996, CHAPTER 318, s. 172</w:t>
        </w:r>
      </w:hyperlink>
      <w:r>
        <w:rPr>
          <w:rFonts w:ascii="arial" w:eastAsia="arial" w:hAnsi="arial" w:cs="arial"/>
          <w:color w:val="000000"/>
          <w:sz w:val="20"/>
          <w:lang w:val="en-US" w:eastAsia="en-US" w:bidi="ar-SA"/>
        </w:rPr>
        <w:t>,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9" w:name="Counsel_46"/>
      <w:bookmarkEnd w:id="3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0"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 Antunes, Esq.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M. Killas.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0" w:name="Judgment_45"/>
      <w:bookmarkEnd w:id="320"/>
      <w:r>
        <w:pict>
          <v:line id="_x0000_s1251" style="position:absolute;z-index:251858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1" w:name="N. BROWN J._0"/>
            <w:bookmarkEnd w:id="321"/>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THE PLAINTIFF'S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36-year-old Surrey, B.C. resident. She claims damages for soft tissue injuries that she says she suffered because of a January 11, 2007 motor vehicle accident at the Surrey intersection of 96th Avenue and 132nd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lives with her father, mother, and brother. At the time of the accident, she worked as a personal banking representative 37.5 hours per week. She also held a second job with a community resource centre (the "CRS"), working with troubled youth 23 hours a week, three days a week, totalling around 60 hours per week. She earned approximately $34,500 at the bank and $23,800 per annum at the CRS. The plaintiff says her pre-accident health and fitness was good before the accident, although she suffered headaches a couple times a week related to a problem behind her right eye. She said also that she had previously experienced some back pain with sciatica treated successfully quite a few years before the accident, but did not experience pain in the neck or mid back, and did not require any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says she had the right of way when the defendant Mr. Sarai turned left in front of her just as she was just about to enter the intersection. In reaction, she braked and turned turn to the left to avoid a collision with Mr. Sarai. She says she just missed Mr. Sarai's van, but still lost control of the car and slid into Mr. Buttar's car. Witness Mr. Lavergne, who had stopped his car at red light for north bound traffic on 132nd Street, supports the plaintiff's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However, the defendants say that the evidence shows that Mr. Sarai made a safe turn: he had sufficient time and space to clear the intersection safely; and once he had commenced the turn, he, not the plaintiff, owned the right of way. Both Mr. Sarai and the other defendant, taxi driver Mr. Buttar, argue that the cause of the accident was the plaintiff's allegedly excessive speed and over-reaction to Mr. Sarai's left turn as she approached the intersection. As for Mr. Buttar's location, he was stopped in the eastbound left turn bay, where he remained when the plaintiff lost control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Alternatively, the defendants submit that even if I find the plaintiff owned he right of way, she should still be faulted for driving too fast for the slippery road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during the trial agreed that the action against Mr. Buttar ought to be dismissed since he was blameless. The only outstanding issue in relation to Mr. Buttar is whether the plaintiff ought to pay his costs, or whether I should make a Bullock order that requires Mr. Sarai to pay the costs that the plaintiff would otherwise have to pay to Mr. Buttar.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accident happened at about 9:45 a.m. The plaintiff was driving in her Acura westbound on 96th Avenue towards the intersection of 132nd Street and heading to work, about 10 minutes away. Both defendant vehicles, Mr. Sarai's white van and Mr. Buttar's taxi, faced in a westbound direction. Both intended to turn left, with Mr. Sarai ahead of Mr. Buttar, who was still stopped in the left turn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96th Avenue is a major Surrey thoroughfare. At its intersection with 132nd Street, 96th Avenue has two westbound lanes and two eastbound lanes, each with a left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says the weather was cloudy, with the sun peeping through. It snowed the day before and there were some patches of snow on the ground. She had been driving for 20 years and had accumulated some experience driving in the snow at home and from drives to and from Whistler. She had also driven in Toronto in the snow. She said that she was conscious of the need to drive carefully and to focus her attention, especially given the driving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she was approaching the intersection, the plaintiff assumed that she could travel safely through the intersection because she saw another eastbound vehicle in the curb lane travelling about three or four lengths ahead of her pass through the intersection. Further, she insisted that the light was green facing her at all times. About eight to 10 car lengths from the intersection, the plaintiff saw the white van belonging to the defendant Mr. Sarai. She denied she was speeding, but did not know her exact speed. The speed limit in that area is 50 km/h. She said that her speed was constant. She intended to go straight through the intersection. At about two car lengths from the intersection, the white van suddenly turned in front of her, and at about a distance of half a car length from it, she began to tap her brakes. I find it difficult to understand how in that short a distance she could have had sufficient time to get her foot on the brake and find time to tap the brakes, let alone see any braking effect. In any event, at that point, the plaintiff says Mr. Sarai's white van was positioned in the middle of the intersection, in about the middle of her lane. The plaintiff says that she nearly missed the white van but could not control her car; she tried to turn to the left and slid into Mr. Buttar's taxi, still stopped in the left turn bay after the white van had cleared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collision between the plaintiff's vehicle and Mr. Buttar's taxi was a partial head on collision with $6,000 damage sustained to the plaintiff's Acura. Mr. Sarai's white van was not directly involved in the collision; it cleared the intersection without any contact with the plaintiff's Acura.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impact, the plaintiff says she was thrust forward, her hands crushed against the steering wheel and then she was thrown back into her seat. She testified that she had bruises from her car strap. She said that her head snapped forward and back like a "bungee cord", and the back of her head hit the headrest hard. After the collision, she said she felt in shock and sat in the car for a few moments. People came to the car to see if she was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scene, she spoke to Mr. Lavergne, who said he had witnessed the accident. He testified at trial. The plaintiff also spoke to Mr. Sarai, the driver of the white van, telling him he had caused the accident, but he denied the accusation.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Evidence of Mr. Lavergne, Mr. Buttar and Mr. Sarai</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Mr. Lavergne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called Mr. Lavergne, a mechanic. He faced north on 132nd Street and enjoyed a good view of the intersection and the accident. He corroborated the plaintiff's evidence. He saw the white van trying to turn left and the plaintiff's red Acura approaching from the west on a solid green light; he was sure they were going to collide when the white van moved "quite slowly" into the intersection at a time when the plaintiff's car was no more than three to three and a half car lengths from it. He said the plaintiff appeared to apply her brakes to the maximum and he could see the Acura's wheels spinning. He felt there was nothing the plaintiff could do to avoid the collision. He wasn't sure what colour the light was after the plaintiff collided with Mr. Buttar.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Mr. Sarai's white van proceeded unscathed through the intersection, and proceeded south, Mr. Lavergne in pursuit, until Mr. Sarai turned off onto a side street of 132nd Avenue. When Mr. Lavergne spoke to him, Mr. Sarai denied any knowledge of the accident, but he agreed to return to the scene and the parties exchanged information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cross-examined about the plaintiff's speed, Mr. Lavergne agreed the roads were icy with snow. He agreed that most cars travelled 60 to 70 km/h along 96th Avenue, but said the cars were not going that speed that day; then he resiled from his testimony about speeds on 96th Avenue, demurring that he doesn't pay attention to the speeds on 96th Avenue. He minimized the plaintiff's westbound speed, saying he believed she was travelling quite slowly. He said the light was green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for the distance separating the plaintiff and Mr. Sarai when he started to turn, Mr. Lavergne acknowledged that he could not remember if the plaintiff was as much as 10 car lengths from the intersection when the van began to turn. He also agreed that if the van had proceeded more quickly, it would have cleared the intersection in time for the plaintiff to travel straight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the defendant submitted that Mr. Lavergne was strongly biased in favour of the plaintiff. I agree with him that Mr. Lavergne at times left the impression of a partisan -- for example, he agreed on cross-examination that he wanted the plaintiff to win the case -- and he equivocated to some extent; however, I still found him to be a credible witness with no ulterior motives that would lead him to give false evidence. Overall, he left a good impression as a witness, and he was in a position to see what he said he saw. His actions in pursuing Mr. Sarai after Mr. Sarai had cleared the intersection confirms the integrity of his first impressions that the accident was Mr. Sarai's fault and that he should not have left the scene. However, I agree that Mr. Lavergne's assessments of the plaintiff's speed and braking attempts were not wholly reliable.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Mr. Buttar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Buttar's evidence confirmed that he was parked two to three feet behind the van, a position that I find impeded his view to the west and the traffic lights to a significant extent as the plaintiff approached the intersection. Because I find that his view of the plaintiff's oncoming vehicle was impeded and because he advised ICBC soon after the accident that he wasn't paying much attention because he didn't expect to get through on that set of lights, the reliability of his evidence about the colour of the lights and the separating times and distances is questionable. He said that the traffic light had turned to yellow as the plaintiff approached at an estimated 60 to 65 km/h. This estimate represented a change from his ICBC statement estimate of 100 km/h. However, he was consistent in saying that the plaintiff was "coming fast, got nervous when the light changed, and applied her brakes and slipped" and that she was "no less than 60 feet from the intersection when the white van commenced its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Buttar denied he was looking down when the plaintiff was coming towards him, as the plaintiff claimed in her testimony, saying she had noticed this as she slid towards Mr. Buttar. Plaintiff's counsel put Mr. Buttar's ICBC statement to him and his statement that he wasn't paying attention to the lights. However, at trial Mr. Buttar insisted he could see the plaintiff's car approaching and that the van did not block his view because it had already commenced its turn. He explained his inflated estimate of the plaintiff's speed in his ICBC statement by explaining that this is "what it felt like" and he stood by his estimate of the plaintiff's speed of 60 to 65 km/h. I conclude that Mr. Buttar gathered most of his sensory impressions from the impact at itself, which was a fairly significant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accept his description of the poor condition of the road surface, with impacted snow and some iciness caused by freezing overnight temperatures.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the whole, however, I find that Mr. Buttar was not paying much attention to the lights or oncoming traffic and was not in as good a position as Mr. Lavergne to judge the relevant distances and timeline of the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Mr. Sarai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Sarai testified that the plaintiff's car was about nine car lengths away from the intersection when he commenced his turn. In the process of making his left turn, the light turned yellow. He said that he had his left turn signal on. He agreed on cross-examination that the plaintiff was traveling in a controlled and safe manner and said that he saw no indication of excessive speed, although he could not say what her speed was. He denied that, after he had cleared the intersection, he was aware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RELEVANT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Accidents such as this are a common occurrence. Section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imposes duties both on the driver proceeding through the intersection (the "through driver") and on the driver intending to turn left. The driver turning left must yield to the through driver where the through driver is in the intersection or constitutes an immediate hazard to the driver turning left. If the through driver does not constitute an immediate hazard, that is, if it is safe to turn left, then the through driver must yield the right of way to the driver turning left provided that the driver turning left has signalled his intention to turn left per s. 172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main question in this case is whether the plaintiff's vehicle constituted an immediate hazard to Mr. Sarai when he started his turn, or whether the plaintiff's car was far enough away from the intersection so that Mr. Sarai could safely turn left. If the former, the defendant should have yielded; if the latter, the plaintiff should have yielded. However, even if one of the parties has the right of way, that does not discharge them from a duty to exercise reasonable care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Sarai managed to clear the intersection in sufficient time to avoid a collision; however I accept the evidence of the plaintiff and Mr. Lavergne that the plaintiff's car and Mr. Sarai's van nearly collided. And while, as stated, I have some reservations about Mr. Lavergne's impartiality, I have no reason to conclude that he fabricated his evidence about how close the plaintiff was to the intersection when Mr. Sarai made his turn. I find that the plaintiff was too close to the intersection for Mr. Sarai to safely complete his turn and that he should have yielded to the plaintiff in accordance with s. 174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While counsel for the defendant urged me to find that the plaintiff was driving too fast for the slippery road conditions, the fact remains that Mr. Sarai himself confirmed that the plaintiff was driving her vehicle in a controlled and safe fashion as she approached the intersection. Of course, he also testified, in effect, that she did not constitute an immediate hazard to him as she approached, so this evidence about the plaintiff's safe driving is also somewhat consistent with his position that he could turn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strongest argument in favour of the defendant comes from the fact that the plaintiff could not control her car and Mr. Lavergne's evidence that Mr. Sarai made his turn slowly -- had he moved more quickly, the plaintiff could have travelled straight through the intersection. This could suggest that the plaintiff may have been driving too fast or over-reacted.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However, I am more persuaded by the evidence that Mr. Sarai started his turn when the plaintiff was too close to the intersection. She attempted to brake and turn to the left to avoid a collision with Mr. Sarai's van. She lost control because of the slippery road conditions. I cannot conclude on the balance of probabilities that she drove too fast for the conditions. The only evidence of that comes from Mr. Buttar, who I find had limited opportunity to observe. I prefer the evidence of the plaintiff, Mr. Lavergne and Mr. Sarai in this regard. Therefore, I find the defendant Mr. Sarai 100% responsible for the accident for failing to yield to the plaintiff's approaching vehicle, which constituted an immediate hazard as he commenced his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the accident, the plaintiff attended work but worked for only a half day because of excessive pain. She felt herself gradually stiffening. She attended a walk-in clinic a few hours later, and the next day saw her family physician, Dr. Claire.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testified that for the first six months she suffered constant pain in the neck and between the shoulder blades. The pain in her neck radiated into the back of her head, causing headaches and vomiting, which in turn aggravated the neck pain. The pain between her shoulder blades radiated to her mid and low back. She rated that as eight out of 10 in terms of pain. She rated her neck pain and headaches as 10 out of 10, which I took to mean excruciating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Claire prescribed medication to reduce her pain and inflammation. Because the plaintiff found it hard to sleep, Dr. Claire also prescribed some sleep aides. He also referred the plaintiff for massage and/or physiotherapy. The plaintiff preferred massage therapy but also received chiropractic treatments from Dr. Khehra.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Khehra and the plaintiff's massage therapist gave the plaintiff exercises that she has performed daily and whenever she feels pain. She continued with the exercises after she stopped chiropractic treatments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attempted to return to work on a gradual basis in February 2007, but found the pain was too much. She returned to work on a full time basis with the bank on March 19, 2007. Her return to work at CRS was somewhat more delayed but she has long since returned to work there as well. The plaintiff has paid $2,279 in subrogation benefits, which represent 75% of her lost wages from CRS.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did not suffer any loss of wages from her work as a personal banking representative because the bank covered all her wage losses with no subrogation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Returning to the progress of the plaintiff's injuries, after the first six months of her injuries, she found that the pain was still there and was somewhat exacerbated by some activities and the cold. She said her neck pain was still at a level of seven out of 10, with the pain between her shoulder blades at a constant level of six out of 10, still radiating into her lower back. Overall, she said that she had good days and bad days, but still felt considerable pain. She continued to follow treatment recommendations, and to those added "hot yoga treatment"; she also hired a personal trainer, mostly to ensure that she was doing the exercises properly and to strengthen her core muscles. She discontinued her personal training sessions in January 2008 after the trainer left for Ontario. However, In January 2009, she joined a gym and claims the cost of the gym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By late 2008, the plaintiff says that she was 70% recovered. She testified, however, that she continues to suffer setbacks, which she describes as being "almost to the severity of the accident", giving the example of dancing at a wedding and finding herself hardly able to move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far as the current effect of the injuries is concerned, she continues to have trouble at work when she puts banking documents away. Some of these documents are fairly heavy and putting them away requires overhead motions which she finds difficult, so sometimes has have someone else do that for her. She finds standing and sitting with customers for extended periods difficult, but stretching alleviates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far as household activities are concerned, she advances a claim for considerable interference with her homemaking capacity following the accident. She testified that she used to spend one day of the week on homemaking activities, with two to three hours of continuous vacuuming in the 6,000 square foot house she shares with her mother, father and brother. She says that she has since returned to some vacuuming but not to the same extent, and her mother has assumed greater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finds washing her delicate and colourful work clothes very hard because she has to bend over to do this by hand in the bathtub, and experiences a great deal of pain in her shoulders and neck. She returned to cleaning the bathroom in late 2007, however, is still not able to do this to the same extent as before. That task has also fallen to her mother. Grocery shopping is difficult and she has not returned to bulk purchasing because she finds it too heavy. Her father now does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respect to recreation, she describes herself as an avid skier and says that she and her family enjoyed annual ski trips to Whistler with relatives from England. She would usually ski with her relatives during these week-long trips, but has been unable to since the accident, at least not to that extent or to the same level as before. In 2007, during this annual family vacation, she couldn't ski because she was in too much pain and, in her words, "it ruined the vacation". In 2008, she returned to skiing but could not ski for a full day as a result of increased pain. She is still able to ski for only 10 or 15 minutes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Prior to the accident, the plaintiff enjoyed playing tennis on Sundays but has not been able to return to that, although she did try once in 2008 and found it too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also used to enjoy running outdoors, but she has been unable to run since the accident because she has found it too painful. In 2009, she started running on a treadmill in the gym. She finds that this irritates her lower back and neck. Since the accident, she has gained 10 to 15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Her social life has also been negatively affected. She said that pre-accident she was very active, post-accident much less so. Even watching movies is very difficult as sitting increases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this point, the plaintiff says she has good and bad days with her neck pain, which still produces the same pattern of headaches stemming from the base of her skull radiating up her neck. She takes Advil for her headaches, which occur about three to four days per week. The headaches gradually worsen until she feels like vomiting and needs to take Advil to prevent this. She complains of constant pain between her shoulder blades, at a level six out of 10 still radiating to the mid and lower back. Nonetheless, despite these descriptions, she admits to a recovery of up to 70% now.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Pre-accident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cross-examination, counsel referred the plaintiff to the clinical records of Dr. Khehra. They indicate that the plaintiff attended approximately 19 chiropractic treatments with Dr. Khehra prior to the accident. Her initial visit on November 12, 2003 dealt mostly with lower right back pain, but also addressed complaints of neck pain and headaches occurring at the same time. Dr. Khehra noted at that date that the plaintiff's neck pain, when at its worst, ranged to nine out of 10, and averaged two to three out of 10 when taking medication. The neck pain lasts up to two to eight days, according to the notation. The plaintiff was unable to recall difficulty with her neck and back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Overall, Dr. Khehra's records reveal a pattern of treatment for the plaintiff's neck, mid back and lower back pain, primarily complaints relating to the lower back -- although the report makes specific references to pain in the neck and mid back, most notably July 19, 2006, where the notation indicates that the plaintiff's neck was very sore and stiff. However, the July 26, 2006 note indicates that the plaintiff was much improved after the previous adjustment, and that she was discharged because she required no further treatment at that time. In fact, she received no further treatment from Dr. Khehra after her appointment on July 26, 2006 until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found the plaintiff evasive when cross-examined about her prior treatments. In examination for discovery, she admitted to having chiropractic treatments only once or twice previously, which is of course difficult to reconcile with the 19 treatments recorded in her clinical report with Dr. Khehra. She explained that she was referring only to the year before the accident; however, the question directed her attention to previous </w:t>
      </w:r>
      <w:r>
        <w:rPr>
          <w:rFonts w:ascii="arial" w:eastAsia="arial" w:hAnsi="arial" w:cs="arial"/>
          <w:color w:val="000000"/>
          <w:sz w:val="20"/>
          <w:u w:val="single"/>
          <w:lang w:val="en-US" w:eastAsia="en-US" w:bidi="ar-SA"/>
        </w:rPr>
        <w:t>years</w:t>
      </w:r>
      <w:r>
        <w:rPr>
          <w:rFonts w:ascii="arial" w:eastAsia="arial" w:hAnsi="arial" w:cs="arial"/>
          <w:color w:val="000000"/>
          <w:sz w:val="20"/>
          <w:lang w:val="en-US" w:eastAsia="en-US" w:bidi="ar-SA"/>
        </w:rPr>
        <w:t xml:space="preserve"> and did not restrict the time to the year before the accident. At question 353 of the examination for discovery, the plaintiff specifically denied any problems before the accident in her upper back and shoulders blades. Again, she stated that she interpreted this as relating only to the previous year of 2006, although she also appears to have received treatment in both of those areas during that time. She did acknowledge that she saw another chiropractor before Dr. Khehra while attending high school. Those records are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his February 20, 2009 chiropractic report, Dr. Khehra says only this about the plaintiff's previous conditions: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gives a history of prior good health. She reports no pain prior to [the motor vehicle accident]. Prior to current injury, [the plaintiff] was last treated July 2006 for mild cervical strain and released from care with the conditions resolved. All current conditions I feel are related to her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Dr. Khehra's report to be somewhat incomplete in not fully addressing the effect of the plaintiff's previous injuries on her post-accident state, particularly given her lengthy record of chiropractic treatments prior to the accident. Dr. Khehra makes no mention of the types of complaints the plaintiff suffered from prior to the accident, nor the sheer number of chiropractic treatments she received. Likewise, with respect to the plaintiff's literal interpretation of defence counsel's questions regarding her pre-accident treatments, I find that the plaintiff did minimize the level of her pre-accident complaints. While it is true that the records refer little to pain in the neck and mid back and that the focus is more on the lower back, it is also clear that the plaintiff received treatment in the neck, mid back as well as the lower back prior to the accident. However, my overall impression of the plaintiff remains favourable. I find that she was essentially asymptomatic at the time of the accident and did not intend to deliberately mislead about her previous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sum on this issue, given the indicators that she was discharged from Dr. Khehra's care on the apparent understanding that her condition had resolved, the plaintiff can legitimately claim, at least on the basis of that record, that she was not experiencing any pain at the time of the accident. However, this stands within the context of a history of spinal pain affecting some of the same areas as those which were injured in the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Medical Reports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noted earlier, the plaintiff saw her family physician, Dr. Claire, after the accident. At page 2 of her April 28, 2008 report, Dr. Claire states that, while the plaintiff had reached a plateau of recovery, he believed the plaintiff would recover fully, however he also noted that his comment was somewhat premature at that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Basi was last seen on March 18,2008. She was working fulltime. Her main area of residual pain was in the back especially between the shoulder blades. She had reached a plateau in her recovery over the past few months. She was more careful during physical activity to avoid pain flare ups. She was seeing a personal trainer and trying to strengthen those areas and improve her physical conditioning. She was able to do heavier housework but in a limited fashion instead of all at one time. She was prescribed some Naprosyn for episodic use, and advised to continue with the exercise and conditioning with her personal trainer.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believe Ms. Basi requires any special investigation. Ms. Basi has some residual pain and limitation to heavy and vigorous activity. I think she would be best managed by an exercise program to regain her strength and endurance.I believe she would benefit from an exercise program. She has already initiated something on her own and it may be easier to continue and expand this if necessary rather than investing in a completely new program. I am of the opinion she should make a complete recovery but this is a premature comment. She may still require some analgesics for episodic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Khehra, at p. 4 of his February 20, 2009 report, also states that he believed that the plaintiff would eventually make full recovery: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Prospective future treatment and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time, future chiropractic treatment and/or massage therapy are likely to deal with any flare-ups or bouts of increased pain in cervical/thoracic spine and/or lumbar spine. A regular exercise routine will likely be necessary to maintain and increase muscle strength to prevent further pain and flare-ups. Although [Ms. Basi] has not fully recovered at this time I anticipate, in the long term, [Ms. Basi] will make a full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Permanent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anticipate any permanent disability as a result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Based on the plaintiff's testimony and the medical evidence before me, I find that the plaintiff has nearly made a full recovery from the effects of the accident and will fully recover if she follows the medical advice of Dr. Claire and Dr. Khehra. She has long since returned to her work on a full time basis. She can improve further with appropriate exercise, and it appears that she should be more aggressive in that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Diminished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and her mother testified that since the accident, her family members, especially the plaintiff's mother, have carried out more of the housework that the plaintiff used to do because of the plaintiff's accident-related incapacities.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Counsel for the plaintiff submits that I should assess the plaintiff's loss of homemaking capacity on a replacement cost approach. Defence counsel submits that neither the witness evidence nor the medical evidence support a separate award for 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If the plaintiff proves a loss of homemaking capacity on the balance of probabilities, compensation falls under a separate head of damages: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58 B.C.A.C.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As the Court of Appeal noted in </w:t>
      </w:r>
      <w:r>
        <w:rPr>
          <w:rFonts w:ascii="arial" w:eastAsia="arial" w:hAnsi="arial" w:cs="arial"/>
          <w:i/>
          <w:color w:val="000000"/>
          <w:sz w:val="20"/>
          <w:lang w:val="en-US" w:eastAsia="en-US" w:bidi="ar-SA"/>
        </w:rPr>
        <w:t>McTavish v. MacGillvary</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74 B.C.L.R. (3d) 281</w:t>
        </w:r>
      </w:hyperlink>
      <w:r>
        <w:rPr>
          <w:rFonts w:ascii="arial" w:eastAsia="arial" w:hAnsi="arial" w:cs="arial"/>
          <w:color w:val="000000"/>
          <w:sz w:val="20"/>
          <w:lang w:val="en-US" w:eastAsia="en-US" w:bidi="ar-SA"/>
        </w:rPr>
        <w:t>, the plaintiff can recover for loss of homemaking capacity even though she has incurred no expense to hire replacement services. Furthermore, housekeeping services can be provided gratuitously by a family member; however, the loss remains the plaintiff's, not the family members who provide the service: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 it is now well established that a plaintiff whose ability to perform housekeeping services is diminished in part or in whole ought to be compensated for that loss. It is equally well established that the loss of housekeeping capacity is the plaintiff's and not that of her family. When family members have gratuitously done the work the plaintiff can no longer do and the tasks they perform have a market value, that value provides a tangible indication of the loss the plaintiff has suffered and enables the court to assign a specific economic value in monetary terms to the loss. This does not mean the loss is that of the family members or that they are to be compensated. Their provision of services evidences the plaintiff's loss of capacity and provides a basis for valuing that loss. The loss remains the plaintiff's loss of economic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Damages can be awarded under a segregated heading of non pecuniary damages or as part of special damages, depending on the facts: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mother testified that the family lives in the 6,000 square foot home with all the adult children living at home until they are married in accordance with Sikh custom. She said that the plaintiff does housekeeping out of love and affection.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Plaintiff's counsel advanced a claim for damages in the amount of $19,680 based on the assumptions that:</w:t>
      </w:r>
      <w:r>
        <w:rPr>
          <w:rFonts w:ascii="arial" w:eastAsia="arial" w:hAnsi="arial" w:cs="arial"/>
          <w:sz w:val="20"/>
          <w:lang w:val="en-US" w:eastAsia="en-US" w:bidi="ar-SA"/>
        </w:rPr>
        <w:cr/>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pre-accident, the plaintiff averaged 11.75 hours per week of housework as follows: vacuuming and dusting once a week for five to six hours; washing her clothes once a week for one hour; cleaning the bathrooms and toilets daily for a total of two hours per week; grocery shopping once a month for five to six hours; and washing pots and pans daily for 15 to 20 minutes;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post-accident, the plaintiff averaged 1.5 hours per week of housework, for a difference of 10.25 hours of housework she was not able to complete post-accident;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128 weeks since the accident, the plaintiff's mother has taken over 10.25 hours of household chores that the plaintiff used to do, for a total of 1312 hours of household work;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thus yielding, at $15 per hour, a value of $19,680.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Based on these figures and the assumption that the plaintiff performed housekeeping for 11 to 12 hours per week, the plaintiff would see little time left over for engaging in her various recreational and social activities in the limited hours remaining after working more than 60 hours per week. Twelve hours of housekeeping represents the equivalent of a further full day and a half of full time work every week. There is an air of unreality surrounding these figures, and I am not persuaded that the plaintiff's figures provide a reasonable basis for assessing damages. Ms. Basi's mother, considering how hard the plaintiff was working outside the home, acknowledged that 12 hours weekly of housekeeping was too much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Further, the medical evidence does not lend sufficient support to a finding that the plaintiff's injuries have disabled her from housekeeping to the extent claimed in the assumed figures, especially within the last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have not completely disregarded the plaintiff's calculation, but the hours claimed for replacement services should be reasonable and supported by the medical evidence. I am not satisfied on the balance of probabilities that the plaintiff performed between 11 and 12 hours of housekeeping prior to the accident as set out in counsel's calculations. I am also not persuaded on a balance of probabilities that the accident has incapacitated the plaintiff to the extent represented in the plaintiff's calculations, especially not throughout the full 128 weeks since the accident. Neither does the evidence persuade me that the plaintiff's injuries will incapacitate her homemaking activities in the future, except to a minor degree into the very near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accept that the plaintiff had to cut back on her housekeeping tasks after the accident to a considerable extent especially in the first six months, and that her mother has had to assume a good portion of those tasks; I also accept that the plaintiff carried out housekeeping with difficulty at times, as noted by Dr. Claire. I find an award of $7,000 for loss of homemaking capacity is fair and reasonable, and this will form a separate head of damages under the heading of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parties agree that the plaintiff's wage loss claim of $3,857 is reasonable. As far as loss of future earning capacity, the medical evidence does not justify such an award. The plaintiff is very close to making a full recovery from the effects of this accident and, according to accepted evidence, will make a full recovery from her injuries, and I am not persuaded of a diminishment of her earning capacity on any of the accepted bases: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35 A.C.W.S. (2d) 96</w:t>
        </w:r>
      </w:hyperlink>
      <w:r>
        <w:rPr>
          <w:rFonts w:ascii="arial" w:eastAsia="arial" w:hAnsi="arial" w:cs="arial"/>
          <w:color w:val="000000"/>
          <w:sz w:val="20"/>
          <w:lang w:val="en-US" w:eastAsia="en-US" w:bidi="ar-SA"/>
        </w:rPr>
        <w:t xml:space="preserve"> (C.A.). The plaintiff has long since returned to the same employment on a full time basis and has continued in it since.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This is a moderate soft tissue injury with symptoms prolonged beyond the usual period expected possibly on account of the plaintiff's clinical history of complaints in the same areas as noted before the accident. However, she was asymptomatic pre-accident, except for occasional headaches. She has steadily improved since the accident. She returned to her to job at the bank by March 19, 2007, a little over two months after the accident, and to the CRS not long after that. She has returned to full time work, with her work hours totalling over 60 hours per week. Recreational activities such as skiing and running have been negatively impacted, and her homemaking capacity has been diminished. She has made a near full recovery from her injuries, and the accepted medical evidence indicates the plaintiff will see a full recovery in the future, though she may suffer minor flare-ups.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Tong v. Sidhu</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2009 BCSC 305</w:t>
        </w:r>
      </w:hyperlink>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[2009] B.C.J. No. 429</w:t>
        </w:r>
      </w:hyperlink>
      <w:r>
        <w:rPr>
          <w:rFonts w:ascii="arial" w:eastAsia="arial" w:hAnsi="arial" w:cs="arial"/>
          <w:color w:val="000000"/>
          <w:sz w:val="20"/>
          <w:lang w:val="en-US" w:eastAsia="en-US" w:bidi="ar-SA"/>
        </w:rPr>
        <w:t xml:space="preserve"> ($30,000); </w:t>
      </w:r>
      <w:r>
        <w:rPr>
          <w:rFonts w:ascii="arial" w:eastAsia="arial" w:hAnsi="arial" w:cs="arial"/>
          <w:i/>
          <w:color w:val="000000"/>
          <w:sz w:val="20"/>
          <w:lang w:val="en-US" w:eastAsia="en-US" w:bidi="ar-SA"/>
        </w:rPr>
        <w:t>Montes v. Lee</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2007 BCSC 1238</w:t>
        </w:r>
      </w:hyperlink>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[2007] B.C.J. No. 1811</w:t>
        </w:r>
      </w:hyperlink>
      <w:r>
        <w:rPr>
          <w:rFonts w:ascii="arial" w:eastAsia="arial" w:hAnsi="arial" w:cs="arial"/>
          <w:color w:val="000000"/>
          <w:sz w:val="20"/>
          <w:lang w:val="en-US" w:eastAsia="en-US" w:bidi="ar-SA"/>
        </w:rPr>
        <w:t xml:space="preserve"> ($30,000); </w:t>
      </w:r>
      <w:r>
        <w:rPr>
          <w:rFonts w:ascii="arial" w:eastAsia="arial" w:hAnsi="arial" w:cs="arial"/>
          <w:i/>
          <w:color w:val="000000"/>
          <w:sz w:val="20"/>
          <w:lang w:val="en-US" w:eastAsia="en-US" w:bidi="ar-SA"/>
        </w:rPr>
        <w:t>Laroche v. MacPhail,</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2007 BCSC 1451</w:t>
        </w:r>
      </w:hyperlink>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162 A.C.W.S. (3d) 763</w:t>
        </w:r>
      </w:hyperlink>
      <w:r>
        <w:rPr>
          <w:rFonts w:ascii="arial" w:eastAsia="arial" w:hAnsi="arial" w:cs="arial"/>
          <w:color w:val="000000"/>
          <w:sz w:val="20"/>
          <w:lang w:val="en-US" w:eastAsia="en-US" w:bidi="ar-SA"/>
        </w:rPr>
        <w:t xml:space="preserve"> ($30,000); </w:t>
      </w:r>
      <w:r>
        <w:rPr>
          <w:rFonts w:ascii="arial" w:eastAsia="arial" w:hAnsi="arial" w:cs="arial"/>
          <w:i/>
          <w:color w:val="000000"/>
          <w:sz w:val="20"/>
          <w:lang w:val="en-US" w:eastAsia="en-US" w:bidi="ar-SA"/>
        </w:rPr>
        <w:t>Bjarnason v. Park</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2009 BCSC 48</w:t>
        </w:r>
      </w:hyperlink>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[2009] B.C.J. No. 75</w:t>
        </w:r>
      </w:hyperlink>
      <w:r>
        <w:rPr>
          <w:rFonts w:ascii="arial" w:eastAsia="arial" w:hAnsi="arial" w:cs="arial"/>
          <w:color w:val="000000"/>
          <w:sz w:val="20"/>
          <w:lang w:val="en-US" w:eastAsia="en-US" w:bidi="ar-SA"/>
        </w:rPr>
        <w:t xml:space="preserve">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defendant relies on: </w:t>
      </w:r>
      <w:r>
        <w:rPr>
          <w:rFonts w:ascii="arial" w:eastAsia="arial" w:hAnsi="arial" w:cs="arial"/>
          <w:i/>
          <w:color w:val="000000"/>
          <w:sz w:val="20"/>
          <w:lang w:val="en-US" w:eastAsia="en-US" w:bidi="ar-SA"/>
        </w:rPr>
        <w:t>Cox v. Bounthavilay,</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2007 BCSC 1199</w:t>
        </w:r>
      </w:hyperlink>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160 A.C.W.S. (3d) 796</w:t>
        </w:r>
      </w:hyperlink>
      <w:r>
        <w:rPr>
          <w:rFonts w:ascii="arial" w:eastAsia="arial" w:hAnsi="arial" w:cs="arial"/>
          <w:color w:val="000000"/>
          <w:sz w:val="20"/>
          <w:lang w:val="en-US" w:eastAsia="en-US" w:bidi="ar-SA"/>
        </w:rPr>
        <w:t xml:space="preserve"> ($20,000); </w:t>
      </w:r>
      <w:r>
        <w:rPr>
          <w:rFonts w:ascii="arial" w:eastAsia="arial" w:hAnsi="arial" w:cs="arial"/>
          <w:i/>
          <w:color w:val="000000"/>
          <w:sz w:val="20"/>
          <w:lang w:val="en-US" w:eastAsia="en-US" w:bidi="ar-SA"/>
        </w:rPr>
        <w:t>Bohnke v. Vendervelt</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2006 BCSC 75</w:t>
        </w:r>
      </w:hyperlink>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[2006] B.C.J. No. 122</w:t>
        </w:r>
      </w:hyperlink>
      <w:r>
        <w:rPr>
          <w:rFonts w:ascii="arial" w:eastAsia="arial" w:hAnsi="arial" w:cs="arial"/>
          <w:color w:val="000000"/>
          <w:sz w:val="20"/>
          <w:lang w:val="en-US" w:eastAsia="en-US" w:bidi="ar-SA"/>
        </w:rPr>
        <w:t xml:space="preserve"> ($20,000); </w:t>
      </w:r>
      <w:r>
        <w:rPr>
          <w:rFonts w:ascii="arial" w:eastAsia="arial" w:hAnsi="arial" w:cs="arial"/>
          <w:i/>
          <w:color w:val="000000"/>
          <w:sz w:val="20"/>
          <w:lang w:val="en-US" w:eastAsia="en-US" w:bidi="ar-SA"/>
        </w:rPr>
        <w:t>Densch v. Kirkpatrick</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2007 BCSC 277</w:t>
        </w:r>
      </w:hyperlink>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155 A.C.W.S. (3d) 1126</w:t>
        </w:r>
      </w:hyperlink>
      <w:r>
        <w:rPr>
          <w:rFonts w:ascii="arial" w:eastAsia="arial" w:hAnsi="arial" w:cs="arial"/>
          <w:color w:val="000000"/>
          <w:sz w:val="20"/>
          <w:lang w:val="en-US" w:eastAsia="en-US" w:bidi="ar-SA"/>
        </w:rPr>
        <w:t xml:space="preserve">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cases cited by counsel encompass the appropriate range of damages for a case of this kind, but of course, each case involves its own factors, and therefore requires an individual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Based on all the evidence before me, I award $30,000 to the plaintiff for non-pecuniary damages, in addition to a $7,000 award for diminishment of homemaking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award $2,126.68 to the plaintiff, which encompasses all the items claimed less the cost of the gym membership which I am not satisfied should be the responsibility of the defendant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Damages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Based on the foregoing, I award a total of $42,983.68 to the plaintiff in damages incurred as a result of the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plaintiff is entitled to costs under Rule 66,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The defendant Mr. Sarai shall bear Mr. Buttar's costs up to and including the examinations for discovery. The plaintiff shall bear Mr. Buttar's costs after the examinations for discovery to the conclusion of the trial, with the plaintiff bearing one half of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2"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5"/>
          <w:headerReference w:type="default" r:id="rId896"/>
          <w:footerReference w:type="even" r:id="rId897"/>
          <w:footerReference w:type="default" r:id="rId898"/>
          <w:headerReference w:type="first" r:id="rId899"/>
          <w:footerReference w:type="first" r:id="rId9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1" w:history="1">
        <w:r>
          <w:rPr>
            <w:rFonts w:ascii="arial" w:eastAsia="arial" w:hAnsi="arial" w:cs="arial"/>
            <w:b/>
            <w:bCs/>
            <w:i/>
            <w:color w:val="0077CC"/>
            <w:kern w:val="32"/>
            <w:sz w:val="28"/>
            <w:szCs w:val="32"/>
            <w:u w:val="single"/>
            <w:shd w:val="clear" w:color="auto" w:fill="FFFFFF"/>
            <w:lang w:val="en-US" w:eastAsia="en-US" w:bidi="ar-SA"/>
          </w:rPr>
          <w:t>Frech v. Langley, [2012] B.C.J. No. 1722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25-29 and July 3-4,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M118541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1722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1230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Aneta Justyna Frech, Plaintiff, and William Bruce Langley and Carol Langley, Malkit Kooner and Gurnam Singh Kooner,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3"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2" w:name="Keywords_47"/>
      <w:bookmarkEnd w:id="322"/>
      <w:r>
        <w:rPr>
          <w:rFonts w:ascii="arial" w:eastAsia="arial" w:hAnsi="arial" w:cs="arial"/>
          <w:b/>
          <w:color w:val="000000"/>
          <w:sz w:val="20"/>
          <w:lang w:val="en-US" w:eastAsia="en-US" w:bidi="ar-SA"/>
        </w:rPr>
        <w:t>Damages — Physical and psychological injuries — Physical injuries — Body injuries — Back and spine — Neck — Soft tissue — Action by motorist for damages for injuries sustained in motor vehicle accidents allowed — Plaintiff was struck by Langley while making left turn and seven months later was rear-ended by Kooner — Plaintiff suffered soft tissue injuries to neck, back, shoulder and arm pain in first accident, which were aggravated by second accident — Plaintiff entitled to general damages for pain and suffering of $35,000, lost wages of $1,343 resulting from first accident and loss wages of $715 resulting from second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Special damages — Past loss of income — Non-pecuniary loss — Pain and suffering — Action by motorist for damages for injuries sustained in motor vehicle accidents allowed — Plaintiff was struck by Langley while making left turn and seven months later was rear-ended by Kooner — Plaintiff suffered soft tissue injuries to neck, back, shoulder and arm pain in first accident, which were aggravated by second accident — Plaintiff entitled to general damages for pain and suffering of $35,000, lost wages of $1,343 resulting from first accident and loss wages of $715 resulting from second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Intersections — Turns — Left turn at intersection — Liability — Civil actions — Breach of rules of the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motorist for damages for injuries sustained in motor vehicle accidents allowed — Plaintiff was struck by Langley while making left turn and seven months later was rear-ended by Kooner — Langley was 100 per cent liable for first accident as she failed to yield right of way to plaintiff's vehicle by coming to complete stop before intersection when light turned to amber — Plaintiff did not keep proper lookout, but her failure to do so did not contribute to accident as she had legal right of way — Kooner admitted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3" w:name="Case Summary_38"/>
            <w:bookmarkEnd w:id="3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motorist for damages for injuries sustained in two motor vehicle accidents that occurred in 2007. In April 2007, the plaintiff was struck by the defendant Langley while making a left turn. After stopping in the intersection to allow oncoming traffic to pass, the plaintiff proceeded to turn left as the light changed from amber to red and was struck by Langley. As a result of the accident the plaintiff suffered soft tissue injuries to her neck and upper back and pain in her right shoulder and arm. She underwent physiotherapy and showed some improvement. In November 2007, the plaintiff was involved in a second accident. While stopped waiting to merge onto a highway, the plaintiff was rear-ended by the defendant Kooner. Kooner admitted liability. As a result of the accident, the plaintiff's soft tissue injuries from the first accident were aggravated. She continued to undergo physiotherapy and massage therapy. The plaintiff was 26 years of age at the time of the first accident. She suffered from pre-existing medical conditions including migraines and endometriosis. At the time of the first accident, she was employed as an assistant manager at a restaurant. She missed two weeks of work as a result of the first accident. At the time of the second accident, the plaintiff continued to work part-time at the restaurant and she was also employed as a bank teller. Following the second accident, she missed two days of work at the bank. She stopped working at the restaurant in March 2009 as only serving shifts were available to her and she was unable to carry the trays due to her injuries. Prior to the first accident, she was physically active and enjoyed playing the piano. Post-accident, she had to limit her activity due to soreness.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4" w:name="Holdings of Court_32"/>
            <w:bookmarkEnd w:id="32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Langley was 100 per cent liable for the first accident. Langley was negligent as she failed to yield the right of way to the plaintiff's vehicle by coming to a complete stop before the intersection when the light turned to amber. While the plaintiff did not keep a proper lookout, this did not contribute to the accident as she had the legal right of way and the Langley should have yielded to her. As a result of the accidents, the plaintiff suffered soft tissue injuries and continued to suffer pain. The plaintiff was entitled to general damages for pain and suffering of $35,000, lost wages of $1,343 resulting from the first accident and loss wages of $715 resulting from the second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5" w:name="Legislation Cited_33"/>
      <w:bookmarkEnd w:id="3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4"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94" w:history="1">
        <w:r>
          <w:rPr>
            <w:rFonts w:ascii="arial" w:eastAsia="arial" w:hAnsi="arial" w:cs="arial"/>
            <w:i/>
            <w:color w:val="0077CC"/>
            <w:sz w:val="20"/>
            <w:u w:val="single"/>
            <w:shd w:val="clear" w:color="auto" w:fill="FFFFFF"/>
            <w:lang w:val="en-US" w:eastAsia="en-US" w:bidi="ar-SA"/>
          </w:rPr>
          <w:t>RSBC 1996, CHAPTER 318, s. 174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6" w:name="Counsel_47"/>
      <w:bookmarkEnd w:id="3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5"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D.J.M.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K.R. Tonge.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7" w:name="Judgment_46"/>
      <w:bookmarkEnd w:id="327"/>
      <w:r>
        <w:pict>
          <v:line id="_x0000_s1256" style="position:absolute;z-index:251859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8" w:name="J.D. TRUSCOTT J."/>
            <w:bookmarkEnd w:id="328"/>
            <w:r>
              <w:rPr>
                <w:rFonts w:ascii="arial" w:eastAsia="arial" w:hAnsi="arial" w:cs="arial"/>
                <w:b/>
                <w:color w:val="000000"/>
                <w:sz w:val="30"/>
                <w:lang w:val="en-US" w:eastAsia="en-US" w:bidi="ar-SA"/>
              </w:rPr>
              <w:t>J.D. 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injured in two motor vehicle accidents in 2007 that are the subjects of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motor vehicle accident was on April 11, 2007. The plaintiff was operating her motor vehicle in an easterly direction on 64th Avenue in Surrey, B.C., around 9:00 a.m., with the intention of turning left, or north, onto 144th Street at the intersection of 64th Avenue and 144th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weather and road conditions at the time were dry. 64th Avenue had two through lanes, both eastbound and westbound, with dedicated left turn lanes at 144th Street for vehicles intending to turn north and south onto 144th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moved into the dedicated left turn lane to turn north onto 144th Street while the traffic signal light controlling traffic eastbound and westbound on 64th Avenue was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She stopped part-way into the intersection facing the westbound left turning lane, ahead of her stop line, to allow westbound through traffic to clear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While in that stopped position, she saw a vehicle in the westbound curb lane on 64th Avenue slow down and come to a stop before the intersection as the traffic light turned to amber.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says at trial that no traffic was then approaching westbound in the other through lane, although she agrees on her examination for discovery she said she could not recall looking.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proceeded across that through lane as the traffic light turned from amber to red and she says she did not look down the through lane after she commenced her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About one or two seconds later her vehicle was struck on the right rear corner tire area, by a vehicle that she never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says her left turn signal was on at all times while she was in the left turn lane and while she was turning left and she never stopped again after stopping the first time in the intersection to allow traffic to clear. She says she made one continuous left turn across the westbound through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has little recollection of what happened at the scene afterwards. She says she was crying and shook up although there was no impact to her body in her vehicle. She recalls talking to the witness Linda Siemens, and to the driver who hit her, but has no recollection of the conversations.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No police, ambulance or fire department vehicles attended. Damage to her vehicle was in the tire area only and was repaired for approximately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Carol Langley was the driver of the vehicle westbound in the through lane on 64th Avenue that struck the plaintiff's vehicle in the intersection with 144th Street. Her son David was in the front passenger seat. The defendant William Bruce Langley who owned the vehicle was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says that as she approached the intersection of 144th Street she was going 55-60 kph and the traffic light was green. The speed limit in the area was 60 kph. She says she noticed a greenish vehicle turning right off 64th Avenue to proceed north on 144th Street as she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also saw the plaintiff's vehicle in the eastbound left turn lane on 64th Street across the intersection. It was in a stationary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says the light turned from green to amber as she entered the intersection still travelling 55-60 kph, and she saw the plaintiff's vehicle pull into the intersection and continue until she came to a second stop in front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applied her brakes but could not stop in time; and hit the right rear wheel area of the plaintiff's vehicle with the right front corner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parked her vehicle on 64th Avenue on the west side of the intersection and walked back to the plaintiff's vehicle which was parked on $144th Street, just north of the intersection. The plaintiff was talking to a woman who got out of the green car. The plaintiff was shaking quite a bit, but indicated she was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Langley was very confused during cross-examination and during her examination for discovery about directions and about the position of the plaintiff's vehicle in relation to her vehicle at any point in time. However, I am satisfied that I have set out the essence of her evidence accurately.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Counsel agree that the amber light for east/west traffic on 64th Avenue at that intersection with 144th Street lasts four seconds, followed by two seconds of a four-way red light to clear the intersection before the north/south light on 144th Street turns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David Langley basically confirms his mother's evidence. He says he saw the plaintiff's vehicle stopped in the left turn lane when his mother's vehicle was approximately 40 feet away from the intersection and the traffic light was still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light turned amber as his mother approached going 55-60 kph and he saw the plaintiff's vehicle start to make its turn before he also says it stopped again in the intersection in front of his mother's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His mother jammed on her brakes when the plaintiff's vehicle moved into the intersection in front of her and came to a stop. He says that their vehicle had no opportunity to stop in time. The impact to the plaintiff's vehicle was light with damage to the right back tire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evidence of the witness Linda Siemens was that she was in a gray/bluish vehicle on 64th Avenue proceeding west in the curb lane intending to turn north on 144th Street at the intersection. She said she was slowing down to the make the turn and she saw the traffic light on 64th Avenue turn to amber.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saw the plaintiff's vehicle in the opposite left turn lane in a stationary position facing her with its turn signal on and with the front tires just over the west crosswalk on 64th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seeing the plaintiff's vehicle she slowed down further to almost a dead stop to allow the plaintiff's vehicle to turn in front of her vehicle onto 144th Street on the amber light before she turned her own vehicle. She remained focused on the plaintiff's vehicle as she slowed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says her vehicle had pretty much come to a stop before the east crosswalk on 64th Avenue as the plaintiff's vehicle started to clear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says she noticed in her driver's side mirror that no traffic was beside her in the other through lane proceeding westbound.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She says all of a sudden a car came flying by her to her left, swerving and fishtailing while screeching its brakes before it hit the back end of the plaintiff's vehicle on the passenger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says this impact occurred when the plaintiff's vehicle was already two-thirds of the way in front of her vehicle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She says that when the plaintiff commenced her left turn through the intersection it was one continuous turn with no further stop. The plaintiff's movement in the turn was normal to her with the plaintiff's left turn signal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is certain that the defendants' vehicle was not beside her vehicle when the plaintiff's vehicle began to turn. She says the plaintiff's vehicle did wait for the intersection to clear before making her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Her evidence is that the interval of time between when she first noticed the traffic light turning amber until impact was about four to five seconds. She denies the light was still amber when the defendants' vehicle entered the intersection but she only assumes that because she was not looking at the light at that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Siemens drew a rough diagram of the position of the vehicles at the time of impact which is part of Exhibit 1. In that drawing the plaintiff's vehicle is indicated as most of the way through the curb lane on 64th Avenue at time of impact in accordance with Ms. Siemens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was 26 years of age at the time of this accident and 31 years of age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She suffered neck and upper back soft tissue injury and pain, as well as right shoulder pain and right arm pain shooting down her arm. She also suffered tension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Her family doctor was and is Dr. Cox. She saw him for the first time for this first accident on April 19, 2007, although she had seen another doctor in his clinic on April 11,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Dr. Cox saw her on April 19, 2007 she was complaining of neck pain, and pain in her upper arm although her headaches seemed to have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examination he found her neck to be tender to pressure and to have mild limitation of movement, especially on left lateral flexion and rotation.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diagnosed soft tissue injury and sent the plaintiff for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saw her again on May 3, 2007 when he noted that her right shoulder was still causing her trouble, although her neck was much better and her headaches had improved. On examination at that time she was tender with some pain on internal and external rotation and he advised her to continue with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saw the plaintiff again on June 7, 2007 with complaints of continued pain to the right side of her neck and right shoulder pain, with headaches. She had not yet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says she missed two weeks of work at Boston Pizza as an assistant manager and lost gross income of $1,343. This wage loss claim is agreed to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Cox prepared a medical report for ICBC on June 8, 2007 in which he noted that on his examination of June 7th, the plaintiff had palpatory tenderness in her cervical spine as well as pain and limitation of movement in that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reported the plaintiff's complaints then as improved but still with pain to pressure with full range of movement. He recommended additional physiotherapy of four more sessions as needed in addition to four physiotherapy sessions she had already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noted at that time that the plaintiff was unable to carry heavy trays at Boston Pizza and that the plaintiff informed him that she could not play tennis because of her right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His findings at that that time were of mild pain to pressure of the cervical spine and mild pain with full range of motion. He recorded her injury at Grade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did not see the plaintiff for injuries in this accident again until after she had had her second accident on November 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says that at the time of the second accident she was still suffering from frequent headaches, and pain in her neck, right shoulder and arm while carrying out her daily chores and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However, in a statement she gave on May 30, 2008, after the second accident, she said that she had suffered minor injuries in the previous accident of April 11, 2007 but had practically recovered from them by the time of the second accident and that her primary injury in the previous accident occurred in an area that was not injured in the second accident, that being her right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crew report for the ambulance service that attended on this second accident, the plaintiff is reported as indicting a relevant past history of "normally healthy" with the denial of any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By the time of the second accident, the plaintiff had left Boston Pizza to work at the Bank of Montreal as a teller although she also continued to work part-time at Boston Pizza two days a week taking manager shifts and server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 says she moved to the bank to focus on obtaining a career and she was tired of working nights at Boston Pizza.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This second accident of November 5, 2007 occurred when the plaintiff's vehicle was rear-ended at 72nd Avenue and King George Highway in Surrey in the morning while she was going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She was in a stopped position waiting to merge onto King George Highway when a vehicle driven by the defendant Malkit Kooner collided with the rear of her vehicle with a hard jolt, causing her head to whiplash back and forth and the vehicle to suffer approximately $700 of rear end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Liability has been admitted for this accident by the defendants Kooner.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this accident the plaintiff says that her neck pain, back pain, right arm pain and headaches were all aggravated significantly. She is unable to say she had improved at all before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had other pre-existing medical problems. She was prone to migraine headaches that she says occurred about twice a year and which have continued after these two accidents. In addition, she has the medical condition of endometriosis which causes recurrent episodic very serve abdominal pain. This condition has also continued after these two accidents and unrelated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does not claim any migraine headaches are due to either of these two accidents but does claim any ongoing tension headaches from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Her ongoing issues with the endometriosis affects her ability to work from time to time and she also does not claim loss of income earning capacity associated with that, but she does claim a loss of income earning capacity from an alleged inability to continue working part-time at Boston Pizza while she works full-time at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She says that she had to stop working at Boston Pizza completely in March 2009 when the company hired another manager to do the managerial shifts and they were no longer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She says all that was available to her at that time was part-time shift work carrying and serving trays. This was too much of a strain on her neck, back and arms for her to carry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She says it would not have made a difference for her to have tried other part-time jobs because desk jobs would all have to be done during the day when she works at the bank and any after-hours job would probably require the same ability to use her neck, back and arms for physical work, which she says she cannot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She says if she could perform as a server at Boston Pizza she would still work there part-time because she does not consider that she makes enough money at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Her income at the bank has increased to in excess of $32,000 currently, but she says that at Boston Pizza she got quarterly bonuses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She has been told by the bank that she is doing well at her job and exceeding targets, and in fact she recently received a promotion.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Following the November 5, 2007 accident she only missed two days of work at the bank because of her injuries and suffered a loss of $216 in gross income. Again this figure is agreed to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She says she took another week off work as part of her holiday time but never used it for holidays as she rested from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November 7, 2007 she attended on Dr. Cox complaining of severe pain to the back of her neck, her upper back, and mid-thoracic area. She had a severe headache and felt quite shaky and jittery. She had missed her two days of work by then and Dr. Cox recommended she take the rest of the week off to see how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 encouraged her to continue activities as tolerated and referred her again for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Cox saw her thereafter on December 20, 2007 for her motor vehicle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that time she complained of soft tissue pain to the left side of her neck and Dr. Cox found her tender to pressure with limitation of movement because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noted that she had been to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Cox saw her again on January 21, 2008 in preparation for another report for ICBC that day. In this report he indicated that palpatory tenderness existed in her cervical spine and thoracic spine and pain was produced in her cervical spine, with no limitation of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His initial findings were of complaints of pain to pressure bilaterally, but especially on the right side, with mild loss of movement in all directions because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reported the plaintiff told him at that time that she had improved 80-90% but still had some tenderness and loss of motion with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denies ever telling Dr. Cox that she was 80-90% better as she says she was not even 50%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Cox put down his current objective findings as mild tenderness to pressure only and pain at extremes of motion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noted that the plaintiff had had three massage treatments already but he did not recommend any additional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says that she had started massage therapy in November 2007 and carried on for six weeks until December 2007 before stopping, even though she was allowed another two weeks for this therapy. She says it was not helping and made it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only medication Dr. Cox prescribed was Advil.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 noted that the plaintiff was able to work full-time as a bank teller and was capable of carrying out her non-work activities and he considered that she had done well and he expected future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did not see the plaintiff again for motor vehicle accident related complaints until June 2009 when she came in with posterior headaches coming over the top of her head from her neck that he suspected were stress or tension headaches and for which he gave her naprosyn as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says that through 2008 and 2009 she was having tension headaches every day but was getting used to them. Certain activity she wasn't able to do and there were no days without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She also says that this was the same situation in 2010 and right up to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 Surrey Memorial Hospital records for September 11, 2008, in a Pre-Anaesthetic Questionnaire, the plaintiff was asked to check off areas in which she had complaints. She did not check off any problems of joints, muscles or neck but she checked off that she was active with sports and gardening.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next time Dr. Cox saw the plaintiff for motor vehicle accident complaints was on May 6, 2010 at which time she again complained to him of tension headaches for which he gave her more naprosyn. She asked him what she should do about it. He says he advised regarding chiropractor, physiotherapy, exercises,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After May 6, 2010 the next visit to Dr. Cox for motor vehicle accident related complaints was on January 19, 2012 when she complained of ongoing neck pain and some pain in her supraspinatus as well as pain in her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At that time he noted that another doctor had recommended a supervised exercise program for the plaintiff with which he agreed. He also noted that she was getting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At trial he says he did not expect the plaintiff to come more often for motor vehicle accident related treatment as there was not more he could do for her. She followed all his advice for treatment and he considered her motivated to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took part in the supervised exercise program which ended recently and she says it made her 80% better. Her right arm is better and she does not get tension headaches every day. The program employed the use of weights which made her muscles stronger.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Presently she says she is not remaining at 80% better because the supervised program ended and the kinesiologist running the program suggested that she wait on obtaining a gym membership to continue her exercise program until it could be determined if ICBC would fund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cost is $55 per month and the plaintiff says ICBC has recently approved it. She is going to start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She says she gets tension headaches every few days currently and her arm is still sore with tingling in her fingers. She says she can get headaches while doing nothing as well as during housework and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Her sleep is better after completing the exercise program although she says she sometimes wakes up in the night with shooting pains in her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Prior to the first accident she says she enjoyed a lot of outdoor activities such as tennis, boating, swimming, water skiing and golfing at the driving range. She also enjoyed playing the piano two hours a day, two or three days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After the first accident she says she could not continue her tennis nor her water activities and this has continued after the second accident. Her piano-playing has been reduced because her arms get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She has been able to go on vacation however to Washington State and the Okanagan where she says she spent most of her time on the beach. She has also vacationed in the Dominican Republic, Las Vegas, and Cuba where she enjoyed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She continues to enjoy dancing.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She says she now has to plan her household chore activities over many days to reduce her soreness.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plaintiff's mother says that her daughter did not have any problems with headaches or soft tissue injuries in the five years prior to the two motor vehicle accidents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Although the plaintiff has not lived with her mother since she was 22 years of age, she did live for a time in the same complex and saw her mother almost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Her mother confirms that prior to the accidents the plaintiff played the piano at her place almost every time she came to visit for approximately one or two hours each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She describes her daughter before the accidents as being very easy-going, ready for a challenge, very active, and with a positive attitude towards life. She socialized with her friends and liked to go camping.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Following the two motor vehicle accidents she says her daughter does not visit as often and does not play the piano for more than five to ten minutes. She continually rubs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Her daughter is not as active as before the motor vehicle accidents and her attitude to life has become more frustrated and miserable. Her daughter has evidenced tension headaches while around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 friend and former roommate, Ms. Snell says she was the plaintiff's manager at McDonald's where they both worked prior to the plaintiff moving to Boston Pizza. She says that the plaintiff was a hard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After the first accident she saw the plaintiff at Boston Pizza carrying trays and bar tending and saw her often asking for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Prior to the two accidents Ms. Snell and the plaintiff vacationed together in the Okanagan, where they boated, water skied, swam, and camped. The plaintiff also played tennis and had lots of friends and never complained of headaches. They also liked to go to movies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When they lived together before the accidents, each assumed a share of household chores, but after the accidents, when they lived together once again, she says the plaintiff could not vacuum nor do any strenuous activities in the home and she would see the plaintiff holding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After the accidents they still went to the beach together but the plaintiff no longer did any water skiing or any water sports and remained on the beach relaxing.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When they went to the movies the plaintiff would get up and leave after 20 minutes after looking at the screen gave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Snell confirms that when they lived together and the plaintiff moved to the bank she still continued some shift work at Boston Pizza and she came home holding her shoulder and neck and complaining of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She confirms the plaintiff left Boston Pizza for the bank to start her career because she did not want to work late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There has not been any improvement that she has seen since the two accidents until the supervised exercise program that recently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Pakdel is a qualified kinesiologist who treated the plaintiff between February 2012 and May 2012 in this supervised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reported to her the same complaints of pain in her neck, shoulder and arm areas and disturbed sleep due to pain, with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She tested the plaintiff before and after completing the program and observed her neck range of movement increased to almost what she considered to be normal in all movements as did her range of motion of her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her initial report summary at the beginning of the program she observed the plaintiff to suffer from poor strength and muscular endurance in her lower limbs as well as poor posture and gait cycle. She also had decreased range of movement in her neck and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proposed rehabilitation program was designed to include pain education, being the development of a more positive attitude without a focus on pain, and to increase her overall stamina through a stretching program, postural training and weight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goal was to strengthen the plaintiff's neck and back so that at the end of the program she would know the exercise techniques and be able to continue the program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By the end of the program the plaintiff reported to her that the pain in her back, neck and arms had decreased as had her headaches to a level where they were only intermittent and not prevalent.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reported lots of pain relief and lots of activity increase. She said she could lift heavy weights although it gave extra pain. She could read as much as she wanted to with slight pain in her neck. She had slight headaches that came infrequently, she could concentrate fully without difficulty, she could do as much work as she wanted, drive her car without any neck pain, sleep with slight disturbance of less than one hour of lost sleep and engage in all recreational activities with some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She reported to Ms. Pakdel that she could tolerate pain without using pain pills, sit in a chair as long as she liked, and travel anywhere without extra pain, and her pain had no significant effect on her social life apart from limiting her more energetic interests, such as dancing.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her discharge report, Ms. Pakdel stated the plaintiff reported to her an 80% improvement in her level of pain intensity, and an 80% increase in her pre-injury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She also expressed the wish to continue the exercise program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Pakdel reported the plaintiff able to perform the exercises and weight training with no observed physical limitations and with increased range of motion in neck, shoulders, and back, and with muscular strength, core stability, flexibility, balance, posture and cardiovascular fitness.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She recommended the plaintiff continue with the exercise program independently and be provided with a three month gym pass at a community centre close to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Pakdel says that if a client has a lawyer and asks her how you deal with ICBC about payments for the gym pass she advises to talk to their lawyer as ICBC often takes a long time to deal with these issues. If a client does not have a lawyer and asks her directly what to do, she usually says to hold off until funding approval is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She confirms that she did not tell the plaintiff to fund the gym pass herself and says she got involved herself with ICBC about funding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She agrees the plaintiff was always motivated to continue her exercises and resume her normal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Defence counsel referred the plaintiff to Dr. McGraw for an independent orthopedic assessment and he attended on the plaintiff for this assessment on October 20,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 informed him that she was not completely recovered from the first accident when the second accident occurred as she was experiencing ongoing headache, neck pain, right shoulder pain, and right arm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 agreed at trial that this history given to Dr. McGraw was not consistent with what she had said in her statement of May 30, 2008 was her medical condition at the time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McGraw says he was told by the plaintiff that after the second accident she was sent for physiotherapy for eight weeks which was somewhat helpful but because she was obliged to pay for half of each treatment she could not afford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says it was massage treatments that she could not afford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She told Dr. McGraw that she had no pain in her right shoulder if she did not engage in any physical activities but she found sustained activities such as keyboarding for eight hours caused the right shoulder and arm to become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She told him the pain in the right shoulder and arm radiated up into the neck and into the base of the skull resulting in headaches and this problem got worse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At trial she explains that she spends 70-80% of her work time on a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She told Dr. McGraw that she had made no progress in her recovery in the previous three months and she says at trial that this was because during this time she was receiving no treatment and getting no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She told Dr. McGraw that no supervised exercise program was ever offered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McGraw noted in his report that the plaintiff did not exhibit any non-organic activity or pain modification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On palpation of her skull base and neck, local tenderness was detected high up in the cervical spine on the right and the superior vertebral angle of the right scapula.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He found her motion of the cervical spine to be close to normal but with a complaint of general stiffness.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He diagnosed soft tissue injury from both accidents but he did not consider the treatment to date through physiotherapy had been optimal. It would have been his preference that the plaintiff from early onset be involved in a supervised active exercise program, preferably conducted by a university educated personal trainer. He identified the objectives of such a program to be to overcome her deconditioning, improve her posture, her flexibility, endurance, cardiovascular fitness, and education regarding spinal health and methods of pain relief, such as stretching.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the absence of such a program he considered her response to injury to be customary, namely, a reflex restriction of range of motion in her right shoulder and arm in an effort to protect against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His long term prognosis for recovery was good provided the plaintiff engage in a supervised active exercise program and he recommended a three month program three times a week on a one to one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Subsequently Dr. McGraw received and reviewed the discharge report from the kinesiologist of the active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He was encouraged that the plaintiff had responded to the treatment with 80% recovery and says this supports his prognosis in his report. He does acknowledge that this was not a recovery to a complete lack of pain but it was still a good result in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He says his prognosis for good recovery means to return to her activities of daily life but he is unable to predict that she will be pain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Hershler is a specialist in physical medicine and rehabilitation who was retained by plaintiff's counsel to assess the plaintiff. He carried out this assessment after Dr. McGraw's assessment on January 9, 2012 and prepared a report of January 10,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On physical examination he found movements of her head and neck to be tighter with evidence of muscle resistance. She was unable to obtain full range of rotation of the head to the right passively, although he could push her head through its full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Palpation of the cervical spine was unremarkable but palpation of the right trapezius muscle produced numerous muscle tender points across the top of the right shoulder and down the medial aspect of the right scapula and under the nuchal ridge at the base of the skull on the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This tenderness was noted by withdrawal from pressure and verbal indications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She had full range shoulder movements and intact shoulder girdle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His diagnosis in his report was of injury to the right trapezius muscle and he concluded this was the most likely reason for the numbness and pain in the right arm, referred from the right shoulder, and for the cervicogenic headaches which he considered likely to trigger the migraine variety at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His prognosis was that the symptoms are unlikely to resolve on their own accord and more likely than not to persist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He recommended as well that the plaintiff be involved in a supervised exercise program with the goal being to develop an individualized set of exercises that she could do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He stated the objective of such a program was to increase her core strength in the neck and shoulders in such a way that she would be able to build up endurance and strength so as to manage the pain more effectively.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At trial he explains that in his opinion it is unlikely the pain will totally disappear but with improved strength she can cope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Although he recognizes that the plaintiff has shown that she has pain tolerance, he cautions that the ability to work through pain decreases with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He agrees that while the objective is to get people to function as best they can, pushing them to be active does not necessarily result in the pain 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He says many factors can amplify pain but he agrees that if a person is totally sedentary there is some amplification of the pain. A person who is motivated and active will adapt and cope and function better with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general he says it is best to treat with an active rehabilitation program as soon as possible but each situation is different depending on the degree of pain. The problem is that often pain blocks the benefits of therapy and the pain has to be reduced to make the therapy worthwhile.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He reviewed Dr. McGraw's report and holds Dr. McGraw in high regard and he considers his findings to be similar to that of Dr. McGraw's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Hershler only had the two reports to ICBC that Dr. Cox prepared, as well as the report of Dr. McGraw to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He did not have any clinical records from Dr. Cox to review nor any physiotherapy records to review. He relied on the history the plaintiff gave him to be accurate but he was satisfied that he still had enough information to give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He also received and reviewed the discharge report from the kinesiologist dated May 15,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He also saw this as an improvement in the plaintiff's strength and flexibility, although he cannot say it would have been the same result if the program had occurred four or five years earlier. All he can say is it is better to have this rehab program sooner rather than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He cannot be sure that the plaintiff will ever have 100% recovery in her symptoms but he agrees the rehabilitation program has significantly improved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Submissions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Plaintiff's counsel submits that I should accept the evidence of the independent witness Ms. Siemens in its entirety on the circumstances of the first accident, and assess 100% liability against the defendants Langley to go along with 100% liability for the second accident against the defendants Kooner.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He submits that both accidents have caused the plaintiff soft tissue injury to her neck and right shoulder area along with tension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Prior to the accidents the evidence indicates she was a healthy, happy, socially active young woman who enjoyed playing the piano.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After the accident her activity has been reduced to sitting on the beach while vacationing and doing her housework while holding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Counsel seeks general damages for pain and suffering and loss of enjoyment of life in the order of $80,000, relying on the awards in the cases of </w:t>
      </w:r>
      <w:r>
        <w:rPr>
          <w:rFonts w:ascii="arial" w:eastAsia="arial" w:hAnsi="arial" w:cs="arial"/>
          <w:i/>
          <w:color w:val="000000"/>
          <w:sz w:val="20"/>
          <w:lang w:val="en-US" w:eastAsia="en-US" w:bidi="ar-SA"/>
        </w:rPr>
        <w:t>Whyte v. Morin</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2007 BCSC 1329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Hosking v. Mahoney</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2009 BCSC 803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Raun v. Suran</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2010 BCSC 793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Kaleta v. MacDougall</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2011 BCSC 1259</w:t>
        </w:r>
      </w:hyperlink>
      <w:r>
        <w:rPr>
          <w:rFonts w:ascii="arial" w:eastAsia="arial" w:hAnsi="arial" w:cs="arial"/>
          <w:color w:val="000000"/>
          <w:sz w:val="20"/>
          <w:lang w:val="en-US" w:eastAsia="en-US" w:bidi="ar-SA"/>
        </w:rPr>
        <w:t>, where the awards for general damages were all in the order of $75,000-$80,000.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Past income loss from the first accident is claimed in the agreed amount of $1,348 gross and from the second accident $216 gross for two days' loss of wages part-time at Boston Pizza, $499 gross for loss of one week off from the bank, and a further $16,250 gross for the loss of the part-time Boston Pizza job from March 2009 to date of trial at $5,000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Loss of future income-earning opportunity is directed towards the ongoing inability of the plaintiff to obtain a second job along the lines of her Boston Pizza job that she lost in March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Counsel seeks an award for this claim in the range of $40,000-$75,000 as awarded in </w:t>
      </w:r>
      <w:r>
        <w:rPr>
          <w:rFonts w:ascii="arial" w:eastAsia="arial" w:hAnsi="arial" w:cs="arial"/>
          <w:i/>
          <w:color w:val="000000"/>
          <w:sz w:val="20"/>
          <w:lang w:val="en-US" w:eastAsia="en-US" w:bidi="ar-SA"/>
        </w:rPr>
        <w:t>Whyte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Raun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Kaleta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Plaintiff's counsel submits no finding of a failure to mitigate should be imposed on the plaintiff for failing to take more physiotherapy treatments or massage and chiropractic treatments as recommended by Dr. Cox which the defendants allege would have resulted in the active exercise program having taken place much earlier in time to assist the plaintiff in her recovery at an earlier date, through a referral from Dr. Cox or her physiotherapist or massage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Plaintiff's counsel submits no such finding should be made because Dr. Cox has said the plaintiff was compliant throughout with all of his treatment recommendations and he could do nothing more for her. Following the second accident on January 21, 2008, he specifically declined to recommend any additional therapy.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Plaintiff's counsel says no adverse inference should be drawn against the plaintiff for the failure to file a report from Dr. Cox because counsel says Dr. Cox was antagonistic and uncooperative and the plaintiff had Dr. Hershler's report to rely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Submissions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Defence counsel submits the plaintiff should bear the majority if not all of the liability for the first accident, relying on the evidence of the defendants Langley that their vehicle was in the position of being an immediate hazard to the plaintiff's vehicle under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to which the plaintiff owed a duty to yield, and the Langley vehicle could not stop in time to avoid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On the issue of general damages, defence counsel concedes that in the first accident the plaintiff sustained soft tissue injuries to her neck, upper back, right arm, with shoulder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However, counsel submits that the injuries were only minor, and even the plaintiff herself in her statement of May 30, 2008 agreed were practically recovered by the time of the second accident of November 5, 2007. He submits she was fully recovered by the time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As a result of the second accident of November 5, 2007, counsel submits that the plaintiff did not suffer any right arm injury as her statement of May 30, 2008 indicates that she did not have any right arm injury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It is conceded that there was some aggravation of the plaintiff's neck, right shoulder and headaches, but the submission is made that by January 2008 she was 80-90% recovered from her injuries because she told Dr. Cox that and Dr. McGraw's opinion should be accepted that the plaintiff presently has a good chance of recovery with ongoing active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Counsel submits the award for non-pecuniary damages, taking into account an appropriate reduction for failure of the plaintiff to mitigate her damages, should be in the range of $25,000-$40,000, relying upon the cases of </w:t>
      </w:r>
      <w:r>
        <w:rPr>
          <w:rFonts w:ascii="arial" w:eastAsia="arial" w:hAnsi="arial" w:cs="arial"/>
          <w:i/>
          <w:color w:val="000000"/>
          <w:sz w:val="20"/>
          <w:lang w:val="en-US" w:eastAsia="en-US" w:bidi="ar-SA"/>
        </w:rPr>
        <w:t>Currie v. McKinnon</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2012 BCSC 698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 v. Watson</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2010 BCSC 950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Ponipal v. McDonagh</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2009 BCSC 461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Firoda v. Say</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2011 BCSC 1293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Sandher v. Hogg</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2010 BCSC 1152</w:t>
        </w:r>
      </w:hyperlink>
      <w:r>
        <w:rPr>
          <w:rFonts w:ascii="arial" w:eastAsia="arial" w:hAnsi="arial" w:cs="arial"/>
          <w:color w:val="000000"/>
          <w:sz w:val="20"/>
          <w:lang w:val="en-US" w:eastAsia="en-US" w:bidi="ar-SA"/>
        </w:rPr>
        <w:t>, most of which cases applied a percentage deduction for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Defence counsel agrees to a past wage loss made up of $1,343.34 gross for the first accident and $216.32 gross for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However with respect to the claim for a loss of vacation week, defence counsel submits that there is no proof of any loss connected with that vacation week in terms of lost wages or lost value, nor is there any proof that the holiday week was not made up otherwise at a future point in time. Accordingly this claim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defence denies any further loss to the time of trial from the plaintiff quitting her Boston Pizza job in March 2009, taking the position that she made more than enough at her bank job to satisfy her without a second job and there is no evidence that she attempted to get any other part-time job to make up for this claimed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Income-Earning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Defence counsel submits there is no real and substantial possibility of a future loss proven when the plaintiff has not made any efforts in the past to obtain another second job, when she has a full-time job already at the bank that she is fully capable of performing and which is a secure position in which she is valued by the bank, and when her active exercise program has probably made her stronger and fit enough to be able to return to work at Boston Pizza as a server, if that is what she wishes to do.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Defence counsel submits that all awards to the plaintiff should be reduced to take into account the plaintiff's failure to follow Dr. Cox's recommendation to take more physiotherapy treatments following both accidents, including massage and chiropractic treatments, up to and including May 6, 2010, being the last time before January 2012 when Dr. Cox treated her for motor vehicle accident-related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Defence counsel submits that with the evidence of Dr. McGraw and Ms. Pakdel that an active rehabilitation program at an earlier time would have assisted with the plaintiff's recovery at an earlier date, a referral at an earlier time for such a program from Dr. Cox, or from the plaintiff's physiotherapist or massage therapist, would have likely been made and have produced early positive results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It is submitted that the plaintiff's failure to complete physiotherapy and massage therapy, and failure to attend on Dr. Cox more often so that he could recommend the active rehabilitation program at an earlier time, should result in a reduction of 10-20% from the awards.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Defence counsel also seeks a ruling from the Court that an adverse inference is to be drawn against the plaintiff for her failure to tender a report from Dr. Cox after he disclosed in his evidence that he had prepared a report for court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It is submitted that in the absence of any reasonable explanation, a finding should be made that his report was not tendered because his opinion would not have favoured the validity of the plaintiff's assertions that her continuing physical complaints, her claim for loss of future earning capacity, and her claim for future cost of care, are related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Defence counsel submits that she as counsel should not be criticized for failing to cross-examine Dr. Cox on his opinions when he was in the witness box when she had subpoenaed him and called him as a witness, and after the Court had allowed her to ask the doctor any question whatsoever including on his opinions, because no competent lawyer can be expected to ask a question that he or she does not already know the answer to, and defence counsel did not have any opportunity to see the report of Dr. Cox beforehand in order to know what it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for the First Accident of April 11,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accept completely the evidence of the witness Ms. Siemens that the plaintiff's vehicle almost cleared the westbound lane in which the defendants' vehicle was travelling, at the time of impact to her right rear wheel area. I find her to be a very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accept her evidence that the plaintiff's vehicle did not stop a second time in the intersection after starting up from her left turn lane to complete her turn, but continued her turn in a normal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accept her evidence that the defendants' vehicle was not entering the intersection when the plaintiff's vehicle began to turn left and it was not at that time even with her own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accept her evidence that the defendants' vehicle was flying by her, swerving and fishtailing before it hit the plaintiff's vehicle, indicating that the driver was travelling at an excessive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reject the evidence of the defendant Carol Langley and her son as to the circumstances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I find that the defendants' vehicle was not in the intersection or so close to it as to constitute an immediate hazard within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at the time that the plaintiff's vehicle began its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find that the defendant Carol Langley was negligent in failing to yield the right of way to the plaintiff's vehicle by coming to a complete stop before the intersection when the light turned to amber.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do find that the plaintiff did not keep a proper lookout down the lane in which the defendants' vehicle was travelling as she commenced her left turn, but I conclude that this did not contribute to the accident as she had the legal right of way and the defendants' vehicle should have yielded to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With the plaintiff's vehicle almost clear of the defendants' lane of travel at the time of impact, there was nothing that the plaintiff could do for her own safety to prevent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Even if she had looked down the through lane and seen the defendants' vehicle approaching, she was entitled to rely on her vehicle having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 accept as the applicable law what was said by Madam Justice Ballance in the case of </w:t>
      </w:r>
      <w:r>
        <w:rPr>
          <w:rFonts w:ascii="arial" w:eastAsia="arial" w:hAnsi="arial" w:cs="arial"/>
          <w:i/>
          <w:color w:val="000000"/>
          <w:sz w:val="20"/>
          <w:lang w:val="en-US" w:eastAsia="en-US" w:bidi="ar-SA"/>
        </w:rPr>
        <w:t>Henry v. Bennett</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2011 BCSC 1254</w:t>
        </w:r>
      </w:hyperlink>
      <w:r>
        <w:rPr>
          <w:rFonts w:ascii="arial" w:eastAsia="arial" w:hAnsi="arial" w:cs="arial"/>
          <w:color w:val="000000"/>
          <w:sz w:val="20"/>
          <w:lang w:val="en-US" w:eastAsia="en-US" w:bidi="ar-SA"/>
        </w:rPr>
        <w:t>, where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Bennett was in a position remarkably similar to that of the plaintiff in </w:t>
      </w:r>
      <w:r>
        <w:rPr>
          <w:rFonts w:ascii="arial" w:eastAsia="arial" w:hAnsi="arial" w:cs="arial"/>
          <w:i/>
          <w:color w:val="000000"/>
          <w:sz w:val="20"/>
          <w:lang w:val="en-US" w:eastAsia="en-US" w:bidi="ar-SA"/>
        </w:rPr>
        <w:t>Kokkinis</w:t>
      </w:r>
      <w:r>
        <w:rPr>
          <w:rFonts w:ascii="arial" w:eastAsia="arial" w:hAnsi="arial" w:cs="arial"/>
          <w:color w:val="000000"/>
          <w:sz w:val="20"/>
          <w:lang w:val="en-US" w:eastAsia="en-US" w:bidi="ar-SA"/>
        </w:rPr>
        <w:t xml:space="preserve">. Although she did not see Mr. Henry prior to the collision, </w:t>
      </w:r>
      <w:r>
        <w:rPr>
          <w:rFonts w:ascii="arial" w:eastAsia="arial" w:hAnsi="arial" w:cs="arial"/>
          <w:i/>
          <w:color w:val="000000"/>
          <w:sz w:val="20"/>
          <w:lang w:val="en-US" w:eastAsia="en-US" w:bidi="ar-SA"/>
        </w:rPr>
        <w:t>Kokkinis</w:t>
      </w:r>
      <w:r>
        <w:rPr>
          <w:rFonts w:ascii="arial" w:eastAsia="arial" w:hAnsi="arial" w:cs="arial"/>
          <w:color w:val="000000"/>
          <w:sz w:val="20"/>
          <w:lang w:val="en-US" w:eastAsia="en-US" w:bidi="ar-SA"/>
        </w:rPr>
        <w:t xml:space="preserve"> indicates that it does not necessarily follow that she was in any way negligent. Having said that, I wish to clarify that I do not read </w:t>
      </w:r>
      <w:r>
        <w:rPr>
          <w:rFonts w:ascii="arial" w:eastAsia="arial" w:hAnsi="arial" w:cs="arial"/>
          <w:i/>
          <w:color w:val="000000"/>
          <w:sz w:val="20"/>
          <w:lang w:val="en-US" w:eastAsia="en-US" w:bidi="ar-SA"/>
        </w:rPr>
        <w:t>Kokkinis</w:t>
      </w:r>
      <w:r>
        <w:rPr>
          <w:rFonts w:ascii="arial" w:eastAsia="arial" w:hAnsi="arial" w:cs="arial"/>
          <w:color w:val="000000"/>
          <w:sz w:val="20"/>
          <w:lang w:val="en-US" w:eastAsia="en-US" w:bidi="ar-SA"/>
        </w:rPr>
        <w:t xml:space="preserve"> as standing for the proposition that left-turning drivers are entitled to proceed blindly on the assumption that oncoming drivers will obey the rules of the road, without regard to their concurrent obligation to act reasonably as the circumstances dictate. In my view, Ms. Bennett was entitled to proceed on the assumption that oncoming traffic, including Mr. Henry, would act in accordance with the law and come to a stop on the late amber, absent any reasonable indication to the contrary and provided she comported herself with reasonable care. Here, there was no contrary indication from Ms. Bennett's standpoint. Indeed, she could see that the SUV across from her had complied with the rules and she was aware as well that the flow of straight through traffic had ceased some seconds earlier. She had no reasonable indication that oncoming traffic in the form of Mr. Henry would proceed through the intersection in clear violation of the rules of the road. Moreover, I find that in all the circumstances she conducted herself prudently and with reasonable care in negotiating her left turn. In contrast, Mr. Henry knew or reasonably ought to have known that in all likelihood Ms. Bennett would have carried through with her left turn at the final stage of the amber light, and most assuredly when the signal turned red. He created an extremely unsafe situation in failing to come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hold the Langley defendants totally responsible for the accident of April 11,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Damages from the Accident of April 11,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accept the plaintiff sustained soft tissue injury with pain to her neck and upper back as well as right shoulder and right arm pain. I also accept that she suffered from tension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accept that she took four physiotherapy treatments and missed two weeks of work and her past wage loss claim is in the agreed amount of $1,343 gross.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Her family doctor, Dr. Cox, says she improved over the following two months and he did not see her again until after the second accident. In a statement she gave on May 30, 2008 after her second accident she said that she had only suffered minor injuries in the first accident and had practically recovered from these injuries by the time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 accept this was the state of her injuries from the first accident at the time of the second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for the Second Accident of November 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Liability has been admitted by the defendants Kooner for the second accident and accordingly 100% liability will go against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Damages from the Second Accident of November 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plaintiff aggravated her neck and back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She also claims right arm pain but in the same statement of May 30, 2008 she said that she suffered no right arm injury in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Accordingly I reject any claim by her for right arm injury as a result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At the time of the second accident the plaintiff was working full-time at the bank and part-time at Boston Pizza two days a week doing manager shifts and server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Following this accident she missed two days of work at the bank for a loss of $216 of gross income which is an agreed figure which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plaintiff claims a further amount of one week loss of work when she took a holiday week that she used to rest from her injuries. Dr. Cox says that on November 7, 2007 he recommended she take the rest of the week off. This supports her further claim for past loss of gross income of $499 which I allow.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plaintiff makes another past income loss claim for the period of time March 2009 to date of trial when she did not continue working at Boston Pizza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She says she had to give up the management shifts when another manager replaced her, and was left with only the server shifts which she could not perform exclusively because the serving trays were too heavy for her to carry with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Her friend Ms. Snell says that she was told by the plaintiff she left Boston Pizza in March 2009 because she didn't want to work late hours and was sore and tired of working two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plaintiff did not try to obtain any other part-time job to replace the Boston Pizza part-time work that did not require heavy lifting. She says that any other part-time job would have probably required the same lifting by her in all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 reject this claim. I am satisfied the plaintiff was content to work only one job at the bank in this time period which was continuing to pay her sufficiently.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If she had wished to obtain another part-time job I am satisfied she could have found one if she really wanted to. Not all part-time jobs require physical labour. Other restaurants also require part-time managers and many part-time jobs in the evening exist in places such as library and retail stores that do not require heavy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After the accident on November 7, 2007, the plaintiff complained to Dr. Cox of severe pain in her neck, back and mid-thoracic level with a severe headache. Dr. Cox referred her for more physiotherapy but she apparently took massage therapy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She says at trial that the massage therapy was not helping and made it worse although she told Dr. McGraw that it was somewhat helpful and told Dr. Hershler that she felt she had some positive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On January 21, 2008 she told Dr. Cox she had improved 80-90% but still had some tenderness and loss of motion, with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At that time Dr. Cox did not recommend any additional therapy and the only medication he prescribed was Advil.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He says at that time he expected further improvement in the plaintiff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Although he subsequently saw her in June 2009, May 2010 and January 2012 when she continued to complain of pain in her neck and back and headaches, he did not alter his expectation.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plaintiff took part in the supervised exercise program in this year 2012 before trial, and says it made her 80% better as she doesn't get headaches every day any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She says the improvement is currently less than that because she has been waiting for funding from ICBC for her gym membership to continue her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 accept that the plaintiff has recovered her physical condition from the second accident to the extent of at least 80% and with continued effort her physical fitness should improve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 accept Dr. McGraw's opinion that she should return to her activities of daily life although she may not be completely pain-free.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also accept Dr. Hershler's opinion that with improved conditioning she can cope better with ongoing pain although the ability to work through pain will decrease with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 conclude, however, that this pain that the plaintiff continues to suffer is not debilitating to her to any significant degree. She is able to continue with her pre-accident activities including recreational activities and her results from the active exercise program indicate that she has improved from poor strength and muscular endurance in her lower limbs as well as poor posture and gait cycle, to near normal range of movement, significant improvements in her lower back flexibility, and improvements in muscular strength, muscular endurance, balance, coordination, posture and cardiovascular fitness.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 agree with defence counsel's submissions on general damages and I assess her general damages for pain and suffering at the amount of $35,000.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assign no deduction from the general damages for failure to mitigate. Dr. Cox says the plaintiff has always accepted his recommendations and treatment and he had no reason to see her any further as there was nothing further that he could offer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No reports were filed at trial from any physiotherapist or massage therapist to indicate any recommendation for an earlier active exercise program so I cannot attribute any such recommendations to them if more physiotherapy or massage therapy treatments have been taken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This is a peculiar case in that an adverse inference is sought against the plaintiff for failing to file a report from Dr. Cox, although Dr. Cox did in fact give evidence at the trial at the instance of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It is a strange circumstance that defence counsel asks for an adverse inference that Dr. Cox would have given unfavourable opinion evidence to the plaintiff at the same time she says she did not ask Dr. Cox that same question in the witness box because she wasn't sure what his evidence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Plaintiff's counsel says that Dr. Cox was not cooperative and was in fact antagonistic and he had Dr. Hershler's opinion to rely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Dr. McGraw gave evidence and his prognosis for the plaintiff was for good recovery, meaning a return to her activities of daily life, although he was unable to predict that she would be pain-free. I accept this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 cannot envisage Dr. Cox having given any different opinion if his opinion had been sought either by the plaintiff or by defence counsel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Therefore I decline to draw any adverse inference.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Income-Earning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plaintiff is working full-time for the bank. She has no plans to change that. She has the physical ability to carry out her responsibilities. She has the present physical condition to handle any office employment and perhaps those kind of employments that require some physical effort, although not significantly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my view she may even be able to take on a part-time job again at Boston Pizza as she had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do not consider that there is any real and substantial possibility of a future loss existing.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Dr. Hershler says that if she continues to have pain in the future it will be more difficult for her to work through the pain. However I have concluded that any ongoing pain is not debilitating to any degree and if there comes a time in the foreseeable future when she cannot keep up her physical conditioning, I expect that it will either be due to her problems with migraine headaches or endometriosis, or for other reasons unconnected to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 decline to also make any award under this heading as well.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Langley are liable to the extent of 100% for the first accident of April 11, 2007.</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gross income loss of the plaintiff from the first accident is set in the agreed amount of $1,343. I trust counsel can determine the net loss amount to be inserted in the judgment.</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Kooner are liable to the extent of 100% for the second accident of November 5, 2007.</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gross income loss of the plaintiff from the second accident is set in the agreed amount of $216 plus $499. I trust counsel can determine the net loss amount to be inserted in the judgment.</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of the plaintiff from both accidents is assessed in the amount of $35,000.</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loss of future income earning capacity is dismissed.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In the absence of any Offer to Settle affecting the matter of costs, the plaintiff will have her costs under Appendix B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J.D. 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7"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2"/>
          <w:headerReference w:type="default" r:id="rId913"/>
          <w:footerReference w:type="even" r:id="rId914"/>
          <w:footerReference w:type="default" r:id="rId915"/>
          <w:headerReference w:type="first" r:id="rId916"/>
          <w:footerReference w:type="first" r:id="rId9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8" w:history="1">
        <w:r>
          <w:rPr>
            <w:rFonts w:ascii="arial" w:eastAsia="arial" w:hAnsi="arial" w:cs="arial"/>
            <w:b/>
            <w:bCs/>
            <w:i/>
            <w:color w:val="0077CC"/>
            <w:kern w:val="32"/>
            <w:sz w:val="28"/>
            <w:szCs w:val="32"/>
            <w:u w:val="single"/>
            <w:shd w:val="clear" w:color="auto" w:fill="FFFFFF"/>
            <w:lang w:val="en-US" w:eastAsia="en-US" w:bidi="ar-SA"/>
          </w:rPr>
          <w:t>Koshman v. Brodis, [2013] B.C.J. No. 755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25-28 and March 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M113929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755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2013 BCSC 656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Everley Koshman, Plaintiff, and Brandi Brodis,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8"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9" w:name="Keywords_48"/>
      <w:bookmarkEnd w:id="329"/>
      <w:r>
        <w:rPr>
          <w:rFonts w:ascii="arial" w:eastAsia="arial" w:hAnsi="arial" w:cs="arial"/>
          <w:b/>
          <w:color w:val="000000"/>
          <w:sz w:val="20"/>
          <w:lang w:val="en-US" w:eastAsia="en-US" w:bidi="ar-SA"/>
        </w:rPr>
        <w:t>Damages — Physical and psychological injuries — Physical injuries — Body injuries — Soft tissue — Arm injuries — Elbow — Action by Koshman for damages for personal injuries sustained in a motor vehicle accident allowed — As Koshman drove into an intersection, the front of the defendant Brodis' vehicle struck the driver's side door of her car — Brodis acknowledged responsibility after the collision and entered the intersection against a red light — Brodis was 100 per cent responsible for the accident — Koshman suffered soft tissue injuries and required surgery to remove glass from her elbow — She had to retrain so she could obtain less physically demanding employment — Koshman was awarded $137,980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Retroactive loss of income — Special damages — Non-pecuniary loss — Pain and suffering — Affecting recreational activities — Action by Koshman for damages for personal injuries sustained in a motor vehicle accident allowed — As Koshman drove into an intersection, the front of the defendant Brodis' vehicle struck the driver's side door of her car — Brodis acknowledged responsibility after the collision and entered the intersection against a red light — Brodis was 100 per cent responsible for the accident — Koshman suffered soft tissue injuries and required surgery to remove glass from her elbow — She had to retrain so she could obtain less physically demanding employment — Koshman was awarded $137,980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Action by Koshman for damages for personal injuries sustained in a motor vehicle accident allowed — As Koshman drove into an intersection, the front of the defendant Brodis' vehicle struck the driver's side door of her car — Brodis acknowledged responsibility after the collision and entered the intersection against a red light — Brodis was 100 per cent responsible for the accident — Koshman suffered soft tissue injuries and required surgery to remove glass from her elbow — She had to retrain so she could obtain less physically demanding employment — Koshman was awarded $137,980 in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0" w:name="Case Summary_39"/>
            <w:bookmarkEnd w:id="3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Koshman for damages for personal injuries sustained in a motor vehicle accident. As Koshman drove into an intersection, the front of the defendant Brodis' vehicle struck the driver's side door of her car. Both parties claimed that they entered the intersection on a green light. Koshman and a neutral civilian witness testified that Brodis acknowledged responsibility after the collision. Brodis denied doing so.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1" w:name="Holdings of Court_33"/>
            <w:bookmarkEnd w:id="33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was satisfied that Brodis did acknowledge responsibility after the collision and that she entered the intersection against a red light. Brodis was therefore 100 per cent responsible for the accident. Koshman was 22 years old at the time of the accident. She suffered soft tissue injuries and required surgery to remove glass from her elbow. She suffered considerable pain and discomfort and had to retrain so she could obtain less physically demanding employment. The prognosis for her becoming pain-free was poor. Koshman was awarded $137,980 in damages, which included $60,000 in general damages, $46,881 for past income loss, $15,000 for loss of future earning capacity, $8,556 for the cost of future care and $7,543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2" w:name="Legislation Cited_34"/>
      <w:bookmarkEnd w:id="3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9"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920" w:history="1">
        <w:r>
          <w:rPr>
            <w:rFonts w:ascii="arial" w:eastAsia="arial" w:hAnsi="arial" w:cs="arial"/>
            <w:i/>
            <w:color w:val="0077CC"/>
            <w:sz w:val="20"/>
            <w:u w:val="single"/>
            <w:shd w:val="clear" w:color="auto" w:fill="FFFFFF"/>
            <w:lang w:val="en-US" w:eastAsia="en-US" w:bidi="ar-SA"/>
          </w:rPr>
          <w:t>RSBC 1996, CHAPTER 318, s. 129</w:t>
        </w:r>
      </w:hyperlink>
      <w:r>
        <w:rPr>
          <w:rFonts w:ascii="arial" w:eastAsia="arial" w:hAnsi="arial" w:cs="arial"/>
          <w:color w:val="000000"/>
          <w:sz w:val="20"/>
          <w:lang w:val="en-US" w:eastAsia="en-US" w:bidi="ar-SA"/>
        </w:rPr>
        <w:t>(1), s. 144(1)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3" w:name="Counsel_48"/>
      <w:bookmarkEnd w:id="3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0"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A.K. Khanna.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 Crawford.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4" w:name="Judgment_47"/>
      <w:bookmarkEnd w:id="334"/>
      <w:r>
        <w:pict>
          <v:line id="_x0000_s1261" style="position:absolute;z-index:251860992" from="0,12pt" to="512pt,12pt" strokecolor="#009ddb" strokeweight="1.5pt">
            <v:stroke linestyle="single"/>
          </v:line>
        </w:pict>
      </w:r>
    </w:p>
    <w:p>
      <w:pPr>
        <w:spacing w:before="120" w:line="240" w:lineRule="atLeast"/>
        <w:jc w:val="both"/>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April 25, 2013; the corrections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5" w:name="W. EHRCKE J."/>
            <w:bookmarkEnd w:id="335"/>
            <w:r>
              <w:rPr>
                <w:rFonts w:ascii="arial" w:eastAsia="arial" w:hAnsi="arial" w:cs="arial"/>
                <w:b/>
                <w:color w:val="000000"/>
                <w:sz w:val="30"/>
                <w:lang w:val="en-US" w:eastAsia="en-US" w:bidi="ar-SA"/>
              </w:rPr>
              <w:t>W. 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Everley Koshman, claims damages for injuries suffered in a motor vehicle accident with the defendant, Brandi Brodis. Both liability and quantum of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at around 4:45 p.m. on August 7, 2009 at the intersection of Fraser Highway and 206 Street in Langley, British Columbia. It was a sunny day, and the roads were dry. It was a Friday rush-hour, and traffic was relatively busy.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that location, Fraser Highway is one-way as one approaches the intersection from the west heading eastbound. As eastbound traffic approaches the intersection, there are three lanes: one for left turns, one for right turns, and a centre lane for through traffic. Fraser Highway becomes a two-way street to the east of the intersection. At that intersection, 206 Street is two-way for both southbound and northbound traffic. Approaching the intersection from the north there are three southbound lanes: one for left turns, a centre lane for through traffic, and a curb lane for through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speed limit in the area is generally 50 km/h, but for eastbound traffic on the one-way portion of Fraser Highway it is 30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Traffic at the intersection is controlled by a stop light. There is conflicting evidence as to who had the green light at the time of the accident, but certain facts are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driving her 1999 Toyota Corolla eastbound on Fraser Highway. Approaching the intersection, she was in the centre through lane. There were vehicles to her left and right in the other two eastbound lanes of Fraser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was driving her truck southbound on 206 Street. She was in the curb lane for through traffic heading southbound. There was a vehicle to her left waiting to turn east onto Fraser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the plaintiff drove her car into the intersection, the driver's side door of her car was struck by the front of the defendant's truck. The impact smashed in the driver's door and broke the window of the plaintiff's car and caused it to spin around approximately 180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got out of her truck and spoke to the plaintiff through the broken window of the driver's door to see if she was all right. Police and emergency services personnel attended. A Jaws of Life device had to be used to extract the plaintiff from her car, and she was taken to Langley Hospital. The defendant's truck was considered a write-off. Various witnesses gave statements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says that she entered the intersection on a green light, and the defendant must have been going against a red light. The defendant says that the light was green for her when she entered the intersection, and she could not stop when the plaintiff pulled into the intersection in front of her. Both parties claim that the accident was not their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Vlieg, the Director of Engineering for the City of Langley testified about the operation of the traffic signal at this intersection. He said that there are traffic sensors embedded in the pavement one metre behind the stop bar for eastbound traffic on Fraser Highway. When the light turns green for eastbound traffic, it stays green for at least 7 seconds, but the computer will add additional time in 3 and one-half second increments up to a maximum of 30 seconds if it senses traffic on the traffic sensors. He said that typically, two to three cars can pass through the intersection per 7 second interval. At the end of the green cycle, the light turns amber for three and one-half seconds. It then turns red for vehicles in all directions for a further three and one-half seconds before turning green for southbound vehicles on 206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follows that if the plaintiff entered the intersection while the light was green for eastbound vehicles, then at least seven seconds would elapse before the light would turn green for southbound vehicles. That would normally be more than enough time for eastbound vehicles to completely clear the intersection before southbound traffic began to move through the intersection, thus preventing the type of T-bone collision that occurred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Although both the plaintiff and the defendant say they had the green light, one of them must be mistaken. A determination of who had the right of way requires further analysis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testified that when the accident occurred, she was alone in her car driving towards her home in Aldergrove after having gotten off work and exercising at the gym. When she approached the intersection, the light was red, and she stopped her car behind three or four other vehicles. When the light changed to green, she entered the intersection and was hit by the defendant when she was part way through. She was going less than 30 km/h. She did not see the defendant until she was hit. She testified that she is certain that the light was green when she entered the intersection. She testified that the defendant came up to speak to her at the scene and said: "I'm so sorry; it's completely my fault; are you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cross-examination the plaintiff said she was certain that the light had not turned yellow or red when she entered the intersection. She said that she was in the centre lane, and at some point she went past a vehicle to her left in the left-turn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Dan Fontaine witnessed the accident. He was driving an SUV, and his fiancée was a passenger in the vehicle. He was going southbound on 206 Street. He saw the light for southbound traffic turn yellow, and he stopped when the light turned red. He was the first car in the left turn lane. As he waited there for the light, he saw traffic proceeding eastbound on Fraser Highway in front of him. While the light was still red for southbound traffic, he saw the defendant's truck pass him on the right and proceed at about 40 km/h into the intersection and collide with the plaintiff's car. He testified that he was fully stopped at the time, and there is no possibility that the light had turned green for southbound traffic when the defendant entered the intersection. He testified that after the collision, the defendant jumped out of her truck and said, "Oh my God, it's my fault, I didn't see the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Amanda Scott was Mr. Fontaine's passenger at the time. He had picked her up after work, and they were stopped southbound on 206 Street in the left-turn lane at the intersection. She testified that the light was red for southbound traffic, and she saw eastbound traffic proceeding through the intersection. She then saw the defendant's truck pass her on the right and enter the intersection at full speed. She thought the defendant had her arm up to her head as if talking on a cell phone, but she could not be sure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Angelica MacDonald was driving eastbound on Fraser Highway behind the plaintiff as they approached the intersection. She testified that the car in front of her, that is, the plaintiff's car, entered the intersection on a green light, but the light then turned yellow, and Ms. MacDonald stopped her car. She did not see what colour the light was for the defendant's southbound vehicle when it entered the intersection and struck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cross-examination, she acknowledged having given a recorded statement to a police officer at the scene in which she said that the eastbound light had turned red, but she said that her present belief is that the light was green when the plaintiff entered the intersection, but that it changed by the time her car, which was behind the plaintiff's, reached the intersection. Her previous statement to the police appears to be somewhat inconsistent with her trial testimony, and for that reason, I can place only limited weight on the reliability of her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testified that after doing some shopping at Safeway, she was driving her truck to the Casino to see her boyfriend. She had spoken to him on the phone a few blocks before, but she said she was not on her cell phone or otherwise distracted when she approached the intersection. She was driving southbound in the curb lane of 206 Street. She said she entered the intersection while the light was green. She said the light had been green for some time as she approached. She proceeded into the intersection without slowing and did not see the plaintiff until she was right in front of her in the intersection. She applied her brakes at the last minute, but it was too late to avoid a collision. She said the light only turned yellow once she was in the intersection, just before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got out of her truck and apologized to the plaintiff, but she did not mean to convey that the accident was her fault. She testified that if she said "It's my fault" it was just because she hit the plaintiff, and not because she was admitting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denied saying to anyone at the scene, "Oh my God, I'm so sorry, I didn't see the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Robert Yates, an off-duty RCMP officer, was alone in his vehicle going eastbound on Fraser Highway at the time of the accident. He testified that the light turned amber as he approached the intersection, and he stopped in the left-turn lane. A few seconds later, as he was waiting for the light to turn green, the plaintiff's car proceeded eastbound through the intersection and the defendant's southbound vehicle collided with it. He looked at the light after the collision and saw that it was green for southbound traffic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If this were a criminal case and responsibility for the accident had to be determined beyond a reasonable doubt, I would not have been able to say who had the green light based on the criminal standard. However, this is not a criminal case. Factual issues are to be determined on a balance of probabilities. As it is the plaintiff who brought the suit, she bears the onus of proving the defendant's liability on a balance of probabilities. I am satisfied that she has met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total, there were six witnesses to the accident who gave evidence. The plaintiff and three other civilian witnesses testified that the plaintiff had a green light when she entered the intersection. In contrast, the defendant testified that she is the one who had a green light when she entered the intersection. An off-duty police officer testified that he stopped his vehicle when the light turned amber for eastbound traffic, and the plaintiff entered the intersection sometime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determination should not be made simply by counting the number of witnesses on each side, nor is the testimony of an off-duty police officer necessarily of more weight than that of a civilian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Clearly, different people at the scene saw things differently, and have different memories of how this accident occurred. That is not particularly unusual in a trial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What is somewhat unusual in this case is that both the plaintiff and a neutral civilian witness, Mr. Fontaine, testified that after the collision the defendant acknowledged responsibility. The plaintiff testified that the defendant said to her at the scene that the accident was her fault. The defendant testified that if she said this, she did not mean to imply that she admitted liability. Mr. Fontaine testified that the defendant said to him, "Oh my God, I'm so sorry, I didn't see the red light." The defendant denies having said those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do not accept the defendant's explanation for what she said to the plaintiff at the accident scene, and I do not believe her denial of what she said to Mr. Fontaine. I am satisfied on a balance of probabilities that she did say these things, and she did so because she was aware that she had entered the intersection against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Despite the testimony of the defendant and of Mr. Yates, I find that it is likely that the plaintiff entered the intersection on a green light. It is possible, though less likely, that she entered when the light was just turning yellow. I am satisfied that she did not enter against a red light. If the light was turning yellow, I find that she did not have sufficient time to safely stop her vehicle before entering the intersection. Even if the light was turning yellow for eastbound traffic, according to the evidence of Mr. Vlieg, the plaintiff should have had almost seven seconds to safely clear the intersection: three and one-half seconds before the light for eastbound traffic turned red, and another three and one-half seconds before the light turned green for southbound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Regardless of whether the plaintiff entered the intersection on a green light or if she entered as it was just turning yellow, I am satisfied on a balance of probabilities that the defendant entered the intersection against a red light without even attempting to slow down until she was already in the intersection and the collision was imminent.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Sections 129(1) and 144(1)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 (1) Subject to subsection (2), when a red light alone is exhibited at an intersection by a traffic control signal, the driver of a vehicle approaching the intersection and facing the red light must cause it to stop before entering the marked crosswalk on the near side of the intersection, or if there is no marked crosswalk, before entering the intersection, and subject to the provisions of subsection (3), must not cause the vehicle to proceed until a traffic control signal instructs the driver that he or she is permitted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 (1) A person must not drive a motor vehicle on a highway</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 had a duty of care to the plaintiff and other users of the highway. Her manner of driving was negligent and not in accordance with the standard of care required by ss. 129(1) and 144(1)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I am satisfied that the plaintiff's driving was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the defendant is 100% responsible for the accident, and that the plaintiff was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Effects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is now 25 years old. She was 22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graduating from high school, she worked as a receptionist and as a waitress for a couple of years, but then decided to follow her mother's career and become a care aid. In 2008 she took the necessary training and then started work as a care aid at the Simpson Manor, a long-term care home with about 100 beds. She worked on an on-call basis. She found the work physically strenuous, as it requires lifting and moving patients, but this was not a problem because she was healthy and physically fit. She enjoyed the work and found it rewarding.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her spare time, the plaintiff enjoyed hiking, jogging, swimming, snowboarding, and other outdoor activities. She went to the gym five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She had been in a previous motor vehicle accident in 2005, but she had no lingering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a result of the accident with the defendant on August 7, 2009, she suffered injuries to the left side of her body, including glass in her elbow. She had bruising from the lap and shoulder belts. At hospital, they removed some the glass from her elbow. She received seven stitches. A laceration to her left ear was bandaged. For the next two weeks, her whole body was sore and stiff. She had bad headaches. Her lower back was very sore. She could not straighten her elbow. About a year after the accident, she had to have further surgery to remove more glass from her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the advice of her doctor, she attended a total of 55 physiotherapy sessions from October 29, 2009 to April 19,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Her family doctor told her not to work, and she remained off work until December 28,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When she returned to work, she found that she needed the assistance of others to carry out her tasks as a care aid. She was only able to do a couple of shifts per week, as she was in great pain at the end of a shift, and she found that working made her condition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continuing effects of the accident were described by the plaintiff and confirmed by various other witnesses, including her mother and some co-workers and friends. In addition to the pain and headaches, most of which resolved after about eight months, she became anxious about driving, and her mood was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Even after eight months, she continued to have pain and limited use of her left arm, which was aggravated by her work as a care aid. She realized that she could not continue to work as a care aid, and she decided to train as a Licensed Practical Nurse, since she understood that this work would be less physically demanding. She took an eight-month L.P.N. training program from September 6, 2011 to May 11,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now works on a casual basis as an L.P.N. at Peace Arch Hospital and at Simpson Manor. She takes occasional shifts as a care aid in order to get enough work to pay her bills.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continues to have left elbow pain, although it is not as bad as it was before. She also has pain in her left hand, which is especially aggravated when doing such tasks as wringing wash cloths.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She has returned to physical activities at the gym, but is still limited in things like weight lifting. She is afraid of returning to such activities as snowboarding because she fears hurting her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testified that she enjoyed her work as a care aid, and before the accident, she had no plans to become an L.P.N. She had considered the possibility of one day trying to become a Registered Nurse, and this may be something that she tries to pursue in the future. If so, the fact that she is now an L.P.N. may make it possible for her to satisfy the R.N. requirements in a shorter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called two expert witnesses: her family doctor, Dr. Budau, and her physiatrist, Dr. Caillier. The defence called an orthopedic surgeon, Dr. Leith, who was not a treating physician, but who provided a report based on his review of the records and his examination of the plaintiff on November 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Both the experts for the plaintiff and for the defence agree that the plaintiff sustained glass abrasions, lacerations, and embedment of glass fragments in her left arm as a result of the accident, as well as soft tissue injuries and some scarring.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Most of the symptoms resolved after eight months, but the plaintiff continues to experience problems with her left arm and hand. Dr. Leith does not attribute these ongoing symptoms to the accident, and in his opinion, she should not have any continuing restrictions on 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Caillier wrote two reports, one dated August 30, 2011, and another dated November 16, 2012, based on several follow-up visits of the plaintiff, the most recent being October 9, 2012, when she reported worsening elbow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her November 16, 2012 report, under the heading "Diagnosis and Differential Diagnosis, Dr. Caillier gave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DIAGNOSES AND DIFFERENTIAL DIAGNOSES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Anxiety.</w:t>
      </w:r>
      <w:r>
        <w:rPr>
          <w:rFonts w:ascii="arial" w:eastAsia="arial" w:hAnsi="arial" w:cs="arial"/>
          <w:color w:val="000000"/>
          <w:sz w:val="20"/>
          <w:lang w:val="en-US" w:eastAsia="en-US" w:bidi="ar-SA"/>
        </w:rPr>
        <w:t xml:space="preserve"> I will defer to my colleagues in Psychology to discuss this further.</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Chronic soft tissue pain involving the left forearm.</w:t>
      </w:r>
      <w:r>
        <w:rPr>
          <w:rFonts w:ascii="arial" w:eastAsia="arial" w:hAnsi="arial" w:cs="arial"/>
          <w:color w:val="000000"/>
          <w:sz w:val="20"/>
          <w:lang w:val="en-US" w:eastAsia="en-US" w:bidi="ar-SA"/>
        </w:rPr>
        <w:t xml:space="preserve"> It remains my opinion that Ms. Koshman likely sustained a soft tissue musculoligamentous injury involving her forearm as a result of the motor vehicle accident of August 7, 2009. It is my opinion that this has resulted in chronic soft tissue pain involving the flexors and extensors to the wrist.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continues to have soft tissue forearm pain and in my opinion these residual symptoms are directly attributable to and a result of the motor vehicle accident on August 7,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times, she has had improvement in her symptoms but depending on her activity, her pain can flare.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last seen, she had evidence of an extensor carpi ulnaris tendonitis and in my opinion this is unlikely related to the motor vehicle accident in question. But she continued to still have soft tissue forearm pain which, in my opinion, is still residual to the motor vehicle accident of August 7,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 Given the chronicity of her intermittent forearm pain, the likelihood of Ms. Koshman becoming pain free is poor. She is likely to have ongoing symptoms now and beyond the next 12 months and activities that require repetitive wrist motion will likely flare her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Recommendations: To manage these symptoms in the long term she does need to continue to do her exercises on a regular basis for the elbow, wrist and hand. If she does not continue to do these on a regular basis, there will likely be increased flares of her pain, depending on the activity that she is doing as an L.P.N. or even in the future as a nurse.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recommending that a provision be considered for at least 4 physiotherapy sessions per year to assist in times of symptomatic flares.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Limitations and Restrictions: Provided that she continues to do the forearm and wrist exercises on a regular basis, it is my opinion that she is unlikely to be limited or restricted as a result of her chronic pain whether it is her work, home or recreational life.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Chronic elbow pain.</w:t>
      </w:r>
      <w:r>
        <w:rPr>
          <w:rFonts w:ascii="arial" w:eastAsia="arial" w:hAnsi="arial" w:cs="arial"/>
          <w:color w:val="000000"/>
          <w:sz w:val="20"/>
          <w:lang w:val="en-US" w:eastAsia="en-US" w:bidi="ar-SA"/>
        </w:rPr>
        <w:t xml:space="preserve"> It is my opinion that Ms. Koshman has chronic elbow pain and this involves both the medial and posterior aspects of the elbow. This is intermittent in nature and it appears to depend on what she is doing as far as activity wise. It remains my opinion that these symptoms are a direct result of and directly attributable to the motor vehicle accident of August 7,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Koshman has been seen by Dr. Thomas Goetz as well as had an MRI and there is no evidence to suggest posterior impingement of the elbow. Certainly, during the most recent examination she no longer has a clinical examination which would be consistent with this particular diagnosis.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at the present time, she does not have posterior impingement of the elbow.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pain that she experiences within the middle and ring fingers appears to have subsided. She no longer has clinical evidence to suggest irritability of the left ulnar nerve.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no longer has evidence of medial epicondylitis. However the medial aspect or inside of her elbow tends to be aggravated when she is involved in activities that require her to grasp things or with repetitive motions of the wrists.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 It is my opinion that given the chronicity of Ms. Koshman's intermittent left posterior and medial elbow pain that the likelihood of her becoming pain free is poor. She is likely to have ongoing intermittent pain now and beyond the next 12 months. The pain will likely depend on what she is doing activity 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main limiting factor for her to participate in activities of her choosing is the left elbow pain, whether this is within the posterior or medial aspect.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Recommendations: I am recommending that she continue her exercise routine on a 3 to 4 week basis. She would benefit from having equipment within her home to continue with a regular strengthening program for the elbow and forearm.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recommended previously, a provision for at least 4 physiotherapy sessions per year to assist in times of flares would likely prove beneficial in managing her symptoms in the long term.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Limitations and Restrictions: Activities that involve repetitive wrist motions and repetitive pushing and pulling are problematic for her. From time to time these activities will likely aggravate her symptoms and as such she will likely have to pace and prioritize her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despite her limitations and restrictions that she is capable of participating in her activities as an L.P.N. and nurse but will need to be diligent with her exercise routine to allow for long term management of her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remains my opinion that as far as working as a Registered Nurse, Ms. Koshman is capable of doing this, but there may be times with heavier pushing or pulling, as well as having to transfer patients and repetitive wrist motions that there will be a flare of her left elbow pain and as such she may require assistance from co-workers to complete the heavier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Recreationally, she is capable of being involved in an independent exercise program and she should focus on continuing to increase the strength of the muscles about the elbow and wrist regions to provide her with long term management of her symptoms This will be a lifelong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heavier-based activities around the home, it is my opinion that she is capable of doing these, but at times may have to pace and prioritize. depending on what is occurring with the left elbow. She is unlikely to require household assistance.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Provided that she is able to improve upon her strength involving the left elbow and wrist, it is my opinion that she will likely be able to snowboard, but will have to be cautious when she is pushing herself up off the ground as previously weightbearing through the elbow would increase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for the defendant placed emphasis on Dr. Caillier's comment that the plaintiff had evidence of an extensor carpi ulnaris tendonitis that in her opinion is not likely related to the accident, and submitted that this shows that any continuing disability of the plaintiff is likewise unrelated to the accident. In my view, however, that conclusion would be inconsistent with Dr. Caillier's comment that despite the tendonitis, the plaintiff "continued to still have soft tissue forearm pain which, in my opinion, is still residual to the motor vehicle accident of August 7,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the basis of Dr. Caillier's evidence, I am satisfied that the plaintiff continues to have chronic intermittent soft tissue forearm pain and chronic intermittent elbow pain resulting from the motor vehicle accident, and that the prognosis for her becoming pain free is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our Court of Appeal discussed some of the factors that ought to be considered when assessing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submits an appropriate award for general damages in this case would be $80,000. The plaintiff relies on three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De Gaye v. Bhullar</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2010 BCSC 1798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Kardum v. Asadi-Moghadam</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2011 BCSC 1566</w:t>
        </w:r>
      </w:hyperlink>
      <w:r>
        <w:rPr>
          <w:rFonts w:ascii="arial" w:eastAsia="arial" w:hAnsi="arial" w:cs="arial"/>
          <w:color w:val="000000"/>
          <w:sz w:val="20"/>
          <w:lang w:val="en-US" w:eastAsia="en-US" w:bidi="ar-SA"/>
        </w:rPr>
        <w:t>; and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Taylor v. Grundholm</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2010 BCSC 860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first two of those cases, the award for general damages was $70,000. In the third, it was $90,000, less 10% for failure to mitigate with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defendant submits that the appropriate award for general damages should be in the range of $20,000 to $30,000. The defendant relies on </w:t>
      </w:r>
      <w:r>
        <w:rPr>
          <w:rFonts w:ascii="arial" w:eastAsia="arial" w:hAnsi="arial" w:cs="arial"/>
          <w:i/>
          <w:color w:val="000000"/>
          <w:sz w:val="20"/>
          <w:lang w:val="en-US" w:eastAsia="en-US" w:bidi="ar-SA"/>
        </w:rPr>
        <w:t>Chan v. Kao</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2009 BCSC 626</w:t>
        </w:r>
      </w:hyperlink>
      <w:r>
        <w:rPr>
          <w:rFonts w:ascii="arial" w:eastAsia="arial" w:hAnsi="arial" w:cs="arial"/>
          <w:color w:val="000000"/>
          <w:sz w:val="20"/>
          <w:lang w:val="en-US" w:eastAsia="en-US" w:bidi="ar-SA"/>
        </w:rPr>
        <w:t xml:space="preserve">, where general damages were $22,000, and </w:t>
      </w:r>
      <w:r>
        <w:rPr>
          <w:rFonts w:ascii="arial" w:eastAsia="arial" w:hAnsi="arial" w:cs="arial"/>
          <w:i/>
          <w:color w:val="000000"/>
          <w:sz w:val="20"/>
          <w:lang w:val="en-US" w:eastAsia="en-US" w:bidi="ar-SA"/>
        </w:rPr>
        <w:t>Bumby v. Dumaine</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2007 BCSC 905</w:t>
        </w:r>
      </w:hyperlink>
      <w:r>
        <w:rPr>
          <w:rFonts w:ascii="arial" w:eastAsia="arial" w:hAnsi="arial" w:cs="arial"/>
          <w:color w:val="000000"/>
          <w:sz w:val="20"/>
          <w:lang w:val="en-US" w:eastAsia="en-US" w:bidi="ar-SA"/>
        </w:rPr>
        <w:t>, where they were $18,000.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While the cases referred to by counsel are useful in illustrating the range of damages that courts have awarded in previous cases, each case is unique and must be decided on its own specific facts. The defendant's submission on general damages is based in part on the proposition that whatever residual left arm pain the plaintiff continues to suffer is not causally related to the accident. I do not accept that proposition. As explained above, I am satisfied on all the evidence, and particularly the evidence of Dr. Caillier, that the plaintiff's continuing symptoms are a result of the accident. Accordingly, I do not accept that the range of general damages should be as low as submitted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the other hand, I am not satisfied that the facts of this case call for damages as high as suggested by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who was 22 at the time of the accident, suffered considerable pain and discomfort that initially had a serious effect on her life, preventing her from working at the job she loved and from engaging in the active physical lifestyle that she previously enjoyed. The worst of the effects resolved within about eight months. However, the plaintiff's life continues to be negatively impacted by the residual effects of the accident. Dr. Caillier opined that the long-term management of her symptoms with an appropriate exercise program will be a lifelong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all the circumstances, and considering the factors mentioned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I would assess general damages for pain, suffering, and loss of amenities of life at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 does not dispute the plaintiff's claim for the time she was off work from August 8, 2009 to December 27, 2009. The gross amount of those lost wages is $18,145.30.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also claims $26,235.72 for lost wages during the period from September 6, 2011 to May 11, 2012 while she was studying for the L.P.N. program. The defendant submits, however, that the plaintiff has personally benefitted from taking the L.P.N. training, and she is not entitled to compensation by the defendant for this effort at self-improvement. The defendant points out that the plaintiff now has the option of a shortened period for obtaining her R.N. qualifications as a result of her training as an L.P.N.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my view, the plaintiff is entitled to an award for her lost wages while training as an L.P.N. as this was a reasonable effort on her part to mitigate damages. She found that as a result of the accident, she was not able to work at full capacity at her former job as a care aid. Had she not retrained, she would have had a continuing, accident-related, limitation on her ability to earn income. It is to the defendant's benefit that the plaintiff mitigated this loss by retraining. As Southin J.A. observed in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at p.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many cases, a plaintiff may show that in order to earn as good a living as before i.e. to restore his earning capacity he requires retraining. The cost of retraining, if it is a reasonable proposition, is a proper element of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Finally, the plaintiff claims that as a result of her physical limitations following the accident, she was forced to work fewer hours during the periods January to April 2010 and May 11, 2012 to the present, and she should be awarded $2,000 for each of those periods. I find the claim for the first period is easier to justify, based on the limitation on the number of hours she would work as a care aid after the accident, but the claim for the period after her L.P.N. training is more problematic, as the rationale for that training was to allow her to get back to full-time work. I would award a total of $2,500 to cover both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Accordingly, I find that the plaintiff has established past loss of income amounting to $18,145.30 for the period August 8, 2009 to December 27, 2009, $26,235.72 for the period of L.P.N. training, and $2,500.00 for the other periods, for a total of $46,881.02. That is a gross amount, and I leave it to the parties to calculate the net amount for the purposes of the entered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Future earning capacity is considered a capital asset whose value may be diminished by the effects of an accident. The factors to be considered in assessing such loss were discussed in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at p. 399. There, the British Columbia Court of Appeal referred with approval to the list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 356 (S.C.),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pattern of employment income may be discerned from her yearly T-4 slips: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823"/>
        <w:gridCol w:w="64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$13,611.48</w:t>
            </w:r>
          </w:p>
        </w:tc>
        <w:tc>
          <w:tcPr>
            <w:tcW w:w="634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$14,277.02</w:t>
            </w:r>
          </w:p>
        </w:tc>
        <w:tc>
          <w:tcPr>
            <w:tcW w:w="634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$24,942.38</w:t>
            </w:r>
          </w:p>
        </w:tc>
        <w:tc>
          <w:tcPr>
            <w:tcW w:w="634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2011</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$25,506.93</w:t>
            </w:r>
          </w:p>
        </w:tc>
        <w:tc>
          <w:tcPr>
            <w:tcW w:w="634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can be seen, the plaintiff's employment income has risen each year, despite the accident. This does not necessarily mean, however, that she is not entitled to any compensation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As our Court of Appeal recognized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what is being compensated under this head of damages is not simply a mathematical calculation of lost projected future earnings, but rather the impairment of earning capacity considered as a capital asset. The Court went on to say at paras. 9-11: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Because damage awards are made as lump sums, an award for loss of future earning capacity must deal to some extent with the unknowable. The standard of proof to be applied when evaluating hypothetical events that may affect an award is simple probability, not the balance of probabilities: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trial judge's task is to assess the loss on a judgmental basis, taking into consideration all the relevant factors arising from the evidence: </w:t>
      </w:r>
      <w:r>
        <w:rPr>
          <w:rFonts w:ascii="arial" w:eastAsia="arial" w:hAnsi="arial" w:cs="arial"/>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at para. 121, aff'd </w:t>
      </w:r>
      <w:hyperlink r:id="rId928"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(C.A.). Guidance as to what factors may be relevant can be found in </w:t>
      </w:r>
      <w:r>
        <w:rPr>
          <w:rFonts w:ascii="arial" w:eastAsia="arial" w:hAnsi="arial" w:cs="arial"/>
          <w:i/>
          <w:color w:val="000000"/>
          <w:sz w:val="20"/>
          <w:lang w:val="en-US" w:eastAsia="en-US" w:bidi="ar-SA"/>
        </w:rPr>
        <w:t xml:space="preserve">Parypa v. Wickware, </w:t>
      </w:r>
      <w:hyperlink r:id="rId755"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per Finch J. They include: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whether the plaintiff has been rendered less capable overall from earning income from all types of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whether the plaintiff is less marketable or attractive as an employee to potential employers;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whether the plaintiff has lost the ability to take advantage of all job opportunities which might otherwise have been open to him, had he not been injured;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task of the court is to assess damages, not to calculate them according to some mathematical formula: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Parypa v. Wickware, 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claims $150,000 for loss of future earning capacity, based on the evidence of Dr. Caillier that the plaintiff continues to have some residual problems with her left arm that affect her ability to do physically demanding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If the plaintiff were still working only as a care aid, this would be a significant concern. However, she is now qualified as an L.P.N., which is less physically demanding, and Dr. Caillier said that her physical limitations resulting from the accident should not prevent her from working either as an L.P.N. or as a Registered Nurse. The defendant therefore submits that no award should be made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agree with the defendant that the plaintiff's continuing physical limitations should not prevent her from pursuing her career goals of working either as an L.P.N. or as an R.N., and therefore do not merit an award in the range of $150,000 as submitted by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However, I agree with the plaintiff that she does deserve some compensation for the fact that she will continue to experience some minor limitation in carrying out heavier tasks, even though this limitation is not so severe as to prevent her employment in her chosen career. As Dr. Caillier put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despite her limitations and restrictions that she is capable of participating in her activities as an L.P.N. and nurse but will need to be diligent with her exercise routine to allow for long term management of her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remains my opinion that as far as working as a Registered Nurse, Ms. Koshman is capable of doing this, but there may be times with heavier pushing or pulling, as well as having to transfer patients and repetitive wrist motions that there will be a flare of her left elbow pain and as such she may require assistance from co-workers to complete the heavier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is difficult to put a precise dollar value on this. On the one hand, this is a relatively minor limitation in relation to her chosen field of work. On the other hand, the plaintiff is still young, and she will have to bear the effects of this limitation for many years. In my assessment, the plaintiff is entitled to damages of $15,000 for this minor limitation on her future earning capacity, considered as a capital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Caillier recommended a provision for physiotherapy sessions when needed at times of symptomatic flare-ups. The plaintiff submits that Dr. Caillier recommended provision for eight sessions per year, four for elbow pain and another four for left forearm pain. I do not agree that that is a reasonable interpretation of her report. As I read her report, she recommends provision for four sessions per year in total. The plaintiff has been paying $50 per session at Brookswood Physiotherapy. Applying the appropriate multiplier to age 65 based on an annual cost of $200 per year, I would award a total of $4,278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claims special damages in the amount of $7,543.37 and has provided receipts. The defendant agrees to $2,945.29 for amounts relating to such things as physiotherapy and medication, but disputes three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First, there is a claim for $83.96 for gym membership fees during the initial period when the plaintiff could not attend the gym. The defendant submits the plaintiff should have cancelled her membership for that period. I do not agree. I accept the plaintiff's evidence that it would have been more expensive to cancel the membership and recommence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Second, the defence disputes the claim of $51.86 for an elbow brace, as Dr. Caillier's report said it was only something to consider in the future, and not something that she recommended now. In my view, the expenditure was reasonable and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Finally, the plaintiff claims her tuition expenses for training as an L.P.N. The evidence of the plaintiff is that she had not planned to train as an L.P.N. prior to the accident. I have found that she did so in order to mitigate her income loss as a result of the accident. The claim for tuition expenses is an appropriate claim under the heading of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Accordingly, I would award special damages in the amount claimed by the plaintiff, namely, $7,543.37.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find that the defendant was negligent and that she is 100% liable for the plaintiff's damages resulting from the accident. I assess those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614"/>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987"/>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 (Gross):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46,881.02</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1464"/>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4,278.00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510"/>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7,543.37</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346"/>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$133,702.39</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This total includes the gross amount for past income loss. The parties have agreed that they will calculate the net amount for the purposes of the final entered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April 25,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W. EHRCKE J.:-- This is a corrigendum to reasons for judgment issued April 16,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 last sentence of para. 78 of my reasons is amended to reflect a change to the calculation of the cost of future care. The amended sentence is to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Applying the appropriate multiplier to age 65 based on an annual cost of $200 per year, I would award a total of $4,278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The summary of damages at para. 84 of my reasons is amended to read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71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09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 (Gross):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46,881.02</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56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869"/>
        <w:gridCol w:w="230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4,278.00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614"/>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7,543.37</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3346"/>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$133,702.39</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2" style="position:absolute;z-index:25189785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 Andrew Hokhold Inc. v. Wells (c.o.b. Spall Machine &amp; Welding), [2005] B.C.J. No. 255</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Ewert v. Canada (Attorney General), [2017] B.C.J. No. 330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Felix v. Insurance Corp. of British Columbia, [2014] I.L.R. para. I-5558</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 v. A&amp;P Fruit Growers Ltd., [2009] B.C.J. No. 593</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Gish v. Hooper Insurance and Financial Services Inc., [2010] B.C.J. No. 774</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Gitxsan First Nation v. British Columbia (Minister of Forests), [2005] B.C.J. No. 1531</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Houweling v. Imperial Equestrian Centre Ltd., [2001] B.C.J. No. 2424</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Johnson (Litigation guardian of) v. Eyre, [2009] B.C.J. No. 2496</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Kahl v. Jakobsson, [2006] B.C.J. No. 1722</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Kordyban v. Windmill Orchards Ltd., [2000] B.C.J. No. 407</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Larsen v. Wilson, [2007] B.C.J. No. 1422</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Lemieux (Guardian ad litem of) v. Evers, [2000] B.C.J. No. 2099</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Little v. Einarsen, [2015] B.C.J. No. 2498</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Mackell v. Moulson, [2001] B.C.J. No. 2553</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MacKnight v. Nast, [2005] B.C.J. No. 757</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Marszalek (Estate of) and Lil v. Bishop et al., 2007 CHFL para. 15,474</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McIlvenna (Litigation Guardian of) v. Insurance Corp. of British Columbia, [2006] B.C.J. No. 2793</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Miller v. Boughton, [2011] B.C.J. No. 900</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Mori v. Weeks, [2001] B.C.J. No. 1688</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Normak Investments Ltd. v. Belciug, [2015] B.C.J. No. 1181</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Nutt v. CIBC World Markets Inc., [2001] B.C.J. No. 2449</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BCS 4340 v. National Home Warranty Group Inc., [2016] B.C.J. No. 2781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Parsons v. Finch, [2005] B.C.J. No. 2697</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Parwani v. Sekhon, [2010] B.C.J. No. 713</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Pausche v. British Columbia Hydro &amp; Power Authority, [2000] B.C.J. No. 2125</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Perera v. De Groot, [2006] B.C.J. No. 1952</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Piper v. Mitsubishi Heavy Industries Ltd., [2009] B.C.J. No. 1972</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Provincial Health Services Authority v. Crothall Healthcare, a Division of Compass Group Canada Ltd., [2015] B.C.J. No. 930</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Residential Ready-Mix Ltd. v. BTR Concrete and Construction Ltd., [2003] B.C.J. No. 2033</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Russell v. Parks, [2012] B.C.J. No. 2753</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McAndrew, [2004] B.C.J. No. 97</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Secord v. Doulis, [2002] B.C.J. No. 960</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Secord v. Global Securities Corp., [2000] B.C.J. No. 2096</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Skinner v. Guo, [2009] B.C.J. No. 2670</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Skutnik v. British Columbia, [2012] B.C.J. No. 1530</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Slaughter v. Sluys, [2008] B.C.J. No. 1434</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v. Bileck, [2006] B.C.J. No. 1462</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Stanway v. Wyeth Canada Inc., [2011] B.C.J. No. 111</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3851 v. Homer Street Development Limited Partnership, [2011] B.C.J. No. 823</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Timberwest Forest Ltd. v. Gearbulk Pool Ltd., [2001] B.C.J. No. 1253</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Tsai v. Li, [2019] B.C.J. No. 1503</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Wahid v. Caporusso, [2016] B.C.J. No. 1994</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Warner v. Taylor, [2015] B.C.J. No. 738</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Watt v. 417698 Alberta Ltd., [2006] B.C.J. No. 985</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Watt v. Health Sciences Assn. of British Columbia, [2015] B.C.J. No. 1589</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Wiggins v. British Columbia, [2009] B.C.J. No. 222</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Wong v. Transamerica Life Canada, [2014] B.C.J. No. 148</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Basi v. Buttar, [2010] B.C.J. No. 15</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Frech v. Langley, [2012] B.C.J. No. 1722</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Koshman v. Brodis, [2013] B.C.J. No. 755</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quot;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quot;(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e)"/>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f)"/>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g)"/>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h)"/>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3"/>
      <w:numFmt w:val="decimal"/>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4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1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1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2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2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2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2"/>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3"/>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F67636"/>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1B586BE"/>
    <w:multiLevelType w:val="multilevel"/>
    <w:tmpl w:val="0000000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6320729"/>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A3AACB6"/>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B39BC6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121E5D4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198E0246"/>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1AE95461"/>
    <w:multiLevelType w:val="multilevel"/>
    <w:tmpl w:val="00000001"/>
    <w:lvl w:ilvl="0">
      <w:start w:val="1"/>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1DDACF3F"/>
    <w:multiLevelType w:val="multilevel"/>
    <w:tmpl w:val="00000001"/>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1DDD4F7D"/>
    <w:multiLevelType w:val="multilevel"/>
    <w:tmpl w:val="00000001"/>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24A3C7A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25640442"/>
    <w:multiLevelType w:val="multilevel"/>
    <w:tmpl w:val="00000001"/>
    <w:lvl w:ilvl="0">
      <w:start w:val="1"/>
      <w:numFmt w:val="decimal"/>
      <w:lvlText w:val="82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25FD6D51"/>
    <w:multiLevelType w:val="multilevel"/>
    <w:tmpl w:val="00000001"/>
    <w:lvl w:ilvl="0">
      <w:start w:val="2"/>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27912CBB"/>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2BE65A32"/>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2F37A3A9"/>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2FD80A2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336AE6A3"/>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35352A50"/>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36E703AD"/>
    <w:multiLevelType w:val="multilevel"/>
    <w:tmpl w:val="00000001"/>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3C8F6B2E"/>
    <w:multiLevelType w:val="multilevel"/>
    <w:tmpl w:val="00000001"/>
    <w:lvl w:ilvl="0">
      <w:start w:val="1"/>
      <w:numFmt w:val="decimal"/>
      <w:lvlText w:val="62."/>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45246D1A"/>
    <w:multiLevelType w:val="multilevel"/>
    <w:tmpl w:val="0000000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46F5F997"/>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4845EC93"/>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4CAFCAB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552462F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57ABDDB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5A10F7C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5AAFC50A"/>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5EEFC72D"/>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5F8D11A7"/>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61407F6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645EE26F"/>
    <w:multiLevelType w:val="multilevel"/>
    <w:tmpl w:val="00000001"/>
    <w:lvl w:ilvl="0">
      <w:start w:val="1"/>
      <w:numFmt w:val="decimal"/>
      <w:lvlText w:val="157(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66EC36C4"/>
    <w:multiLevelType w:val="multilevel"/>
    <w:tmpl w:val="0000000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69D6DAA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6C7EB5C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6E6338A7"/>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6F9748B6"/>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75A89641"/>
    <w:multiLevelType w:val="multilevel"/>
    <w:tmpl w:val="0000000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791925F5"/>
    <w:multiLevelType w:val="multilevel"/>
    <w:tmpl w:val="00000001"/>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7CCE0AB5"/>
    <w:multiLevelType w:val="multilevel"/>
    <w:tmpl w:val="00000001"/>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7DCD3DA8"/>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7EB5B38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83"/>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172"/>
  </w:num>
  <w:num w:numId="29">
    <w:abstractNumId w:val="177"/>
  </w:num>
  <w:num w:numId="30">
    <w:abstractNumId w:val="171"/>
  </w:num>
  <w:num w:numId="31">
    <w:abstractNumId w:val="198"/>
  </w:num>
  <w:num w:numId="32">
    <w:abstractNumId w:val="26"/>
  </w:num>
  <w:num w:numId="33">
    <w:abstractNumId w:val="27"/>
  </w:num>
  <w:num w:numId="34">
    <w:abstractNumId w:val="28"/>
  </w:num>
  <w:num w:numId="35">
    <w:abstractNumId w:val="29"/>
  </w:num>
  <w:num w:numId="36">
    <w:abstractNumId w:val="30"/>
  </w:num>
  <w:num w:numId="37">
    <w:abstractNumId w:val="31"/>
  </w:num>
  <w:num w:numId="38">
    <w:abstractNumId w:val="32"/>
  </w:num>
  <w:num w:numId="39">
    <w:abstractNumId w:val="33"/>
  </w:num>
  <w:num w:numId="40">
    <w:abstractNumId w:val="34"/>
  </w:num>
  <w:num w:numId="41">
    <w:abstractNumId w:val="35"/>
  </w:num>
  <w:num w:numId="42">
    <w:abstractNumId w:val="36"/>
  </w:num>
  <w:num w:numId="43">
    <w:abstractNumId w:val="37"/>
  </w:num>
  <w:num w:numId="44">
    <w:abstractNumId w:val="38"/>
  </w:num>
  <w:num w:numId="45">
    <w:abstractNumId w:val="39"/>
  </w:num>
  <w:num w:numId="46">
    <w:abstractNumId w:val="40"/>
  </w:num>
  <w:num w:numId="47">
    <w:abstractNumId w:val="41"/>
  </w:num>
  <w:num w:numId="48">
    <w:abstractNumId w:val="42"/>
  </w:num>
  <w:num w:numId="49">
    <w:abstractNumId w:val="184"/>
  </w:num>
  <w:num w:numId="50">
    <w:abstractNumId w:val="181"/>
  </w:num>
  <w:num w:numId="51">
    <w:abstractNumId w:val="196"/>
  </w:num>
  <w:num w:numId="52">
    <w:abstractNumId w:val="169"/>
  </w:num>
  <w:num w:numId="53">
    <w:abstractNumId w:val="174"/>
  </w:num>
  <w:num w:numId="54">
    <w:abstractNumId w:val="190"/>
  </w:num>
  <w:num w:numId="55">
    <w:abstractNumId w:val="202"/>
  </w:num>
  <w:num w:numId="56">
    <w:abstractNumId w:val="168"/>
  </w:num>
  <w:num w:numId="57">
    <w:abstractNumId w:val="179"/>
  </w:num>
  <w:num w:numId="58">
    <w:abstractNumId w:val="200"/>
  </w:num>
  <w:num w:numId="59">
    <w:abstractNumId w:val="175"/>
  </w:num>
  <w:num w:numId="60">
    <w:abstractNumId w:val="167"/>
  </w:num>
  <w:num w:numId="61">
    <w:abstractNumId w:val="162"/>
  </w:num>
  <w:num w:numId="62">
    <w:abstractNumId w:val="163"/>
  </w:num>
  <w:num w:numId="63">
    <w:abstractNumId w:val="188"/>
  </w:num>
  <w:num w:numId="64">
    <w:abstractNumId w:val="178"/>
  </w:num>
  <w:num w:numId="65">
    <w:abstractNumId w:val="191"/>
  </w:num>
  <w:num w:numId="66">
    <w:abstractNumId w:val="193"/>
  </w:num>
  <w:num w:numId="67">
    <w:abstractNumId w:val="195"/>
  </w:num>
  <w:num w:numId="68">
    <w:abstractNumId w:val="204"/>
  </w:num>
  <w:num w:numId="69">
    <w:abstractNumId w:val="170"/>
  </w:num>
  <w:num w:numId="70">
    <w:abstractNumId w:val="192"/>
  </w:num>
  <w:num w:numId="71">
    <w:abstractNumId w:val="199"/>
  </w:num>
  <w:num w:numId="72">
    <w:abstractNumId w:val="185"/>
  </w:num>
  <w:num w:numId="73">
    <w:abstractNumId w:val="165"/>
  </w:num>
  <w:num w:numId="74">
    <w:abstractNumId w:val="186"/>
  </w:num>
  <w:num w:numId="75">
    <w:abstractNumId w:val="43"/>
  </w:num>
  <w:num w:numId="76">
    <w:abstractNumId w:val="44"/>
  </w:num>
  <w:num w:numId="77">
    <w:abstractNumId w:val="45"/>
  </w:num>
  <w:num w:numId="78">
    <w:abstractNumId w:val="46"/>
  </w:num>
  <w:num w:numId="79">
    <w:abstractNumId w:val="47"/>
  </w:num>
  <w:num w:numId="80">
    <w:abstractNumId w:val="48"/>
  </w:num>
  <w:num w:numId="81">
    <w:abstractNumId w:val="49"/>
  </w:num>
  <w:num w:numId="82">
    <w:abstractNumId w:val="50"/>
  </w:num>
  <w:num w:numId="83">
    <w:abstractNumId w:val="51"/>
  </w:num>
  <w:num w:numId="84">
    <w:abstractNumId w:val="52"/>
  </w:num>
  <w:num w:numId="85">
    <w:abstractNumId w:val="194"/>
  </w:num>
  <w:num w:numId="86">
    <w:abstractNumId w:val="176"/>
  </w:num>
  <w:num w:numId="87">
    <w:abstractNumId w:val="189"/>
  </w:num>
  <w:num w:numId="88">
    <w:abstractNumId w:val="164"/>
  </w:num>
  <w:num w:numId="89">
    <w:abstractNumId w:val="180"/>
  </w:num>
  <w:num w:numId="90">
    <w:abstractNumId w:val="201"/>
  </w:num>
  <w:num w:numId="91">
    <w:abstractNumId w:val="53"/>
  </w:num>
  <w:num w:numId="92">
    <w:abstractNumId w:val="54"/>
  </w:num>
  <w:num w:numId="93">
    <w:abstractNumId w:val="55"/>
  </w:num>
  <w:num w:numId="94">
    <w:abstractNumId w:val="56"/>
  </w:num>
  <w:num w:numId="95">
    <w:abstractNumId w:val="57"/>
  </w:num>
  <w:num w:numId="96">
    <w:abstractNumId w:val="58"/>
  </w:num>
  <w:num w:numId="97">
    <w:abstractNumId w:val="59"/>
  </w:num>
  <w:num w:numId="98">
    <w:abstractNumId w:val="60"/>
  </w:num>
  <w:num w:numId="99">
    <w:abstractNumId w:val="61"/>
  </w:num>
  <w:num w:numId="100">
    <w:abstractNumId w:val="62"/>
  </w:num>
  <w:num w:numId="101">
    <w:abstractNumId w:val="63"/>
  </w:num>
  <w:num w:numId="102">
    <w:abstractNumId w:val="64"/>
  </w:num>
  <w:num w:numId="103">
    <w:abstractNumId w:val="65"/>
  </w:num>
  <w:num w:numId="104">
    <w:abstractNumId w:val="66"/>
  </w:num>
  <w:num w:numId="105">
    <w:abstractNumId w:val="67"/>
  </w:num>
  <w:num w:numId="106">
    <w:abstractNumId w:val="68"/>
  </w:num>
  <w:num w:numId="107">
    <w:abstractNumId w:val="69"/>
  </w:num>
  <w:num w:numId="108">
    <w:abstractNumId w:val="70"/>
  </w:num>
  <w:num w:numId="109">
    <w:abstractNumId w:val="71"/>
  </w:num>
  <w:num w:numId="110">
    <w:abstractNumId w:val="72"/>
  </w:num>
  <w:num w:numId="111">
    <w:abstractNumId w:val="197"/>
  </w:num>
  <w:num w:numId="112">
    <w:abstractNumId w:val="73"/>
  </w:num>
  <w:num w:numId="113">
    <w:abstractNumId w:val="74"/>
  </w:num>
  <w:num w:numId="114">
    <w:abstractNumId w:val="75"/>
  </w:num>
  <w:num w:numId="115">
    <w:abstractNumId w:val="76"/>
  </w:num>
  <w:num w:numId="116">
    <w:abstractNumId w:val="77"/>
  </w:num>
  <w:num w:numId="117">
    <w:abstractNumId w:val="78"/>
  </w:num>
  <w:num w:numId="118">
    <w:abstractNumId w:val="79"/>
  </w:num>
  <w:num w:numId="119">
    <w:abstractNumId w:val="80"/>
  </w:num>
  <w:num w:numId="120">
    <w:abstractNumId w:val="81"/>
  </w:num>
  <w:num w:numId="121">
    <w:abstractNumId w:val="82"/>
  </w:num>
  <w:num w:numId="122">
    <w:abstractNumId w:val="83"/>
  </w:num>
  <w:num w:numId="123">
    <w:abstractNumId w:val="84"/>
  </w:num>
  <w:num w:numId="124">
    <w:abstractNumId w:val="85"/>
  </w:num>
  <w:num w:numId="125">
    <w:abstractNumId w:val="86"/>
  </w:num>
  <w:num w:numId="126">
    <w:abstractNumId w:val="87"/>
  </w:num>
  <w:num w:numId="127">
    <w:abstractNumId w:val="88"/>
  </w:num>
  <w:num w:numId="128">
    <w:abstractNumId w:val="89"/>
  </w:num>
  <w:num w:numId="129">
    <w:abstractNumId w:val="90"/>
  </w:num>
  <w:num w:numId="130">
    <w:abstractNumId w:val="91"/>
  </w:num>
  <w:num w:numId="131">
    <w:abstractNumId w:val="92"/>
  </w:num>
  <w:num w:numId="132">
    <w:abstractNumId w:val="93"/>
  </w:num>
  <w:num w:numId="133">
    <w:abstractNumId w:val="94"/>
  </w:num>
  <w:num w:numId="134">
    <w:abstractNumId w:val="95"/>
  </w:num>
  <w:num w:numId="135">
    <w:abstractNumId w:val="96"/>
  </w:num>
  <w:num w:numId="136">
    <w:abstractNumId w:val="97"/>
  </w:num>
  <w:num w:numId="137">
    <w:abstractNumId w:val="98"/>
  </w:num>
  <w:num w:numId="138">
    <w:abstractNumId w:val="99"/>
  </w:num>
  <w:num w:numId="139">
    <w:abstractNumId w:val="100"/>
  </w:num>
  <w:num w:numId="140">
    <w:abstractNumId w:val="101"/>
  </w:num>
  <w:num w:numId="141">
    <w:abstractNumId w:val="102"/>
  </w:num>
  <w:num w:numId="142">
    <w:abstractNumId w:val="103"/>
  </w:num>
  <w:num w:numId="143">
    <w:abstractNumId w:val="104"/>
  </w:num>
  <w:num w:numId="144">
    <w:abstractNumId w:val="105"/>
  </w:num>
  <w:num w:numId="145">
    <w:abstractNumId w:val="106"/>
  </w:num>
  <w:num w:numId="146">
    <w:abstractNumId w:val="107"/>
  </w:num>
  <w:num w:numId="147">
    <w:abstractNumId w:val="108"/>
  </w:num>
  <w:num w:numId="148">
    <w:abstractNumId w:val="109"/>
  </w:num>
  <w:num w:numId="149">
    <w:abstractNumId w:val="110"/>
  </w:num>
  <w:num w:numId="150">
    <w:abstractNumId w:val="111"/>
  </w:num>
  <w:num w:numId="151">
    <w:abstractNumId w:val="112"/>
  </w:num>
  <w:num w:numId="152">
    <w:abstractNumId w:val="113"/>
  </w:num>
  <w:num w:numId="153">
    <w:abstractNumId w:val="114"/>
  </w:num>
  <w:num w:numId="154">
    <w:abstractNumId w:val="115"/>
  </w:num>
  <w:num w:numId="155">
    <w:abstractNumId w:val="116"/>
  </w:num>
  <w:num w:numId="156">
    <w:abstractNumId w:val="117"/>
  </w:num>
  <w:num w:numId="157">
    <w:abstractNumId w:val="118"/>
  </w:num>
  <w:num w:numId="158">
    <w:abstractNumId w:val="119"/>
  </w:num>
  <w:num w:numId="159">
    <w:abstractNumId w:val="120"/>
  </w:num>
  <w:num w:numId="160">
    <w:abstractNumId w:val="121"/>
  </w:num>
  <w:num w:numId="161">
    <w:abstractNumId w:val="122"/>
  </w:num>
  <w:num w:numId="162">
    <w:abstractNumId w:val="123"/>
  </w:num>
  <w:num w:numId="163">
    <w:abstractNumId w:val="124"/>
  </w:num>
  <w:num w:numId="164">
    <w:abstractNumId w:val="125"/>
  </w:num>
  <w:num w:numId="165">
    <w:abstractNumId w:val="126"/>
  </w:num>
  <w:num w:numId="166">
    <w:abstractNumId w:val="127"/>
  </w:num>
  <w:num w:numId="167">
    <w:abstractNumId w:val="128"/>
  </w:num>
  <w:num w:numId="168">
    <w:abstractNumId w:val="129"/>
  </w:num>
  <w:num w:numId="169">
    <w:abstractNumId w:val="130"/>
  </w:num>
  <w:num w:numId="170">
    <w:abstractNumId w:val="131"/>
  </w:num>
  <w:num w:numId="171">
    <w:abstractNumId w:val="132"/>
  </w:num>
  <w:num w:numId="172">
    <w:abstractNumId w:val="133"/>
  </w:num>
  <w:num w:numId="173">
    <w:abstractNumId w:val="134"/>
  </w:num>
  <w:num w:numId="174">
    <w:abstractNumId w:val="135"/>
  </w:num>
  <w:num w:numId="175">
    <w:abstractNumId w:val="136"/>
  </w:num>
  <w:num w:numId="176">
    <w:abstractNumId w:val="137"/>
  </w:num>
  <w:num w:numId="177">
    <w:abstractNumId w:val="138"/>
  </w:num>
  <w:num w:numId="178">
    <w:abstractNumId w:val="139"/>
  </w:num>
  <w:num w:numId="179">
    <w:abstractNumId w:val="140"/>
  </w:num>
  <w:num w:numId="180">
    <w:abstractNumId w:val="141"/>
  </w:num>
  <w:num w:numId="181">
    <w:abstractNumId w:val="142"/>
  </w:num>
  <w:num w:numId="182">
    <w:abstractNumId w:val="143"/>
  </w:num>
  <w:num w:numId="183">
    <w:abstractNumId w:val="144"/>
  </w:num>
  <w:num w:numId="184">
    <w:abstractNumId w:val="145"/>
  </w:num>
  <w:num w:numId="185">
    <w:abstractNumId w:val="146"/>
  </w:num>
  <w:num w:numId="186">
    <w:abstractNumId w:val="147"/>
  </w:num>
  <w:num w:numId="187">
    <w:abstractNumId w:val="148"/>
  </w:num>
  <w:num w:numId="188">
    <w:abstractNumId w:val="149"/>
  </w:num>
  <w:num w:numId="189">
    <w:abstractNumId w:val="150"/>
  </w:num>
  <w:num w:numId="190">
    <w:abstractNumId w:val="151"/>
  </w:num>
  <w:num w:numId="191">
    <w:abstractNumId w:val="152"/>
  </w:num>
  <w:num w:numId="192">
    <w:abstractNumId w:val="153"/>
  </w:num>
  <w:num w:numId="193">
    <w:abstractNumId w:val="154"/>
  </w:num>
  <w:num w:numId="194">
    <w:abstractNumId w:val="155"/>
  </w:num>
  <w:num w:numId="195">
    <w:abstractNumId w:val="156"/>
  </w:num>
  <w:num w:numId="196">
    <w:abstractNumId w:val="157"/>
  </w:num>
  <w:num w:numId="197">
    <w:abstractNumId w:val="158"/>
  </w:num>
  <w:num w:numId="198">
    <w:abstractNumId w:val="159"/>
  </w:num>
  <w:num w:numId="199">
    <w:abstractNumId w:val="160"/>
  </w:num>
  <w:num w:numId="200">
    <w:abstractNumId w:val="161"/>
  </w:num>
  <w:num w:numId="201">
    <w:abstractNumId w:val="173"/>
  </w:num>
  <w:num w:numId="202">
    <w:abstractNumId w:val="182"/>
  </w:num>
  <w:num w:numId="203">
    <w:abstractNumId w:val="203"/>
  </w:num>
  <w:num w:numId="204">
    <w:abstractNumId w:val="187"/>
  </w:num>
  <w:num w:numId="205">
    <w:abstractNumId w:val="16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D1-JN6B-S17R-00000-00&amp;context=" TargetMode="External" /><Relationship Id="rId100" Type="http://schemas.openxmlformats.org/officeDocument/2006/relationships/footer" Target="footer15.xml" /><Relationship Id="rId101" Type="http://schemas.openxmlformats.org/officeDocument/2006/relationships/hyperlink" Target="https://advance.lexis.com/api/document?collection=cases-ca&amp;id=urn:contentItem:5F7T-S7K1-JKHB-62YK-00000-00&amp;context=" TargetMode="External" /><Relationship Id="rId102" Type="http://schemas.openxmlformats.org/officeDocument/2006/relationships/hyperlink" Target="https://advance.lexis.com/api/document?collection=cases-ca&amp;id=urn:contentItem:5K6Y-81M1-F81W-23W3-00000-00&amp;context=" TargetMode="External" /><Relationship Id="rId103" Type="http://schemas.openxmlformats.org/officeDocument/2006/relationships/hyperlink" Target="https://advance.lexis.com/api/document?collection=legislation-ca&amp;id=urn:contentItem:5F41-1FG1-JJYN-B0DY-00000-00&amp;context=" TargetMode="External" /><Relationship Id="rId104" Type="http://schemas.openxmlformats.org/officeDocument/2006/relationships/hyperlink" Target="https://advance.lexis.com/api/document?collection=cases-ca&amp;id=urn:contentItem:5F7T-S7J1-JYYX-62MD-00000-00&amp;context=" TargetMode="External" /><Relationship Id="rId105" Type="http://schemas.openxmlformats.org/officeDocument/2006/relationships/hyperlink" Target="https://advance.lexis.com/api/document?collection=cases-ca&amp;id=urn:contentItem:5F8T-N3V1-JFKM-6085-00000-00&amp;context=" TargetMode="External" /><Relationship Id="rId106" Type="http://schemas.openxmlformats.org/officeDocument/2006/relationships/hyperlink" Target="https://advance.lexis.com/api/document?collection=cases-ca&amp;id=urn:contentItem:5F8P-SF11-JGPY-X3X0-00000-00&amp;context=" TargetMode="External" /><Relationship Id="rId107" Type="http://schemas.openxmlformats.org/officeDocument/2006/relationships/hyperlink" Target="https://advance.lexis.com/api/document?collection=cases-ca&amp;id=urn:contentItem:5F7T-S6V1-JTNR-M2XT-00000-00&amp;context=" TargetMode="External" /><Relationship Id="rId108" Type="http://schemas.openxmlformats.org/officeDocument/2006/relationships/hyperlink" Target="https://advance.lexis.com/api/document?collection=cases-ca&amp;id=urn:contentItem:5F8P-SCK1-FGJR-24JP-00000-00&amp;context=" TargetMode="External" /><Relationship Id="rId109" Type="http://schemas.openxmlformats.org/officeDocument/2006/relationships/hyperlink" Target="https://advance.lexis.com/api/document?collection=cases-ca&amp;id=urn:contentItem:5F7H-KW51-FG12-602W-00000-00&amp;context=" TargetMode="External" /><Relationship Id="rId11" Type="http://schemas.openxmlformats.org/officeDocument/2006/relationships/hyperlink" Target="https://advance.lexis.com/api/document?collection=legislation-ca&amp;id=urn:contentItem:5F41-1FJ1-JG59-2148-00000-00&amp;context=" TargetMode="External" /><Relationship Id="rId110" Type="http://schemas.openxmlformats.org/officeDocument/2006/relationships/hyperlink" Target="https://advance.lexis.com/api/document?collection=cases-ca&amp;id=urn:contentItem:5F8N-K6X1-JSXV-G1C3-00000-00&amp;context=" TargetMode="External" /><Relationship Id="rId111" Type="http://schemas.openxmlformats.org/officeDocument/2006/relationships/hyperlink" Target="https://advance.lexis.com/api/document?collection=cases-ca&amp;id=urn:contentItem:5F7T-S761-F81W-21SJ-00000-00&amp;context=" TargetMode="External" /><Relationship Id="rId112" Type="http://schemas.openxmlformats.org/officeDocument/2006/relationships/hyperlink" Target="https://advance.lexis.com/api/document?collection=cases-ca&amp;id=urn:contentItem:5F8P-SD21-F873-B14V-00000-00&amp;context=" TargetMode="External" /><Relationship Id="rId113" Type="http://schemas.openxmlformats.org/officeDocument/2006/relationships/hyperlink" Target="https://advance.lexis.com/api/document?collection=cases-ca&amp;id=urn:contentItem:5F8P-SGB1-JBT7-X30B-00000-00&amp;context=" TargetMode="External" /><Relationship Id="rId114" Type="http://schemas.openxmlformats.org/officeDocument/2006/relationships/hyperlink" Target="https://advance.lexis.com/api/document?collection=cases-ca&amp;id=urn:contentItem:5F7T-S711-F27X-60WM-00000-00&amp;context=" TargetMode="External" /><Relationship Id="rId115" Type="http://schemas.openxmlformats.org/officeDocument/2006/relationships/hyperlink" Target="https://advance.lexis.com/api/document?collection=cases-ca&amp;id=urn:contentItem:5F7T-S711-JNS1-M0W4-00000-00&amp;context=" TargetMode="External" /><Relationship Id="rId116" Type="http://schemas.openxmlformats.org/officeDocument/2006/relationships/hyperlink" Target="https://advance.lexis.com/api/document?collection=cases-ca&amp;id=urn:contentItem:5F8T-N3T1-JGHR-M251-00000-00&amp;context=" TargetMode="External" /><Relationship Id="rId117" Type="http://schemas.openxmlformats.org/officeDocument/2006/relationships/hyperlink" Target="https://advance.lexis.com/api/document?collection=cases-ca&amp;id=urn:contentItem:5F8T-N3V1-JF75-M3D0-00000-00&amp;context=" TargetMode="External" /><Relationship Id="rId118" Type="http://schemas.openxmlformats.org/officeDocument/2006/relationships/hyperlink" Target="https://advance.lexis.com/api/document?collection=cases-ca&amp;id=urn:contentItem:5F7T-S6X1-FJDY-X15S-00000-00&amp;context=" TargetMode="External" /><Relationship Id="rId119" Type="http://schemas.openxmlformats.org/officeDocument/2006/relationships/hyperlink" Target="https://advance.lexis.com/api/document?collection=cases-ca&amp;id=urn:contentItem:5F7T-S6X1-FCCX-60FJ-00000-00&amp;context=" TargetMode="External" /><Relationship Id="rId12" Type="http://schemas.openxmlformats.org/officeDocument/2006/relationships/hyperlink" Target="https://advance.lexis.com/api/document?collection=cases-ca&amp;id=urn:contentItem:5F7T-S771-F2TK-2353-00000-00&amp;context=" TargetMode="External" /><Relationship Id="rId120" Type="http://schemas.openxmlformats.org/officeDocument/2006/relationships/hyperlink" Target="https://advance.lexis.com/api/document?collection=cases-ca&amp;id=urn:contentItem:5F7T-S6Y1-F7G6-62PG-00000-00&amp;context=" TargetMode="External" /><Relationship Id="rId121" Type="http://schemas.openxmlformats.org/officeDocument/2006/relationships/hyperlink" Target="https://advance.lexis.com/api/document?collection=cases-ca&amp;id=urn:contentItem:5F7T-S701-JF75-M47D-00000-00&amp;context=" TargetMode="External" /><Relationship Id="rId122" Type="http://schemas.openxmlformats.org/officeDocument/2006/relationships/hyperlink" Target="https://advance.lexis.com/api/document?collection=cases-ca&amp;id=urn:contentItem:5F7T-S701-JK4W-M0T3-00000-00&amp;context=" TargetMode="External" /><Relationship Id="rId123" Type="http://schemas.openxmlformats.org/officeDocument/2006/relationships/hyperlink" Target="https://advance.lexis.com/api/document?collection=cases-ca&amp;id=urn:contentItem:5F7T-S7F1-FBN1-21NW-00000-00&amp;context=" TargetMode="External" /><Relationship Id="rId124" Type="http://schemas.openxmlformats.org/officeDocument/2006/relationships/hyperlink" Target="https://advance.lexis.com/api/document?collection=cases-ca&amp;id=urn:contentItem:5F7T-S6Y1-FJDY-X23K-00000-00&amp;context=" TargetMode="External" /><Relationship Id="rId125" Type="http://schemas.openxmlformats.org/officeDocument/2006/relationships/hyperlink" Target="https://advance.lexis.com/api/document?collection=cases-ca&amp;id=urn:contentItem:5F7T-S7D1-FFFC-B1DT-00000-00&amp;context=" TargetMode="External" /><Relationship Id="rId126" Type="http://schemas.openxmlformats.org/officeDocument/2006/relationships/hyperlink" Target="https://advance.lexis.com/api/document?collection=cases-ca&amp;id=urn:contentItem:5F7T-S7F1-FJTD-G3D8-00000-00&amp;context=" TargetMode="External" /><Relationship Id="rId127" Type="http://schemas.openxmlformats.org/officeDocument/2006/relationships/hyperlink" Target="https://advance.lexis.com/api/document?collection=cases-ca&amp;id=urn:contentItem:5F7T-S741-F7VM-S2PR-00000-00&amp;context=" TargetMode="External" /><Relationship Id="rId128" Type="http://schemas.openxmlformats.org/officeDocument/2006/relationships/hyperlink" Target="https://advance.lexis.com/api/document?collection=cases-ca&amp;id=urn:contentItem:5F7T-S7C1-F4NT-X32C-00000-00&amp;context=" TargetMode="External" /><Relationship Id="rId129" Type="http://schemas.openxmlformats.org/officeDocument/2006/relationships/hyperlink" Target="https://advance.lexis.com/api/document?collection=cases-ca&amp;id=urn:contentItem:5F81-VJV1-F8D9-M0NM-00000-00&amp;context=" TargetMode="External" /><Relationship Id="rId13" Type="http://schemas.openxmlformats.org/officeDocument/2006/relationships/hyperlink" Target="https://advance.lexis.com/api/document?collection=cases-ca&amp;id=urn:contentItem:5F8T-N3V1-FC1F-M43G-00000-00&amp;context=" TargetMode="External" /><Relationship Id="rId130" Type="http://schemas.openxmlformats.org/officeDocument/2006/relationships/hyperlink" Target="https://advance.lexis.com/api/document?collection=cases-ca&amp;id=urn:contentItem:5F7T-S6X1-FJDY-X1J8-00000-00&amp;context=" TargetMode="External" /><Relationship Id="rId131" Type="http://schemas.openxmlformats.org/officeDocument/2006/relationships/hyperlink" Target="https://advance.lexis.com/api/document?collection=cases-ca&amp;id=urn:contentItem:5F8T-N3V1-FC1F-M49J-00000-00&amp;context=" TargetMode="External" /><Relationship Id="rId132" Type="http://schemas.openxmlformats.org/officeDocument/2006/relationships/hyperlink" Target="https://advance.lexis.com/api/document?collection=cases-ca&amp;id=urn:contentItem:5F8T-N3T1-JJSF-2339-00000-00&amp;context=" TargetMode="External" /><Relationship Id="rId133" Type="http://schemas.openxmlformats.org/officeDocument/2006/relationships/header" Target="header16.xml" /><Relationship Id="rId134" Type="http://schemas.openxmlformats.org/officeDocument/2006/relationships/header" Target="header17.xml" /><Relationship Id="rId135" Type="http://schemas.openxmlformats.org/officeDocument/2006/relationships/footer" Target="footer16.xml" /><Relationship Id="rId136" Type="http://schemas.openxmlformats.org/officeDocument/2006/relationships/footer" Target="footer17.xml" /><Relationship Id="rId137" Type="http://schemas.openxmlformats.org/officeDocument/2006/relationships/header" Target="header18.xml" /><Relationship Id="rId138" Type="http://schemas.openxmlformats.org/officeDocument/2006/relationships/footer" Target="footer18.xml" /><Relationship Id="rId139" Type="http://schemas.openxmlformats.org/officeDocument/2006/relationships/hyperlink" Target="https://advance.lexis.com/api/document?collection=cases-ca&amp;id=urn:contentItem:5F7T-S7D1-JXG3-X168-00000-00&amp;context=" TargetMode="External" /><Relationship Id="rId14" Type="http://schemas.openxmlformats.org/officeDocument/2006/relationships/hyperlink" Target="https://advance.lexis.com/api/document?collection=cases-ca&amp;id=urn:contentItem:5F81-WC31-F5KY-B4T1-00000-00&amp;context=" TargetMode="External" /><Relationship Id="rId140" Type="http://schemas.openxmlformats.org/officeDocument/2006/relationships/hyperlink" Target="https://advance.lexis.com/api/document?collection=cases-ca&amp;id=urn:contentItem:5F7T-S6T1-JTNR-M2V5-00000-00&amp;context=" TargetMode="External" /><Relationship Id="rId141" Type="http://schemas.openxmlformats.org/officeDocument/2006/relationships/hyperlink" Target="https://advance.lexis.com/api/document?collection=cases-ca&amp;id=urn:contentItem:5F8T-N3V1-JTGH-B100-00000-00&amp;context=" TargetMode="External" /><Relationship Id="rId142" Type="http://schemas.openxmlformats.org/officeDocument/2006/relationships/hyperlink" Target="https://advance.lexis.com/api/document?collection=cases-ca&amp;id=urn:contentItem:5F8N-K711-JJ6S-626N-00000-00&amp;context=" TargetMode="External" /><Relationship Id="rId143" Type="http://schemas.openxmlformats.org/officeDocument/2006/relationships/hyperlink" Target="https://advance.lexis.com/api/document?collection=cases-ca&amp;id=urn:contentItem:5F16-9371-F5DR-22YH-00000-00&amp;context=" TargetMode="External" /><Relationship Id="rId144" Type="http://schemas.openxmlformats.org/officeDocument/2006/relationships/hyperlink" Target="https://advance.lexis.com/api/document?collection=cases-ca&amp;id=urn:contentItem:5F7V-3DJ1-JK4W-M3KC-00000-00&amp;context=" TargetMode="External" /><Relationship Id="rId145" Type="http://schemas.openxmlformats.org/officeDocument/2006/relationships/hyperlink" Target="https://advance.lexis.com/api/document?collection=cases-ca&amp;id=urn:contentItem:5F16-9371-JKHB-62PB-00000-00&amp;context=" TargetMode="External" /><Relationship Id="rId146" Type="http://schemas.openxmlformats.org/officeDocument/2006/relationships/hyperlink" Target="https://advance.lexis.com/api/document?collection=cases-ca&amp;id=urn:contentItem:5F8T-N3V1-FC1F-M3WT-00000-00&amp;context=" TargetMode="External" /><Relationship Id="rId147" Type="http://schemas.openxmlformats.org/officeDocument/2006/relationships/hyperlink" Target="https://advance.lexis.com/api/document?collection=cases-ca&amp;id=urn:contentItem:5F8T-N3V1-JTGH-B12R-00000-00&amp;context=" TargetMode="External" /><Relationship Id="rId148" Type="http://schemas.openxmlformats.org/officeDocument/2006/relationships/hyperlink" Target="https://advance.lexis.com/api/document?collection=cases-ca&amp;id=urn:contentItem:5F8T-N3V1-FC1F-M46D-00000-00&amp;context=" TargetMode="External" /><Relationship Id="rId149" Type="http://schemas.openxmlformats.org/officeDocument/2006/relationships/header" Target="header19.xml" /><Relationship Id="rId15" Type="http://schemas.openxmlformats.org/officeDocument/2006/relationships/hyperlink" Target="https://advance.lexis.com/api/document?collection=cases-ca&amp;id=urn:contentItem:5F8T-N3T1-JJSF-23FP-00000-00&amp;context=" TargetMode="External" /><Relationship Id="rId150" Type="http://schemas.openxmlformats.org/officeDocument/2006/relationships/header" Target="header20.xml" /><Relationship Id="rId151" Type="http://schemas.openxmlformats.org/officeDocument/2006/relationships/footer" Target="footer19.xml" /><Relationship Id="rId152" Type="http://schemas.openxmlformats.org/officeDocument/2006/relationships/footer" Target="footer20.xml" /><Relationship Id="rId153" Type="http://schemas.openxmlformats.org/officeDocument/2006/relationships/header" Target="header21.xml" /><Relationship Id="rId154" Type="http://schemas.openxmlformats.org/officeDocument/2006/relationships/footer" Target="footer21.xml" /><Relationship Id="rId155" Type="http://schemas.openxmlformats.org/officeDocument/2006/relationships/hyperlink" Target="https://advance.lexis.com/api/document?collection=cases-ca&amp;id=urn:contentItem:5F7T-S781-JSC5-M407-00000-00&amp;context=" TargetMode="External" /><Relationship Id="rId156" Type="http://schemas.openxmlformats.org/officeDocument/2006/relationships/hyperlink" Target="https://advance.lexis.com/api/document?collection=cases-ca&amp;id=urn:contentItem:5F8T-N3V1-JFKM-609G-00000-00&amp;context=" TargetMode="External" /><Relationship Id="rId157" Type="http://schemas.openxmlformats.org/officeDocument/2006/relationships/hyperlink" Target="https://advance.lexis.com/api/document?collection=cases-ca&amp;id=urn:contentItem:5F7T-S6X1-K0BB-S0MB-00000-00&amp;context=" TargetMode="External" /><Relationship Id="rId158" Type="http://schemas.openxmlformats.org/officeDocument/2006/relationships/hyperlink" Target="https://advance.lexis.com/api/document?collection=cases-ca&amp;id=urn:contentItem:5F7T-S771-F361-M1XY-00000-00&amp;context=" TargetMode="External" /><Relationship Id="rId159" Type="http://schemas.openxmlformats.org/officeDocument/2006/relationships/hyperlink" Target="https://advance.lexis.com/api/document?collection=cases-ca&amp;id=urn:contentItem:5F16-93F1-JJK6-S2WG-00000-00&amp;context=" TargetMode="External" /><Relationship Id="rId16" Type="http://schemas.openxmlformats.org/officeDocument/2006/relationships/hyperlink" Target="https://advance.lexis.com/api/document?collection=cases-ca&amp;id=urn:contentItem:5F8T-N3V1-FC1F-M40G-00000-00&amp;context=" TargetMode="External" /><Relationship Id="rId160" Type="http://schemas.openxmlformats.org/officeDocument/2006/relationships/hyperlink" Target="https://advance.lexis.com/api/document?collection=cases-ca&amp;id=urn:contentItem:5F7T-S711-F4GK-M2TY-00000-00&amp;context=" TargetMode="External" /><Relationship Id="rId161" Type="http://schemas.openxmlformats.org/officeDocument/2006/relationships/hyperlink" Target="https://advance.lexis.com/api/document?collection=cases-ca&amp;id=urn:contentItem:5F7T-S711-JNY7-X35M-00000-00&amp;context=" TargetMode="External" /><Relationship Id="rId162" Type="http://schemas.openxmlformats.org/officeDocument/2006/relationships/hyperlink" Target="https://advance.lexis.com/api/document?collection=cases-ca&amp;id=urn:contentItem:5F7V-3DF1-JWR6-S3B2-00000-00&amp;context=" TargetMode="External" /><Relationship Id="rId163" Type="http://schemas.openxmlformats.org/officeDocument/2006/relationships/hyperlink" Target="https://advance.lexis.com/api/document?collection=cases-ca&amp;id=urn:contentItem:5F7T-S741-DY89-M3R5-00000-00&amp;context=" TargetMode="External" /><Relationship Id="rId164" Type="http://schemas.openxmlformats.org/officeDocument/2006/relationships/header" Target="header22.xml" /><Relationship Id="rId165" Type="http://schemas.openxmlformats.org/officeDocument/2006/relationships/header" Target="header23.xml" /><Relationship Id="rId166" Type="http://schemas.openxmlformats.org/officeDocument/2006/relationships/footer" Target="footer22.xml" /><Relationship Id="rId167" Type="http://schemas.openxmlformats.org/officeDocument/2006/relationships/footer" Target="footer23.xml" /><Relationship Id="rId168" Type="http://schemas.openxmlformats.org/officeDocument/2006/relationships/header" Target="header24.xml" /><Relationship Id="rId169" Type="http://schemas.openxmlformats.org/officeDocument/2006/relationships/footer" Target="footer24.xml" /><Relationship Id="rId17" Type="http://schemas.openxmlformats.org/officeDocument/2006/relationships/hyperlink" Target="https://advance.lexis.com/api/document?collection=cases-ca&amp;id=urn:contentItem:5F8T-N3T1-JJSF-23NF-00000-00&amp;context=" TargetMode="External" /><Relationship Id="rId170" Type="http://schemas.openxmlformats.org/officeDocument/2006/relationships/hyperlink" Target="https://advance.lexis.com/api/document?collection=cases-ca&amp;id=urn:contentItem:5F7T-S7J1-DXWW-24S8-00000-00&amp;context=" TargetMode="External" /><Relationship Id="rId171" Type="http://schemas.openxmlformats.org/officeDocument/2006/relationships/hyperlink" Target="https://advance.lexis.com/api/document?collection=cases-ca&amp;id=urn:contentItem:5F7T-S751-JX3N-B124-00000-00&amp;context=" TargetMode="External" /><Relationship Id="rId172" Type="http://schemas.openxmlformats.org/officeDocument/2006/relationships/hyperlink" Target="https://advance.lexis.com/api/document?collection=cases-ca&amp;id=urn:contentItem:5F7T-S7C1-F4NT-X3WJ-00000-00&amp;context=" TargetMode="External" /><Relationship Id="rId173" Type="http://schemas.openxmlformats.org/officeDocument/2006/relationships/hyperlink" Target="https://advance.lexis.com/api/document?collection=cases-ca&amp;id=urn:contentItem:5F7T-S7H1-F4GK-M3FY-00000-00&amp;context=" TargetMode="External" /><Relationship Id="rId174" Type="http://schemas.openxmlformats.org/officeDocument/2006/relationships/hyperlink" Target="https://advance.lexis.com/api/document?collection=cases-ca&amp;id=urn:contentItem:5F8T-N3V1-FC1F-M4C7-00000-00&amp;context=" TargetMode="External" /><Relationship Id="rId175" Type="http://schemas.openxmlformats.org/officeDocument/2006/relationships/hyperlink" Target="https://advance.lexis.com/api/document?collection=cases-ca&amp;id=urn:contentItem:5F7T-S721-F5T5-M2FH-00000-00&amp;context=" TargetMode="External" /><Relationship Id="rId176" Type="http://schemas.openxmlformats.org/officeDocument/2006/relationships/hyperlink" Target="https://advance.lexis.com/api/document?collection=cases-ca&amp;id=urn:contentItem:5F8N-K731-JS0R-24FG-00000-00&amp;context=" TargetMode="External" /><Relationship Id="rId177" Type="http://schemas.openxmlformats.org/officeDocument/2006/relationships/hyperlink" Target="https://advance.lexis.com/api/document?collection=cases-ca&amp;id=urn:contentItem:5F8T-N3V1-JTGH-B18F-00000-00&amp;context=" TargetMode="External" /><Relationship Id="rId178" Type="http://schemas.openxmlformats.org/officeDocument/2006/relationships/hyperlink" Target="https://advance.lexis.com/api/document?collection=cases-ca&amp;id=urn:contentItem:5F7T-S6X1-JTNR-M3KJ-00000-00&amp;context=" TargetMode="External" /><Relationship Id="rId179" Type="http://schemas.openxmlformats.org/officeDocument/2006/relationships/hyperlink" Target="https://advance.lexis.com/api/document?collection=cases-ca&amp;id=urn:contentItem:5F7T-S701-JF75-M4PY-00000-00&amp;context=" TargetMode="External" /><Relationship Id="rId18" Type="http://schemas.openxmlformats.org/officeDocument/2006/relationships/hyperlink" Target="https://advance.lexis.com/api/document?collection=cases-ca&amp;id=urn:contentItem:5F7T-S781-DYMS-61N0-00000-00&amp;context=" TargetMode="External" /><Relationship Id="rId180" Type="http://schemas.openxmlformats.org/officeDocument/2006/relationships/hyperlink" Target="https://advance.lexis.com/api/document?collection=cases-ca&amp;id=urn:contentItem:5F81-VJT1-FD4T-B2FT-00000-00&amp;context=" TargetMode="External" /><Relationship Id="rId181" Type="http://schemas.openxmlformats.org/officeDocument/2006/relationships/header" Target="header25.xml" /><Relationship Id="rId182" Type="http://schemas.openxmlformats.org/officeDocument/2006/relationships/header" Target="header26.xml" /><Relationship Id="rId183" Type="http://schemas.openxmlformats.org/officeDocument/2006/relationships/footer" Target="footer25.xml" /><Relationship Id="rId184" Type="http://schemas.openxmlformats.org/officeDocument/2006/relationships/footer" Target="footer26.xml" /><Relationship Id="rId185" Type="http://schemas.openxmlformats.org/officeDocument/2006/relationships/header" Target="header27.xml" /><Relationship Id="rId186" Type="http://schemas.openxmlformats.org/officeDocument/2006/relationships/footer" Target="footer27.xml" /><Relationship Id="rId187" Type="http://schemas.openxmlformats.org/officeDocument/2006/relationships/hyperlink" Target="https://advance.lexis.com/api/document?collection=cases-ca&amp;id=urn:contentItem:5F7T-S7F1-FJTD-G3JT-00000-00&amp;context=" TargetMode="External" /><Relationship Id="rId188" Type="http://schemas.openxmlformats.org/officeDocument/2006/relationships/hyperlink" Target="https://advance.lexis.com/api/document?collection=cases-ca&amp;id=urn:contentItem:5F7T-S7F1-FFFC-B1MJ-00000-00&amp;context=" TargetMode="External" /><Relationship Id="rId189" Type="http://schemas.openxmlformats.org/officeDocument/2006/relationships/hyperlink" Target="https://advance.lexis.com/api/document?collection=cases-ca&amp;id=urn:contentItem:5F7T-S711-JNY7-X30K-00000-00&amp;context=" TargetMode="External" /><Relationship Id="rId19" Type="http://schemas.openxmlformats.org/officeDocument/2006/relationships/header" Target="header4.xml" /><Relationship Id="rId190" Type="http://schemas.openxmlformats.org/officeDocument/2006/relationships/hyperlink" Target="https://advance.lexis.com/api/document?collection=cases-ca&amp;id=urn:contentItem:5F7T-S6W1-JYYX-61TX-00000-00&amp;context=" TargetMode="External" /><Relationship Id="rId191" Type="http://schemas.openxmlformats.org/officeDocument/2006/relationships/hyperlink" Target="https://advance.lexis.com/api/document?collection=cases-ca&amp;id=urn:contentItem:5F7T-S771-JW5H-X22R-00000-00&amp;context=" TargetMode="External" /><Relationship Id="rId192" Type="http://schemas.openxmlformats.org/officeDocument/2006/relationships/header" Target="header28.xml" /><Relationship Id="rId193" Type="http://schemas.openxmlformats.org/officeDocument/2006/relationships/header" Target="header29.xml" /><Relationship Id="rId194" Type="http://schemas.openxmlformats.org/officeDocument/2006/relationships/footer" Target="footer28.xml" /><Relationship Id="rId195" Type="http://schemas.openxmlformats.org/officeDocument/2006/relationships/footer" Target="footer29.xml" /><Relationship Id="rId196" Type="http://schemas.openxmlformats.org/officeDocument/2006/relationships/header" Target="header30.xml" /><Relationship Id="rId197" Type="http://schemas.openxmlformats.org/officeDocument/2006/relationships/footer" Target="footer30.xml" /><Relationship Id="rId198" Type="http://schemas.openxmlformats.org/officeDocument/2006/relationships/hyperlink" Target="https://advance.lexis.com/api/document?collection=cases-ca&amp;id=urn:contentItem:5F7T-S771-JSJC-X03P-00000-00&amp;context=" TargetMode="External" /><Relationship Id="rId199" Type="http://schemas.openxmlformats.org/officeDocument/2006/relationships/hyperlink" Target="https://advance.lexis.com/api/document?collection=legislation-ca&amp;id=urn:contentItem:5F41-1FJ1-JG59-214N-00000-00&amp;context=" TargetMode="External" /><Relationship Id="rId2" Type="http://schemas.openxmlformats.org/officeDocument/2006/relationships/webSettings" Target="webSettings.xml" /><Relationship Id="rId20" Type="http://schemas.openxmlformats.org/officeDocument/2006/relationships/header" Target="header5.xml" /><Relationship Id="rId200" Type="http://schemas.openxmlformats.org/officeDocument/2006/relationships/hyperlink" Target="https://advance.lexis.com/api/document?collection=cases-ca&amp;id=urn:contentItem:5F7T-S771-JWBS-61SK-00000-00&amp;context=" TargetMode="External" /><Relationship Id="rId201" Type="http://schemas.openxmlformats.org/officeDocument/2006/relationships/hyperlink" Target="https://advance.lexis.com/api/document?collection=cases-ca&amp;id=urn:contentItem:5F7T-S771-F81W-22TB-00000-00&amp;context=" TargetMode="External" /><Relationship Id="rId202" Type="http://schemas.openxmlformats.org/officeDocument/2006/relationships/header" Target="header31.xml" /><Relationship Id="rId203" Type="http://schemas.openxmlformats.org/officeDocument/2006/relationships/header" Target="header32.xml" /><Relationship Id="rId204" Type="http://schemas.openxmlformats.org/officeDocument/2006/relationships/footer" Target="footer31.xml" /><Relationship Id="rId205" Type="http://schemas.openxmlformats.org/officeDocument/2006/relationships/footer" Target="footer32.xml" /><Relationship Id="rId206" Type="http://schemas.openxmlformats.org/officeDocument/2006/relationships/header" Target="header33.xml" /><Relationship Id="rId207" Type="http://schemas.openxmlformats.org/officeDocument/2006/relationships/footer" Target="footer33.xml" /><Relationship Id="rId208" Type="http://schemas.openxmlformats.org/officeDocument/2006/relationships/hyperlink" Target="https://advance.lexis.com/api/document?collection=cases-ca&amp;id=urn:contentItem:5F7T-S7F1-FBN1-21SM-00000-00&amp;context=" TargetMode="External" /><Relationship Id="rId209" Type="http://schemas.openxmlformats.org/officeDocument/2006/relationships/hyperlink" Target="https://advance.lexis.com/api/document?collection=cases-ca&amp;id=urn:contentItem:5F8T-N3V1-JF75-M3S6-00000-00&amp;context=" TargetMode="External" /><Relationship Id="rId21" Type="http://schemas.openxmlformats.org/officeDocument/2006/relationships/footer" Target="footer4.xml" /><Relationship Id="rId210" Type="http://schemas.openxmlformats.org/officeDocument/2006/relationships/hyperlink" Target="https://advance.lexis.com/api/document?collection=cases-ca&amp;id=urn:contentItem:5F7T-S751-JP4G-61H7-00000-00&amp;context=" TargetMode="External" /><Relationship Id="rId211" Type="http://schemas.openxmlformats.org/officeDocument/2006/relationships/hyperlink" Target="https://advance.lexis.com/api/document?collection=cases-ca&amp;id=urn:contentItem:5F81-VJV1-JSC5-M19Y-00000-00&amp;context=" TargetMode="External" /><Relationship Id="rId212" Type="http://schemas.openxmlformats.org/officeDocument/2006/relationships/hyperlink" Target="https://advance.lexis.com/api/document?collection=cases-ca&amp;id=urn:contentItem:5F81-VJV1-F60C-X3DP-00000-00&amp;context=" TargetMode="External" /><Relationship Id="rId213" Type="http://schemas.openxmlformats.org/officeDocument/2006/relationships/hyperlink" Target="https://advance.lexis.com/api/document?collection=cases-ca&amp;id=urn:contentItem:5F8N-K711-JB7K-20FS-00000-00&amp;context=" TargetMode="External" /><Relationship Id="rId214" Type="http://schemas.openxmlformats.org/officeDocument/2006/relationships/hyperlink" Target="https://advance.lexis.com/api/document?collection=cases-ca&amp;id=urn:contentItem:5F81-VJV1-F8D9-M0R6-00000-00&amp;context=" TargetMode="External" /><Relationship Id="rId215" Type="http://schemas.openxmlformats.org/officeDocument/2006/relationships/header" Target="header34.xml" /><Relationship Id="rId216" Type="http://schemas.openxmlformats.org/officeDocument/2006/relationships/header" Target="header35.xml" /><Relationship Id="rId217" Type="http://schemas.openxmlformats.org/officeDocument/2006/relationships/footer" Target="footer34.xml" /><Relationship Id="rId218" Type="http://schemas.openxmlformats.org/officeDocument/2006/relationships/footer" Target="footer35.xml" /><Relationship Id="rId219" Type="http://schemas.openxmlformats.org/officeDocument/2006/relationships/header" Target="header36.xml" /><Relationship Id="rId22" Type="http://schemas.openxmlformats.org/officeDocument/2006/relationships/footer" Target="footer5.xml" /><Relationship Id="rId220" Type="http://schemas.openxmlformats.org/officeDocument/2006/relationships/footer" Target="footer36.xml" /><Relationship Id="rId221" Type="http://schemas.openxmlformats.org/officeDocument/2006/relationships/hyperlink" Target="https://advance.lexis.com/api/document?collection=cases-ca&amp;id=urn:contentItem:5F7T-S771-JTGH-B1DX-00000-00&amp;context=" TargetMode="External" /><Relationship Id="rId222" Type="http://schemas.openxmlformats.org/officeDocument/2006/relationships/hyperlink" Target="https://advance.lexis.com/api/document?collection=legislation-ca&amp;id=urn:contentItem:5F41-1FF1-DXWW-213H-00000-00&amp;context=" TargetMode="External" /><Relationship Id="rId223" Type="http://schemas.openxmlformats.org/officeDocument/2006/relationships/hyperlink" Target="https://advance.lexis.com/api/document?collection=legislation-ca&amp;id=urn:contentItem:5GBY-CM31-JYYX-633H-00000-00&amp;context=" TargetMode="External" /><Relationship Id="rId224" Type="http://schemas.openxmlformats.org/officeDocument/2006/relationships/hyperlink" Target="https://advance.lexis.com/api/document?collection=cases-ca&amp;id=urn:contentItem:5F7T-S761-JGHR-M2S7-00000-00&amp;context=" TargetMode="External" /><Relationship Id="rId225" Type="http://schemas.openxmlformats.org/officeDocument/2006/relationships/hyperlink" Target="https://advance.lexis.com/api/document?collection=cases-ca&amp;id=urn:contentItem:5F7T-S761-F81W-21S6-00000-00&amp;context=" TargetMode="External" /><Relationship Id="rId226" Type="http://schemas.openxmlformats.org/officeDocument/2006/relationships/hyperlink" Target="https://advance.lexis.com/api/document?collection=cases-ca&amp;id=urn:contentItem:5F7T-S731-F1WF-M27X-00000-00&amp;context=" TargetMode="External" /><Relationship Id="rId227" Type="http://schemas.openxmlformats.org/officeDocument/2006/relationships/hyperlink" Target="https://advance.lexis.com/api/document?collection=cases-ca&amp;id=urn:contentItem:5F7T-S701-JJ6S-61FD-00000-00&amp;context=" TargetMode="External" /><Relationship Id="rId228" Type="http://schemas.openxmlformats.org/officeDocument/2006/relationships/hyperlink" Target="https://advance.lexis.com/api/document?collection=cases-ca&amp;id=urn:contentItem:5F7T-S761-FGJR-22R3-00000-00&amp;context=" TargetMode="External" /><Relationship Id="rId229" Type="http://schemas.openxmlformats.org/officeDocument/2006/relationships/hyperlink" Target="https://advance.lexis.com/api/document?collection=cases-ca&amp;id=urn:contentItem:5F8T-N3R1-JNS1-M12F-00000-00&amp;context=" TargetMode="External" /><Relationship Id="rId23" Type="http://schemas.openxmlformats.org/officeDocument/2006/relationships/header" Target="header6.xml" /><Relationship Id="rId230" Type="http://schemas.openxmlformats.org/officeDocument/2006/relationships/hyperlink" Target="https://advance.lexis.com/api/document?collection=cases-ca&amp;id=urn:contentItem:5F7T-S751-JBM1-M237-00000-00&amp;context=" TargetMode="External" /><Relationship Id="rId231" Type="http://schemas.openxmlformats.org/officeDocument/2006/relationships/hyperlink" Target="https://advance.lexis.com/api/document?collection=cases-ca&amp;id=urn:contentItem:5F7T-S721-FD4T-B0MF-00000-00&amp;context=" TargetMode="External" /><Relationship Id="rId232" Type="http://schemas.openxmlformats.org/officeDocument/2006/relationships/hyperlink" Target="https://advance.lexis.com/api/document?collection=cases-ca&amp;id=urn:contentItem:5F8T-N3T1-JJSF-2361-00000-00&amp;context=" TargetMode="External" /><Relationship Id="rId233" Type="http://schemas.openxmlformats.org/officeDocument/2006/relationships/hyperlink" Target="https://advance.lexis.com/api/document?collection=cases-ca&amp;id=urn:contentItem:5F7T-S731-F60C-X142-00000-00&amp;context=" TargetMode="External" /><Relationship Id="rId234" Type="http://schemas.openxmlformats.org/officeDocument/2006/relationships/hyperlink" Target="https://advance.lexis.com/api/document?collection=cases-ca&amp;id=urn:contentItem:5F8P-SCJ1-FGJR-23CR-00000-00&amp;context=" TargetMode="External" /><Relationship Id="rId235" Type="http://schemas.openxmlformats.org/officeDocument/2006/relationships/hyperlink" Target="https://advance.lexis.com/api/document?collection=cases-ca&amp;id=urn:contentItem:5F7H-SCN1-DY89-M240-00000-00&amp;context=" TargetMode="External" /><Relationship Id="rId236" Type="http://schemas.openxmlformats.org/officeDocument/2006/relationships/header" Target="header37.xml" /><Relationship Id="rId237" Type="http://schemas.openxmlformats.org/officeDocument/2006/relationships/header" Target="header38.xml" /><Relationship Id="rId238" Type="http://schemas.openxmlformats.org/officeDocument/2006/relationships/footer" Target="footer37.xml" /><Relationship Id="rId239" Type="http://schemas.openxmlformats.org/officeDocument/2006/relationships/footer" Target="footer38.xml" /><Relationship Id="rId24" Type="http://schemas.openxmlformats.org/officeDocument/2006/relationships/footer" Target="footer6.xml" /><Relationship Id="rId240" Type="http://schemas.openxmlformats.org/officeDocument/2006/relationships/header" Target="header39.xml" /><Relationship Id="rId241" Type="http://schemas.openxmlformats.org/officeDocument/2006/relationships/footer" Target="footer39.xml" /><Relationship Id="rId242" Type="http://schemas.openxmlformats.org/officeDocument/2006/relationships/hyperlink" Target="https://advance.lexis.com/api/document?collection=cases-ca&amp;id=urn:contentItem:5HGY-CT81-F900-G3CX-00000-00&amp;context=" TargetMode="External" /><Relationship Id="rId243" Type="http://schemas.openxmlformats.org/officeDocument/2006/relationships/hyperlink" Target="https://advance.lexis.com/api/document?collection=legislation-ca&amp;id=urn:contentItem:5F41-1FH1-F361-M0J0-00000-00&amp;context=" TargetMode="External" /><Relationship Id="rId244" Type="http://schemas.openxmlformats.org/officeDocument/2006/relationships/hyperlink" Target="https://advance.lexis.com/api/document?collection=cases-ca&amp;id=urn:contentItem:5F8T-N3V1-FC1F-M3WJ-00000-00&amp;context=" TargetMode="External" /><Relationship Id="rId245" Type="http://schemas.openxmlformats.org/officeDocument/2006/relationships/hyperlink" Target="https://advance.lexis.com/api/document?collection=cases-ca&amp;id=urn:contentItem:5F7T-S741-F528-G25B-00000-00&amp;context=" TargetMode="External" /><Relationship Id="rId246" Type="http://schemas.openxmlformats.org/officeDocument/2006/relationships/hyperlink" Target="https://advance.lexis.com/api/document?collection=cases-ca&amp;id=urn:contentItem:5F7T-S761-FGJR-227G-00000-00&amp;context=" TargetMode="External" /><Relationship Id="rId247" Type="http://schemas.openxmlformats.org/officeDocument/2006/relationships/hyperlink" Target="https://advance.lexis.com/api/document?collection=cases-ca&amp;id=urn:contentItem:5F7T-XPY1-FC1F-M1KV-00000-00&amp;context=" TargetMode="External" /><Relationship Id="rId248" Type="http://schemas.openxmlformats.org/officeDocument/2006/relationships/header" Target="header40.xml" /><Relationship Id="rId249" Type="http://schemas.openxmlformats.org/officeDocument/2006/relationships/header" Target="header41.xml" /><Relationship Id="rId25" Type="http://schemas.openxmlformats.org/officeDocument/2006/relationships/hyperlink" Target="https://advance.lexis.com/api/document?collection=cases-ca&amp;id=urn:contentItem:5N01-2K51-F7VM-S01B-00000-00&amp;context=" TargetMode="External" /><Relationship Id="rId250" Type="http://schemas.openxmlformats.org/officeDocument/2006/relationships/footer" Target="footer40.xml" /><Relationship Id="rId251" Type="http://schemas.openxmlformats.org/officeDocument/2006/relationships/footer" Target="footer41.xml" /><Relationship Id="rId252" Type="http://schemas.openxmlformats.org/officeDocument/2006/relationships/header" Target="header42.xml" /><Relationship Id="rId253" Type="http://schemas.openxmlformats.org/officeDocument/2006/relationships/footer" Target="footer42.xml" /><Relationship Id="rId254" Type="http://schemas.openxmlformats.org/officeDocument/2006/relationships/hyperlink" Target="https://advance.lexis.com/api/document?collection=cases-ca&amp;id=urn:contentItem:5F7T-S781-JSC5-M4DR-00000-00&amp;context=" TargetMode="External" /><Relationship Id="rId255" Type="http://schemas.openxmlformats.org/officeDocument/2006/relationships/hyperlink" Target="https://advance.lexis.com/api/document?collection=cases-ca&amp;id=urn:contentItem:5F8T-N3R1-JNS1-M12J-00000-00&amp;context=" TargetMode="External" /><Relationship Id="rId256" Type="http://schemas.openxmlformats.org/officeDocument/2006/relationships/hyperlink" Target="https://advance.lexis.com/api/document?collection=cases-ca&amp;id=urn:contentItem:5F16-93B1-F4GK-M3X6-00000-00&amp;context=" TargetMode="External" /><Relationship Id="rId257" Type="http://schemas.openxmlformats.org/officeDocument/2006/relationships/hyperlink" Target="https://advance.lexis.com/api/document?collection=cases-ca&amp;id=urn:contentItem:5F16-93B1-JFKM-62PS-00000-00&amp;context=" TargetMode="External" /><Relationship Id="rId258" Type="http://schemas.openxmlformats.org/officeDocument/2006/relationships/hyperlink" Target="https://advance.lexis.com/api/document?collection=cases-ca&amp;id=urn:contentItem:5F8T-N3R1-JJSF-22K2-00000-00&amp;context=" TargetMode="External" /><Relationship Id="rId259" Type="http://schemas.openxmlformats.org/officeDocument/2006/relationships/hyperlink" Target="https://advance.lexis.com/api/document?collection=cases-ca&amp;id=urn:contentItem:5F7T-S6T1-FD4T-B00V-00000-00&amp;context=" TargetMode="External" /><Relationship Id="rId26" Type="http://schemas.openxmlformats.org/officeDocument/2006/relationships/hyperlink" Target="https://advance.lexis.com/api/document?collection=legislation-ca&amp;id=urn:contentItem:5TBM-3RN1-F2TK-240T-00000-00&amp;context=" TargetMode="External" /><Relationship Id="rId260" Type="http://schemas.openxmlformats.org/officeDocument/2006/relationships/hyperlink" Target="https://advance.lexis.com/api/document?collection=cases-ca&amp;id=urn:contentItem:5F7T-S711-JC0G-62MV-00000-00&amp;context=" TargetMode="External" /><Relationship Id="rId261" Type="http://schemas.openxmlformats.org/officeDocument/2006/relationships/header" Target="header43.xml" /><Relationship Id="rId262" Type="http://schemas.openxmlformats.org/officeDocument/2006/relationships/header" Target="header44.xml" /><Relationship Id="rId263" Type="http://schemas.openxmlformats.org/officeDocument/2006/relationships/footer" Target="footer43.xml" /><Relationship Id="rId264" Type="http://schemas.openxmlformats.org/officeDocument/2006/relationships/footer" Target="footer44.xml" /><Relationship Id="rId265" Type="http://schemas.openxmlformats.org/officeDocument/2006/relationships/header" Target="header45.xml" /><Relationship Id="rId266" Type="http://schemas.openxmlformats.org/officeDocument/2006/relationships/footer" Target="footer45.xml" /><Relationship Id="rId267" Type="http://schemas.openxmlformats.org/officeDocument/2006/relationships/hyperlink" Target="https://advance.lexis.com/api/document?collection=cases-ca&amp;id=urn:contentItem:5F7T-S7D1-FC6N-X0FM-00000-00&amp;context=" TargetMode="External" /><Relationship Id="rId268" Type="http://schemas.openxmlformats.org/officeDocument/2006/relationships/hyperlink" Target="https://advance.lexis.com/api/document?collection=cases-ca&amp;id=urn:contentItem:5F8T-N3R1-JNS1-M0YN-00000-00&amp;context=" TargetMode="External" /><Relationship Id="rId269" Type="http://schemas.openxmlformats.org/officeDocument/2006/relationships/header" Target="header46.xml" /><Relationship Id="rId27" Type="http://schemas.openxmlformats.org/officeDocument/2006/relationships/hyperlink" Target="https://advance.lexis.com/api/document?collection=cases-ca&amp;id=urn:contentItem:5JY7-RCM1-DXHD-G2T5-00000-00&amp;context=" TargetMode="External" /><Relationship Id="rId270" Type="http://schemas.openxmlformats.org/officeDocument/2006/relationships/header" Target="header47.xml" /><Relationship Id="rId271" Type="http://schemas.openxmlformats.org/officeDocument/2006/relationships/footer" Target="footer46.xml" /><Relationship Id="rId272" Type="http://schemas.openxmlformats.org/officeDocument/2006/relationships/footer" Target="footer47.xml" /><Relationship Id="rId273" Type="http://schemas.openxmlformats.org/officeDocument/2006/relationships/header" Target="header48.xml" /><Relationship Id="rId274" Type="http://schemas.openxmlformats.org/officeDocument/2006/relationships/footer" Target="footer48.xml" /><Relationship Id="rId275" Type="http://schemas.openxmlformats.org/officeDocument/2006/relationships/hyperlink" Target="https://advance.lexis.com/api/document?collection=cases-ca&amp;id=urn:contentItem:5K6X-H241-JNS1-M0KJ-00000-00&amp;context=" TargetMode="External" /><Relationship Id="rId276" Type="http://schemas.openxmlformats.org/officeDocument/2006/relationships/hyperlink" Target="https://advance.lexis.com/api/document?collection=cases-ca&amp;id=urn:contentItem:5F7T-S7F1-F7VM-S46X-00000-00&amp;context=" TargetMode="External" /><Relationship Id="rId277" Type="http://schemas.openxmlformats.org/officeDocument/2006/relationships/header" Target="header49.xml" /><Relationship Id="rId278" Type="http://schemas.openxmlformats.org/officeDocument/2006/relationships/header" Target="header50.xml" /><Relationship Id="rId279" Type="http://schemas.openxmlformats.org/officeDocument/2006/relationships/footer" Target="footer49.xml" /><Relationship Id="rId28" Type="http://schemas.openxmlformats.org/officeDocument/2006/relationships/hyperlink" Target="https://advance.lexis.com/api/document?collection=legislation-ca&amp;id=urn:contentItem:5VYK-WB61-JN14-G522-00000-00&amp;context=" TargetMode="External" /><Relationship Id="rId280" Type="http://schemas.openxmlformats.org/officeDocument/2006/relationships/footer" Target="footer50.xml" /><Relationship Id="rId281" Type="http://schemas.openxmlformats.org/officeDocument/2006/relationships/header" Target="header51.xml" /><Relationship Id="rId282" Type="http://schemas.openxmlformats.org/officeDocument/2006/relationships/footer" Target="footer51.xml" /><Relationship Id="rId283" Type="http://schemas.openxmlformats.org/officeDocument/2006/relationships/hyperlink" Target="https://advance.lexis.com/api/document?collection=cases-ca&amp;id=urn:contentItem:5F7T-S7F1-JBT7-X2K2-00000-00&amp;context=" TargetMode="External" /><Relationship Id="rId284" Type="http://schemas.openxmlformats.org/officeDocument/2006/relationships/hyperlink" Target="https://advance.lexis.com/api/document?collection=legislation-ca&amp;id=urn:contentItem:5F41-1FG1-FC1F-M0TW-00000-00&amp;context=" TargetMode="External" /><Relationship Id="rId285" Type="http://schemas.openxmlformats.org/officeDocument/2006/relationships/hyperlink" Target="https://advance.lexis.com/api/document?collection=cases-ca&amp;id=urn:contentItem:5F7T-S721-F06F-23J6-00000-00&amp;context=" TargetMode="External" /><Relationship Id="rId286" Type="http://schemas.openxmlformats.org/officeDocument/2006/relationships/hyperlink" Target="https://advance.lexis.com/api/document?collection=cases-ca&amp;id=urn:contentItem:5F81-VJX1-JKPJ-G1S7-00000-00&amp;context=" TargetMode="External" /><Relationship Id="rId287" Type="http://schemas.openxmlformats.org/officeDocument/2006/relationships/hyperlink" Target="https://advance.lexis.com/api/document?collection=cases-ca&amp;id=urn:contentItem:5F8T-N3T1-JGHR-M26Y-00000-00&amp;context=" TargetMode="External" /><Relationship Id="rId288" Type="http://schemas.openxmlformats.org/officeDocument/2006/relationships/hyperlink" Target="https://advance.lexis.com/api/document?collection=cases-ca&amp;id=urn:contentItem:5F7T-S7F1-DXWW-23CS-00000-00&amp;context=" TargetMode="External" /><Relationship Id="rId289" Type="http://schemas.openxmlformats.org/officeDocument/2006/relationships/hyperlink" Target="https://advance.lexis.com/api/document?collection=cases-ca&amp;id=urn:contentItem:5F7T-S761-F7ND-G4HP-00000-00&amp;context=" TargetMode="External" /><Relationship Id="rId29" Type="http://schemas.openxmlformats.org/officeDocument/2006/relationships/hyperlink" Target="https://advance.lexis.com/api/document?collection=cases-ca&amp;id=urn:contentItem:5K7J-N351-F2TK-20FS-00000-00&amp;context=" TargetMode="External" /><Relationship Id="rId290" Type="http://schemas.openxmlformats.org/officeDocument/2006/relationships/hyperlink" Target="https://advance.lexis.com/api/document?collection=cases-ca&amp;id=urn:contentItem:5F7T-S771-JSJC-X025-00000-00&amp;context=" TargetMode="External" /><Relationship Id="rId291" Type="http://schemas.openxmlformats.org/officeDocument/2006/relationships/hyperlink" Target="https://advance.lexis.com/api/document?collection=cases-ca&amp;id=urn:contentItem:5F8T-N3V1-JFKM-6011-00000-00&amp;context=" TargetMode="External" /><Relationship Id="rId292" Type="http://schemas.openxmlformats.org/officeDocument/2006/relationships/hyperlink" Target="https://advance.lexis.com/api/document?collection=cases-ca&amp;id=urn:contentItem:5F7T-S7F1-JK4W-M1CN-00000-00&amp;context=" TargetMode="External" /><Relationship Id="rId293" Type="http://schemas.openxmlformats.org/officeDocument/2006/relationships/hyperlink" Target="https://advance.lexis.com/api/document?collection=cases-ca&amp;id=urn:contentItem:5F7T-S7F1-JK4W-M1C5-00000-00&amp;context=" TargetMode="External" /><Relationship Id="rId294" Type="http://schemas.openxmlformats.org/officeDocument/2006/relationships/hyperlink" Target="https://advance.lexis.com/api/document?collection=cases-ca&amp;id=urn:contentItem:5F7T-S7F1-FJTD-G33M-00000-00&amp;context=" TargetMode="External" /><Relationship Id="rId295" Type="http://schemas.openxmlformats.org/officeDocument/2006/relationships/hyperlink" Target="https://advance.lexis.com/api/document?collection=cases-ca&amp;id=urn:contentItem:5F7T-S7F1-FJTD-G3J9-00000-00&amp;context=" TargetMode="External" /><Relationship Id="rId296" Type="http://schemas.openxmlformats.org/officeDocument/2006/relationships/header" Target="header52.xml" /><Relationship Id="rId297" Type="http://schemas.openxmlformats.org/officeDocument/2006/relationships/header" Target="header53.xml" /><Relationship Id="rId298" Type="http://schemas.openxmlformats.org/officeDocument/2006/relationships/footer" Target="footer52.xml" /><Relationship Id="rId299" Type="http://schemas.openxmlformats.org/officeDocument/2006/relationships/footer" Target="footer53.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6V1-JFKM-6132-00000-00&amp;context=" TargetMode="External" /><Relationship Id="rId300" Type="http://schemas.openxmlformats.org/officeDocument/2006/relationships/header" Target="header54.xml" /><Relationship Id="rId301" Type="http://schemas.openxmlformats.org/officeDocument/2006/relationships/footer" Target="footer54.xml" /><Relationship Id="rId302" Type="http://schemas.openxmlformats.org/officeDocument/2006/relationships/hyperlink" Target="https://advance.lexis.com/api/document?collection=cases-ca&amp;id=urn:contentItem:5F7T-S7M1-JJK6-S1VJ-00000-00&amp;context=" TargetMode="External" /><Relationship Id="rId303" Type="http://schemas.openxmlformats.org/officeDocument/2006/relationships/hyperlink" Target="https://advance.lexis.com/api/document?collection=legislation-ca&amp;id=urn:contentItem:5F41-1FJ1-JBDT-B067-00000-00&amp;context=" TargetMode="External" /><Relationship Id="rId304" Type="http://schemas.openxmlformats.org/officeDocument/2006/relationships/hyperlink" Target="https://advance.lexis.com/api/document?collection=cases-ca&amp;id=urn:contentItem:5F7T-S7K1-JSJC-X0WD-00000-00&amp;context=" TargetMode="External" /><Relationship Id="rId305" Type="http://schemas.openxmlformats.org/officeDocument/2006/relationships/hyperlink" Target="https://advance.lexis.com/api/document?collection=cases-ca&amp;id=urn:contentItem:5F7T-S7J1-JNS1-M26X-00000-00&amp;context=" TargetMode="External" /><Relationship Id="rId306" Type="http://schemas.openxmlformats.org/officeDocument/2006/relationships/hyperlink" Target="https://advance.lexis.com/api/document?collection=cases-ca&amp;id=urn:contentItem:5F7T-S7J1-FGCG-S0B1-00000-00&amp;context=" TargetMode="External" /><Relationship Id="rId307" Type="http://schemas.openxmlformats.org/officeDocument/2006/relationships/hyperlink" Target="https://advance.lexis.com/api/document?collection=cases-ca&amp;id=urn:contentItem:5F7T-S731-F1WF-M229-00000-00&amp;context=" TargetMode="External" /><Relationship Id="rId308" Type="http://schemas.openxmlformats.org/officeDocument/2006/relationships/hyperlink" Target="https://advance.lexis.com/api/document?collection=cases-ca&amp;id=urn:contentItem:5F7T-S6T1-JK4W-M05D-00000-00&amp;context=" TargetMode="External" /><Relationship Id="rId309" Type="http://schemas.openxmlformats.org/officeDocument/2006/relationships/header" Target="header55.xml" /><Relationship Id="rId31" Type="http://schemas.openxmlformats.org/officeDocument/2006/relationships/hyperlink" Target="https://advance.lexis.com/api/document?collection=cases-ca&amp;id=urn:contentItem:5F7T-S6X1-F06F-22TD-00000-00&amp;context=" TargetMode="External" /><Relationship Id="rId310" Type="http://schemas.openxmlformats.org/officeDocument/2006/relationships/header" Target="header56.xml" /><Relationship Id="rId311" Type="http://schemas.openxmlformats.org/officeDocument/2006/relationships/footer" Target="footer55.xml" /><Relationship Id="rId312" Type="http://schemas.openxmlformats.org/officeDocument/2006/relationships/footer" Target="footer56.xml" /><Relationship Id="rId313" Type="http://schemas.openxmlformats.org/officeDocument/2006/relationships/header" Target="header57.xml" /><Relationship Id="rId314" Type="http://schemas.openxmlformats.org/officeDocument/2006/relationships/footer" Target="footer57.xml" /><Relationship Id="rId315" Type="http://schemas.openxmlformats.org/officeDocument/2006/relationships/hyperlink" Target="https://advance.lexis.com/api/document?collection=cases-ca&amp;id=urn:contentItem:5F7T-S781-F06F-23Y9-00000-00&amp;context=" TargetMode="External" /><Relationship Id="rId316" Type="http://schemas.openxmlformats.org/officeDocument/2006/relationships/hyperlink" Target="https://advance.lexis.com/api/document?collection=cases-ca&amp;id=urn:contentItem:5F7T-S771-JN14-G2PR-00000-00&amp;context=" TargetMode="External" /><Relationship Id="rId317" Type="http://schemas.openxmlformats.org/officeDocument/2006/relationships/hyperlink" Target="https://advance.lexis.com/api/document?collection=cases-ca&amp;id=urn:contentItem:5F7T-S721-F956-S1H7-00000-00&amp;context=" TargetMode="External" /><Relationship Id="rId318" Type="http://schemas.openxmlformats.org/officeDocument/2006/relationships/header" Target="header58.xml" /><Relationship Id="rId319" Type="http://schemas.openxmlformats.org/officeDocument/2006/relationships/header" Target="header59.xml" /><Relationship Id="rId32" Type="http://schemas.openxmlformats.org/officeDocument/2006/relationships/hyperlink" Target="https://advance.lexis.com/api/document?collection=cases-ca&amp;id=urn:contentItem:5F7T-S741-F528-G21K-00000-00&amp;context=" TargetMode="External" /><Relationship Id="rId320" Type="http://schemas.openxmlformats.org/officeDocument/2006/relationships/footer" Target="footer58.xml" /><Relationship Id="rId321" Type="http://schemas.openxmlformats.org/officeDocument/2006/relationships/footer" Target="footer59.xml" /><Relationship Id="rId322" Type="http://schemas.openxmlformats.org/officeDocument/2006/relationships/header" Target="header60.xml" /><Relationship Id="rId323" Type="http://schemas.openxmlformats.org/officeDocument/2006/relationships/footer" Target="footer60.xml" /><Relationship Id="rId324" Type="http://schemas.openxmlformats.org/officeDocument/2006/relationships/hyperlink" Target="https://advance.lexis.com/api/document?collection=cases-ca&amp;id=urn:contentItem:5G7S-1GH1-JBDT-B3DT-00000-00&amp;context=" TargetMode="External" /><Relationship Id="rId325" Type="http://schemas.openxmlformats.org/officeDocument/2006/relationships/hyperlink" Target="https://advance.lexis.com/api/document?collection=cases-ca&amp;id=urn:contentItem:5G44-J3J1-JT42-S3K8-00000-00&amp;context=" TargetMode="External" /><Relationship Id="rId326" Type="http://schemas.openxmlformats.org/officeDocument/2006/relationships/hyperlink" Target="https://advance.lexis.com/api/document?collection=legislation-ca&amp;id=urn:contentItem:5F41-1FJ1-JBDT-B068-00000-00&amp;context=" TargetMode="External" /><Relationship Id="rId327" Type="http://schemas.openxmlformats.org/officeDocument/2006/relationships/hyperlink" Target="https://advance.lexis.com/api/document?collection=cases-ca&amp;id=urn:contentItem:5F7T-S7K1-JWXF-2103-00000-00&amp;context=" TargetMode="External" /><Relationship Id="rId328" Type="http://schemas.openxmlformats.org/officeDocument/2006/relationships/hyperlink" Target="https://advance.lexis.com/api/document?collection=cases-ca&amp;id=urn:contentItem:5F7T-S7K1-JNY7-X4CH-00000-00&amp;context=" TargetMode="External" /><Relationship Id="rId329" Type="http://schemas.openxmlformats.org/officeDocument/2006/relationships/hyperlink" Target="https://advance.lexis.com/api/document?collection=cases-ca&amp;id=urn:contentItem:5F7T-S781-F7G6-63BD-00000-00&amp;context=" TargetMode="External" /><Relationship Id="rId33" Type="http://schemas.openxmlformats.org/officeDocument/2006/relationships/hyperlink" Target="https://advance.lexis.com/api/document?collection=cases-ca&amp;id=urn:contentItem:5F7T-S7K1-F1H1-221P-00000-00&amp;context=" TargetMode="External" /><Relationship Id="rId330" Type="http://schemas.openxmlformats.org/officeDocument/2006/relationships/hyperlink" Target="https://advance.lexis.com/api/document?collection=cases-ca&amp;id=urn:contentItem:5F7T-S7K1-F528-G2V7-00000-00&amp;context=" TargetMode="External" /><Relationship Id="rId331" Type="http://schemas.openxmlformats.org/officeDocument/2006/relationships/hyperlink" Target="https://advance.lexis.com/api/document?collection=cases-ca&amp;id=urn:contentItem:5F7T-S7H1-FCSB-S3PW-00000-00&amp;context=" TargetMode="External" /><Relationship Id="rId332" Type="http://schemas.openxmlformats.org/officeDocument/2006/relationships/hyperlink" Target="https://advance.lexis.com/api/document?collection=cases-ca&amp;id=urn:contentItem:5F7T-S7J1-JNS1-M223-00000-00&amp;context=" TargetMode="External" /><Relationship Id="rId333" Type="http://schemas.openxmlformats.org/officeDocument/2006/relationships/hyperlink" Target="https://advance.lexis.com/api/document?collection=cases-ca&amp;id=urn:contentItem:5F7T-S7K1-F1H1-22BG-00000-00&amp;context=" TargetMode="External" /><Relationship Id="rId334" Type="http://schemas.openxmlformats.org/officeDocument/2006/relationships/hyperlink" Target="https://advance.lexis.com/api/document?collection=cases-ca&amp;id=urn:contentItem:5F7T-S7M1-JPP5-22RX-00000-00&amp;context=" TargetMode="External" /><Relationship Id="rId335" Type="http://schemas.openxmlformats.org/officeDocument/2006/relationships/header" Target="header61.xml" /><Relationship Id="rId336" Type="http://schemas.openxmlformats.org/officeDocument/2006/relationships/header" Target="header62.xml" /><Relationship Id="rId337" Type="http://schemas.openxmlformats.org/officeDocument/2006/relationships/footer" Target="footer61.xml" /><Relationship Id="rId338" Type="http://schemas.openxmlformats.org/officeDocument/2006/relationships/footer" Target="footer62.xml" /><Relationship Id="rId339" Type="http://schemas.openxmlformats.org/officeDocument/2006/relationships/header" Target="header63.xml" /><Relationship Id="rId34" Type="http://schemas.openxmlformats.org/officeDocument/2006/relationships/hyperlink" Target="https://advance.lexis.com/api/document?collection=cases-ca&amp;id=urn:contentItem:5F8T-N3V1-FH4C-X247-00000-00&amp;context=" TargetMode="External" /><Relationship Id="rId340" Type="http://schemas.openxmlformats.org/officeDocument/2006/relationships/footer" Target="footer63.xml" /><Relationship Id="rId341" Type="http://schemas.openxmlformats.org/officeDocument/2006/relationships/hyperlink" Target="https://advance.lexis.com/api/document?collection=cases-ca&amp;id=urn:contentItem:5F7T-S781-JSC5-M418-00000-00&amp;context=" TargetMode="External" /><Relationship Id="rId342" Type="http://schemas.openxmlformats.org/officeDocument/2006/relationships/hyperlink" Target="https://advance.lexis.com/api/document?collection=legislation-ca&amp;id=urn:contentItem:5W2C-X5M1-F2TK-22KN-00000-00&amp;context=" TargetMode="External" /><Relationship Id="rId343" Type="http://schemas.openxmlformats.org/officeDocument/2006/relationships/hyperlink" Target="https://advance.lexis.com/api/document?collection=cases-ca&amp;id=urn:contentItem:5F7T-S761-JX8W-M2NH-00000-00&amp;context=" TargetMode="External" /><Relationship Id="rId344" Type="http://schemas.openxmlformats.org/officeDocument/2006/relationships/hyperlink" Target="https://advance.lexis.com/api/document?collection=cases-ca&amp;id=urn:contentItem:5F7T-S711-F4W2-61FW-00000-00&amp;context=" TargetMode="External" /><Relationship Id="rId345" Type="http://schemas.openxmlformats.org/officeDocument/2006/relationships/hyperlink" Target="https://advance.lexis.com/api/document?collection=cases-ca&amp;id=urn:contentItem:5F81-VJX1-F5T5-M4HH-00000-00&amp;context=" TargetMode="External" /><Relationship Id="rId346" Type="http://schemas.openxmlformats.org/officeDocument/2006/relationships/header" Target="header64.xml" /><Relationship Id="rId347" Type="http://schemas.openxmlformats.org/officeDocument/2006/relationships/header" Target="header65.xml" /><Relationship Id="rId348" Type="http://schemas.openxmlformats.org/officeDocument/2006/relationships/footer" Target="footer64.xml" /><Relationship Id="rId349" Type="http://schemas.openxmlformats.org/officeDocument/2006/relationships/footer" Target="footer65.xml" /><Relationship Id="rId35" Type="http://schemas.openxmlformats.org/officeDocument/2006/relationships/hyperlink" Target="https://advance.lexis.com/api/document?collection=cases-ca&amp;id=urn:contentItem:5F8T-N3V1-FH4C-X248-00000-00&amp;context=" TargetMode="External" /><Relationship Id="rId350" Type="http://schemas.openxmlformats.org/officeDocument/2006/relationships/header" Target="header66.xml" /><Relationship Id="rId351" Type="http://schemas.openxmlformats.org/officeDocument/2006/relationships/footer" Target="footer66.xml" /><Relationship Id="rId352" Type="http://schemas.openxmlformats.org/officeDocument/2006/relationships/hyperlink" Target="https://advance.lexis.com/api/document?collection=cases-ca&amp;id=urn:contentItem:5MN7-3Y71-FK0M-S38V-00000-00&amp;context=" TargetMode="External" /><Relationship Id="rId353" Type="http://schemas.openxmlformats.org/officeDocument/2006/relationships/hyperlink" Target="https://advance.lexis.com/api/document?collection=cases-ca&amp;id=urn:contentItem:5F8T-N3V1-FH4C-X1XK-00000-00&amp;context=" TargetMode="External" /><Relationship Id="rId354" Type="http://schemas.openxmlformats.org/officeDocument/2006/relationships/hyperlink" Target="https://advance.lexis.com/api/document?collection=cases-ca&amp;id=urn:contentItem:5F7T-S7G1-JPP5-21V6-00000-00&amp;context=" TargetMode="External" /><Relationship Id="rId355" Type="http://schemas.openxmlformats.org/officeDocument/2006/relationships/hyperlink" Target="https://advance.lexis.com/api/document?collection=cases-ca&amp;id=urn:contentItem:5F7T-S7B1-FH4C-X3BH-00000-00&amp;context=" TargetMode="External" /><Relationship Id="rId356" Type="http://schemas.openxmlformats.org/officeDocument/2006/relationships/hyperlink" Target="https://advance.lexis.com/api/document?collection=cases-ca&amp;id=urn:contentItem:5F7T-S6Y1-JPP5-2184-00000-00&amp;context=" TargetMode="External" /><Relationship Id="rId357" Type="http://schemas.openxmlformats.org/officeDocument/2006/relationships/hyperlink" Target="https://advance.lexis.com/api/document?collection=cases-ca&amp;id=urn:contentItem:5F7T-S6W1-JB7K-21FR-00000-00&amp;context=" TargetMode="External" /><Relationship Id="rId358" Type="http://schemas.openxmlformats.org/officeDocument/2006/relationships/hyperlink" Target="https://advance.lexis.com/api/document?collection=cases-ca&amp;id=urn:contentItem:5F7T-S7P1-JP4G-61KJ-00000-00&amp;context=" TargetMode="External" /><Relationship Id="rId359" Type="http://schemas.openxmlformats.org/officeDocument/2006/relationships/hyperlink" Target="https://advance.lexis.com/api/document?collection=cases-ca&amp;id=urn:contentItem:5F7T-S7N1-JW09-M134-00000-00&amp;context=" TargetMode="External" /><Relationship Id="rId36" Type="http://schemas.openxmlformats.org/officeDocument/2006/relationships/hyperlink" Target="https://advance.lexis.com/api/document?collection=cases-ca&amp;id=urn:contentItem:5F7T-S7P1-JP4G-61XM-00000-00&amp;context=" TargetMode="External" /><Relationship Id="rId360" Type="http://schemas.openxmlformats.org/officeDocument/2006/relationships/hyperlink" Target="https://advance.lexis.com/api/document?collection=cases-ca&amp;id=urn:contentItem:5GCC-XVC1-F900-G4PC-00000-00&amp;context=" TargetMode="External" /><Relationship Id="rId361" Type="http://schemas.openxmlformats.org/officeDocument/2006/relationships/hyperlink" Target="https://advance.lexis.com/api/document?collection=cases-ca&amp;id=urn:contentItem:5H90-BK41-K0BB-S1DH-00000-00&amp;context=" TargetMode="External" /><Relationship Id="rId362" Type="http://schemas.openxmlformats.org/officeDocument/2006/relationships/hyperlink" Target="https://advance.lexis.com/api/document?collection=cases-ca&amp;id=urn:contentItem:5F7T-S7B1-FH4C-X3VV-00000-00&amp;context=" TargetMode="External" /><Relationship Id="rId363" Type="http://schemas.openxmlformats.org/officeDocument/2006/relationships/hyperlink" Target="https://advance.lexis.com/api/document?collection=cases-ca&amp;id=urn:contentItem:5F7T-S7D1-FBFS-S1TR-00000-00&amp;context=" TargetMode="External" /><Relationship Id="rId364" Type="http://schemas.openxmlformats.org/officeDocument/2006/relationships/hyperlink" Target="https://advance.lexis.com/api/document?collection=cases-ca&amp;id=urn:contentItem:5F7T-S781-JSC5-M45B-00000-00&amp;context=" TargetMode="External" /><Relationship Id="rId365" Type="http://schemas.openxmlformats.org/officeDocument/2006/relationships/hyperlink" Target="https://advance.lexis.com/api/document?collection=cases-ca&amp;id=urn:contentItem:5F7T-S7P1-JNJT-B2SY-00000-00&amp;context=" TargetMode="External" /><Relationship Id="rId366" Type="http://schemas.openxmlformats.org/officeDocument/2006/relationships/hyperlink" Target="https://advance.lexis.com/api/document?collection=cases-ca&amp;id=urn:contentItem:5F7T-S7K1-JKHB-62K8-00000-00&amp;context=" TargetMode="External" /><Relationship Id="rId367" Type="http://schemas.openxmlformats.org/officeDocument/2006/relationships/hyperlink" Target="https://advance.lexis.com/api/document?collection=cases-ca&amp;id=urn:contentItem:5F7T-S7H1-FCSB-S3KY-00000-00&amp;context=" TargetMode="External" /><Relationship Id="rId368" Type="http://schemas.openxmlformats.org/officeDocument/2006/relationships/hyperlink" Target="https://advance.lexis.com/api/document?collection=cases-ca&amp;id=urn:contentItem:5F7T-S6W1-JB7K-21HB-00000-00&amp;context=" TargetMode="External" /><Relationship Id="rId369" Type="http://schemas.openxmlformats.org/officeDocument/2006/relationships/hyperlink" Target="https://advance.lexis.com/api/document?collection=cases-ca&amp;id=urn:contentItem:5F7T-S7P1-JBDT-B0XC-00000-00&amp;context=" TargetMode="External" /><Relationship Id="rId37" Type="http://schemas.openxmlformats.org/officeDocument/2006/relationships/hyperlink" Target="https://advance.lexis.com/api/document?collection=cases-ca&amp;id=urn:contentItem:5GSP-CPF1-JB7K-2008-00000-00&amp;context=" TargetMode="External" /><Relationship Id="rId370" Type="http://schemas.openxmlformats.org/officeDocument/2006/relationships/hyperlink" Target="https://advance.lexis.com/api/document?collection=cases-ca&amp;id=urn:contentItem:5F7T-S731-F016-S331-00000-00&amp;context=" TargetMode="External" /><Relationship Id="rId371" Type="http://schemas.openxmlformats.org/officeDocument/2006/relationships/hyperlink" Target="https://advance.lexis.com/api/document?collection=cases-ca&amp;id=urn:contentItem:5F7T-S6T1-JP9P-G0X4-00000-00&amp;context=" TargetMode="External" /><Relationship Id="rId372" Type="http://schemas.openxmlformats.org/officeDocument/2006/relationships/header" Target="header67.xml" /><Relationship Id="rId373" Type="http://schemas.openxmlformats.org/officeDocument/2006/relationships/header" Target="header68.xml" /><Relationship Id="rId374" Type="http://schemas.openxmlformats.org/officeDocument/2006/relationships/footer" Target="footer67.xml" /><Relationship Id="rId375" Type="http://schemas.openxmlformats.org/officeDocument/2006/relationships/footer" Target="footer68.xml" /><Relationship Id="rId376" Type="http://schemas.openxmlformats.org/officeDocument/2006/relationships/header" Target="header69.xml" /><Relationship Id="rId377" Type="http://schemas.openxmlformats.org/officeDocument/2006/relationships/footer" Target="footer69.xml" /><Relationship Id="rId378" Type="http://schemas.openxmlformats.org/officeDocument/2006/relationships/hyperlink" Target="https://advance.lexis.com/api/document?collection=cases-ca&amp;id=urn:contentItem:5F7T-S7D1-JG02-S2TD-00000-00&amp;context=" TargetMode="External" /><Relationship Id="rId379" Type="http://schemas.openxmlformats.org/officeDocument/2006/relationships/hyperlink" Target="https://advance.lexis.com/api/document?collection=cases-ca&amp;id=urn:contentItem:5F8T-N3V1-JF75-M3CF-00000-00&amp;context=" TargetMode="External" /><Relationship Id="rId38" Type="http://schemas.openxmlformats.org/officeDocument/2006/relationships/hyperlink" Target="https://advance.lexis.com/api/document?collection=cases-ca&amp;id=urn:contentItem:5F81-VJY1-JPGX-S537-00000-00&amp;context=" TargetMode="External" /><Relationship Id="rId380" Type="http://schemas.openxmlformats.org/officeDocument/2006/relationships/hyperlink" Target="https://advance.lexis.com/api/document?collection=cases-ca&amp;id=urn:contentItem:5F8T-N3V1-FC1F-M44F-00000-00&amp;context=" TargetMode="External" /><Relationship Id="rId381" Type="http://schemas.openxmlformats.org/officeDocument/2006/relationships/hyperlink" Target="https://advance.lexis.com/api/document?collection=cases-ca&amp;id=urn:contentItem:5F7T-S701-JF75-M45P-00000-00&amp;context=" TargetMode="External" /><Relationship Id="rId382" Type="http://schemas.openxmlformats.org/officeDocument/2006/relationships/header" Target="header70.xml" /><Relationship Id="rId383" Type="http://schemas.openxmlformats.org/officeDocument/2006/relationships/header" Target="header71.xml" /><Relationship Id="rId384" Type="http://schemas.openxmlformats.org/officeDocument/2006/relationships/footer" Target="footer70.xml" /><Relationship Id="rId385" Type="http://schemas.openxmlformats.org/officeDocument/2006/relationships/footer" Target="footer71.xml" /><Relationship Id="rId386" Type="http://schemas.openxmlformats.org/officeDocument/2006/relationships/header" Target="header72.xml" /><Relationship Id="rId387" Type="http://schemas.openxmlformats.org/officeDocument/2006/relationships/footer" Target="footer72.xml" /><Relationship Id="rId388" Type="http://schemas.openxmlformats.org/officeDocument/2006/relationships/hyperlink" Target="https://advance.lexis.com/api/document?collection=cases-ca&amp;id=urn:contentItem:5F7T-S7K1-JKHB-62WF-00000-00&amp;context=" TargetMode="External" /><Relationship Id="rId389" Type="http://schemas.openxmlformats.org/officeDocument/2006/relationships/hyperlink" Target="https://advance.lexis.com/api/document?collection=cases-ca&amp;id=urn:contentItem:5F7T-S7J1-JYYX-62GJ-00000-00&amp;context=" TargetMode="External" /><Relationship Id="rId39" Type="http://schemas.openxmlformats.org/officeDocument/2006/relationships/hyperlink" Target="https://advance.lexis.com/api/document?collection=cases-ca&amp;id=urn:contentItem:5F81-VJY1-JPGX-S4XW-00000-00&amp;context=" TargetMode="External" /><Relationship Id="rId390" Type="http://schemas.openxmlformats.org/officeDocument/2006/relationships/hyperlink" Target="https://advance.lexis.com/api/document?collection=cases-ca&amp;id=urn:contentItem:5F7T-S741-F1H1-21G4-00000-00&amp;context=" TargetMode="External" /><Relationship Id="rId391" Type="http://schemas.openxmlformats.org/officeDocument/2006/relationships/hyperlink" Target="https://advance.lexis.com/api/document?collection=cases-ca&amp;id=urn:contentItem:5F7T-S7H1-JS5Y-B35X-00000-00&amp;context=" TargetMode="External" /><Relationship Id="rId392" Type="http://schemas.openxmlformats.org/officeDocument/2006/relationships/hyperlink" Target="https://advance.lexis.com/api/document?collection=cases-ca&amp;id=urn:contentItem:5F7T-S7H1-JS5Y-B35Y-00000-00&amp;context=" TargetMode="External" /><Relationship Id="rId393" Type="http://schemas.openxmlformats.org/officeDocument/2006/relationships/hyperlink" Target="https://advance.lexis.com/api/document?collection=cases-ca&amp;id=urn:contentItem:5F7T-S6T1-DY89-M32P-00000-00&amp;context=" TargetMode="External" /><Relationship Id="rId394" Type="http://schemas.openxmlformats.org/officeDocument/2006/relationships/hyperlink" Target="https://advance.lexis.com/api/document?collection=cases-ca&amp;id=urn:contentItem:5F7T-S6V1-JC0G-62GW-00000-00&amp;context=" TargetMode="External" /><Relationship Id="rId395" Type="http://schemas.openxmlformats.org/officeDocument/2006/relationships/hyperlink" Target="https://advance.lexis.com/api/document?collection=cases-ca&amp;id=urn:contentItem:5F7T-S7G1-JPP5-221F-00000-00&amp;context=" TargetMode="External" /><Relationship Id="rId396" Type="http://schemas.openxmlformats.org/officeDocument/2006/relationships/hyperlink" Target="https://advance.lexis.com/api/document?collection=cases-ca&amp;id=urn:contentItem:5F7T-S7H1-F016-S3PH-00000-00&amp;context=" TargetMode="External" /><Relationship Id="rId397" Type="http://schemas.openxmlformats.org/officeDocument/2006/relationships/hyperlink" Target="https://advance.lexis.com/api/document?collection=cases-ca&amp;id=urn:contentItem:5F7T-S781-F900-G0N5-00000-00&amp;context=" TargetMode="External" /><Relationship Id="rId398" Type="http://schemas.openxmlformats.org/officeDocument/2006/relationships/hyperlink" Target="https://advance.lexis.com/api/document?collection=cases-ca&amp;id=urn:contentItem:5F7T-S721-FD4T-B172-00000-00&amp;context=" TargetMode="External" /><Relationship Id="rId399" Type="http://schemas.openxmlformats.org/officeDocument/2006/relationships/hyperlink" Target="https://advance.lexis.com/api/document?collection=cases-ca&amp;id=urn:contentItem:5F7T-S7F1-FFFC-B22B-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8T-N3V1-FC1F-M497-00000-00&amp;context=" TargetMode="External" /><Relationship Id="rId400" Type="http://schemas.openxmlformats.org/officeDocument/2006/relationships/hyperlink" Target="https://advance.lexis.com/api/document?collection=cases-ca&amp;id=urn:contentItem:5F7T-S7H1-JCRC-B0XG-00000-00&amp;context=" TargetMode="External" /><Relationship Id="rId401" Type="http://schemas.openxmlformats.org/officeDocument/2006/relationships/hyperlink" Target="https://advance.lexis.com/api/document?collection=cases-ca&amp;id=urn:contentItem:5F7T-S7D1-F7ND-G0MH-00000-00&amp;context=" TargetMode="External" /><Relationship Id="rId402" Type="http://schemas.openxmlformats.org/officeDocument/2006/relationships/hyperlink" Target="https://advance.lexis.com/api/document?collection=cases-ca&amp;id=urn:contentItem:5F7T-S771-F361-M1VH-00000-00&amp;context=" TargetMode="External" /><Relationship Id="rId403" Type="http://schemas.openxmlformats.org/officeDocument/2006/relationships/header" Target="header73.xml" /><Relationship Id="rId404" Type="http://schemas.openxmlformats.org/officeDocument/2006/relationships/header" Target="header74.xml" /><Relationship Id="rId405" Type="http://schemas.openxmlformats.org/officeDocument/2006/relationships/footer" Target="footer73.xml" /><Relationship Id="rId406" Type="http://schemas.openxmlformats.org/officeDocument/2006/relationships/footer" Target="footer74.xml" /><Relationship Id="rId407" Type="http://schemas.openxmlformats.org/officeDocument/2006/relationships/header" Target="header75.xml" /><Relationship Id="rId408" Type="http://schemas.openxmlformats.org/officeDocument/2006/relationships/footer" Target="footer75.xml" /><Relationship Id="rId409" Type="http://schemas.openxmlformats.org/officeDocument/2006/relationships/hyperlink" Target="https://advance.lexis.com/api/document?collection=cases-ca&amp;id=urn:contentItem:5F7T-S771-JTGH-B1G1-00000-00&amp;context=" TargetMode="External" /><Relationship Id="rId41" Type="http://schemas.openxmlformats.org/officeDocument/2006/relationships/hyperlink" Target="https://advance.lexis.com/api/document?collection=cases-ca&amp;id=urn:contentItem:5F7T-S7D1-FBFS-S1XJ-00000-00&amp;context=" TargetMode="External" /><Relationship Id="rId410" Type="http://schemas.openxmlformats.org/officeDocument/2006/relationships/hyperlink" Target="https://advance.lexis.com/api/document?collection=cases-ca&amp;id=urn:contentItem:5K6Y-81T1-F7VM-S3VV-00000-00&amp;context=" TargetMode="External" /><Relationship Id="rId411" Type="http://schemas.openxmlformats.org/officeDocument/2006/relationships/hyperlink" Target="https://advance.lexis.com/api/document?collection=cases-ca&amp;id=urn:contentItem:5F7T-S741-DY89-M39J-00000-00&amp;context=" TargetMode="External" /><Relationship Id="rId412" Type="http://schemas.openxmlformats.org/officeDocument/2006/relationships/hyperlink" Target="https://advance.lexis.com/api/document?collection=cases-ca&amp;id=urn:contentItem:5F7T-S741-FJM6-61C6-00000-00&amp;context=" TargetMode="External" /><Relationship Id="rId413" Type="http://schemas.openxmlformats.org/officeDocument/2006/relationships/hyperlink" Target="https://advance.lexis.com/api/document?collection=cases-ca&amp;id=urn:contentItem:5F7T-S751-JBM1-M2D6-00000-00&amp;context=" TargetMode="External" /><Relationship Id="rId414" Type="http://schemas.openxmlformats.org/officeDocument/2006/relationships/hyperlink" Target="https://advance.lexis.com/api/document?collection=cases-ca&amp;id=urn:contentItem:5F7T-S751-JP4G-614D-00000-00&amp;context=" TargetMode="External" /><Relationship Id="rId415" Type="http://schemas.openxmlformats.org/officeDocument/2006/relationships/hyperlink" Target="https://advance.lexis.com/api/document?collection=cases-ca&amp;id=urn:contentItem:5F7T-S771-F2TK-22T7-00000-00&amp;context=" TargetMode="External" /><Relationship Id="rId416" Type="http://schemas.openxmlformats.org/officeDocument/2006/relationships/hyperlink" Target="https://advance.lexis.com/api/document?collection=cases-ca&amp;id=urn:contentItem:5F7T-S6Y1-F4GK-M25F-00000-00&amp;context=" TargetMode="External" /><Relationship Id="rId417" Type="http://schemas.openxmlformats.org/officeDocument/2006/relationships/hyperlink" Target="https://advance.lexis.com/api/document?collection=cases-ca&amp;id=urn:contentItem:5F7T-S741-F528-G20Y-00000-00&amp;context=" TargetMode="External" /><Relationship Id="rId418" Type="http://schemas.openxmlformats.org/officeDocument/2006/relationships/hyperlink" Target="https://advance.lexis.com/api/document?collection=cases-ca&amp;id=urn:contentItem:5F7T-S761-FFMK-M15V-00000-00&amp;context=" TargetMode="External" /><Relationship Id="rId419" Type="http://schemas.openxmlformats.org/officeDocument/2006/relationships/hyperlink" Target="https://advance.lexis.com/api/document?collection=cases-ca&amp;id=urn:contentItem:5F7T-S771-JWBS-61M5-00000-00&amp;context=" TargetMode="External" /><Relationship Id="rId42" Type="http://schemas.openxmlformats.org/officeDocument/2006/relationships/hyperlink" Target="https://advance.lexis.com/api/document?collection=cases-ca&amp;id=urn:contentItem:5F8T-N3P1-JYYX-60GJ-00000-00&amp;context=" TargetMode="External" /><Relationship Id="rId420" Type="http://schemas.openxmlformats.org/officeDocument/2006/relationships/hyperlink" Target="https://advance.lexis.com/api/document?collection=cases-ca&amp;id=urn:contentItem:5F7T-S6P1-F30T-B1FH-00000-00&amp;context=" TargetMode="External" /><Relationship Id="rId421" Type="http://schemas.openxmlformats.org/officeDocument/2006/relationships/hyperlink" Target="https://advance.lexis.com/api/document?collection=cases-ca&amp;id=urn:contentItem:5F7T-S6R1-F06F-21RJ-00000-00&amp;context=" TargetMode="External" /><Relationship Id="rId422" Type="http://schemas.openxmlformats.org/officeDocument/2006/relationships/hyperlink" Target="https://advance.lexis.com/api/document?collection=cases-ca&amp;id=urn:contentItem:5F7T-S6X1-F7G6-62CG-00000-00&amp;context=" TargetMode="External" /><Relationship Id="rId423" Type="http://schemas.openxmlformats.org/officeDocument/2006/relationships/hyperlink" Target="https://advance.lexis.com/api/document?collection=cases-ca&amp;id=urn:contentItem:5F7T-S7G1-JX3N-B280-00000-00&amp;context=" TargetMode="External" /><Relationship Id="rId424" Type="http://schemas.openxmlformats.org/officeDocument/2006/relationships/hyperlink" Target="https://advance.lexis.com/api/document?collection=cases-ca&amp;id=urn:contentItem:5F7T-S741-F2F4-G2F7-00000-00&amp;context=" TargetMode="External" /><Relationship Id="rId425" Type="http://schemas.openxmlformats.org/officeDocument/2006/relationships/hyperlink" Target="https://advance.lexis.com/api/document?collection=cases-ca&amp;id=urn:contentItem:5F7T-S6V1-F956-S055-00000-00&amp;context=" TargetMode="External" /><Relationship Id="rId426" Type="http://schemas.openxmlformats.org/officeDocument/2006/relationships/hyperlink" Target="https://advance.lexis.com/api/document?collection=cases-ca&amp;id=urn:contentItem:5F7T-S6X1-F7ND-G3DV-00000-00&amp;context=" TargetMode="External" /><Relationship Id="rId427" Type="http://schemas.openxmlformats.org/officeDocument/2006/relationships/header" Target="header76.xml" /><Relationship Id="rId428" Type="http://schemas.openxmlformats.org/officeDocument/2006/relationships/header" Target="header77.xml" /><Relationship Id="rId429" Type="http://schemas.openxmlformats.org/officeDocument/2006/relationships/footer" Target="footer76.xml" /><Relationship Id="rId43" Type="http://schemas.openxmlformats.org/officeDocument/2006/relationships/hyperlink" Target="https://advance.lexis.com/api/document?collection=cases-ca&amp;id=urn:contentItem:5F7T-S6P1-F7G6-60SB-00000-00&amp;context=" TargetMode="External" /><Relationship Id="rId430" Type="http://schemas.openxmlformats.org/officeDocument/2006/relationships/footer" Target="footer77.xml" /><Relationship Id="rId431" Type="http://schemas.openxmlformats.org/officeDocument/2006/relationships/header" Target="header78.xml" /><Relationship Id="rId432" Type="http://schemas.openxmlformats.org/officeDocument/2006/relationships/footer" Target="footer78.xml" /><Relationship Id="rId433" Type="http://schemas.openxmlformats.org/officeDocument/2006/relationships/hyperlink" Target="https://advance.lexis.com/api/document?collection=cases-ca&amp;id=urn:contentItem:5F7T-S7F1-FJTD-G3P2-00000-00&amp;context=" TargetMode="External" /><Relationship Id="rId434" Type="http://schemas.openxmlformats.org/officeDocument/2006/relationships/header" Target="header79.xml" /><Relationship Id="rId435" Type="http://schemas.openxmlformats.org/officeDocument/2006/relationships/header" Target="header80.xml" /><Relationship Id="rId436" Type="http://schemas.openxmlformats.org/officeDocument/2006/relationships/footer" Target="footer79.xml" /><Relationship Id="rId437" Type="http://schemas.openxmlformats.org/officeDocument/2006/relationships/footer" Target="footer80.xml" /><Relationship Id="rId438" Type="http://schemas.openxmlformats.org/officeDocument/2006/relationships/header" Target="header81.xml" /><Relationship Id="rId439" Type="http://schemas.openxmlformats.org/officeDocument/2006/relationships/footer" Target="footer81.xml" /><Relationship Id="rId44" Type="http://schemas.openxmlformats.org/officeDocument/2006/relationships/hyperlink" Target="https://advance.lexis.com/api/document?collection=cases-ca&amp;id=urn:contentItem:5GCC-XVC1-FK0M-S01N-00000-00&amp;context=" TargetMode="External" /><Relationship Id="rId440" Type="http://schemas.openxmlformats.org/officeDocument/2006/relationships/hyperlink" Target="https://advance.lexis.com/api/document?collection=cases-ca&amp;id=urn:contentItem:5F7T-S7J1-JGBH-B206-00000-00&amp;context=" TargetMode="External" /><Relationship Id="rId441" Type="http://schemas.openxmlformats.org/officeDocument/2006/relationships/hyperlink" Target="https://advance.lexis.com/api/document?collection=cases-ca&amp;id=urn:contentItem:5K6Y-81M1-DXHD-G2RG-00000-00&amp;context=" TargetMode="External" /><Relationship Id="rId442" Type="http://schemas.openxmlformats.org/officeDocument/2006/relationships/hyperlink" Target="https://advance.lexis.com/api/document?collection=cases-ca&amp;id=urn:contentItem:5F7T-S701-JJYN-B2J8-00000-00&amp;context=" TargetMode="External" /><Relationship Id="rId443" Type="http://schemas.openxmlformats.org/officeDocument/2006/relationships/hyperlink" Target="https://advance.lexis.com/api/document?collection=cases-ca&amp;id=urn:contentItem:5F7T-S771-F361-M1PY-00000-00&amp;context=" TargetMode="External" /><Relationship Id="rId444" Type="http://schemas.openxmlformats.org/officeDocument/2006/relationships/hyperlink" Target="https://advance.lexis.com/api/document?collection=cases-ca&amp;id=urn:contentItem:5F7T-S7G1-JX3N-B2HF-00000-00&amp;context=" TargetMode="External" /><Relationship Id="rId445" Type="http://schemas.openxmlformats.org/officeDocument/2006/relationships/hyperlink" Target="https://advance.lexis.com/api/document?collection=cases-ca&amp;id=urn:contentItem:5F8T-N3V1-FC1F-M42T-00000-00&amp;context=" TargetMode="External" /><Relationship Id="rId446" Type="http://schemas.openxmlformats.org/officeDocument/2006/relationships/header" Target="header82.xml" /><Relationship Id="rId447" Type="http://schemas.openxmlformats.org/officeDocument/2006/relationships/header" Target="header83.xml" /><Relationship Id="rId448" Type="http://schemas.openxmlformats.org/officeDocument/2006/relationships/footer" Target="footer82.xml" /><Relationship Id="rId449" Type="http://schemas.openxmlformats.org/officeDocument/2006/relationships/footer" Target="footer83.xml" /><Relationship Id="rId45" Type="http://schemas.openxmlformats.org/officeDocument/2006/relationships/hyperlink" Target="https://advance.lexis.com/api/document?collection=cases-ca&amp;id=urn:contentItem:5KD2-8SG1-DXHD-G3TM-00000-00&amp;context=" TargetMode="External" /><Relationship Id="rId450" Type="http://schemas.openxmlformats.org/officeDocument/2006/relationships/header" Target="header84.xml" /><Relationship Id="rId451" Type="http://schemas.openxmlformats.org/officeDocument/2006/relationships/footer" Target="footer84.xml" /><Relationship Id="rId452" Type="http://schemas.openxmlformats.org/officeDocument/2006/relationships/hyperlink" Target="https://advance.lexis.com/api/document?collection=cases-ca&amp;id=urn:contentItem:5GCC-XVD1-JS5Y-B1B4-00000-00&amp;context=" TargetMode="External" /><Relationship Id="rId453" Type="http://schemas.openxmlformats.org/officeDocument/2006/relationships/hyperlink" Target="https://advance.lexis.com/api/document?collection=cases-ca&amp;id=urn:contentItem:5GCC-XVC1-JSRM-60HK-00000-00&amp;context=" TargetMode="External" /><Relationship Id="rId454" Type="http://schemas.openxmlformats.org/officeDocument/2006/relationships/hyperlink" Target="https://advance.lexis.com/api/document?collection=cases-ca&amp;id=urn:contentItem:5F16-93B1-FGY5-M1FN-00000-00&amp;context=" TargetMode="External" /><Relationship Id="rId455" Type="http://schemas.openxmlformats.org/officeDocument/2006/relationships/hyperlink" Target="https://advance.lexis.com/api/document?collection=cases-ca&amp;id=urn:contentItem:5F7T-S751-F361-M0NJ-00000-00&amp;context=" TargetMode="External" /><Relationship Id="rId456" Type="http://schemas.openxmlformats.org/officeDocument/2006/relationships/hyperlink" Target="https://advance.lexis.com/api/document?collection=cases-ca&amp;id=urn:contentItem:5F7T-S7K1-JSJC-X15J-00000-00&amp;context=" TargetMode="External" /><Relationship Id="rId457" Type="http://schemas.openxmlformats.org/officeDocument/2006/relationships/hyperlink" Target="https://advance.lexis.com/api/document?collection=cases-ca&amp;id=urn:contentItem:5F7T-S7D1-JXG3-X0PB-00000-00&amp;context=" TargetMode="External" /><Relationship Id="rId458" Type="http://schemas.openxmlformats.org/officeDocument/2006/relationships/hyperlink" Target="https://advance.lexis.com/api/document?collection=cases-ca&amp;id=urn:contentItem:5F7T-S6Y1-F65M-6050-00000-00&amp;context=" TargetMode="External" /><Relationship Id="rId459" Type="http://schemas.openxmlformats.org/officeDocument/2006/relationships/header" Target="header85.xml" /><Relationship Id="rId46" Type="http://schemas.openxmlformats.org/officeDocument/2006/relationships/header" Target="header7.xml" /><Relationship Id="rId460" Type="http://schemas.openxmlformats.org/officeDocument/2006/relationships/header" Target="header86.xml" /><Relationship Id="rId461" Type="http://schemas.openxmlformats.org/officeDocument/2006/relationships/footer" Target="footer85.xml" /><Relationship Id="rId462" Type="http://schemas.openxmlformats.org/officeDocument/2006/relationships/footer" Target="footer86.xml" /><Relationship Id="rId463" Type="http://schemas.openxmlformats.org/officeDocument/2006/relationships/header" Target="header87.xml" /><Relationship Id="rId464" Type="http://schemas.openxmlformats.org/officeDocument/2006/relationships/footer" Target="footer87.xml" /><Relationship Id="rId465" Type="http://schemas.openxmlformats.org/officeDocument/2006/relationships/hyperlink" Target="https://advance.lexis.com/api/document?collection=cases-ca&amp;id=urn:contentItem:5F7T-S7C1-JCJ5-20P0-00000-00&amp;context=" TargetMode="External" /><Relationship Id="rId466" Type="http://schemas.openxmlformats.org/officeDocument/2006/relationships/hyperlink" Target="https://advance.lexis.com/api/document?collection=cases-ca&amp;id=urn:contentItem:5F7T-S751-JCJ5-24BB-00000-00&amp;context=" TargetMode="External" /><Relationship Id="rId467" Type="http://schemas.openxmlformats.org/officeDocument/2006/relationships/hyperlink" Target="https://advance.lexis.com/api/document?collection=cases-ca&amp;id=urn:contentItem:5F7T-S711-JG02-S1FH-00000-00&amp;context=" TargetMode="External" /><Relationship Id="rId468" Type="http://schemas.openxmlformats.org/officeDocument/2006/relationships/hyperlink" Target="https://advance.lexis.com/api/document?collection=cases-ca&amp;id=urn:contentItem:5F7T-S721-F956-S1RF-00000-00&amp;context=" TargetMode="External" /><Relationship Id="rId469" Type="http://schemas.openxmlformats.org/officeDocument/2006/relationships/hyperlink" Target="https://advance.lexis.com/api/document?collection=cases-ca&amp;id=urn:contentItem:5F8T-N3V1-JF75-M3GT-00000-00&amp;context=" TargetMode="External" /><Relationship Id="rId47" Type="http://schemas.openxmlformats.org/officeDocument/2006/relationships/header" Target="header8.xml" /><Relationship Id="rId470" Type="http://schemas.openxmlformats.org/officeDocument/2006/relationships/header" Target="header88.xml" /><Relationship Id="rId471" Type="http://schemas.openxmlformats.org/officeDocument/2006/relationships/header" Target="header89.xml" /><Relationship Id="rId472" Type="http://schemas.openxmlformats.org/officeDocument/2006/relationships/footer" Target="footer88.xml" /><Relationship Id="rId473" Type="http://schemas.openxmlformats.org/officeDocument/2006/relationships/footer" Target="footer89.xml" /><Relationship Id="rId474" Type="http://schemas.openxmlformats.org/officeDocument/2006/relationships/header" Target="header90.xml" /><Relationship Id="rId475" Type="http://schemas.openxmlformats.org/officeDocument/2006/relationships/footer" Target="footer90.xml" /><Relationship Id="rId476" Type="http://schemas.openxmlformats.org/officeDocument/2006/relationships/hyperlink" Target="https://advance.lexis.com/api/document?collection=cases-ca&amp;id=urn:contentItem:5F7T-S7N1-JJ1H-X368-00000-00&amp;context=" TargetMode="External" /><Relationship Id="rId477" Type="http://schemas.openxmlformats.org/officeDocument/2006/relationships/hyperlink" Target="https://advance.lexis.com/api/document?collection=cases-ca&amp;id=urn:contentItem:5K6Y-81N1-JN14-G22J-00000-00&amp;context=" TargetMode="External" /><Relationship Id="rId478" Type="http://schemas.openxmlformats.org/officeDocument/2006/relationships/hyperlink" Target="https://advance.lexis.com/api/document?collection=legislation-ca&amp;id=urn:contentItem:5F41-1FG1-JJYN-B03B-00000-00&amp;context=" TargetMode="External" /><Relationship Id="rId479" Type="http://schemas.openxmlformats.org/officeDocument/2006/relationships/hyperlink" Target="https://advance.lexis.com/api/document?collection=legislation-ca&amp;id=urn:contentItem:5VWW-WY31-F2TK-22KJ-00000-00&amp;context=" TargetMode="External" /><Relationship Id="rId48" Type="http://schemas.openxmlformats.org/officeDocument/2006/relationships/footer" Target="footer7.xml" /><Relationship Id="rId480" Type="http://schemas.openxmlformats.org/officeDocument/2006/relationships/hyperlink" Target="https://advance.lexis.com/api/document?collection=cases-ca&amp;id=urn:contentItem:5F7T-S7N1-F57G-S25T-00000-00&amp;context=" TargetMode="External" /><Relationship Id="rId481" Type="http://schemas.openxmlformats.org/officeDocument/2006/relationships/hyperlink" Target="https://advance.lexis.com/api/document?collection=legislation-ca&amp;id=urn:contentItem:5F41-1FP1-JKHB-60P9-00000-00&amp;context=" TargetMode="External" /><Relationship Id="rId482" Type="http://schemas.openxmlformats.org/officeDocument/2006/relationships/hyperlink" Target="https://advance.lexis.com/api/document?collection=cases-ca&amp;id=urn:contentItem:5F7T-S7K1-DY33-B1TJ-00000-00&amp;context=" TargetMode="External" /><Relationship Id="rId483" Type="http://schemas.openxmlformats.org/officeDocument/2006/relationships/hyperlink" Target="https://advance.lexis.com/api/document?collection=cases-ca&amp;id=urn:contentItem:5F7T-S7K1-F528-G36B-00000-00&amp;context=" TargetMode="External" /><Relationship Id="rId484" Type="http://schemas.openxmlformats.org/officeDocument/2006/relationships/hyperlink" Target="https://advance.lexis.com/api/document?collection=cases-ca&amp;id=urn:contentItem:5F8T-N3V1-JTGH-B0YJ-00000-00&amp;context=" TargetMode="External" /><Relationship Id="rId485" Type="http://schemas.openxmlformats.org/officeDocument/2006/relationships/hyperlink" Target="https://advance.lexis.com/api/document?collection=cases-ca&amp;id=urn:contentItem:5F7T-S741-DY89-M3DD-00000-00&amp;context=" TargetMode="External" /><Relationship Id="rId486" Type="http://schemas.openxmlformats.org/officeDocument/2006/relationships/hyperlink" Target="https://advance.lexis.com/api/document?collection=cases-ca&amp;id=urn:contentItem:5F7T-S7M1-JJK6-S26H-00000-00&amp;context=" TargetMode="External" /><Relationship Id="rId487" Type="http://schemas.openxmlformats.org/officeDocument/2006/relationships/hyperlink" Target="https://advance.lexis.com/api/document?collection=cases-ca&amp;id=urn:contentItem:5F7T-S761-FFMK-M0WK-00000-00&amp;context=" TargetMode="External" /><Relationship Id="rId488" Type="http://schemas.openxmlformats.org/officeDocument/2006/relationships/hyperlink" Target="https://advance.lexis.com/api/document?collection=cases-ca&amp;id=urn:contentItem:5F7T-S7D1-JS5Y-B292-00000-00&amp;context=" TargetMode="External" /><Relationship Id="rId489" Type="http://schemas.openxmlformats.org/officeDocument/2006/relationships/hyperlink" Target="https://advance.lexis.com/api/document?collection=cases-ca&amp;id=urn:contentItem:5F7T-S761-JS5Y-B1G9-00000-00&amp;context=" TargetMode="External" /><Relationship Id="rId49" Type="http://schemas.openxmlformats.org/officeDocument/2006/relationships/footer" Target="footer8.xml" /><Relationship Id="rId490" Type="http://schemas.openxmlformats.org/officeDocument/2006/relationships/hyperlink" Target="https://advance.lexis.com/api/document?collection=cases-ca&amp;id=urn:contentItem:5F7T-S771-F361-M19D-00000-00&amp;context=" TargetMode="External" /><Relationship Id="rId491" Type="http://schemas.openxmlformats.org/officeDocument/2006/relationships/hyperlink" Target="https://advance.lexis.com/api/document?collection=cases-ca&amp;id=urn:contentItem:5F7T-S741-F1H1-21MV-00000-00&amp;context=" TargetMode="External" /><Relationship Id="rId492" Type="http://schemas.openxmlformats.org/officeDocument/2006/relationships/hyperlink" Target="https://advance.lexis.com/api/document?collection=cases-ca&amp;id=urn:contentItem:5F7T-S731-F1WF-M2F9-00000-00&amp;context=" TargetMode="External" /><Relationship Id="rId493" Type="http://schemas.openxmlformats.org/officeDocument/2006/relationships/hyperlink" Target="https://advance.lexis.com/api/document?collection=cases-ca&amp;id=urn:contentItem:5F7T-S7M1-JJK6-S1VD-00000-00&amp;context=" TargetMode="External" /><Relationship Id="rId494" Type="http://schemas.openxmlformats.org/officeDocument/2006/relationships/hyperlink" Target="https://advance.lexis.com/api/document?collection=cases-ca&amp;id=urn:contentItem:5F7T-S7K1-DY33-B1RJ-00000-00&amp;context=" TargetMode="External" /><Relationship Id="rId495" Type="http://schemas.openxmlformats.org/officeDocument/2006/relationships/hyperlink" Target="https://advance.lexis.com/api/document?collection=cases-ca&amp;id=urn:contentItem:5F7T-S7K1-JX3N-B2T1-00000-00&amp;context=" TargetMode="External" /><Relationship Id="rId496" Type="http://schemas.openxmlformats.org/officeDocument/2006/relationships/hyperlink" Target="https://advance.lexis.com/api/document?collection=cases-ca&amp;id=urn:contentItem:5F7T-S7N1-JJ1H-X2MC-00000-00&amp;context=" TargetMode="External" /><Relationship Id="rId497" Type="http://schemas.openxmlformats.org/officeDocument/2006/relationships/hyperlink" Target="https://advance.lexis.com/api/document?collection=cases-ca&amp;id=urn:contentItem:5F7T-S7H1-FCSB-S3RP-00000-00&amp;context=" TargetMode="External" /><Relationship Id="rId498" Type="http://schemas.openxmlformats.org/officeDocument/2006/relationships/hyperlink" Target="https://advance.lexis.com/api/document?collection=cases-ca&amp;id=urn:contentItem:5F7T-S6X1-F06F-22SH-00000-00&amp;context=" TargetMode="External" /><Relationship Id="rId499" Type="http://schemas.openxmlformats.org/officeDocument/2006/relationships/hyperlink" Target="https://advance.lexis.com/api/document?collection=cases-ca&amp;id=urn:contentItem:5F82-1SB1-FBFS-S42M-00000-00&amp;context=" TargetMode="External" /><Relationship Id="rId5" Type="http://schemas.openxmlformats.org/officeDocument/2006/relationships/header" Target="header2.xml" /><Relationship Id="rId50" Type="http://schemas.openxmlformats.org/officeDocument/2006/relationships/header" Target="header9.xml" /><Relationship Id="rId500" Type="http://schemas.openxmlformats.org/officeDocument/2006/relationships/header" Target="header91.xml" /><Relationship Id="rId501" Type="http://schemas.openxmlformats.org/officeDocument/2006/relationships/header" Target="header92.xml" /><Relationship Id="rId502" Type="http://schemas.openxmlformats.org/officeDocument/2006/relationships/footer" Target="footer91.xml" /><Relationship Id="rId503" Type="http://schemas.openxmlformats.org/officeDocument/2006/relationships/footer" Target="footer92.xml" /><Relationship Id="rId504" Type="http://schemas.openxmlformats.org/officeDocument/2006/relationships/header" Target="header93.xml" /><Relationship Id="rId505" Type="http://schemas.openxmlformats.org/officeDocument/2006/relationships/footer" Target="footer93.xml" /><Relationship Id="rId506" Type="http://schemas.openxmlformats.org/officeDocument/2006/relationships/hyperlink" Target="https://advance.lexis.com/api/document?collection=cases-ca&amp;id=urn:contentItem:5F7T-S7C1-F7VM-S37F-00000-00&amp;context=" TargetMode="External" /><Relationship Id="rId507" Type="http://schemas.openxmlformats.org/officeDocument/2006/relationships/hyperlink" Target="https://advance.lexis.com/api/document?collection=cases-ca&amp;id=urn:contentItem:5F7T-S711-F4W2-61MG-00000-00&amp;context=" TargetMode="External" /><Relationship Id="rId508" Type="http://schemas.openxmlformats.org/officeDocument/2006/relationships/hyperlink" Target="https://advance.lexis.com/api/document?collection=cases-ca&amp;id=urn:contentItem:5F7T-S731-FFFC-B0TK-00000-00&amp;context=" TargetMode="External" /><Relationship Id="rId509" Type="http://schemas.openxmlformats.org/officeDocument/2006/relationships/hyperlink" Target="https://advance.lexis.com/api/document?collection=cases-ca&amp;id=urn:contentItem:5F8T-N3V1-JFKM-60BG-00000-00&amp;context=" TargetMode="External" /><Relationship Id="rId51" Type="http://schemas.openxmlformats.org/officeDocument/2006/relationships/footer" Target="footer9.xml" /><Relationship Id="rId510" Type="http://schemas.openxmlformats.org/officeDocument/2006/relationships/hyperlink" Target="https://advance.lexis.com/api/document?collection=cases-ca&amp;id=urn:contentItem:5F8T-N3T1-JFKM-650G-00000-00&amp;context=" TargetMode="External" /><Relationship Id="rId511" Type="http://schemas.openxmlformats.org/officeDocument/2006/relationships/hyperlink" Target="https://advance.lexis.com/api/document?collection=cases-ca&amp;id=urn:contentItem:5F8T-N3V1-JF75-M392-00000-00&amp;context=" TargetMode="External" /><Relationship Id="rId512" Type="http://schemas.openxmlformats.org/officeDocument/2006/relationships/hyperlink" Target="https://advance.lexis.com/api/document?collection=cases-ca&amp;id=urn:contentItem:5F8T-N3T1-JFKM-6560-00000-00&amp;context=" TargetMode="External" /><Relationship Id="rId513" Type="http://schemas.openxmlformats.org/officeDocument/2006/relationships/hyperlink" Target="https://advance.lexis.com/api/document?collection=cases-ca&amp;id=urn:contentItem:5F8T-N3S1-JT99-2530-00000-00&amp;context=" TargetMode="External" /><Relationship Id="rId514" Type="http://schemas.openxmlformats.org/officeDocument/2006/relationships/hyperlink" Target="https://advance.lexis.com/api/document?collection=cases-ca&amp;id=urn:contentItem:5F8T-N3T1-JJSF-236N-00000-00&amp;context=" TargetMode="External" /><Relationship Id="rId515" Type="http://schemas.openxmlformats.org/officeDocument/2006/relationships/header" Target="header94.xml" /><Relationship Id="rId516" Type="http://schemas.openxmlformats.org/officeDocument/2006/relationships/header" Target="header95.xml" /><Relationship Id="rId517" Type="http://schemas.openxmlformats.org/officeDocument/2006/relationships/footer" Target="footer94.xml" /><Relationship Id="rId518" Type="http://schemas.openxmlformats.org/officeDocument/2006/relationships/footer" Target="footer95.xml" /><Relationship Id="rId519" Type="http://schemas.openxmlformats.org/officeDocument/2006/relationships/header" Target="header96.xml" /><Relationship Id="rId52" Type="http://schemas.openxmlformats.org/officeDocument/2006/relationships/hyperlink" Target="https://advance.lexis.com/api/document?collection=cases-ca&amp;id=urn:contentItem:5K6Y-81N1-JFDC-X1V5-00000-00&amp;context=" TargetMode="External" /><Relationship Id="rId520" Type="http://schemas.openxmlformats.org/officeDocument/2006/relationships/footer" Target="footer96.xml" /><Relationship Id="rId521" Type="http://schemas.openxmlformats.org/officeDocument/2006/relationships/hyperlink" Target="https://advance.lexis.com/api/document?collection=cases-ca&amp;id=urn:contentItem:5F7T-S781-F900-G126-00000-00&amp;context=" TargetMode="External" /><Relationship Id="rId522" Type="http://schemas.openxmlformats.org/officeDocument/2006/relationships/hyperlink" Target="https://advance.lexis.com/api/document?collection=cases-ca&amp;id=urn:contentItem:5F7T-S7B1-JCJ5-2014-00000-00&amp;context=" TargetMode="External" /><Relationship Id="rId523" Type="http://schemas.openxmlformats.org/officeDocument/2006/relationships/hyperlink" Target="https://advance.lexis.com/api/document?collection=cases-ca&amp;id=urn:contentItem:5F7T-S751-JCJ5-2494-00000-00&amp;context=" TargetMode="External" /><Relationship Id="rId524" Type="http://schemas.openxmlformats.org/officeDocument/2006/relationships/hyperlink" Target="https://advance.lexis.com/api/document?collection=cases-ca&amp;id=urn:contentItem:5F7T-S771-JWBS-61W4-00000-00&amp;context=" TargetMode="External" /><Relationship Id="rId525" Type="http://schemas.openxmlformats.org/officeDocument/2006/relationships/hyperlink" Target="https://advance.lexis.com/api/document?collection=cases-ca&amp;id=urn:contentItem:5F7T-S761-FFMK-M16Y-00000-00&amp;context=" TargetMode="External" /><Relationship Id="rId526" Type="http://schemas.openxmlformats.org/officeDocument/2006/relationships/hyperlink" Target="https://advance.lexis.com/api/document?collection=cases-ca&amp;id=urn:contentItem:5F7T-S761-F81W-21VV-00000-00&amp;context=" TargetMode="External" /><Relationship Id="rId527" Type="http://schemas.openxmlformats.org/officeDocument/2006/relationships/hyperlink" Target="https://advance.lexis.com/api/document?collection=cases-ca&amp;id=urn:contentItem:5F7T-S781-JSC5-M43C-00000-00&amp;context=" TargetMode="External" /><Relationship Id="rId528" Type="http://schemas.openxmlformats.org/officeDocument/2006/relationships/hyperlink" Target="https://advance.lexis.com/api/document?collection=cases-ca&amp;id=urn:contentItem:5F7T-S761-F81W-2216-00000-00&amp;context=" TargetMode="External" /><Relationship Id="rId529" Type="http://schemas.openxmlformats.org/officeDocument/2006/relationships/header" Target="header97.xml" /><Relationship Id="rId53" Type="http://schemas.openxmlformats.org/officeDocument/2006/relationships/hyperlink" Target="https://advance.lexis.com/api/document?collection=cases-ca&amp;id=urn:contentItem:5F7T-S7P1-JSJC-X1NX-00000-00&amp;context=" TargetMode="External" /><Relationship Id="rId530" Type="http://schemas.openxmlformats.org/officeDocument/2006/relationships/header" Target="header98.xml" /><Relationship Id="rId531" Type="http://schemas.openxmlformats.org/officeDocument/2006/relationships/footer" Target="footer97.xml" /><Relationship Id="rId532" Type="http://schemas.openxmlformats.org/officeDocument/2006/relationships/footer" Target="footer98.xml" /><Relationship Id="rId533" Type="http://schemas.openxmlformats.org/officeDocument/2006/relationships/header" Target="header99.xml" /><Relationship Id="rId534" Type="http://schemas.openxmlformats.org/officeDocument/2006/relationships/footer" Target="footer99.xml" /><Relationship Id="rId535" Type="http://schemas.openxmlformats.org/officeDocument/2006/relationships/hyperlink" Target="https://advance.lexis.com/api/document?collection=cases-ca&amp;id=urn:contentItem:5F7T-S771-JTGH-B1GW-00000-00&amp;context=" TargetMode="External" /><Relationship Id="rId536" Type="http://schemas.openxmlformats.org/officeDocument/2006/relationships/hyperlink" Target="https://advance.lexis.com/api/document?collection=cases-ca&amp;id=urn:contentItem:5F7T-S701-JJYN-B2WC-00000-00&amp;context=" TargetMode="External" /><Relationship Id="rId537" Type="http://schemas.openxmlformats.org/officeDocument/2006/relationships/hyperlink" Target="https://advance.lexis.com/api/document?collection=cases-ca&amp;id=urn:contentItem:5F8T-N3V1-JF75-M3FN-00000-00&amp;context=" TargetMode="External" /><Relationship Id="rId538" Type="http://schemas.openxmlformats.org/officeDocument/2006/relationships/hyperlink" Target="https://advance.lexis.com/api/document?collection=cases-ca&amp;id=urn:contentItem:5F7T-S721-JSC5-M3C6-00000-00&amp;context=" TargetMode="External" /><Relationship Id="rId539" Type="http://schemas.openxmlformats.org/officeDocument/2006/relationships/hyperlink" Target="https://advance.lexis.com/api/document?collection=cases-ca&amp;id=urn:contentItem:5F8N-K6X1-JB2B-S51J-00000-00&amp;context=" TargetMode="External" /><Relationship Id="rId54" Type="http://schemas.openxmlformats.org/officeDocument/2006/relationships/hyperlink" Target="https://advance.lexis.com/api/document?collection=legislation-ca&amp;id=urn:contentItem:5F41-1FG1-JJYN-B035-00000-00&amp;context=" TargetMode="External" /><Relationship Id="rId540" Type="http://schemas.openxmlformats.org/officeDocument/2006/relationships/hyperlink" Target="https://advance.lexis.com/api/document?collection=cases-ca&amp;id=urn:contentItem:5F7T-XPW1-F1H1-20HV-00000-00&amp;context=" TargetMode="External" /><Relationship Id="rId541" Type="http://schemas.openxmlformats.org/officeDocument/2006/relationships/hyperlink" Target="https://advance.lexis.com/api/document?collection=cases-ca&amp;id=urn:contentItem:5F8T-N3S1-JT99-254W-00000-00&amp;context=" TargetMode="External" /><Relationship Id="rId542" Type="http://schemas.openxmlformats.org/officeDocument/2006/relationships/hyperlink" Target="https://advance.lexis.com/api/document?collection=cases-ca&amp;id=urn:contentItem:5F8T-N3S1-JT99-24MJ-00000-00&amp;context=" TargetMode="External" /><Relationship Id="rId543" Type="http://schemas.openxmlformats.org/officeDocument/2006/relationships/hyperlink" Target="https://advance.lexis.com/api/document?collection=cases-ca&amp;id=urn:contentItem:5F16-9351-FCYK-21XR-00000-00&amp;context=" TargetMode="External" /><Relationship Id="rId544" Type="http://schemas.openxmlformats.org/officeDocument/2006/relationships/hyperlink" Target="https://advance.lexis.com/api/document?collection=cases-ca&amp;id=urn:contentItem:5F7T-S6S1-JX8W-M28S-00000-00&amp;context=" TargetMode="External" /><Relationship Id="rId545" Type="http://schemas.openxmlformats.org/officeDocument/2006/relationships/hyperlink" Target="https://advance.lexis.com/api/document?collection=cases-ca&amp;id=urn:contentItem:5F8P-SCC1-FGCG-S1YM-00000-00&amp;context=" TargetMode="External" /><Relationship Id="rId546" Type="http://schemas.openxmlformats.org/officeDocument/2006/relationships/hyperlink" Target="https://advance.lexis.com/api/document?collection=cases-ca&amp;id=urn:contentItem:5F7T-S701-JK4W-M188-00000-00&amp;context=" TargetMode="External" /><Relationship Id="rId547" Type="http://schemas.openxmlformats.org/officeDocument/2006/relationships/hyperlink" Target="https://advance.lexis.com/api/document?collection=cases-ca&amp;id=urn:contentItem:5F16-9321-JX3N-B50N-00000-00&amp;context=" TargetMode="External" /><Relationship Id="rId548" Type="http://schemas.openxmlformats.org/officeDocument/2006/relationships/hyperlink" Target="https://advance.lexis.com/api/document?collection=cases-ca&amp;id=urn:contentItem:5F8T-N3P1-FC6N-X1KM-00000-00&amp;context=" TargetMode="External" /><Relationship Id="rId549" Type="http://schemas.openxmlformats.org/officeDocument/2006/relationships/hyperlink" Target="https://advance.lexis.com/api/document?collection=cases-ca&amp;id=urn:contentItem:5F7T-S7G1-JX3N-B211-00000-00&amp;context=" TargetMode="External" /><Relationship Id="rId55" Type="http://schemas.openxmlformats.org/officeDocument/2006/relationships/hyperlink" Target="https://advance.lexis.com/api/document?collection=legislation-ca&amp;id=urn:contentItem:5F97-RC81-FD4T-B2BH-00000-00&amp;context=" TargetMode="External" /><Relationship Id="rId550" Type="http://schemas.openxmlformats.org/officeDocument/2006/relationships/hyperlink" Target="https://advance.lexis.com/api/document?collection=cases-ca&amp;id=urn:contentItem:5F81-WC31-F5KY-B4V9-00000-00&amp;context=" TargetMode="External" /><Relationship Id="rId551" Type="http://schemas.openxmlformats.org/officeDocument/2006/relationships/hyperlink" Target="https://advance.lexis.com/api/document?collection=cases-ca&amp;id=urn:contentItem:5F8T-N3V1-JFKM-609F-00000-00&amp;context=" TargetMode="External" /><Relationship Id="rId552" Type="http://schemas.openxmlformats.org/officeDocument/2006/relationships/hyperlink" Target="https://advance.lexis.com/api/document?collection=cases-ca&amp;id=urn:contentItem:5F8T-N3V1-JF75-M3K1-00000-00&amp;context=" TargetMode="External" /><Relationship Id="rId553" Type="http://schemas.openxmlformats.org/officeDocument/2006/relationships/header" Target="header100.xml" /><Relationship Id="rId554" Type="http://schemas.openxmlformats.org/officeDocument/2006/relationships/header" Target="header101.xml" /><Relationship Id="rId555" Type="http://schemas.openxmlformats.org/officeDocument/2006/relationships/footer" Target="footer100.xml" /><Relationship Id="rId556" Type="http://schemas.openxmlformats.org/officeDocument/2006/relationships/footer" Target="footer101.xml" /><Relationship Id="rId557" Type="http://schemas.openxmlformats.org/officeDocument/2006/relationships/header" Target="header102.xml" /><Relationship Id="rId558" Type="http://schemas.openxmlformats.org/officeDocument/2006/relationships/footer" Target="footer102.xml" /><Relationship Id="rId559" Type="http://schemas.openxmlformats.org/officeDocument/2006/relationships/hyperlink" Target="https://advance.lexis.com/api/document?collection=cases-ca&amp;id=urn:contentItem:5F7T-S7J1-DXWW-253K-00000-00&amp;context=" TargetMode="External" /><Relationship Id="rId56" Type="http://schemas.openxmlformats.org/officeDocument/2006/relationships/hyperlink" Target="https://advance.lexis.com/api/document?collection=cases-ca&amp;id=urn:contentItem:5F7T-S7M1-DYMS-625V-00000-00&amp;context=" TargetMode="External" /><Relationship Id="rId560" Type="http://schemas.openxmlformats.org/officeDocument/2006/relationships/hyperlink" Target="https://advance.lexis.com/api/document?collection=legislation-ca&amp;id=urn:contentItem:5F41-1FH1-F361-M0HV-00000-00&amp;context=" TargetMode="External" /><Relationship Id="rId561" Type="http://schemas.openxmlformats.org/officeDocument/2006/relationships/hyperlink" Target="https://advance.lexis.com/api/document?collection=cases-ca&amp;id=urn:contentItem:5F7T-S6S1-FFTT-X0M6-00000-00&amp;context=" TargetMode="External" /><Relationship Id="rId562" Type="http://schemas.openxmlformats.org/officeDocument/2006/relationships/hyperlink" Target="https://advance.lexis.com/api/document?collection=cases-ca&amp;id=urn:contentItem:5F7T-S731-JC0G-63KX-00000-00&amp;context=" TargetMode="External" /><Relationship Id="rId563" Type="http://schemas.openxmlformats.org/officeDocument/2006/relationships/hyperlink" Target="https://advance.lexis.com/api/document?collection=cases-ca&amp;id=urn:contentItem:5F7T-S711-F27X-60PD-00000-00&amp;context=" TargetMode="External" /><Relationship Id="rId564" Type="http://schemas.openxmlformats.org/officeDocument/2006/relationships/hyperlink" Target="https://advance.lexis.com/api/document?collection=cases-ca&amp;id=urn:contentItem:5F7T-S6S1-JTNR-M1SH-00000-00&amp;context=" TargetMode="External" /><Relationship Id="rId565" Type="http://schemas.openxmlformats.org/officeDocument/2006/relationships/hyperlink" Target="https://advance.lexis.com/api/document?collection=cases-ca&amp;id=urn:contentItem:5F7T-S761-F81W-21P4-00000-00&amp;context=" TargetMode="External" /><Relationship Id="rId566" Type="http://schemas.openxmlformats.org/officeDocument/2006/relationships/header" Target="header103.xml" /><Relationship Id="rId567" Type="http://schemas.openxmlformats.org/officeDocument/2006/relationships/header" Target="header104.xml" /><Relationship Id="rId568" Type="http://schemas.openxmlformats.org/officeDocument/2006/relationships/footer" Target="footer103.xml" /><Relationship Id="rId569" Type="http://schemas.openxmlformats.org/officeDocument/2006/relationships/footer" Target="footer104.xml" /><Relationship Id="rId57" Type="http://schemas.openxmlformats.org/officeDocument/2006/relationships/hyperlink" Target="https://advance.lexis.com/api/document?collection=legislation-ca&amp;id=urn:contentItem:5W2C-X5J1-JJ1H-X0F6-00000-00&amp;context=" TargetMode="External" /><Relationship Id="rId570" Type="http://schemas.openxmlformats.org/officeDocument/2006/relationships/header" Target="header105.xml" /><Relationship Id="rId571" Type="http://schemas.openxmlformats.org/officeDocument/2006/relationships/footer" Target="footer105.xml" /><Relationship Id="rId572" Type="http://schemas.openxmlformats.org/officeDocument/2006/relationships/hyperlink" Target="https://advance.lexis.com/api/document?collection=cases-ca&amp;id=urn:contentItem:5F7T-S7N1-F06F-24W8-00000-00&amp;context=" TargetMode="External" /><Relationship Id="rId573" Type="http://schemas.openxmlformats.org/officeDocument/2006/relationships/hyperlink" Target="https://advance.lexis.com/api/document?collection=legislation-ca&amp;id=urn:contentItem:5F41-1FG1-FBN1-20XV-00000-00&amp;context=" TargetMode="External" /><Relationship Id="rId574" Type="http://schemas.openxmlformats.org/officeDocument/2006/relationships/hyperlink" Target="https://advance.lexis.com/api/document?collection=legislation-ca&amp;id=urn:contentItem:5F41-1FK1-DY33-B0MC-00000-00&amp;context=" TargetMode="External" /><Relationship Id="rId575" Type="http://schemas.openxmlformats.org/officeDocument/2006/relationships/hyperlink" Target="https://advance.lexis.com/api/document?collection=cases-ca&amp;id=urn:contentItem:5F7T-S6X1-K0BB-S0F0-00000-00&amp;context=" TargetMode="External" /><Relationship Id="rId576" Type="http://schemas.openxmlformats.org/officeDocument/2006/relationships/hyperlink" Target="https://advance.lexis.com/api/document?collection=cases-ca&amp;id=urn:contentItem:5F7T-S6W1-F5T5-M1XG-00000-00&amp;context=" TargetMode="External" /><Relationship Id="rId577" Type="http://schemas.openxmlformats.org/officeDocument/2006/relationships/hyperlink" Target="https://advance.lexis.com/api/document?collection=cases-ca&amp;id=urn:contentItem:5F7T-S6T1-F528-G12R-00000-00&amp;context=" TargetMode="External" /><Relationship Id="rId578" Type="http://schemas.openxmlformats.org/officeDocument/2006/relationships/hyperlink" Target="https://advance.lexis.com/api/document?collection=cases-ca&amp;id=urn:contentItem:5F8T-N3T1-JJSF-234B-00000-00&amp;context=" TargetMode="External" /><Relationship Id="rId579" Type="http://schemas.openxmlformats.org/officeDocument/2006/relationships/hyperlink" Target="https://advance.lexis.com/api/document?collection=cases-ca&amp;id=urn:contentItem:5F16-93F1-FGY5-M2BH-00000-00&amp;context=" TargetMode="External" /><Relationship Id="rId58" Type="http://schemas.openxmlformats.org/officeDocument/2006/relationships/hyperlink" Target="https://advance.lexis.com/api/document?collection=cases-ca&amp;id=urn:contentItem:5F8T-N3S1-JT99-24T4-00000-00&amp;context=" TargetMode="External" /><Relationship Id="rId580" Type="http://schemas.openxmlformats.org/officeDocument/2006/relationships/hyperlink" Target="https://advance.lexis.com/api/document?collection=cases-ca&amp;id=urn:contentItem:5F7T-S6T1-F361-M03K-00000-00&amp;context=" TargetMode="External" /><Relationship Id="rId581" Type="http://schemas.openxmlformats.org/officeDocument/2006/relationships/hyperlink" Target="https://advance.lexis.com/api/document?collection=cases-ca&amp;id=urn:contentItem:5F8T-N3V1-JTGH-B1CS-00000-00&amp;context=" TargetMode="External" /><Relationship Id="rId582" Type="http://schemas.openxmlformats.org/officeDocument/2006/relationships/hyperlink" Target="https://advance.lexis.com/api/document?collection=cases-ca&amp;id=urn:contentItem:5F8T-N3T1-JGHR-M278-00000-00&amp;context=" TargetMode="External" /><Relationship Id="rId583" Type="http://schemas.openxmlformats.org/officeDocument/2006/relationships/hyperlink" Target="https://advance.lexis.com/api/document?collection=cases-ca&amp;id=urn:contentItem:5F7T-S741-DY89-M3TM-00000-00&amp;context=" TargetMode="External" /><Relationship Id="rId584" Type="http://schemas.openxmlformats.org/officeDocument/2006/relationships/hyperlink" Target="https://advance.lexis.com/api/document?collection=cases-ca&amp;id=urn:contentItem:5F7V-3DH1-JCJ5-23CC-00000-00&amp;context=" TargetMode="External" /><Relationship Id="rId585" Type="http://schemas.openxmlformats.org/officeDocument/2006/relationships/hyperlink" Target="https://advance.lexis.com/api/document?collection=cases-ca&amp;id=urn:contentItem:5F7V-3DJ1-K0BB-S0RR-00000-00&amp;context=" TargetMode="External" /><Relationship Id="rId586" Type="http://schemas.openxmlformats.org/officeDocument/2006/relationships/hyperlink" Target="https://advance.lexis.com/api/document?collection=cases-ca&amp;id=urn:contentItem:5F82-1SG1-FGY5-M436-00000-00&amp;context=" TargetMode="External" /><Relationship Id="rId587" Type="http://schemas.openxmlformats.org/officeDocument/2006/relationships/header" Target="header106.xml" /><Relationship Id="rId588" Type="http://schemas.openxmlformats.org/officeDocument/2006/relationships/header" Target="header107.xml" /><Relationship Id="rId589" Type="http://schemas.openxmlformats.org/officeDocument/2006/relationships/footer" Target="footer106.xml" /><Relationship Id="rId59" Type="http://schemas.openxmlformats.org/officeDocument/2006/relationships/hyperlink" Target="https://advance.lexis.com/api/document?collection=cases-ca&amp;id=urn:contentItem:5F7T-S701-JJ6S-61TV-00000-00&amp;context=" TargetMode="External" /><Relationship Id="rId590" Type="http://schemas.openxmlformats.org/officeDocument/2006/relationships/footer" Target="footer107.xml" /><Relationship Id="rId591" Type="http://schemas.openxmlformats.org/officeDocument/2006/relationships/header" Target="header108.xml" /><Relationship Id="rId592" Type="http://schemas.openxmlformats.org/officeDocument/2006/relationships/footer" Target="footer108.xml" /><Relationship Id="rId593" Type="http://schemas.openxmlformats.org/officeDocument/2006/relationships/hyperlink" Target="https://advance.lexis.com/api/document?collection=cases-ca&amp;id=urn:contentItem:5F7T-S7H1-F4GK-M316-00000-00&amp;context=" TargetMode="External" /><Relationship Id="rId594" Type="http://schemas.openxmlformats.org/officeDocument/2006/relationships/hyperlink" Target="https://advance.lexis.com/api/document?collection=legislation-ca&amp;id=urn:contentItem:5F41-1FH1-F361-M0H8-00000-00&amp;context=" TargetMode="External" /><Relationship Id="rId595" Type="http://schemas.openxmlformats.org/officeDocument/2006/relationships/hyperlink" Target="https://advance.lexis.com/api/document?collection=cases-ca&amp;id=urn:contentItem:5F81-YH41-JX8W-M05P-00000-00&amp;context=" TargetMode="External" /><Relationship Id="rId596" Type="http://schemas.openxmlformats.org/officeDocument/2006/relationships/header" Target="header109.xml" /><Relationship Id="rId597" Type="http://schemas.openxmlformats.org/officeDocument/2006/relationships/header" Target="header110.xml" /><Relationship Id="rId598" Type="http://schemas.openxmlformats.org/officeDocument/2006/relationships/footer" Target="footer109.xml" /><Relationship Id="rId599" Type="http://schemas.openxmlformats.org/officeDocument/2006/relationships/footer" Target="footer110.xml" /><Relationship Id="rId6" Type="http://schemas.openxmlformats.org/officeDocument/2006/relationships/footer" Target="footer1.xml" /><Relationship Id="rId60" Type="http://schemas.openxmlformats.org/officeDocument/2006/relationships/hyperlink" Target="https://advance.lexis.com/api/document?collection=cases-ca&amp;id=urn:contentItem:5F8T-N3V1-FC1F-M44Y-00000-00&amp;context=" TargetMode="External" /><Relationship Id="rId600" Type="http://schemas.openxmlformats.org/officeDocument/2006/relationships/header" Target="header111.xml" /><Relationship Id="rId601" Type="http://schemas.openxmlformats.org/officeDocument/2006/relationships/footer" Target="footer111.xml" /><Relationship Id="rId602" Type="http://schemas.openxmlformats.org/officeDocument/2006/relationships/hyperlink" Target="https://advance.lexis.com/api/document?collection=cases-ca&amp;id=urn:contentItem:5F7T-S7F1-JK4W-M1V8-00000-00&amp;context=" TargetMode="External" /><Relationship Id="rId603" Type="http://schemas.openxmlformats.org/officeDocument/2006/relationships/hyperlink" Target="https://advance.lexis.com/api/document?collection=legislation-ca&amp;id=urn:contentItem:5F41-1FH1-F361-M0GK-00000-00&amp;context=" TargetMode="External" /><Relationship Id="rId604" Type="http://schemas.openxmlformats.org/officeDocument/2006/relationships/hyperlink" Target="https://advance.lexis.com/api/document?collection=cases-ca&amp;id=urn:contentItem:5F7T-S741-F2F4-G25W-00000-00&amp;context=" TargetMode="External" /><Relationship Id="rId605" Type="http://schemas.openxmlformats.org/officeDocument/2006/relationships/header" Target="header112.xml" /><Relationship Id="rId606" Type="http://schemas.openxmlformats.org/officeDocument/2006/relationships/header" Target="header113.xml" /><Relationship Id="rId607" Type="http://schemas.openxmlformats.org/officeDocument/2006/relationships/footer" Target="footer112.xml" /><Relationship Id="rId608" Type="http://schemas.openxmlformats.org/officeDocument/2006/relationships/footer" Target="footer113.xml" /><Relationship Id="rId609" Type="http://schemas.openxmlformats.org/officeDocument/2006/relationships/header" Target="header114.xml" /><Relationship Id="rId61" Type="http://schemas.openxmlformats.org/officeDocument/2006/relationships/hyperlink" Target="https://advance.lexis.com/api/document?collection=cases-ca&amp;id=urn:contentItem:5F81-VJW1-JF75-M16F-00000-00&amp;context=" TargetMode="External" /><Relationship Id="rId610" Type="http://schemas.openxmlformats.org/officeDocument/2006/relationships/footer" Target="footer114.xml" /><Relationship Id="rId611" Type="http://schemas.openxmlformats.org/officeDocument/2006/relationships/hyperlink" Target="https://advance.lexis.com/api/document?collection=cases-ca&amp;id=urn:contentItem:5F7T-S7K1-F528-G2VT-00000-00&amp;context=" TargetMode="External" /><Relationship Id="rId612" Type="http://schemas.openxmlformats.org/officeDocument/2006/relationships/hyperlink" Target="https://advance.lexis.com/api/document?collection=legislation-ca&amp;id=urn:contentItem:5F41-1FK1-DY33-B0JT-00000-00&amp;context=" TargetMode="External" /><Relationship Id="rId613" Type="http://schemas.openxmlformats.org/officeDocument/2006/relationships/hyperlink" Target="https://advance.lexis.com/api/document?collection=cases-ca&amp;id=urn:contentItem:5F7T-S7H1-JFSV-G32S-00000-00&amp;context=" TargetMode="External" /><Relationship Id="rId614" Type="http://schemas.openxmlformats.org/officeDocument/2006/relationships/hyperlink" Target="https://advance.lexis.com/api/document?collection=cases-ca&amp;id=urn:contentItem:5F7T-S7J1-DXWW-24TW-00000-00&amp;context=" TargetMode="External" /><Relationship Id="rId615" Type="http://schemas.openxmlformats.org/officeDocument/2006/relationships/hyperlink" Target="https://advance.lexis.com/api/document?collection=legislation-ca&amp;id=urn:contentItem:5VYK-W9X1-JN6B-S1KB-00000-00&amp;context=" TargetMode="External" /><Relationship Id="rId616" Type="http://schemas.openxmlformats.org/officeDocument/2006/relationships/hyperlink" Target="https://advance.lexis.com/api/document?collection=cases-ca&amp;id=urn:contentItem:5F7T-S6W1-JYYX-61WY-00000-00&amp;context=" TargetMode="External" /><Relationship Id="rId617" Type="http://schemas.openxmlformats.org/officeDocument/2006/relationships/hyperlink" Target="https://advance.lexis.com/api/document?collection=cases-ca&amp;id=urn:contentItem:5F7T-S7J1-DXWW-24P2-00000-00&amp;context=" TargetMode="External" /><Relationship Id="rId618" Type="http://schemas.openxmlformats.org/officeDocument/2006/relationships/hyperlink" Target="https://advance.lexis.com/api/document?collection=cases-ca&amp;id=urn:contentItem:5F7T-S771-F81W-22PT-00000-00&amp;context=" TargetMode="External" /><Relationship Id="rId619" Type="http://schemas.openxmlformats.org/officeDocument/2006/relationships/hyperlink" Target="https://advance.lexis.com/api/document?collection=cases-ca&amp;id=urn:contentItem:5F7T-S7F1-JBT7-X35F-00000-00&amp;context=" TargetMode="External" /><Relationship Id="rId62" Type="http://schemas.openxmlformats.org/officeDocument/2006/relationships/hyperlink" Target="https://advance.lexis.com/api/document?collection=cases-ca&amp;id=urn:contentItem:5F8T-N3V1-FC1F-M4D7-00000-00&amp;context=" TargetMode="External" /><Relationship Id="rId620" Type="http://schemas.openxmlformats.org/officeDocument/2006/relationships/hyperlink" Target="https://advance.lexis.com/api/document?collection=cases-ca&amp;id=urn:contentItem:5F7T-S771-JN14-G2DF-00000-00&amp;context=" TargetMode="External" /><Relationship Id="rId621" Type="http://schemas.openxmlformats.org/officeDocument/2006/relationships/hyperlink" Target="https://advance.lexis.com/api/document?collection=cases-ca&amp;id=urn:contentItem:5F16-9371-F27X-61JX-00000-00&amp;context=" TargetMode="External" /><Relationship Id="rId622" Type="http://schemas.openxmlformats.org/officeDocument/2006/relationships/hyperlink" Target="https://advance.lexis.com/api/document?collection=cases-ca&amp;id=urn:contentItem:5F16-93B1-JWR6-S4TM-00000-00&amp;context=" TargetMode="External" /><Relationship Id="rId623" Type="http://schemas.openxmlformats.org/officeDocument/2006/relationships/hyperlink" Target="https://advance.lexis.com/api/document?collection=cases-ca&amp;id=urn:contentItem:5F8N-K751-F22N-X10D-00000-00&amp;context=" TargetMode="External" /><Relationship Id="rId624" Type="http://schemas.openxmlformats.org/officeDocument/2006/relationships/header" Target="header115.xml" /><Relationship Id="rId625" Type="http://schemas.openxmlformats.org/officeDocument/2006/relationships/header" Target="header116.xml" /><Relationship Id="rId626" Type="http://schemas.openxmlformats.org/officeDocument/2006/relationships/footer" Target="footer115.xml" /><Relationship Id="rId627" Type="http://schemas.openxmlformats.org/officeDocument/2006/relationships/footer" Target="footer116.xml" /><Relationship Id="rId628" Type="http://schemas.openxmlformats.org/officeDocument/2006/relationships/header" Target="header117.xml" /><Relationship Id="rId629" Type="http://schemas.openxmlformats.org/officeDocument/2006/relationships/footer" Target="footer117.xml" /><Relationship Id="rId63" Type="http://schemas.openxmlformats.org/officeDocument/2006/relationships/hyperlink" Target="https://advance.lexis.com/api/document?collection=cases-ca&amp;id=urn:contentItem:5F8T-N3V1-JTGH-B19V-00000-00&amp;context=" TargetMode="External" /><Relationship Id="rId630" Type="http://schemas.openxmlformats.org/officeDocument/2006/relationships/hyperlink" Target="https://advance.lexis.com/api/document?collection=cases-ca&amp;id=urn:contentItem:5F7T-S7M1-JJK6-S1RJ-00000-00&amp;context=" TargetMode="External" /><Relationship Id="rId631" Type="http://schemas.openxmlformats.org/officeDocument/2006/relationships/hyperlink" Target="https://advance.lexis.com/api/document?collection=legislation-ca&amp;id=urn:contentItem:5W07-7G31-DY33-B016-00000-00&amp;context=" TargetMode="External" /><Relationship Id="rId632" Type="http://schemas.openxmlformats.org/officeDocument/2006/relationships/hyperlink" Target="https://advance.lexis.com/api/document?collection=legislation-ca&amp;id=urn:contentItem:5VYK-WB61-JXG3-X3FD-00000-00&amp;context=" TargetMode="External" /><Relationship Id="rId633" Type="http://schemas.openxmlformats.org/officeDocument/2006/relationships/hyperlink" Target="https://advance.lexis.com/api/document?collection=cases-ca&amp;id=urn:contentItem:5F81-VJX1-FD4T-B2T0-00000-00&amp;context=" TargetMode="External" /><Relationship Id="rId634" Type="http://schemas.openxmlformats.org/officeDocument/2006/relationships/hyperlink" Target="https://advance.lexis.com/api/document?collection=cases-ca&amp;id=urn:contentItem:5F7T-S7F1-FFFC-B239-00000-00&amp;context=" TargetMode="External" /><Relationship Id="rId635" Type="http://schemas.openxmlformats.org/officeDocument/2006/relationships/hyperlink" Target="https://advance.lexis.com/api/document?collection=cases-ca&amp;id=urn:contentItem:5F7T-S751-FJDY-X3HG-00000-00&amp;context=" TargetMode="External" /><Relationship Id="rId636" Type="http://schemas.openxmlformats.org/officeDocument/2006/relationships/hyperlink" Target="https://advance.lexis.com/api/document?collection=cases-ca&amp;id=urn:contentItem:5F7T-S781-FH4C-X2SM-00000-00&amp;context=" TargetMode="External" /><Relationship Id="rId637" Type="http://schemas.openxmlformats.org/officeDocument/2006/relationships/hyperlink" Target="https://advance.lexis.com/api/document?collection=cases-ca&amp;id=urn:contentItem:5F81-VJX1-FCK4-G1XM-00000-00&amp;context=" TargetMode="External" /><Relationship Id="rId638" Type="http://schemas.openxmlformats.org/officeDocument/2006/relationships/hyperlink" Target="https://advance.lexis.com/api/document?collection=cases-ca&amp;id=urn:contentItem:5F7T-S7F1-FJTD-G34B-00000-00&amp;context=" TargetMode="External" /><Relationship Id="rId639" Type="http://schemas.openxmlformats.org/officeDocument/2006/relationships/hyperlink" Target="https://advance.lexis.com/api/document?collection=cases-ca&amp;id=urn:contentItem:5F7T-S7H1-JS5Y-B335-00000-00&amp;context=" TargetMode="External" /><Relationship Id="rId64" Type="http://schemas.openxmlformats.org/officeDocument/2006/relationships/hyperlink" Target="https://advance.lexis.com/api/document?collection=cases-ca&amp;id=urn:contentItem:5F8T-N3V1-JTGH-B19W-00000-00&amp;context=" TargetMode="External" /><Relationship Id="rId640" Type="http://schemas.openxmlformats.org/officeDocument/2006/relationships/hyperlink" Target="https://advance.lexis.com/api/document?collection=cases-ca&amp;id=urn:contentItem:5F8T-N3V1-FC1F-M4CP-00000-00&amp;context=" TargetMode="External" /><Relationship Id="rId641" Type="http://schemas.openxmlformats.org/officeDocument/2006/relationships/hyperlink" Target="https://advance.lexis.com/api/document?collection=cases-ca&amp;id=urn:contentItem:5F8P-SDW1-F57G-S132-00000-00&amp;context=" TargetMode="External" /><Relationship Id="rId642" Type="http://schemas.openxmlformats.org/officeDocument/2006/relationships/hyperlink" Target="https://advance.lexis.com/api/document?collection=cases-ca&amp;id=urn:contentItem:5F8P-SF21-JJK6-S0KP-00000-00&amp;context=" TargetMode="External" /><Relationship Id="rId643" Type="http://schemas.openxmlformats.org/officeDocument/2006/relationships/hyperlink" Target="https://advance.lexis.com/api/document?collection=cases-ca&amp;id=urn:contentItem:5F7T-S7K1-JSJC-X0T0-00000-00&amp;context=" TargetMode="External" /><Relationship Id="rId644" Type="http://schemas.openxmlformats.org/officeDocument/2006/relationships/hyperlink" Target="https://advance.lexis.com/api/document?collection=cases-ca&amp;id=urn:contentItem:5F7T-S7J1-JGBH-B2B7-00000-00&amp;context=" TargetMode="External" /><Relationship Id="rId645" Type="http://schemas.openxmlformats.org/officeDocument/2006/relationships/hyperlink" Target="https://advance.lexis.com/api/document?collection=cases-ca&amp;id=urn:contentItem:5F7T-S7K1-JKHB-6322-00000-00&amp;context=" TargetMode="External" /><Relationship Id="rId646" Type="http://schemas.openxmlformats.org/officeDocument/2006/relationships/hyperlink" Target="https://advance.lexis.com/api/document?collection=cases-ca&amp;id=urn:contentItem:5F7T-S7J1-JYYX-62F8-00000-00&amp;context=" TargetMode="External" /><Relationship Id="rId647" Type="http://schemas.openxmlformats.org/officeDocument/2006/relationships/hyperlink" Target="https://advance.lexis.com/api/document?collection=cases-ca&amp;id=urn:contentItem:5F7T-S7K1-DY33-B1VX-00000-00&amp;context=" TargetMode="External" /><Relationship Id="rId648" Type="http://schemas.openxmlformats.org/officeDocument/2006/relationships/header" Target="header118.xml" /><Relationship Id="rId649" Type="http://schemas.openxmlformats.org/officeDocument/2006/relationships/header" Target="header119.xml" /><Relationship Id="rId65" Type="http://schemas.openxmlformats.org/officeDocument/2006/relationships/hyperlink" Target="https://advance.lexis.com/api/document?collection=cases-ca&amp;id=urn:contentItem:5F7T-S711-FJDY-X39R-00000-00&amp;context=" TargetMode="External" /><Relationship Id="rId650" Type="http://schemas.openxmlformats.org/officeDocument/2006/relationships/footer" Target="footer118.xml" /><Relationship Id="rId651" Type="http://schemas.openxmlformats.org/officeDocument/2006/relationships/footer" Target="footer119.xml" /><Relationship Id="rId652" Type="http://schemas.openxmlformats.org/officeDocument/2006/relationships/header" Target="header120.xml" /><Relationship Id="rId653" Type="http://schemas.openxmlformats.org/officeDocument/2006/relationships/footer" Target="footer120.xml" /><Relationship Id="rId654" Type="http://schemas.openxmlformats.org/officeDocument/2006/relationships/hyperlink" Target="https://advance.lexis.com/api/document?collection=cases-ca&amp;id=urn:contentItem:5F7T-S781-F7G6-63TY-00000-00&amp;context=" TargetMode="External" /><Relationship Id="rId655" Type="http://schemas.openxmlformats.org/officeDocument/2006/relationships/hyperlink" Target="https://advance.lexis.com/api/document?collection=legislation-ca&amp;id=urn:contentItem:5VYK-WB51-K054-G4Y8-00000-00&amp;context=" TargetMode="External" /><Relationship Id="rId656" Type="http://schemas.openxmlformats.org/officeDocument/2006/relationships/hyperlink" Target="https://advance.lexis.com/api/document?collection=legislation-ca&amp;id=urn:contentItem:5F3B-B721-FH4C-X0P0-00000-00&amp;context=" TargetMode="External" /><Relationship Id="rId657" Type="http://schemas.openxmlformats.org/officeDocument/2006/relationships/hyperlink" Target="https://advance.lexis.com/api/document?collection=cases-ca&amp;id=urn:contentItem:5F8W-M431-JF1Y-B465-00000-00&amp;context=" TargetMode="External" /><Relationship Id="rId658" Type="http://schemas.openxmlformats.org/officeDocument/2006/relationships/hyperlink" Target="https://advance.lexis.com/api/document?collection=cases-ca&amp;id=urn:contentItem:5F8W-M471-F8D9-M3T7-00000-00&amp;context=" TargetMode="External" /><Relationship Id="rId659" Type="http://schemas.openxmlformats.org/officeDocument/2006/relationships/hyperlink" Target="https://advance.lexis.com/api/document?collection=cases-ca&amp;id=urn:contentItem:5F7T-S731-FFFC-B0J8-00000-00&amp;context=" TargetMode="External" /><Relationship Id="rId66" Type="http://schemas.openxmlformats.org/officeDocument/2006/relationships/hyperlink" Target="https://advance.lexis.com/api/document?collection=cases-ca&amp;id=urn:contentItem:5F8T-N3V1-JF75-M3KC-00000-00&amp;context=" TargetMode="External" /><Relationship Id="rId660" Type="http://schemas.openxmlformats.org/officeDocument/2006/relationships/hyperlink" Target="https://advance.lexis.com/api/document?collection=cases-ca&amp;id=urn:contentItem:5F8T-N3S1-JBDT-B085-00000-00&amp;context=" TargetMode="External" /><Relationship Id="rId661" Type="http://schemas.openxmlformats.org/officeDocument/2006/relationships/hyperlink" Target="https://advance.lexis.com/api/document?collection=cases-ca&amp;id=urn:contentItem:5F7F-5RG1-JC5P-G0DD-00000-00&amp;context=" TargetMode="External" /><Relationship Id="rId662" Type="http://schemas.openxmlformats.org/officeDocument/2006/relationships/hyperlink" Target="https://advance.lexis.com/api/document?collection=cases-ca&amp;id=urn:contentItem:5F7T-S711-JNY7-X30X-00000-00&amp;context=" TargetMode="External" /><Relationship Id="rId663" Type="http://schemas.openxmlformats.org/officeDocument/2006/relationships/hyperlink" Target="https://advance.lexis.com/api/document?collection=cases-ca&amp;id=urn:contentItem:5F7F-5RF1-F4W2-6019-00000-00&amp;context=" TargetMode="External" /><Relationship Id="rId664" Type="http://schemas.openxmlformats.org/officeDocument/2006/relationships/header" Target="header121.xml" /><Relationship Id="rId665" Type="http://schemas.openxmlformats.org/officeDocument/2006/relationships/header" Target="header122.xml" /><Relationship Id="rId666" Type="http://schemas.openxmlformats.org/officeDocument/2006/relationships/footer" Target="footer121.xml" /><Relationship Id="rId667" Type="http://schemas.openxmlformats.org/officeDocument/2006/relationships/footer" Target="footer122.xml" /><Relationship Id="rId668" Type="http://schemas.openxmlformats.org/officeDocument/2006/relationships/header" Target="header123.xml" /><Relationship Id="rId669" Type="http://schemas.openxmlformats.org/officeDocument/2006/relationships/footer" Target="footer123.xml" /><Relationship Id="rId67" Type="http://schemas.openxmlformats.org/officeDocument/2006/relationships/hyperlink" Target="https://advance.lexis.com/api/document?collection=legislation-ca&amp;id=urn:contentItem:5W07-7G01-FG68-G404-00000-00&amp;context=" TargetMode="External" /><Relationship Id="rId670" Type="http://schemas.openxmlformats.org/officeDocument/2006/relationships/hyperlink" Target="https://advance.lexis.com/api/document?collection=cases-ca&amp;id=urn:contentItem:5WTF-W8V1-F2MB-S438-00000-00&amp;context=" TargetMode="External" /><Relationship Id="rId671" Type="http://schemas.openxmlformats.org/officeDocument/2006/relationships/hyperlink" Target="https://advance.lexis.com/api/document?collection=cases-ca&amp;id=urn:contentItem:5S41-SWT1-JG59-21H5-00000-00&amp;context=" TargetMode="External" /><Relationship Id="rId672" Type="http://schemas.openxmlformats.org/officeDocument/2006/relationships/hyperlink" Target="https://advance.lexis.com/api/document?collection=cases-ca&amp;id=urn:contentItem:5F7T-S7F1-DXWW-2481-00000-00&amp;context=" TargetMode="External" /><Relationship Id="rId673" Type="http://schemas.openxmlformats.org/officeDocument/2006/relationships/hyperlink" Target="https://advance.lexis.com/api/document?collection=cases-ca&amp;id=urn:contentItem:5F7T-S6Y1-F06F-22WG-00000-00&amp;context=" TargetMode="External" /><Relationship Id="rId674" Type="http://schemas.openxmlformats.org/officeDocument/2006/relationships/hyperlink" Target="https://advance.lexis.com/api/document?collection=cases-ca&amp;id=urn:contentItem:5F7T-S731-JC0G-637P-00000-00&amp;context=" TargetMode="External" /><Relationship Id="rId675" Type="http://schemas.openxmlformats.org/officeDocument/2006/relationships/hyperlink" Target="https://advance.lexis.com/api/document?collection=cases-ca&amp;id=urn:contentItem:5F7T-S7D1-F7ND-G0C0-00000-00&amp;context=" TargetMode="External" /><Relationship Id="rId676" Type="http://schemas.openxmlformats.org/officeDocument/2006/relationships/hyperlink" Target="https://advance.lexis.com/api/document?collection=cases-ca&amp;id=urn:contentItem:5M2K-D5W1-DXPM-S0H7-00000-00&amp;context=" TargetMode="External" /><Relationship Id="rId677" Type="http://schemas.openxmlformats.org/officeDocument/2006/relationships/hyperlink" Target="https://advance.lexis.com/api/document?collection=cases-ca&amp;id=urn:contentItem:5GC3-4KH1-F60C-X37J-00000-00&amp;context=" TargetMode="External" /><Relationship Id="rId678" Type="http://schemas.openxmlformats.org/officeDocument/2006/relationships/hyperlink" Target="https://advance.lexis.com/api/document?collection=cases-ca&amp;id=urn:contentItem:5F7T-S7K1-JSJC-X130-00000-00&amp;context=" TargetMode="External" /><Relationship Id="rId679" Type="http://schemas.openxmlformats.org/officeDocument/2006/relationships/hyperlink" Target="https://advance.lexis.com/api/document?collection=cases-ca&amp;id=urn:contentItem:5F8T-N3V1-FH4C-X1WX-00000-00&amp;context=" TargetMode="External" /><Relationship Id="rId68" Type="http://schemas.openxmlformats.org/officeDocument/2006/relationships/hyperlink" Target="https://advance.lexis.com/api/document?collection=cases-ca&amp;id=urn:contentItem:5F8T-N3R1-JNS1-M12X-00000-00&amp;context=" TargetMode="External" /><Relationship Id="rId680" Type="http://schemas.openxmlformats.org/officeDocument/2006/relationships/hyperlink" Target="https://advance.lexis.com/api/document?collection=cases-ca&amp;id=urn:contentItem:5F8T-N3V1-JTGH-B1GF-00000-00&amp;context=" TargetMode="External" /><Relationship Id="rId681" Type="http://schemas.openxmlformats.org/officeDocument/2006/relationships/hyperlink" Target="https://advance.lexis.com/api/document?collection=cases-ca&amp;id=urn:contentItem:5F7T-S7J1-JNS1-M2DT-00000-00&amp;context=" TargetMode="External" /><Relationship Id="rId682" Type="http://schemas.openxmlformats.org/officeDocument/2006/relationships/hyperlink" Target="https://advance.lexis.com/api/document?collection=cases-ca&amp;id=urn:contentItem:5F81-VJY1-JPGX-S4KN-00000-00&amp;context=" TargetMode="External" /><Relationship Id="rId683" Type="http://schemas.openxmlformats.org/officeDocument/2006/relationships/hyperlink" Target="https://advance.lexis.com/api/document?collection=cases-ca&amp;id=urn:contentItem:5F8P-SD81-JX8W-M4BP-00000-00&amp;context=" TargetMode="External" /><Relationship Id="rId684" Type="http://schemas.openxmlformats.org/officeDocument/2006/relationships/hyperlink" Target="https://advance.lexis.com/api/document?collection=cases-ca&amp;id=urn:contentItem:5F8P-SDC1-JJ6S-605G-00000-00&amp;context=" TargetMode="External" /><Relationship Id="rId685" Type="http://schemas.openxmlformats.org/officeDocument/2006/relationships/hyperlink" Target="https://advance.lexis.com/api/document?collection=cases-ca&amp;id=urn:contentItem:5F7T-S7H1-JS5Y-B2NN-00000-00&amp;context=" TargetMode="External" /><Relationship Id="rId686" Type="http://schemas.openxmlformats.org/officeDocument/2006/relationships/hyperlink" Target="https://advance.lexis.com/api/document?collection=cases-ca&amp;id=urn:contentItem:5TDH-88J1-F30T-B0RN-00000-00&amp;context=" TargetMode="External" /><Relationship Id="rId687" Type="http://schemas.openxmlformats.org/officeDocument/2006/relationships/hyperlink" Target="https://advance.lexis.com/api/document?collection=cases-ca&amp;id=urn:contentItem:5F8T-N3V1-FH4C-X257-00000-00&amp;context=" TargetMode="External" /><Relationship Id="rId688" Type="http://schemas.openxmlformats.org/officeDocument/2006/relationships/header" Target="header124.xml" /><Relationship Id="rId689" Type="http://schemas.openxmlformats.org/officeDocument/2006/relationships/header" Target="header125.xml" /><Relationship Id="rId69" Type="http://schemas.openxmlformats.org/officeDocument/2006/relationships/hyperlink" Target="https://advance.lexis.com/api/document?collection=cases-ca&amp;id=urn:contentItem:5F8P-SCY1-F528-G1CY-00000-00&amp;context=" TargetMode="External" /><Relationship Id="rId690" Type="http://schemas.openxmlformats.org/officeDocument/2006/relationships/footer" Target="footer124.xml" /><Relationship Id="rId691" Type="http://schemas.openxmlformats.org/officeDocument/2006/relationships/footer" Target="footer125.xml" /><Relationship Id="rId692" Type="http://schemas.openxmlformats.org/officeDocument/2006/relationships/header" Target="header126.xml" /><Relationship Id="rId693" Type="http://schemas.openxmlformats.org/officeDocument/2006/relationships/footer" Target="footer126.xml" /><Relationship Id="rId694" Type="http://schemas.openxmlformats.org/officeDocument/2006/relationships/hyperlink" Target="https://advance.lexis.com/api/document?collection=cases-ca&amp;id=urn:contentItem:5KV0-CJ91-JN14-G19C-00000-00&amp;context=" TargetMode="External" /><Relationship Id="rId695" Type="http://schemas.openxmlformats.org/officeDocument/2006/relationships/hyperlink" Target="https://advance.lexis.com/api/document?collection=cases-ca&amp;id=urn:contentItem:5F7T-S7K1-JX3N-B2V4-00000-00&amp;context=" TargetMode="External" /><Relationship Id="rId696" Type="http://schemas.openxmlformats.org/officeDocument/2006/relationships/hyperlink" Target="https://advance.lexis.com/api/document?collection=cases-ca&amp;id=urn:contentItem:5F7T-S7N1-F06F-24KX-00000-00&amp;context=" TargetMode="External" /><Relationship Id="rId697" Type="http://schemas.openxmlformats.org/officeDocument/2006/relationships/hyperlink" Target="https://advance.lexis.com/api/document?collection=cases-ca&amp;id=urn:contentItem:5F82-1SJ1-FGY5-M50Y-00000-00&amp;context=" TargetMode="External" /><Relationship Id="rId698" Type="http://schemas.openxmlformats.org/officeDocument/2006/relationships/hyperlink" Target="https://advance.lexis.com/api/document?collection=cases-ca&amp;id=urn:contentItem:5F8T-N3P1-F7ND-G14C-00000-00&amp;context=" TargetMode="External" /><Relationship Id="rId699" Type="http://schemas.openxmlformats.org/officeDocument/2006/relationships/hyperlink" Target="https://advance.lexis.com/api/document?collection=cases-ca&amp;id=urn:contentItem:5F81-YGW1-DYFH-X025-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71-F81W-22VB-00000-00&amp;context=" TargetMode="External" /><Relationship Id="rId700" Type="http://schemas.openxmlformats.org/officeDocument/2006/relationships/hyperlink" Target="https://advance.lexis.com/api/document?collection=cases-ca&amp;id=urn:contentItem:5F7T-S7G1-JBT7-X40C-00000-00&amp;context=" TargetMode="External" /><Relationship Id="rId701" Type="http://schemas.openxmlformats.org/officeDocument/2006/relationships/hyperlink" Target="https://advance.lexis.com/api/document?collection=cases-ca&amp;id=urn:contentItem:5F7T-S7G1-JNY7-X443-00000-00&amp;context=" TargetMode="External" /><Relationship Id="rId702" Type="http://schemas.openxmlformats.org/officeDocument/2006/relationships/hyperlink" Target="https://advance.lexis.com/api/document?collection=cases-ca&amp;id=urn:contentItem:5F8T-N3T1-JFKM-655K-00000-00&amp;context=" TargetMode="External" /><Relationship Id="rId703" Type="http://schemas.openxmlformats.org/officeDocument/2006/relationships/hyperlink" Target="https://advance.lexis.com/api/document?collection=cases-ca&amp;id=urn:contentItem:5F8T-N3S1-JBDT-B01P-00000-00&amp;context=" TargetMode="External" /><Relationship Id="rId704" Type="http://schemas.openxmlformats.org/officeDocument/2006/relationships/hyperlink" Target="https://advance.lexis.com/api/document?collection=cases-ca&amp;id=urn:contentItem:5F7T-S7M1-JNCK-22RP-00000-00&amp;context=" TargetMode="External" /><Relationship Id="rId705" Type="http://schemas.openxmlformats.org/officeDocument/2006/relationships/hyperlink" Target="https://advance.lexis.com/api/document?collection=cases-ca&amp;id=urn:contentItem:5F8T-N3V1-FH4C-X20M-00000-00&amp;context=" TargetMode="External" /><Relationship Id="rId706" Type="http://schemas.openxmlformats.org/officeDocument/2006/relationships/hyperlink" Target="https://advance.lexis.com/api/document?collection=cases-ca&amp;id=urn:contentItem:5F8T-N3V1-JTGH-B153-00000-00&amp;context=" TargetMode="External" /><Relationship Id="rId707" Type="http://schemas.openxmlformats.org/officeDocument/2006/relationships/hyperlink" Target="https://advance.lexis.com/api/document?collection=cases-ca&amp;id=urn:contentItem:5K0R-HRN1-JX8W-M240-00000-00&amp;context=" TargetMode="External" /><Relationship Id="rId708" Type="http://schemas.openxmlformats.org/officeDocument/2006/relationships/hyperlink" Target="https://advance.lexis.com/api/document?collection=cases-ca&amp;id=urn:contentItem:5JW3-TKC1-JGPY-X4PG-00000-00&amp;context=" TargetMode="External" /><Relationship Id="rId709" Type="http://schemas.openxmlformats.org/officeDocument/2006/relationships/hyperlink" Target="https://advance.lexis.com/api/document?collection=cases-ca&amp;id=urn:contentItem:5HR4-FPP1-JG02-S2DM-00000-00&amp;context=" TargetMode="External" /><Relationship Id="rId71" Type="http://schemas.openxmlformats.org/officeDocument/2006/relationships/header" Target="header10.xml" /><Relationship Id="rId710" Type="http://schemas.openxmlformats.org/officeDocument/2006/relationships/hyperlink" Target="https://advance.lexis.com/api/document?collection=cases-ca&amp;id=urn:contentItem:5F7T-S7J1-FGCG-S0D1-00000-00&amp;context=" TargetMode="External" /><Relationship Id="rId711" Type="http://schemas.openxmlformats.org/officeDocument/2006/relationships/hyperlink" Target="https://advance.lexis.com/api/document?collection=cases-ca&amp;id=urn:contentItem:5F7T-S7G1-JX3N-B2FW-00000-00&amp;context=" TargetMode="External" /><Relationship Id="rId712" Type="http://schemas.openxmlformats.org/officeDocument/2006/relationships/hyperlink" Target="https://advance.lexis.com/api/document?collection=cases-ca&amp;id=urn:contentItem:5F7T-S7J1-FGCG-S06Y-00000-00&amp;context=" TargetMode="External" /><Relationship Id="rId713" Type="http://schemas.openxmlformats.org/officeDocument/2006/relationships/hyperlink" Target="https://advance.lexis.com/api/document?collection=cases-ca&amp;id=urn:contentItem:5F7T-S7F1-JK4W-M1CF-00000-00&amp;context=" TargetMode="External" /><Relationship Id="rId714" Type="http://schemas.openxmlformats.org/officeDocument/2006/relationships/hyperlink" Target="https://advance.lexis.com/api/document?collection=cases-ca&amp;id=urn:contentItem:5F7T-S7K1-F1H1-22C1-00000-00&amp;context=" TargetMode="External" /><Relationship Id="rId715" Type="http://schemas.openxmlformats.org/officeDocument/2006/relationships/hyperlink" Target="https://advance.lexis.com/api/document?collection=cases-ca&amp;id=urn:contentItem:5F8T-N3S1-JT99-250W-00000-00&amp;context=" TargetMode="External" /><Relationship Id="rId716" Type="http://schemas.openxmlformats.org/officeDocument/2006/relationships/hyperlink" Target="https://advance.lexis.com/api/document?collection=cases-ca&amp;id=urn:contentItem:5F7T-S7G1-JNY7-X3K8-00000-00&amp;context=" TargetMode="External" /><Relationship Id="rId717" Type="http://schemas.openxmlformats.org/officeDocument/2006/relationships/hyperlink" Target="https://advance.lexis.com/api/document?collection=cases-ca&amp;id=urn:contentItem:5F7T-S7H1-JFSV-G35Y-00000-00&amp;context=" TargetMode="External" /><Relationship Id="rId718" Type="http://schemas.openxmlformats.org/officeDocument/2006/relationships/hyperlink" Target="https://advance.lexis.com/api/document?collection=cases-ca&amp;id=urn:contentItem:5F7T-S7C1-FCSB-S27J-00000-00&amp;context=" TargetMode="External" /><Relationship Id="rId719" Type="http://schemas.openxmlformats.org/officeDocument/2006/relationships/hyperlink" Target="https://advance.lexis.com/api/document?collection=cases-ca&amp;id=urn:contentItem:5F7T-S7D1-DY89-M43H-00000-00&amp;context=" TargetMode="External" /><Relationship Id="rId72" Type="http://schemas.openxmlformats.org/officeDocument/2006/relationships/header" Target="header11.xml" /><Relationship Id="rId720" Type="http://schemas.openxmlformats.org/officeDocument/2006/relationships/hyperlink" Target="https://advance.lexis.com/api/document?collection=cases-ca&amp;id=urn:contentItem:5F7T-S7D1-FBFS-S1M7-00000-00&amp;context=" TargetMode="External" /><Relationship Id="rId721" Type="http://schemas.openxmlformats.org/officeDocument/2006/relationships/hyperlink" Target="https://advance.lexis.com/api/document?collection=cases-ca&amp;id=urn:contentItem:5F7T-S7C1-F7VM-S3T7-00000-00&amp;context=" TargetMode="External" /><Relationship Id="rId722" Type="http://schemas.openxmlformats.org/officeDocument/2006/relationships/hyperlink" Target="https://advance.lexis.com/api/document?collection=cases-ca&amp;id=urn:contentItem:5F7T-S7D1-JN6B-S131-00000-00&amp;context=" TargetMode="External" /><Relationship Id="rId723" Type="http://schemas.openxmlformats.org/officeDocument/2006/relationships/hyperlink" Target="https://advance.lexis.com/api/document?collection=cases-ca&amp;id=urn:contentItem:5F7T-S6V1-JFKM-6133-00000-00&amp;context=" TargetMode="External" /><Relationship Id="rId724" Type="http://schemas.openxmlformats.org/officeDocument/2006/relationships/hyperlink" Target="https://advance.lexis.com/api/document?collection=cases-ca&amp;id=urn:contentItem:5F7T-S7N1-DXWW-206B-00000-00&amp;context=" TargetMode="External" /><Relationship Id="rId725" Type="http://schemas.openxmlformats.org/officeDocument/2006/relationships/hyperlink" Target="https://advance.lexis.com/api/document?collection=cases-ca&amp;id=urn:contentItem:5HMS-TBK1-JFSV-G51N-00000-00&amp;context=" TargetMode="External" /><Relationship Id="rId726" Type="http://schemas.openxmlformats.org/officeDocument/2006/relationships/hyperlink" Target="https://advance.lexis.com/api/document?collection=cases-ca&amp;id=urn:contentItem:5GCC-XVC1-JSRM-60WB-00000-00&amp;context=" TargetMode="External" /><Relationship Id="rId727" Type="http://schemas.openxmlformats.org/officeDocument/2006/relationships/hyperlink" Target="https://advance.lexis.com/api/document?collection=cases-ca&amp;id=urn:contentItem:5JN4-S1R1-FGJR-236D-00000-00&amp;context=" TargetMode="External" /><Relationship Id="rId728" Type="http://schemas.openxmlformats.org/officeDocument/2006/relationships/hyperlink" Target="https://advance.lexis.com/api/document?collection=cases-ca&amp;id=urn:contentItem:5F7T-S7M1-JNCK-22MK-00000-00&amp;context=" TargetMode="External" /><Relationship Id="rId729" Type="http://schemas.openxmlformats.org/officeDocument/2006/relationships/hyperlink" Target="https://advance.lexis.com/api/document?collection=cases-ca&amp;id=urn:contentItem:5K0Y-G9P1-DYMS-61NK-00000-00&amp;context=" TargetMode="External" /><Relationship Id="rId73" Type="http://schemas.openxmlformats.org/officeDocument/2006/relationships/footer" Target="footer10.xml" /><Relationship Id="rId730" Type="http://schemas.openxmlformats.org/officeDocument/2006/relationships/hyperlink" Target="https://advance.lexis.com/api/document?collection=cases-ca&amp;id=urn:contentItem:5F7T-S7N1-JGHR-M3CG-00000-00&amp;context=" TargetMode="External" /><Relationship Id="rId731" Type="http://schemas.openxmlformats.org/officeDocument/2006/relationships/hyperlink" Target="https://advance.lexis.com/api/document?collection=cases-ca&amp;id=urn:contentItem:5F7T-S7N1-JWR6-S269-00000-00&amp;context=" TargetMode="External" /><Relationship Id="rId732" Type="http://schemas.openxmlformats.org/officeDocument/2006/relationships/hyperlink" Target="https://advance.lexis.com/api/document?collection=cases-ca&amp;id=urn:contentItem:5F7T-S7K1-JSJC-X168-00000-00&amp;context=" TargetMode="External" /><Relationship Id="rId733" Type="http://schemas.openxmlformats.org/officeDocument/2006/relationships/hyperlink" Target="https://advance.lexis.com/api/document?collection=cases-ca&amp;id=urn:contentItem:5F7T-S7J1-JNS1-M2G2-00000-00&amp;context=" TargetMode="External" /><Relationship Id="rId734" Type="http://schemas.openxmlformats.org/officeDocument/2006/relationships/hyperlink" Target="https://advance.lexis.com/api/document?collection=cases-ca&amp;id=urn:contentItem:5F7T-S7K1-JKHB-62PC-00000-00&amp;context=" TargetMode="External" /><Relationship Id="rId735" Type="http://schemas.openxmlformats.org/officeDocument/2006/relationships/hyperlink" Target="https://advance.lexis.com/api/document?collection=cases-ca&amp;id=urn:contentItem:5F7T-S7K1-DY33-B1KT-00000-00&amp;context=" TargetMode="External" /><Relationship Id="rId736" Type="http://schemas.openxmlformats.org/officeDocument/2006/relationships/hyperlink" Target="https://advance.lexis.com/api/document?collection=cases-ca&amp;id=urn:contentItem:5F7T-S7B1-F7ND-G50F-00000-00&amp;context=" TargetMode="External" /><Relationship Id="rId737" Type="http://schemas.openxmlformats.org/officeDocument/2006/relationships/hyperlink" Target="https://advance.lexis.com/api/document?collection=cases-ca&amp;id=urn:contentItem:5F7T-S6W1-JB7K-21F4-00000-00&amp;context=" TargetMode="External" /><Relationship Id="rId738" Type="http://schemas.openxmlformats.org/officeDocument/2006/relationships/hyperlink" Target="https://advance.lexis.com/api/document?collection=cases-ca&amp;id=urn:contentItem:5F7T-S6X1-JTNR-M3X3-00000-00&amp;context=" TargetMode="External" /><Relationship Id="rId739" Type="http://schemas.openxmlformats.org/officeDocument/2006/relationships/hyperlink" Target="https://advance.lexis.com/api/document?collection=cases-ca&amp;id=urn:contentItem:5F81-VJX1-F5T5-M3YH-00000-00&amp;context=" TargetMode="External" /><Relationship Id="rId74" Type="http://schemas.openxmlformats.org/officeDocument/2006/relationships/footer" Target="footer11.xml" /><Relationship Id="rId740" Type="http://schemas.openxmlformats.org/officeDocument/2006/relationships/hyperlink" Target="https://advance.lexis.com/api/document?collection=cases-ca&amp;id=urn:contentItem:5F7T-S731-DY33-B0YN-00000-00&amp;context=" TargetMode="External" /><Relationship Id="rId741" Type="http://schemas.openxmlformats.org/officeDocument/2006/relationships/hyperlink" Target="https://advance.lexis.com/api/document?collection=cases-ca&amp;id=urn:contentItem:5F7T-S7M1-F4W2-62H4-00000-00&amp;context=" TargetMode="External" /><Relationship Id="rId742" Type="http://schemas.openxmlformats.org/officeDocument/2006/relationships/hyperlink" Target="https://advance.lexis.com/api/document?collection=cases-ca&amp;id=urn:contentItem:5F7T-S7K1-DY33-B1K8-00000-00&amp;context=" TargetMode="External" /><Relationship Id="rId743" Type="http://schemas.openxmlformats.org/officeDocument/2006/relationships/hyperlink" Target="https://advance.lexis.com/api/document?collection=cases-ca&amp;id=urn:contentItem:5F7T-S731-F1WF-M2HD-00000-00&amp;context=" TargetMode="External" /><Relationship Id="rId744" Type="http://schemas.openxmlformats.org/officeDocument/2006/relationships/hyperlink" Target="https://advance.lexis.com/api/document?collection=cases-ca&amp;id=urn:contentItem:5F7T-S731-FFFC-B0K2-00000-00&amp;context=" TargetMode="External" /><Relationship Id="rId745" Type="http://schemas.openxmlformats.org/officeDocument/2006/relationships/hyperlink" Target="https://advance.lexis.com/api/document?collection=cases-ca&amp;id=urn:contentItem:5F7T-S7N1-JW09-M12P-00000-00&amp;context=" TargetMode="External" /><Relationship Id="rId746" Type="http://schemas.openxmlformats.org/officeDocument/2006/relationships/hyperlink" Target="https://advance.lexis.com/api/document?collection=cases-ca&amp;id=urn:contentItem:5F7T-S701-JF75-M4N2-00000-00&amp;context=" TargetMode="External" /><Relationship Id="rId747" Type="http://schemas.openxmlformats.org/officeDocument/2006/relationships/hyperlink" Target="https://advance.lexis.com/api/document?collection=cases-ca&amp;id=urn:contentItem:5F7T-S7P1-JSJC-X1MP-00000-00&amp;context=" TargetMode="External" /><Relationship Id="rId748" Type="http://schemas.openxmlformats.org/officeDocument/2006/relationships/hyperlink" Target="https://advance.lexis.com/api/document?collection=cases-ca&amp;id=urn:contentItem:5F7T-S7J1-DXWW-251K-00000-00&amp;context=" TargetMode="External" /><Relationship Id="rId749" Type="http://schemas.openxmlformats.org/officeDocument/2006/relationships/hyperlink" Target="https://advance.lexis.com/api/document?collection=cases-ca&amp;id=urn:contentItem:5F7T-S7H1-F016-S3X8-00000-00&amp;context=" TargetMode="External" /><Relationship Id="rId75" Type="http://schemas.openxmlformats.org/officeDocument/2006/relationships/header" Target="header12.xml" /><Relationship Id="rId750" Type="http://schemas.openxmlformats.org/officeDocument/2006/relationships/hyperlink" Target="https://advance.lexis.com/api/document?collection=cases-ca&amp;id=urn:contentItem:5F7T-S7M1-DYMS-62FG-00000-00&amp;context=" TargetMode="External" /><Relationship Id="rId751" Type="http://schemas.openxmlformats.org/officeDocument/2006/relationships/hyperlink" Target="https://advance.lexis.com/api/document?collection=cases-ca&amp;id=urn:contentItem:5F7T-S7P1-JNJT-B2PW-00000-00&amp;context=" TargetMode="External" /><Relationship Id="rId752" Type="http://schemas.openxmlformats.org/officeDocument/2006/relationships/hyperlink" Target="https://advance.lexis.com/api/document?collection=cases-ca&amp;id=urn:contentItem:5F7T-S7P1-JG02-S46D-00000-00&amp;context=" TargetMode="External" /><Relationship Id="rId753" Type="http://schemas.openxmlformats.org/officeDocument/2006/relationships/hyperlink" Target="https://advance.lexis.com/api/document?collection=cases-ca&amp;id=urn:contentItem:5GNP-DGD1-JJYN-B1W0-00000-00&amp;context=" TargetMode="External" /><Relationship Id="rId754" Type="http://schemas.openxmlformats.org/officeDocument/2006/relationships/hyperlink" Target="https://advance.lexis.com/api/document?collection=cases-ca&amp;id=urn:contentItem:5F7T-S7N1-F06F-24BC-00000-00&amp;context=" TargetMode="External" /><Relationship Id="rId755" Type="http://schemas.openxmlformats.org/officeDocument/2006/relationships/hyperlink" Target="https://advance.lexis.com/api/document?collection=cases-ca&amp;id=urn:contentItem:5F7T-S761-F81W-21RK-00000-00&amp;context=" TargetMode="External" /><Relationship Id="rId756" Type="http://schemas.openxmlformats.org/officeDocument/2006/relationships/hyperlink" Target="https://advance.lexis.com/api/document?collection=cases-ca&amp;id=urn:contentItem:5F7T-S771-JSJC-X038-00000-00&amp;context=" TargetMode="External" /><Relationship Id="rId757" Type="http://schemas.openxmlformats.org/officeDocument/2006/relationships/hyperlink" Target="https://advance.lexis.com/api/document?collection=cases-ca&amp;id=urn:contentItem:5F7T-S791-JCJ5-251B-00000-00&amp;context=" TargetMode="External" /><Relationship Id="rId758" Type="http://schemas.openxmlformats.org/officeDocument/2006/relationships/hyperlink" Target="https://advance.lexis.com/api/document?collection=cases-ca&amp;id=urn:contentItem:5F7T-S7C1-F4NT-X3NB-00000-00&amp;context=" TargetMode="External" /><Relationship Id="rId759" Type="http://schemas.openxmlformats.org/officeDocument/2006/relationships/hyperlink" Target="https://advance.lexis.com/api/document?collection=cases-ca&amp;id=urn:contentItem:5F7T-S7N1-F57G-S2D4-00000-00&amp;context=" TargetMode="External" /><Relationship Id="rId76" Type="http://schemas.openxmlformats.org/officeDocument/2006/relationships/footer" Target="footer12.xml" /><Relationship Id="rId760" Type="http://schemas.openxmlformats.org/officeDocument/2006/relationships/hyperlink" Target="https://advance.lexis.com/api/document?collection=cases-ca&amp;id=urn:contentItem:5F7T-S7H1-FCSB-S3RY-00000-00&amp;context=" TargetMode="External" /><Relationship Id="rId761" Type="http://schemas.openxmlformats.org/officeDocument/2006/relationships/hyperlink" Target="https://advance.lexis.com/api/document?collection=cases-ca&amp;id=urn:contentItem:5F7T-S7F1-JX3N-B19D-00000-00&amp;context=" TargetMode="External" /><Relationship Id="rId762" Type="http://schemas.openxmlformats.org/officeDocument/2006/relationships/hyperlink" Target="https://advance.lexis.com/api/document?collection=cases-ca&amp;id=urn:contentItem:5F7T-S7M1-JCRC-B1SF-00000-00&amp;context=" TargetMode="External" /><Relationship Id="rId763" Type="http://schemas.openxmlformats.org/officeDocument/2006/relationships/hyperlink" Target="https://advance.lexis.com/api/document?collection=cases-ca&amp;id=urn:contentItem:5F8T-N3V1-FC1F-M4BC-00000-00&amp;context=" TargetMode="External" /><Relationship Id="rId764" Type="http://schemas.openxmlformats.org/officeDocument/2006/relationships/hyperlink" Target="https://advance.lexis.com/api/document?collection=cases-ca&amp;id=urn:contentItem:5F7T-S7M1-F4W2-62J1-00000-00&amp;context=" TargetMode="External" /><Relationship Id="rId765" Type="http://schemas.openxmlformats.org/officeDocument/2006/relationships/hyperlink" Target="https://advance.lexis.com/api/document?collection=cases-ca&amp;id=urn:contentItem:5F7T-S7K1-DY33-B1R6-00000-00&amp;context=" TargetMode="External" /><Relationship Id="rId766" Type="http://schemas.openxmlformats.org/officeDocument/2006/relationships/hyperlink" Target="https://advance.lexis.com/api/document?collection=cases-ca&amp;id=urn:contentItem:5F7T-S7M1-DYMS-62B6-00000-00&amp;context=" TargetMode="External" /><Relationship Id="rId767" Type="http://schemas.openxmlformats.org/officeDocument/2006/relationships/header" Target="header127.xml" /><Relationship Id="rId768" Type="http://schemas.openxmlformats.org/officeDocument/2006/relationships/header" Target="header128.xml" /><Relationship Id="rId769" Type="http://schemas.openxmlformats.org/officeDocument/2006/relationships/footer" Target="footer127.xml" /><Relationship Id="rId77" Type="http://schemas.openxmlformats.org/officeDocument/2006/relationships/hyperlink" Target="https://advance.lexis.com/api/document?collection=cases-ca&amp;id=urn:contentItem:5F7T-S7H1-F016-S441-00000-00&amp;context=" TargetMode="External" /><Relationship Id="rId770" Type="http://schemas.openxmlformats.org/officeDocument/2006/relationships/footer" Target="footer128.xml" /><Relationship Id="rId771" Type="http://schemas.openxmlformats.org/officeDocument/2006/relationships/header" Target="header129.xml" /><Relationship Id="rId772" Type="http://schemas.openxmlformats.org/officeDocument/2006/relationships/footer" Target="footer129.xml" /><Relationship Id="rId773" Type="http://schemas.openxmlformats.org/officeDocument/2006/relationships/hyperlink" Target="https://advance.lexis.com/api/document?collection=cases-ca&amp;id=urn:contentItem:5GCC-XVC1-JSRM-60RJ-00000-00&amp;context=" TargetMode="External" /><Relationship Id="rId774" Type="http://schemas.openxmlformats.org/officeDocument/2006/relationships/hyperlink" Target="https://advance.lexis.com/api/document?collection=cases-ca&amp;id=urn:contentItem:5K6Y-81T1-JYYX-61PN-00000-00&amp;context=" TargetMode="External" /><Relationship Id="rId775" Type="http://schemas.openxmlformats.org/officeDocument/2006/relationships/hyperlink" Target="https://advance.lexis.com/api/document?collection=cases-ca&amp;id=urn:contentItem:5F8T-N3V1-FC1F-M41J-00000-00&amp;context=" TargetMode="External" /><Relationship Id="rId776" Type="http://schemas.openxmlformats.org/officeDocument/2006/relationships/hyperlink" Target="https://advance.lexis.com/api/document?collection=cases-ca&amp;id=urn:contentItem:5F7T-S701-JGPY-X1BN-00000-00&amp;context=" TargetMode="External" /><Relationship Id="rId777" Type="http://schemas.openxmlformats.org/officeDocument/2006/relationships/hyperlink" Target="https://advance.lexis.com/api/document?collection=cases-ca&amp;id=urn:contentItem:5F7T-S7M1-JJK6-S1YF-00000-00&amp;context=" TargetMode="External" /><Relationship Id="rId778" Type="http://schemas.openxmlformats.org/officeDocument/2006/relationships/hyperlink" Target="https://advance.lexis.com/api/document?collection=cases-ca&amp;id=urn:contentItem:5F7T-S6S1-JTNR-M20K-00000-00&amp;context=" TargetMode="External" /><Relationship Id="rId779" Type="http://schemas.openxmlformats.org/officeDocument/2006/relationships/hyperlink" Target="https://advance.lexis.com/api/document?collection=cases-ca&amp;id=urn:contentItem:5F7T-S701-JJYN-B2W8-00000-00&amp;context=" TargetMode="External" /><Relationship Id="rId78" Type="http://schemas.openxmlformats.org/officeDocument/2006/relationships/hyperlink" Target="https://advance.lexis.com/api/document?collection=legislation-ca&amp;id=urn:contentItem:5F41-1FJ1-JKPJ-G0P5-00000-00&amp;context=" TargetMode="External" /><Relationship Id="rId780" Type="http://schemas.openxmlformats.org/officeDocument/2006/relationships/hyperlink" Target="https://advance.lexis.com/api/document?collection=cases-ca&amp;id=urn:contentItem:5F8T-N3T1-JJSF-23P9-00000-00&amp;context=" TargetMode="External" /><Relationship Id="rId781" Type="http://schemas.openxmlformats.org/officeDocument/2006/relationships/hyperlink" Target="https://advance.lexis.com/api/document?collection=cases-ca&amp;id=urn:contentItem:5F8P-SDN1-FC6N-X4CR-00000-00&amp;context=" TargetMode="External" /><Relationship Id="rId782" Type="http://schemas.openxmlformats.org/officeDocument/2006/relationships/header" Target="header130.xml" /><Relationship Id="rId783" Type="http://schemas.openxmlformats.org/officeDocument/2006/relationships/header" Target="header131.xml" /><Relationship Id="rId784" Type="http://schemas.openxmlformats.org/officeDocument/2006/relationships/footer" Target="footer130.xml" /><Relationship Id="rId785" Type="http://schemas.openxmlformats.org/officeDocument/2006/relationships/footer" Target="footer131.xml" /><Relationship Id="rId786" Type="http://schemas.openxmlformats.org/officeDocument/2006/relationships/header" Target="header132.xml" /><Relationship Id="rId787" Type="http://schemas.openxmlformats.org/officeDocument/2006/relationships/footer" Target="footer132.xml" /><Relationship Id="rId788" Type="http://schemas.openxmlformats.org/officeDocument/2006/relationships/hyperlink" Target="https://advance.lexis.com/api/document?collection=cases-ca&amp;id=urn:contentItem:5F7T-S7F1-FFFC-B231-00000-00&amp;context=" TargetMode="External" /><Relationship Id="rId789" Type="http://schemas.openxmlformats.org/officeDocument/2006/relationships/header" Target="header133.xml" /><Relationship Id="rId79" Type="http://schemas.openxmlformats.org/officeDocument/2006/relationships/hyperlink" Target="https://advance.lexis.com/api/document?collection=cases-ca&amp;id=urn:contentItem:5F7T-S761-FFMK-M13P-00000-00&amp;context=" TargetMode="External" /><Relationship Id="rId790" Type="http://schemas.openxmlformats.org/officeDocument/2006/relationships/header" Target="header134.xml" /><Relationship Id="rId791" Type="http://schemas.openxmlformats.org/officeDocument/2006/relationships/footer" Target="footer133.xml" /><Relationship Id="rId792" Type="http://schemas.openxmlformats.org/officeDocument/2006/relationships/footer" Target="footer134.xml" /><Relationship Id="rId793" Type="http://schemas.openxmlformats.org/officeDocument/2006/relationships/header" Target="header135.xml" /><Relationship Id="rId794" Type="http://schemas.openxmlformats.org/officeDocument/2006/relationships/footer" Target="footer135.xml" /><Relationship Id="rId795" Type="http://schemas.openxmlformats.org/officeDocument/2006/relationships/hyperlink" Target="https://advance.lexis.com/api/document?collection=cases-ca&amp;id=urn:contentItem:5GM0-J411-JJYN-B3XS-00000-00&amp;context=" TargetMode="External" /><Relationship Id="rId796" Type="http://schemas.openxmlformats.org/officeDocument/2006/relationships/hyperlink" Target="https://advance.lexis.com/api/document?collection=legislation-ca&amp;id=urn:contentItem:5TBM-3RM1-F7VM-S13S-00000-00&amp;context=" TargetMode="External" /><Relationship Id="rId797" Type="http://schemas.openxmlformats.org/officeDocument/2006/relationships/hyperlink" Target="https://advance.lexis.com/api/document?collection=legislation-ca&amp;id=urn:contentItem:5F41-1FG1-JJYN-B091-00000-00&amp;context=" TargetMode="External" /><Relationship Id="rId798" Type="http://schemas.openxmlformats.org/officeDocument/2006/relationships/hyperlink" Target="https://advance.lexis.com/api/document?collection=cases-ca&amp;id=urn:contentItem:5F7T-S7P1-JP4G-61XK-00000-00&amp;context=" TargetMode="External" /><Relationship Id="rId799" Type="http://schemas.openxmlformats.org/officeDocument/2006/relationships/hyperlink" Target="https://advance.lexis.com/api/document?collection=cases-ca&amp;id=urn:contentItem:5F7T-S7M1-F4W2-62JF-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6Y1-JP9P-G1SM-00000-00&amp;context=" TargetMode="External" /><Relationship Id="rId800" Type="http://schemas.openxmlformats.org/officeDocument/2006/relationships/hyperlink" Target="https://advance.lexis.com/api/document?collection=cases-ca&amp;id=urn:contentItem:5F7T-S7F1-JFKM-61VX-00000-00&amp;context=" TargetMode="External" /><Relationship Id="rId801" Type="http://schemas.openxmlformats.org/officeDocument/2006/relationships/hyperlink" Target="https://advance.lexis.com/api/document?collection=cases-ca&amp;id=urn:contentItem:5F8P-SFR1-JG02-S1W3-00000-00&amp;context=" TargetMode="External" /><Relationship Id="rId802" Type="http://schemas.openxmlformats.org/officeDocument/2006/relationships/hyperlink" Target="https://advance.lexis.com/api/document?collection=cases-ca&amp;id=urn:contentItem:5F7T-S771-JJD0-G1DB-00000-00&amp;context=" TargetMode="External" /><Relationship Id="rId803" Type="http://schemas.openxmlformats.org/officeDocument/2006/relationships/hyperlink" Target="https://advance.lexis.com/api/document?collection=cases-ca&amp;id=urn:contentItem:5F8T-N3V1-FC1F-M4CK-00000-00&amp;context=" TargetMode="External" /><Relationship Id="rId804" Type="http://schemas.openxmlformats.org/officeDocument/2006/relationships/hyperlink" Target="https://advance.lexis.com/api/document?collection=cases-ca&amp;id=urn:contentItem:5F8T-N3R1-JNS1-M145-00000-00&amp;context=" TargetMode="External" /><Relationship Id="rId805" Type="http://schemas.openxmlformats.org/officeDocument/2006/relationships/hyperlink" Target="https://advance.lexis.com/api/document?collection=cases-ca&amp;id=urn:contentItem:5F7T-S7D1-JXG3-X0NS-00000-00&amp;context=" TargetMode="External" /><Relationship Id="rId806" Type="http://schemas.openxmlformats.org/officeDocument/2006/relationships/hyperlink" Target="https://advance.lexis.com/api/document?collection=cases-ca&amp;id=urn:contentItem:5F7T-S7N1-DXWW-20NR-00000-00&amp;context=" TargetMode="External" /><Relationship Id="rId807" Type="http://schemas.openxmlformats.org/officeDocument/2006/relationships/hyperlink" Target="https://advance.lexis.com/api/document?collection=cases-ca&amp;id=urn:contentItem:5F8P-SFW1-FC1F-M2KH-00000-00&amp;context=" TargetMode="External" /><Relationship Id="rId808" Type="http://schemas.openxmlformats.org/officeDocument/2006/relationships/hyperlink" Target="https://advance.lexis.com/api/document?collection=cases-ca&amp;id=urn:contentItem:5F7T-S6R1-JGPY-X15R-00000-00&amp;context=" TargetMode="External" /><Relationship Id="rId809" Type="http://schemas.openxmlformats.org/officeDocument/2006/relationships/hyperlink" Target="https://advance.lexis.com/api/document?collection=cases-ca&amp;id=urn:contentItem:5F8P-SCT1-FCCX-64CG-00000-00&amp;context=" TargetMode="External" /><Relationship Id="rId81" Type="http://schemas.openxmlformats.org/officeDocument/2006/relationships/hyperlink" Target="https://advance.lexis.com/api/document?collection=cases-ca&amp;id=urn:contentItem:5F7T-S7D1-JXG3-X0RW-00000-00&amp;context=" TargetMode="External" /><Relationship Id="rId810" Type="http://schemas.openxmlformats.org/officeDocument/2006/relationships/hyperlink" Target="https://advance.lexis.com/api/document?collection=cases-ca&amp;id=urn:contentItem:5F7T-S7N1-JC5P-G2B7-00000-00&amp;context=" TargetMode="External" /><Relationship Id="rId811" Type="http://schemas.openxmlformats.org/officeDocument/2006/relationships/hyperlink" Target="https://advance.lexis.com/api/document?collection=cases-ca&amp;id=urn:contentItem:5F81-VJX1-JP9P-G4VH-00000-00&amp;context=" TargetMode="External" /><Relationship Id="rId812" Type="http://schemas.openxmlformats.org/officeDocument/2006/relationships/hyperlink" Target="https://advance.lexis.com/api/document?collection=cases-ca&amp;id=urn:contentItem:5F8T-N3T1-JFKM-6519-00000-00&amp;context=" TargetMode="External" /><Relationship Id="rId813" Type="http://schemas.openxmlformats.org/officeDocument/2006/relationships/hyperlink" Target="https://advance.lexis.com/api/document?collection=cases-ca&amp;id=urn:contentItem:5F81-VJX1-JX3N-B1CG-00000-00&amp;context=" TargetMode="External" /><Relationship Id="rId814" Type="http://schemas.openxmlformats.org/officeDocument/2006/relationships/hyperlink" Target="https://advance.lexis.com/api/document?collection=cases-ca&amp;id=urn:contentItem:5F8T-N3V1-JFKM-607N-00000-00&amp;context=" TargetMode="External" /><Relationship Id="rId815" Type="http://schemas.openxmlformats.org/officeDocument/2006/relationships/hyperlink" Target="https://advance.lexis.com/api/document?collection=cases-ca&amp;id=urn:contentItem:5F8T-N3T1-JJSF-233X-00000-00&amp;context=" TargetMode="External" /><Relationship Id="rId816" Type="http://schemas.openxmlformats.org/officeDocument/2006/relationships/hyperlink" Target="https://advance.lexis.com/api/document?collection=cases-ca&amp;id=urn:contentItem:5F8T-N3V1-FH4C-X1WY-00000-00&amp;context=" TargetMode="External" /><Relationship Id="rId817" Type="http://schemas.openxmlformats.org/officeDocument/2006/relationships/hyperlink" Target="https://advance.lexis.com/api/document?collection=cases-ca&amp;id=urn:contentItem:5F8T-N3T1-JJSF-23F8-00000-00&amp;context=" TargetMode="External" /><Relationship Id="rId818" Type="http://schemas.openxmlformats.org/officeDocument/2006/relationships/hyperlink" Target="https://advance.lexis.com/api/document?collection=cases-ca&amp;id=urn:contentItem:5F8T-N3V1-JFKM-60CB-00000-00&amp;context=" TargetMode="External" /><Relationship Id="rId819" Type="http://schemas.openxmlformats.org/officeDocument/2006/relationships/hyperlink" Target="https://advance.lexis.com/api/document?collection=cases-ca&amp;id=urn:contentItem:5F7H-KW61-K054-G0M0-00000-00&amp;context=" TargetMode="External" /><Relationship Id="rId82" Type="http://schemas.openxmlformats.org/officeDocument/2006/relationships/hyperlink" Target="https://advance.lexis.com/api/document?collection=cases-ca&amp;id=urn:contentItem:5F7T-S7G1-JN6B-S18W-00000-00&amp;context=" TargetMode="External" /><Relationship Id="rId820" Type="http://schemas.openxmlformats.org/officeDocument/2006/relationships/hyperlink" Target="https://advance.lexis.com/api/document?collection=cases-ca&amp;id=urn:contentItem:5F82-1SB1-JNCK-23RB-00000-00&amp;context=" TargetMode="External" /><Relationship Id="rId821" Type="http://schemas.openxmlformats.org/officeDocument/2006/relationships/hyperlink" Target="https://advance.lexis.com/api/document?collection=cases-ca&amp;id=urn:contentItem:5F7H-KW61-F81W-20BP-00000-00&amp;context=" TargetMode="External" /><Relationship Id="rId822" Type="http://schemas.openxmlformats.org/officeDocument/2006/relationships/hyperlink" Target="https://advance.lexis.com/api/document?collection=cases-ca&amp;id=urn:contentItem:5F7T-S7N1-JGHR-M2YS-00000-00&amp;context=" TargetMode="External" /><Relationship Id="rId823" Type="http://schemas.openxmlformats.org/officeDocument/2006/relationships/hyperlink" Target="https://advance.lexis.com/api/document?collection=cases-ca&amp;id=urn:contentItem:5F7T-S7P1-JBDT-B14G-00000-00&amp;context=" TargetMode="External" /><Relationship Id="rId824" Type="http://schemas.openxmlformats.org/officeDocument/2006/relationships/hyperlink" Target="https://advance.lexis.com/api/document?collection=cases-ca&amp;id=urn:contentItem:5F7T-S7B1-F7ND-G4YN-00000-00&amp;context=" TargetMode="External" /><Relationship Id="rId825" Type="http://schemas.openxmlformats.org/officeDocument/2006/relationships/hyperlink" Target="https://advance.lexis.com/api/document?collection=cases-ca&amp;id=urn:contentItem:5F7T-S7N1-JC5P-G23Y-00000-00&amp;context=" TargetMode="External" /><Relationship Id="rId826" Type="http://schemas.openxmlformats.org/officeDocument/2006/relationships/hyperlink" Target="https://advance.lexis.com/api/document?collection=cases-ca&amp;id=urn:contentItem:5F7T-S7D1-DY89-M45J-00000-00&amp;context=" TargetMode="External" /><Relationship Id="rId827" Type="http://schemas.openxmlformats.org/officeDocument/2006/relationships/hyperlink" Target="https://advance.lexis.com/api/document?collection=cases-ca&amp;id=urn:contentItem:5F7T-S7J1-JNS1-M2K7-00000-00&amp;context=" TargetMode="External" /><Relationship Id="rId828" Type="http://schemas.openxmlformats.org/officeDocument/2006/relationships/hyperlink" Target="https://advance.lexis.com/api/document?collection=cases-ca&amp;id=urn:contentItem:5F7T-S741-F528-G208-00000-00&amp;context=" TargetMode="External" /><Relationship Id="rId829" Type="http://schemas.openxmlformats.org/officeDocument/2006/relationships/hyperlink" Target="https://advance.lexis.com/api/document?collection=cases-ca&amp;id=urn:contentItem:5F7T-S761-F7ND-G4C9-00000-00&amp;context=" TargetMode="External" /><Relationship Id="rId83" Type="http://schemas.openxmlformats.org/officeDocument/2006/relationships/image" Target="media/image1.png" /><Relationship Id="rId830" Type="http://schemas.openxmlformats.org/officeDocument/2006/relationships/hyperlink" Target="https://advance.lexis.com/api/document?collection=cases-ca&amp;id=urn:contentItem:5F16-9371-F5DR-238F-00000-00&amp;context=" TargetMode="External" /><Relationship Id="rId831" Type="http://schemas.openxmlformats.org/officeDocument/2006/relationships/hyperlink" Target="https://advance.lexis.com/api/document?collection=cases-ca&amp;id=urn:contentItem:5F7T-S741-FJM6-61VP-00000-00&amp;context=" TargetMode="External" /><Relationship Id="rId832" Type="http://schemas.openxmlformats.org/officeDocument/2006/relationships/hyperlink" Target="https://advance.lexis.com/api/document?collection=cases-ca&amp;id=urn:contentItem:5F7T-S731-F60C-X10N-00000-00&amp;context=" TargetMode="External" /><Relationship Id="rId833" Type="http://schemas.openxmlformats.org/officeDocument/2006/relationships/hyperlink" Target="https://advance.lexis.com/api/document?collection=cases-ca&amp;id=urn:contentItem:5F7T-S7P1-JG02-S3YS-00000-00&amp;context=" TargetMode="External" /><Relationship Id="rId834" Type="http://schemas.openxmlformats.org/officeDocument/2006/relationships/hyperlink" Target="https://advance.lexis.com/api/document?collection=cases-ca&amp;id=urn:contentItem:5F81-VJX1-JJYN-B4J3-00000-00&amp;context=" TargetMode="External" /><Relationship Id="rId835" Type="http://schemas.openxmlformats.org/officeDocument/2006/relationships/hyperlink" Target="https://advance.lexis.com/api/document?collection=cases-ca&amp;id=urn:contentItem:5F81-VJX1-FFTT-X1MM-00000-00&amp;context=" TargetMode="External" /><Relationship Id="rId836" Type="http://schemas.openxmlformats.org/officeDocument/2006/relationships/hyperlink" Target="https://advance.lexis.com/api/document?collection=cases-ca&amp;id=urn:contentItem:5F8P-SF81-JTGH-B4P8-00000-00&amp;context=" TargetMode="External" /><Relationship Id="rId837" Type="http://schemas.openxmlformats.org/officeDocument/2006/relationships/hyperlink" Target="https://advance.lexis.com/api/document?collection=cases-ca&amp;id=urn:contentItem:5F81-VJX1-JJYN-B519-00000-00&amp;context=" TargetMode="External" /><Relationship Id="rId838" Type="http://schemas.openxmlformats.org/officeDocument/2006/relationships/hyperlink" Target="https://advance.lexis.com/api/document?collection=cases-ca&amp;id=urn:contentItem:5F7T-S7P1-JBDT-B108-00000-00&amp;context=" TargetMode="External" /><Relationship Id="rId839" Type="http://schemas.openxmlformats.org/officeDocument/2006/relationships/hyperlink" Target="https://advance.lexis.com/api/document?collection=cases-ca&amp;id=urn:contentItem:5F7T-S771-JTGH-B1KF-00000-00&amp;context=" TargetMode="External" /><Relationship Id="rId84" Type="http://schemas.openxmlformats.org/officeDocument/2006/relationships/hyperlink" Target="https://advance.lexis.com/api/document?collection=cases-ca&amp;id=urn:contentItem:5F7T-S7H1-F4GK-M374-00000-00&amp;context=" TargetMode="External" /><Relationship Id="rId840" Type="http://schemas.openxmlformats.org/officeDocument/2006/relationships/hyperlink" Target="https://advance.lexis.com/api/document?collection=cases-ca&amp;id=urn:contentItem:5F8P-SF61-JP4G-62FG-00000-00&amp;context=" TargetMode="External" /><Relationship Id="rId841" Type="http://schemas.openxmlformats.org/officeDocument/2006/relationships/hyperlink" Target="https://advance.lexis.com/api/document?collection=cases-ca&amp;id=urn:contentItem:5F8P-SF81-F22N-X1XG-00000-00&amp;context=" TargetMode="External" /><Relationship Id="rId842" Type="http://schemas.openxmlformats.org/officeDocument/2006/relationships/hyperlink" Target="https://advance.lexis.com/api/document?collection=cases-ca&amp;id=urn:contentItem:5F82-1SB1-JPP5-24NT-00000-00&amp;context=" TargetMode="External" /><Relationship Id="rId843" Type="http://schemas.openxmlformats.org/officeDocument/2006/relationships/hyperlink" Target="https://advance.lexis.com/api/document?collection=cases-ca&amp;id=urn:contentItem:5GCC-XVB1-JSXV-G0GF-00000-00&amp;context=" TargetMode="External" /><Relationship Id="rId844" Type="http://schemas.openxmlformats.org/officeDocument/2006/relationships/hyperlink" Target="https://advance.lexis.com/api/document?collection=cases-ca&amp;id=urn:contentItem:5F8T-N3V1-JTGH-B175-00000-00&amp;context=" TargetMode="External" /><Relationship Id="rId845" Type="http://schemas.openxmlformats.org/officeDocument/2006/relationships/header" Target="header136.xml" /><Relationship Id="rId846" Type="http://schemas.openxmlformats.org/officeDocument/2006/relationships/header" Target="header137.xml" /><Relationship Id="rId847" Type="http://schemas.openxmlformats.org/officeDocument/2006/relationships/footer" Target="footer136.xml" /><Relationship Id="rId848" Type="http://schemas.openxmlformats.org/officeDocument/2006/relationships/footer" Target="footer137.xml" /><Relationship Id="rId849" Type="http://schemas.openxmlformats.org/officeDocument/2006/relationships/header" Target="header138.xml" /><Relationship Id="rId85" Type="http://schemas.openxmlformats.org/officeDocument/2006/relationships/hyperlink" Target="https://advance.lexis.com/api/document?collection=cases-ca&amp;id=urn:contentItem:5F7T-S791-FJTD-G2YV-00000-00&amp;context=" TargetMode="External" /><Relationship Id="rId850" Type="http://schemas.openxmlformats.org/officeDocument/2006/relationships/footer" Target="footer138.xml" /><Relationship Id="rId851" Type="http://schemas.openxmlformats.org/officeDocument/2006/relationships/hyperlink" Target="https://advance.lexis.com/api/document?collection=cases-ca&amp;id=urn:contentItem:5F7T-S7H1-JCRC-B176-00000-00&amp;context=" TargetMode="External" /><Relationship Id="rId852" Type="http://schemas.openxmlformats.org/officeDocument/2006/relationships/hyperlink" Target="https://advance.lexis.com/api/document?collection=legislation-ca&amp;id=urn:contentItem:5TBM-3RN1-FBV7-B0M1-00000-00&amp;context=" TargetMode="External" /><Relationship Id="rId853" Type="http://schemas.openxmlformats.org/officeDocument/2006/relationships/hyperlink" Target="https://advance.lexis.com/api/document?collection=legislation-ca&amp;id=urn:contentItem:5F41-1FJ1-JG59-2198-00000-00&amp;context=" TargetMode="External" /><Relationship Id="rId854" Type="http://schemas.openxmlformats.org/officeDocument/2006/relationships/hyperlink" Target="https://advance.lexis.com/api/document?collection=cases-ca&amp;id=urn:contentItem:5F7T-S7F1-JX3N-B1KW-00000-00&amp;context=" TargetMode="External" /><Relationship Id="rId855" Type="http://schemas.openxmlformats.org/officeDocument/2006/relationships/hyperlink" Target="https://advance.lexis.com/api/document?collection=cases-ca&amp;id=urn:contentItem:5F7T-S751-JG02-S29T-00000-00&amp;context=" TargetMode="External" /><Relationship Id="rId856" Type="http://schemas.openxmlformats.org/officeDocument/2006/relationships/hyperlink" Target="https://advance.lexis.com/api/document?collection=cases-ca&amp;id=urn:contentItem:5F7T-S791-JCJ5-2538-00000-00&amp;context=" TargetMode="External" /><Relationship Id="rId857" Type="http://schemas.openxmlformats.org/officeDocument/2006/relationships/hyperlink" Target="https://advance.lexis.com/api/document?collection=cases-ca&amp;id=urn:contentItem:5F8T-N3V1-JF75-M3VR-00000-00&amp;context=" TargetMode="External" /><Relationship Id="rId858" Type="http://schemas.openxmlformats.org/officeDocument/2006/relationships/hyperlink" Target="https://advance.lexis.com/api/document?collection=cases-ca&amp;id=urn:contentItem:5F7T-S721-F06F-2368-00000-00&amp;context=" TargetMode="External" /><Relationship Id="rId859" Type="http://schemas.openxmlformats.org/officeDocument/2006/relationships/hyperlink" Target="https://advance.lexis.com/api/document?collection=cases-ca&amp;id=urn:contentItem:5F8T-N3V1-FC1F-M4F6-00000-00&amp;context=" TargetMode="External" /><Relationship Id="rId86" Type="http://schemas.openxmlformats.org/officeDocument/2006/relationships/hyperlink" Target="https://advance.lexis.com/api/document?collection=cases-ca&amp;id=urn:contentItem:5F7T-S7H1-JFSV-G2P6-00000-00&amp;context=" TargetMode="External" /><Relationship Id="rId860" Type="http://schemas.openxmlformats.org/officeDocument/2006/relationships/hyperlink" Target="https://advance.lexis.com/api/document?collection=cases-ca&amp;id=urn:contentItem:5F81-VJY1-JWBS-64NS-00000-00&amp;context=" TargetMode="External" /><Relationship Id="rId861" Type="http://schemas.openxmlformats.org/officeDocument/2006/relationships/hyperlink" Target="https://advance.lexis.com/api/document?collection=cases-ca&amp;id=urn:contentItem:5F81-VJY1-JWBS-64B9-00000-00&amp;context=" TargetMode="External" /><Relationship Id="rId862" Type="http://schemas.openxmlformats.org/officeDocument/2006/relationships/hyperlink" Target="https://advance.lexis.com/api/document?collection=cases-ca&amp;id=urn:contentItem:5F8W-M471-JK4W-M26X-00000-00&amp;context=" TargetMode="External" /><Relationship Id="rId863" Type="http://schemas.openxmlformats.org/officeDocument/2006/relationships/hyperlink" Target="https://advance.lexis.com/api/document?collection=cases-ca&amp;id=urn:contentItem:5F8T-N3V1-JTGH-B0YX-00000-00&amp;context=" TargetMode="External" /><Relationship Id="rId864" Type="http://schemas.openxmlformats.org/officeDocument/2006/relationships/header" Target="header139.xml" /><Relationship Id="rId865" Type="http://schemas.openxmlformats.org/officeDocument/2006/relationships/header" Target="header140.xml" /><Relationship Id="rId866" Type="http://schemas.openxmlformats.org/officeDocument/2006/relationships/footer" Target="footer139.xml" /><Relationship Id="rId867" Type="http://schemas.openxmlformats.org/officeDocument/2006/relationships/footer" Target="footer140.xml" /><Relationship Id="rId868" Type="http://schemas.openxmlformats.org/officeDocument/2006/relationships/header" Target="header141.xml" /><Relationship Id="rId869" Type="http://schemas.openxmlformats.org/officeDocument/2006/relationships/footer" Target="footer141.xml" /><Relationship Id="rId87" Type="http://schemas.openxmlformats.org/officeDocument/2006/relationships/hyperlink" Target="https://advance.lexis.com/api/document?collection=cases-ca&amp;id=urn:contentItem:5F7T-S701-FJDY-X2MD-00000-00&amp;context=" TargetMode="External" /><Relationship Id="rId870" Type="http://schemas.openxmlformats.org/officeDocument/2006/relationships/hyperlink" Target="https://advance.lexis.com/api/document?collection=cases-ca&amp;id=urn:contentItem:5F7T-S7P1-JSJC-X1M4-00000-00&amp;context=" TargetMode="External" /><Relationship Id="rId871" Type="http://schemas.openxmlformats.org/officeDocument/2006/relationships/hyperlink" Target="https://advance.lexis.com/api/document?collection=cases-ca&amp;id=urn:contentItem:5F7T-S7P1-F2TK-23DD-00000-00&amp;context=" TargetMode="External" /><Relationship Id="rId872" Type="http://schemas.openxmlformats.org/officeDocument/2006/relationships/hyperlink" Target="https://advance.lexis.com/api/document?collection=cases-ca&amp;id=urn:contentItem:5F7T-S7F1-JK4W-M1V3-00000-00&amp;context=" TargetMode="External" /><Relationship Id="rId873" Type="http://schemas.openxmlformats.org/officeDocument/2006/relationships/hyperlink" Target="https://advance.lexis.com/api/document?collection=cases-ca&amp;id=urn:contentItem:5F7T-S7D1-JN6B-S0XF-00000-00&amp;context=" TargetMode="External" /><Relationship Id="rId874" Type="http://schemas.openxmlformats.org/officeDocument/2006/relationships/hyperlink" Target="https://advance.lexis.com/api/document?collection=cases-ca&amp;id=urn:contentItem:5F7T-S7P1-JG02-S43C-00000-00&amp;context=" TargetMode="External" /><Relationship Id="rId875" Type="http://schemas.openxmlformats.org/officeDocument/2006/relationships/hyperlink" Target="https://advance.lexis.com/api/document?collection=cases-ca&amp;id=urn:contentItem:5F7T-S741-F528-G2FD-00000-00&amp;context=" TargetMode="External" /><Relationship Id="rId876" Type="http://schemas.openxmlformats.org/officeDocument/2006/relationships/hyperlink" Target="https://advance.lexis.com/api/document?collection=cases-ca&amp;id=urn:contentItem:5F7T-S7K1-DY33-B1PT-00000-00&amp;context=" TargetMode="External" /><Relationship Id="rId877" Type="http://schemas.openxmlformats.org/officeDocument/2006/relationships/hyperlink" Target="https://advance.lexis.com/api/document?collection=cases-ca&amp;id=urn:contentItem:5F7T-S7G1-FCYK-207D-00000-00&amp;context=" TargetMode="External" /><Relationship Id="rId878" Type="http://schemas.openxmlformats.org/officeDocument/2006/relationships/header" Target="header142.xml" /><Relationship Id="rId879" Type="http://schemas.openxmlformats.org/officeDocument/2006/relationships/header" Target="header143.xml" /><Relationship Id="rId88" Type="http://schemas.openxmlformats.org/officeDocument/2006/relationships/hyperlink" Target="https://advance.lexis.com/api/document?collection=cases-ca&amp;id=urn:contentItem:5F7T-S761-JX8W-M2NY-00000-00&amp;context=" TargetMode="External" /><Relationship Id="rId880" Type="http://schemas.openxmlformats.org/officeDocument/2006/relationships/footer" Target="footer142.xml" /><Relationship Id="rId881" Type="http://schemas.openxmlformats.org/officeDocument/2006/relationships/footer" Target="footer143.xml" /><Relationship Id="rId882" Type="http://schemas.openxmlformats.org/officeDocument/2006/relationships/header" Target="header144.xml" /><Relationship Id="rId883" Type="http://schemas.openxmlformats.org/officeDocument/2006/relationships/footer" Target="footer144.xml" /><Relationship Id="rId884" Type="http://schemas.openxmlformats.org/officeDocument/2006/relationships/hyperlink" Target="https://advance.lexis.com/api/document?collection=cases-ca&amp;id=urn:contentItem:5F7T-S7J1-DXWW-2514-00000-00&amp;context=" TargetMode="External" /><Relationship Id="rId885" Type="http://schemas.openxmlformats.org/officeDocument/2006/relationships/hyperlink" Target="https://advance.lexis.com/api/document?collection=legislation-ca&amp;id=urn:contentItem:5F41-1FH1-F361-M0H6-00000-00&amp;context=" TargetMode="External" /><Relationship Id="rId886" Type="http://schemas.openxmlformats.org/officeDocument/2006/relationships/hyperlink" Target="https://advance.lexis.com/api/document?collection=cases-ca&amp;id=urn:contentItem:5F7T-S731-F60C-X11W-00000-00&amp;context=" TargetMode="External" /><Relationship Id="rId887" Type="http://schemas.openxmlformats.org/officeDocument/2006/relationships/hyperlink" Target="https://advance.lexis.com/api/document?collection=cases-ca&amp;id=urn:contentItem:5F7T-S771-JSJC-X05N-00000-00&amp;context=" TargetMode="External" /><Relationship Id="rId888" Type="http://schemas.openxmlformats.org/officeDocument/2006/relationships/hyperlink" Target="https://advance.lexis.com/api/document?collection=cases-ca&amp;id=urn:contentItem:5F7T-S7H1-F016-S3VB-00000-00&amp;context=" TargetMode="External" /><Relationship Id="rId889" Type="http://schemas.openxmlformats.org/officeDocument/2006/relationships/hyperlink" Target="https://advance.lexis.com/api/document?collection=cases-ca&amp;id=urn:contentItem:5F7T-S7G1-JNY7-X3YP-00000-00&amp;context=" TargetMode="External" /><Relationship Id="rId89" Type="http://schemas.openxmlformats.org/officeDocument/2006/relationships/hyperlink" Target="https://advance.lexis.com/api/document?collection=cases-ca&amp;id=urn:contentItem:5F7T-S761-JCBX-S0XB-00000-00&amp;context=" TargetMode="External" /><Relationship Id="rId890" Type="http://schemas.openxmlformats.org/officeDocument/2006/relationships/hyperlink" Target="https://advance.lexis.com/api/document?collection=cases-ca&amp;id=urn:contentItem:5F7T-S7G1-F5KY-B1H7-00000-00&amp;context=" TargetMode="External" /><Relationship Id="rId891" Type="http://schemas.openxmlformats.org/officeDocument/2006/relationships/hyperlink" Target="https://advance.lexis.com/api/document?collection=cases-ca&amp;id=urn:contentItem:5F7T-S7H1-JCRC-B104-00000-00&amp;context=" TargetMode="External" /><Relationship Id="rId892" Type="http://schemas.openxmlformats.org/officeDocument/2006/relationships/hyperlink" Target="https://advance.lexis.com/api/document?collection=cases-ca&amp;id=urn:contentItem:5F7T-S7G1-JNY7-X3X0-00000-00&amp;context=" TargetMode="External" /><Relationship Id="rId893" Type="http://schemas.openxmlformats.org/officeDocument/2006/relationships/hyperlink" Target="https://advance.lexis.com/api/document?collection=cases-ca&amp;id=urn:contentItem:5F7T-S7D1-FBFS-S1M1-00000-00&amp;context=" TargetMode="External" /><Relationship Id="rId894" Type="http://schemas.openxmlformats.org/officeDocument/2006/relationships/hyperlink" Target="https://advance.lexis.com/api/document?collection=cases-ca&amp;id=urn:contentItem:5F7T-S7F1-F7VM-S433-00000-00&amp;context=" TargetMode="External" /><Relationship Id="rId895" Type="http://schemas.openxmlformats.org/officeDocument/2006/relationships/header" Target="header145.xml" /><Relationship Id="rId896" Type="http://schemas.openxmlformats.org/officeDocument/2006/relationships/header" Target="header146.xml" /><Relationship Id="rId897" Type="http://schemas.openxmlformats.org/officeDocument/2006/relationships/footer" Target="footer145.xml" /><Relationship Id="rId898" Type="http://schemas.openxmlformats.org/officeDocument/2006/relationships/footer" Target="footer146.xml" /><Relationship Id="rId899" Type="http://schemas.openxmlformats.org/officeDocument/2006/relationships/header" Target="header147.xm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11-JC0G-6348-00000-00&amp;context=" TargetMode="External" /><Relationship Id="rId900" Type="http://schemas.openxmlformats.org/officeDocument/2006/relationships/footer" Target="footer147.xml" /><Relationship Id="rId901" Type="http://schemas.openxmlformats.org/officeDocument/2006/relationships/hyperlink" Target="https://advance.lexis.com/api/document?collection=cases-ca&amp;id=urn:contentItem:5F7T-S7N1-F57G-S2DB-00000-00&amp;context=" TargetMode="External" /><Relationship Id="rId902" Type="http://schemas.openxmlformats.org/officeDocument/2006/relationships/hyperlink" Target="https://advance.lexis.com/api/document?collection=cases-ca&amp;id=urn:contentItem:5F7T-S7G1-JNY7-X45D-00000-00&amp;context=" TargetMode="External" /><Relationship Id="rId903" Type="http://schemas.openxmlformats.org/officeDocument/2006/relationships/hyperlink" Target="https://advance.lexis.com/api/document?collection=cases-ca&amp;id=urn:contentItem:5F7T-S7M1-JJK6-S1X0-00000-00&amp;context=" TargetMode="External" /><Relationship Id="rId904" Type="http://schemas.openxmlformats.org/officeDocument/2006/relationships/hyperlink" Target="https://advance.lexis.com/api/document?collection=cases-ca&amp;id=urn:contentItem:5F7T-S7K1-F1H1-2243-00000-00&amp;context=" TargetMode="External" /><Relationship Id="rId905" Type="http://schemas.openxmlformats.org/officeDocument/2006/relationships/hyperlink" Target="https://advance.lexis.com/api/document?collection=cases-ca&amp;id=urn:contentItem:5F7T-S7M1-DYMS-626Y-00000-00&amp;context=" TargetMode="External" /><Relationship Id="rId906" Type="http://schemas.openxmlformats.org/officeDocument/2006/relationships/hyperlink" Target="https://advance.lexis.com/api/document?collection=cases-ca&amp;id=urn:contentItem:5F7T-S7M1-JFSV-G3PK-00000-00&amp;context=" TargetMode="External" /><Relationship Id="rId907" Type="http://schemas.openxmlformats.org/officeDocument/2006/relationships/hyperlink" Target="https://advance.lexis.com/api/document?collection=cases-ca&amp;id=urn:contentItem:5F7T-S7K1-F1H1-22HJ-00000-00&amp;context=" TargetMode="External" /><Relationship Id="rId908" Type="http://schemas.openxmlformats.org/officeDocument/2006/relationships/hyperlink" Target="https://advance.lexis.com/api/document?collection=cases-ca&amp;id=urn:contentItem:5F7T-S7H1-F016-S46S-00000-00&amp;context=" TargetMode="External" /><Relationship Id="rId909" Type="http://schemas.openxmlformats.org/officeDocument/2006/relationships/hyperlink" Target="https://advance.lexis.com/api/document?collection=cases-ca&amp;id=urn:contentItem:5F7T-S7M1-DYMS-628K-00000-00&amp;context=" TargetMode="External" /><Relationship Id="rId91" Type="http://schemas.openxmlformats.org/officeDocument/2006/relationships/hyperlink" Target="https://advance.lexis.com/api/document?collection=cases-ca&amp;id=urn:contentItem:5F7T-S6T1-JJ1H-X25D-00000-00&amp;context=" TargetMode="External" /><Relationship Id="rId910" Type="http://schemas.openxmlformats.org/officeDocument/2006/relationships/hyperlink" Target="https://advance.lexis.com/api/document?collection=cases-ca&amp;id=urn:contentItem:5F7T-S7K1-JWXF-212D-00000-00&amp;context=" TargetMode="External" /><Relationship Id="rId911" Type="http://schemas.openxmlformats.org/officeDocument/2006/relationships/hyperlink" Target="https://advance.lexis.com/api/document?collection=cases-ca&amp;id=urn:contentItem:5F7T-S7M1-DYMS-626K-00000-00&amp;context=" TargetMode="External" /><Relationship Id="rId912" Type="http://schemas.openxmlformats.org/officeDocument/2006/relationships/header" Target="header148.xml" /><Relationship Id="rId913" Type="http://schemas.openxmlformats.org/officeDocument/2006/relationships/header" Target="header149.xml" /><Relationship Id="rId914" Type="http://schemas.openxmlformats.org/officeDocument/2006/relationships/footer" Target="footer148.xml" /><Relationship Id="rId915" Type="http://schemas.openxmlformats.org/officeDocument/2006/relationships/footer" Target="footer149.xml" /><Relationship Id="rId916" Type="http://schemas.openxmlformats.org/officeDocument/2006/relationships/header" Target="header150.xml" /><Relationship Id="rId917" Type="http://schemas.openxmlformats.org/officeDocument/2006/relationships/footer" Target="footer150.xml" /><Relationship Id="rId918" Type="http://schemas.openxmlformats.org/officeDocument/2006/relationships/hyperlink" Target="https://advance.lexis.com/api/document?collection=cases-ca&amp;id=urn:contentItem:5F7T-S7N1-DXWW-2042-00000-00&amp;context=" TargetMode="External" /><Relationship Id="rId919" Type="http://schemas.openxmlformats.org/officeDocument/2006/relationships/hyperlink" Target="https://advance.lexis.com/api/document?collection=cases-ca&amp;id=urn:contentItem:5K6Y-81N1-JFDC-X1GR-00000-00&amp;context=" TargetMode="External" /><Relationship Id="rId92" Type="http://schemas.openxmlformats.org/officeDocument/2006/relationships/hyperlink" Target="https://advance.lexis.com/api/document?collection=cases-ca&amp;id=urn:contentItem:5F7T-S6Y1-DY33-B0JJ-00000-00&amp;context=" TargetMode="External" /><Relationship Id="rId920" Type="http://schemas.openxmlformats.org/officeDocument/2006/relationships/hyperlink" Target="https://advance.lexis.com/api/document?collection=legislation-ca&amp;id=urn:contentItem:5F41-1FH1-F361-M0F6-00000-00&amp;context=" TargetMode="External" /><Relationship Id="rId921" Type="http://schemas.openxmlformats.org/officeDocument/2006/relationships/hyperlink" Target="https://advance.lexis.com/api/document?collection=cases-ca&amp;id=urn:contentItem:5F7T-S7K1-JNY7-X4PV-00000-00&amp;context=" TargetMode="External" /><Relationship Id="rId922" Type="http://schemas.openxmlformats.org/officeDocument/2006/relationships/hyperlink" Target="https://advance.lexis.com/api/document?collection=cases-ca&amp;id=urn:contentItem:5F7T-S7M1-JPP5-22H2-00000-00&amp;context=" TargetMode="External" /><Relationship Id="rId923" Type="http://schemas.openxmlformats.org/officeDocument/2006/relationships/hyperlink" Target="https://advance.lexis.com/api/document?collection=cases-ca&amp;id=urn:contentItem:5F7T-S7K1-F1H1-228K-00000-00&amp;context=" TargetMode="External" /><Relationship Id="rId924" Type="http://schemas.openxmlformats.org/officeDocument/2006/relationships/hyperlink" Target="https://advance.lexis.com/api/document?collection=cases-ca&amp;id=urn:contentItem:5F7T-S7J1-JNS1-M2B2-00000-00&amp;context=" TargetMode="External" /><Relationship Id="rId925" Type="http://schemas.openxmlformats.org/officeDocument/2006/relationships/hyperlink" Target="https://advance.lexis.com/api/document?collection=cases-ca&amp;id=urn:contentItem:5F7T-S7F1-FBN1-21PM-00000-00&amp;context=" TargetMode="External" /><Relationship Id="rId926" Type="http://schemas.openxmlformats.org/officeDocument/2006/relationships/hyperlink" Target="https://advance.lexis.com/api/document?collection=cases-ca&amp;id=urn:contentItem:5F7T-S701-JBT7-X23F-00000-00&amp;context=" TargetMode="External" /><Relationship Id="rId927" Type="http://schemas.openxmlformats.org/officeDocument/2006/relationships/hyperlink" Target="https://advance.lexis.com/api/document?collection=cases-ca&amp;id=urn:contentItem:5F7T-S731-F016-S3D3-00000-00&amp;context=" TargetMode="External" /><Relationship Id="rId928" Type="http://schemas.openxmlformats.org/officeDocument/2006/relationships/hyperlink" Target="https://advance.lexis.com/api/document?collection=cases-ca&amp;id=urn:contentItem:5F7T-S751-JCJ5-24CV-00000-00&amp;context=" TargetMode="External" /><Relationship Id="rId929" Type="http://schemas.openxmlformats.org/officeDocument/2006/relationships/numbering" Target="numbering.xml" /><Relationship Id="rId93" Type="http://schemas.openxmlformats.org/officeDocument/2006/relationships/hyperlink" Target="https://advance.lexis.com/api/document?collection=cases-ca&amp;id=urn:contentItem:5F7T-S6X1-K054-G1JR-00000-00&amp;context=" TargetMode="External" /><Relationship Id="rId930" Type="http://schemas.openxmlformats.org/officeDocument/2006/relationships/styles" Target="styles.xml" /><Relationship Id="rId94" Type="http://schemas.openxmlformats.org/officeDocument/2006/relationships/hyperlink" Target="https://advance.lexis.com/api/document?collection=cases-ca&amp;id=urn:contentItem:5F7T-S761-F7ND-G4M0-00000-00&amp;context=" TargetMode="External" /><Relationship Id="rId95" Type="http://schemas.openxmlformats.org/officeDocument/2006/relationships/header" Target="header13.xml" /><Relationship Id="rId96" Type="http://schemas.openxmlformats.org/officeDocument/2006/relationships/header" Target="header14.xml" /><Relationship Id="rId97" Type="http://schemas.openxmlformats.org/officeDocument/2006/relationships/footer" Target="footer13.xml" /><Relationship Id="rId98" Type="http://schemas.openxmlformats.org/officeDocument/2006/relationships/footer" Target="footer14.xml" /><Relationship Id="rId99" Type="http://schemas.openxmlformats.org/officeDocument/2006/relationships/header" Target="header15.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Koshman v. Brodis, [2013] B.C.J. No. 755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115043365</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