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rFonts w:ascii="arial" w:eastAsia="arial" w:hAnsi="arial" w:cs="arial"/>
          <w:sz w:val="20"/>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Strata Plan NW 3341 v. Canlan Ice Sports Corp., [2001] B.C.J. No. 1723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Grist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11 - 15, 2000 and</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January 2 - 19,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21,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Released: August 24,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C965848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1723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1214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10 W.W.R. 214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93 B.C.L.R. (3d) 136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 C.C.L.T. (3d) 111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 C.L.R. (3d) 293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22 M.P.L.R. (3d) 173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107 A.C.W.S. (3d) 497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The Owners, Strata Plan NW 3341, Leslie Evans, Gerald O'Neil, Fiona Smyth, James Robert Macnab, The Executor of the Estate of James Martin Macnab, Colleen Harnett, George Temperton, Nancy Stewart, Tawnia Gale Scott, and Noreen Sydell Anne Gunn and Lavona Sybil Marie Dayle, Executrices of the Estate of Doris Wright, plaintiffs, and Canlan Ice Sports Corp., Van Maren Construction Co. Ltd., Grant Dumbleton carrying on business as Grant Dumbleton, Architects and the said Grant Dumbleton, Elbe, Lock, Walls &amp; Associates Inc., J. Novacek &amp; Associates Ltd., The Corporation of Delta, and Van Maren Construction (#8701) Ltd., defendants, and Elbe, Lock, Walls &amp; Associates Inc., Van Maren Construction Co. Ltd., Van Maren Construction (#8701) Ltd., and J. Novacek &amp; Associates Ltd.,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25" style="position:absolute;z-index:251658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0" w:name="Keywords"/>
      <w:bookmarkEnd w:id="0"/>
      <w:r>
        <w:rPr>
          <w:rFonts w:ascii="arial" w:eastAsia="arial" w:hAnsi="arial" w:cs="arial"/>
          <w:b/>
          <w:color w:val="000000"/>
          <w:sz w:val="20"/>
          <w:lang w:val="en-US" w:eastAsia="en-US" w:bidi="ar-SA"/>
        </w:rPr>
        <w:t xml:space="preserve">Municipal law — Liability of municipalities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 building construction approval — Negligent issue of permits — Defences, policy decisions.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 w:name="Case Summary"/>
            <w:bookmarkEnd w:id="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owners of a condominium project against the developer and the contractor, the structural engineer, a building design company, and the municipality. Less than a year after completion of the development of a condominium project, the owners noticed water leakage. Significant rot was discovered in the structural framing. During the repair process, deficiencies in the structural design were uncovered and repaired. The owners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municipality, which had failed to adhere to its regulatory bylaw in inspecting and approving the development. The case at trial involved only the municipality.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 w:name="Holdings of Court"/>
            <w:bookmarkEnd w:id="2"/>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Damages of $3,151,572 were awarded. The municipality was found 20 per cent liable. The municipality had accepted jurisdiction to regulate construction by enactment of its building bylaw. Its regulatory standards were required to be consistent with the provincial building code. The municipality had improperly approved the plans for the development, as the plans did not meet the requirements of the code. Further, the municipality did not enforce all parts of the code in its inspections of the work. Once the municipality made the policy decision to inspect, it could not then choose to avoid parts of its scheme of regulation. Its failure to enforce the code was a cause of the ultimate loss. The type of exterior cladding used in the development required a high degree of maintenance to remain watertight in wind-driven rain. It was foreseeable that such a high degree of maintenance would not be possible, and that this, combined with other design defects and poor quality of construction would result in damage. Accordingly, the municipality owed a duty of care to the owners, which was breached. A record of failures of this type of design was not necessary before the municipality was required to inspect. The action was commenced within the relevant limitation periods and there was no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owners.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 w:name="Legislation Cited"/>
      <w:bookmarkEnd w:id="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26" style="position:absolute;z-index:2517094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Architects Act, R.S.B.C. 1979, c. 19, ss. 56, 57, 58.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Local Government Act, R.S.B.C. 1996, c. 323, ss. 285, 286.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Municipal Act, R.S.B.C. c. 323, ss. 692(3), 694, 695.</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This Judgment was released from the Vancouver Registry on August 24, 2001 and is date stamped accordingly.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 w:name="Counsel"/>
      <w:bookmarkEnd w:id="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27" style="position:absolute;z-index:2517606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Lawrence W. Coulter, for the defendants and third parties Van Maren Construction Co. Ltd. and Van Maren Construction (#8701) Ltd. J. Novacek &amp; Associates Ltd., acting in person. Donald Howieson and James G. Yardley, for the defendant, The Corporation of Delta. Beth Allard, for the defendants and third parties Elbe, Lock, Walls &amp; Associates Inc. Darrell W. Roberts, Q.C., and Barbara J. Curran, for the plaintiffs, The Owners, Strata Plan NW 3341 et al.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 w:name="Judgment"/>
      <w:bookmarkEnd w:id="5"/>
      <w:r>
        <w:pict>
          <v:line id="_x0000_s1028" style="position:absolute;z-index:251811840"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[Quicklaw note: Corrigenda were released by the Court August 27 and 28, 2001 and September 26, 2001. The corrections have been made to the text and the Corrigenda are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 w:name="GRIST J"/>
            <w:bookmarkEnd w:id="6"/>
            <w:r>
              <w:rPr>
                <w:rFonts w:ascii="arial" w:eastAsia="arial" w:hAnsi="arial" w:cs="arial"/>
                <w:b/>
                <w:color w:val="000000"/>
                <w:sz w:val="30"/>
                <w:lang w:val="en-US" w:eastAsia="en-US" w:bidi="ar-SA"/>
              </w:rPr>
              <w:t>GRIST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Strata Corporation claims damages for repairs to the three buildings comprising Riverwest Estates made necessary by wood rot in the exterior wall sheathing, studs and beams. The deterioration of the wood framing at Riverwest is similar to that found in many other contemporary buildings in the lower mainland. Many buildings have required extensive repairs of the wood frame members, replacement of the sheathing and exterior wall surfaces. The repairs are costly and Strata Corporations have difficulty functioning under the stress. The individual owners have ultimately had to carry most or all of the very substantial costs of these repairs.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Riverwest is situated on the south arm of the Fraser River in the Municipality of Delta. In total there are eighty-five units. The buildings were constructed in 1990 and fully occupied by the fall of 1991. Two of the buildings are identical in design and the third is similar. The design incorporates terraced decks on the east and west ends of the buildings, balconies on the north and south sides, a flat roof, stucco walls and tall half-round windows on the top floor, extending above ceiling height and covered by peaked metal roofing. The buildings are wood frame construction and suites have exterior windows and doors opening onto the decks and balconies. The suites have gas fireplaces vented to the roof through frame chimney chases annexed to the exterior walls. The exterior walls extend above the roof to parapet tops. There are no roof overhangs.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project was owned and developed by the defendant Canlan Ice Sports Corp. The defendant, Van Maren Construction (#8701) Ltd. was the general contractor.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This action lists the developer and the contractor, the structural engineer, and a building design company as defendants, but the case at trial involved only the Strata Corporation and the Municipality of Delta. The plaintiffs' action alleges negligent approval of the application for the building permit, negligent inspection of construction,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final act of issuance of the occupancy permit.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1989 the Riverwest project was presented to the Municipality for rezoning along with architectural drawings indicating the outward appearance of the buildings. At this stage the appearance of the buildings was quite different from what became the final design. Mr. Dumbleton, an architect, prepared these drawings. Council approved the proposal and the project went to the building permit stage. At this point the defendant, Elbe, Lock, Walls &amp; Associates Inc. became involved, preparing the plans that accompanied the permit application. The final configuration of the buildings and some of the construction details were determined by these plans.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structural design of the buildings was presented in plans drawn by the defendant, J. Novacek &amp; Associates Ltd., structural engineers.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plans prepared by the defendants, Elbe, Lock, Walls were not drawn by a professional architect. The legend affixed to the plans had Mr. Dumbleton's name block affixed to them, but he did not act in their preparation nor authorize his name to be used. The plans met with the approval of the Building Department and a permit was issued on February 26, 1990.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During the course of construction, the Municipality conducted inspections at three of the five stages indicated in the bylaw. The two other inspections required by the building bylaw, to occur on completion of the foundation footings and after framing was complete, were noted on the municipal record as being the responsibility of the structural engineer who provided the structural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buildings were completed in succession. Owners began to take occupancy of suites in the first building in August 1990, and virtually all of the suites in the three buildings were occupied by the end of 1991. The occupancy permit for all three buildings was issued the 27th day of November 1991.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Shortly after units were occupied owners began to complain about the construction of the decks and balconies. The developer had stipulated that the design of these features should include minimum slopes for the horizontal deck and balcony surfaces and the lowest threshold height achievable at the intersection with the patio doors. The plans approved for issuance of the building permit detailed a slope of 1:96, which indicates a fall of about one-eighth of an inch along each foot travelled toward the outside edge. The evidence given at this trial indicated this was less than the building code requirement of approximately one-quarter inch to the foot. As constructed, many surfaces apparently had no consistent slope at all, resulting in water pooling on these surfaces.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Frank, an engineer consulted by the strata counsel to advise on deficiencies prior to expiry of the one-year warranty offered by the developer, inspected some of the deck repairs in October 1992. His report noted the inappropriate slope and his comment was that the efforts being made at that time to improve the slope were unlikely to produce favourable results. His recommendation was that the decks should be completely stripped and reconstructed.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Despite Mr. Frank's comments improvements to the decks and balconies were attempted by building new deck surfaces over the old, increasing the slope back from the outside edge by using supporting cross strips of increasing thickness. This had the result of raising the deck below the patio doors and creating a seam between the waterproof vinyl surface of the deck and the stucco surface of the walls. Originally the vinyl membrane covering the decks and balconies was run up the adjoining walls for a distance with the stucco applied over top of the membrane. In the construction of the replacement deck surfaces, the vinyl was brought into contact with the stucco surface and a watertight joint attempted by using a sealant.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efforts to improve the decks and balconies continued for a number of years after substantial completion of the project and were a continuing concern of the owners and the Strata Corporation. These remedial efforts were undertaken by the developer and the construction company until further efforts were refused in January 1995. By this time some of the decks had been resurfaced twice.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attempts to improve the decks and balconies deserve mention in the history of this case because the original construction and remediation of these features contributed to what became the greater problem of moisture entering the walls. But also because balcony repairs eventually led to the discovery of the significant rot found in the structural framing.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WATER LEAKS INTO THE INDIVIDUAL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Starting during the first year of occupancy, the Strata Council also dealt with water leaks into the interior of many of the units. These leaks followed periods of rain and wind and were noticed above and below windows and patio doors and through ceilings of certain units. The worst leaks followed heavy rains and were usually seasonal occurrences. They were dealt with by application of sealants at likely points of entry into the exterior walls.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Frank's January 1992 report dealt in part with deficiencies he noted in the application of flashings along the parapet tops, at intersections with roof membrane, and where flashings met stucco. He also noted that he could not observe the metal beads and drip moulds that were supposed to be incorporated in the fascia built into the top perimeter of the buildings, a defect that would allow moisture to enter into the wall. He commented that flashings would have to be re-detailed to achieve outward slope and needed to continue up behind the stucco. Further, that the flashings applied to the building, "require extensive and continued application of sealants in order to remain somewhat waterproof." He also noted that the complex was not protected by overhanging soffits and was located beside the Fraser River and subject to substantial wind effects on moisture and precipitation.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Frank's comments were forwarded to the developer who assured that all details were pre-approved by "the architect", and that the flashings were inspected by the roofing contractor. Nothing more was done to attempt repairs beyond the application of sealant in response to leaks into the apartments.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Discovery of rot in the framing began with events in 1996. On one occasion an owner brought to the Strata Council's attention a piece of trim at the base of an interior wall. The painted wood trim had rotted to the point that the moulding would give way to hand pressure, revealing the interior of the wall cavity. In July 1996 rot was found in a beam, part of the structure supporting the roof of one of the buildings, during a repair to a deck of a third floor suite. Removal of the deck revealed the beam rotted to the extent that pieces of the laminated beam could be pulled away by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Strata Corporation commissioned a report from MHP Consultants, an engineering firm, to advise on the beam repair, followed by a further report dealing with the need to assess the extent of rot in the three building complex. In September 1996, the Strata Corporation took legal advice. Written notice of a potential claim was given to Delta on October 2nd, and this action was filled on October 16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MHP reports were prepared by Mr. Morstead, an engineer with experience in building envelope design. He surveyed the owners in relation to water leaks that had occurred in the past, examined the outside cladding, design features and flashings, and inspected the ongoing beam repair. He found that 41 of the 85 suites at Riverwest had experienced water leaking onto interior walls, window surfaces or ceiling finishes. Approximately one-quarter of the suites showed evidence of ongoing water leakage problems. The summary of his findings was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Wall, window and patio deck construction at Riverwest is similar to many timber-frame, stucco-clad condominium buildings in the Lower Mainland. Water entry problems at Riverwest and other buildings derive from a reliance on exterior surfaces, joints and junctions to remain watertight during the service-life of the buildings. This enclosure type is often referred to as "face-sealed". Leakage into exterior walls and patio decks occurs when even minor openings in exterior seals allow water in. In some instances, water entry has resulted in wood rot of timber structural elements.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Wind-driven rain is a particularly difficult source of moisture to control using face-sealed details and many architectural features of the buildings result in joints and junctions that are difficult to seal. Recurring water entry problems at some suites is an indication of the difficulty of obtaining serviceable face-sealed assemblies. Up-grading of walls, windows and decks is needed to obtain assemblies that do not rely on the integrity of exterior seals. This work would involve all three main enclosure components included in the recent investigation: 1) Patio deck waterproofing including adjacent windows and sliding doorways. 2) stucco and metal wall cladding including metal flashings particularly with East and South exposures, and 3) window and patio door installations.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This report was followed by more extensive investigation of the buildings and moisture probing conducted by Mr. Frank, who was at this time employed by Morrison Hershfield, a further consulting firm hired by the Strata corporation. The testing confirmed water entry into the buildings and also recommended extensive rebuilding of the exterior walls and balconies.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early 1998 the Strata corporation hired RDH Building Engineering to provide advice, and to design and manage the repair program. The project was tendered and a bid selected. The buildings were stripped of stucco and sheathing, structural framing was replaced where required and the sheathing, building paper and exterior surface replaced. The replacement was primarily with stucco of similar composition to that originally applied, but applied onto wooden strips which allowed drainage and ventilation so that moisture that might penetrate into the wall behind the stucco would drain or dry, rather than being retained in the wall itself. Remediation also included addition of overhanging canopies over upper storey windows and doors and reconstruction of the decks. The total price paid was in the order of $3 million, or roughly $40,000 to $60,000 per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DEFECTS IN THE STRUCTURAL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During the process of stripping the exterior, deficiencies in the structural design of the buildings were uncovered and repaired. The supporting joists below balconies and decks were not adequate to support these features over the distance spanned. Joists were not fixed into beams with adequate support and the deck structures were tied into chimney chases, which did not rest on foundation footings. These structural defects were improved as part of the overall project. The cost of these repairs was not isolated, but estimated to have increased the total cost by approximately $50,000 to $75,000.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law imposing 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requires that a defendant must owe the claimant a duty of care. Proof must then be given that the defendant failed to exercise a reasonable standard of care and that this failure was a material cause of the damage the plaintiff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duty of care of a government regulatory body to individuals among the public it serves is now well established by case law. In Anns v. London Borough of Merton, [1978] A.C. 728, a local government body was found liable to a private claimant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enforcing building standards. The two-step test established in Anns required, first an analysis of whether there was a sufficiently close or proximate relationship between the public body and the private claimant to be able to reasonably forecast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regulatory body would cause damage to the claimant. The second consideration is whether there are any competing, often policy based, reasons why the public body should not be made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Kamloops v. Nielsen, </w:t>
      </w:r>
      <w:hyperlink r:id="rId11" w:history="1">
        <w:r>
          <w:rPr>
            <w:rFonts w:ascii="arial" w:eastAsia="arial" w:hAnsi="arial" w:cs="arial"/>
            <w:i/>
            <w:color w:val="0077CC"/>
            <w:sz w:val="20"/>
            <w:u w:val="single"/>
            <w:shd w:val="clear" w:color="auto" w:fill="FFFFFF"/>
            <w:lang w:val="en-US" w:eastAsia="en-US" w:bidi="ar-SA"/>
          </w:rPr>
          <w:t>[1984] 5 W.W.R. 1</w:t>
        </w:r>
      </w:hyperlink>
      <w:r>
        <w:rPr>
          <w:rFonts w:ascii="arial" w:eastAsia="arial" w:hAnsi="arial" w:cs="arial"/>
          <w:color w:val="000000"/>
          <w:sz w:val="20"/>
          <w:lang w:val="en-US" w:eastAsia="en-US" w:bidi="ar-SA"/>
        </w:rPr>
        <w:t>, the Supreme Court of Canada made it clear that the law expressed in Anns would extend liability in Canadian cases where economic loss resulted from the negligent acts of a regulatory body. In Kamloops, and traditionally, the argument advanced in favour of limiting liability was that government bodies would be subject to indeterminate and overwhelming exposure, a concern expressed in a U.S. authority, Ultramares v. Touche (1931) 255 N.Y. 170. At p. 45 Wilson, J. rejected this limitation of liability: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do not believe that to permit recovery in this case is to expose public authorities to the indeterminate liability referred to Ultramares. In order to obtain recovery for economic loss the statute has to create a private law duty to the plaintiff along side the public law duty. The plaintiff has to belong to the limited class of owners or occupiers of the property at the time the damage manifests itself. Loss caused as a result of policy decisions made by the public authority in the bona fide exercise of discretion will not be compensable. Loss caused in the implementation of policy decisions will not be compensable if the operational decision includes a policy element. Loss caused in the implementation of policy decisions, i.e., operational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will be compensable. Loss will also be compensable if the implementation involves policy considerations and the discretion exercised by the public authority is not exercised in good faith. Finally, and perhaps this merits some emphasis, economic loss will only be recoverable if as a matter of statutory interpretation it is a type of loss the statute intended to guard against.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seems to me that recovery for economic loss on the foregoing basis accomplishes a number of worthy objectives. It avoids undue interference by the courts in the affairs of public authorities. It gives a remedy where the legislature has impliably sanctioned it and justice clearly requires it. It imposes enough of a burden on public authorities to act as a check on the arbitrary and negligent discharge of statutory duties. For these reasons I would permit recovery of the economic loss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Kamloops was a case where the Municipality failed to take any effective action to require a property owner to replace an unstable retaining wall. The city inspector had discovered the defect and placed a stop work order on the site, but the city took no further action to resolve the problem. The city was found liable to a subsequent purchaser who bought the property without notice of the defect and suffered loss when the wall failed, removing support for the foundation of the home situate on the property. The failure founding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therefore the failure to enforce compliance with building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Rothfield v. Manolakos </w:t>
      </w:r>
      <w:hyperlink r:id="rId12" w:history="1">
        <w:r>
          <w:rPr>
            <w:rFonts w:ascii="arial" w:eastAsia="arial" w:hAnsi="arial" w:cs="arial"/>
            <w:i/>
            <w:color w:val="0077CC"/>
            <w:sz w:val="20"/>
            <w:u w:val="single"/>
            <w:shd w:val="clear" w:color="auto" w:fill="FFFFFF"/>
            <w:lang w:val="en-US" w:eastAsia="en-US" w:bidi="ar-SA"/>
          </w:rPr>
          <w:t>(1989) 63 D.L.R. (4TH) 449</w:t>
        </w:r>
      </w:hyperlink>
      <w:r>
        <w:rPr>
          <w:rFonts w:ascii="arial" w:eastAsia="arial" w:hAnsi="arial" w:cs="arial"/>
          <w:color w:val="000000"/>
          <w:sz w:val="20"/>
          <w:lang w:val="en-US" w:eastAsia="en-US" w:bidi="ar-SA"/>
        </w:rPr>
        <w:t xml:space="preserve">, another case involving a retaining wall, the Municipality was held liable for issuing a building permit without having received proper plans for the wall and for subsequently failing to make a proper inspection. The case illustrates that municipalities may be liable not only for negligent enforcement of the building bylaw, but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approval and inspection process. La Forest, J. said at p. 455: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inspection of plans and the supervision of construction increases the costs of a construction for everyone. But I think that most rate payers, were they to give the matter any thought, would justify the increased expense as an investment in peace of mind; faulty construction, after all, is a danger to life and limb and may result in future expense and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each of these cases the duty to exercise proper care originated in the public law responsibility imposed by statute or adopted under permissive statutory authority by the local authority. In each case there was foreseeable loss to the plaintiff if the process of regulation was done badly or not undertaken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assessing policy based reasons for avoidance of liability the court in Kamloops recognized that if the failure to act were based on a good faith employment of discretion in the allocation of resources, liability should not be imposed. The distinction was made between operational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implementation of policy decisions. In any individual case, however, the difficulty often lies in properly labelling the failure in question. Was it an operational failure to implement a policy or a forgivable policy based economy of resources? The further, or perhaps initial, requirement of good faith in determining policy adds another level of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Just v. British Columbia </w:t>
      </w:r>
      <w:hyperlink r:id="rId13" w:history="1">
        <w:r>
          <w:rPr>
            <w:rFonts w:ascii="arial" w:eastAsia="arial" w:hAnsi="arial" w:cs="arial"/>
            <w:i/>
            <w:color w:val="0077CC"/>
            <w:sz w:val="20"/>
            <w:u w:val="single"/>
            <w:shd w:val="clear" w:color="auto" w:fill="FFFFFF"/>
            <w:lang w:val="en-US" w:eastAsia="en-US" w:bidi="ar-SA"/>
          </w:rPr>
          <w:t>[1989] 2 S.C.R. 1228</w:t>
        </w:r>
      </w:hyperlink>
      <w:r>
        <w:rPr>
          <w:rFonts w:ascii="arial" w:eastAsia="arial" w:hAnsi="arial" w:cs="arial"/>
          <w:color w:val="000000"/>
          <w:sz w:val="20"/>
          <w:lang w:val="en-US" w:eastAsia="en-US" w:bidi="ar-SA"/>
        </w:rPr>
        <w:t>, Cory J. said the following at p. 1242: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duty of care should apply to a public authority unless there is a valid basis for its exclusion. A true policy decision undertaken by a government agency constitutes such a valid basis for exclusion. What constitutes a policy decision may vary infinitely and may be made at different levels although usually at a high level.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decisions in Anns v. Merton London Borough Council and City of Kamloops v. Nielsen, supra, indicate that a government agency in reaching a decision pertaining to inspection must act in a reasonable manner which constitutes a bona fide exercise of discretion. To do so they must specifically consider whether to inspect and if so, the system of inspection must be a reasonable one in all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a subsequent case, Brown v. British Columbia </w:t>
      </w:r>
      <w:hyperlink r:id="rId14" w:history="1">
        <w:r>
          <w:rPr>
            <w:rFonts w:ascii="arial" w:eastAsia="arial" w:hAnsi="arial" w:cs="arial"/>
            <w:i/>
            <w:color w:val="0077CC"/>
            <w:sz w:val="20"/>
            <w:u w:val="single"/>
            <w:shd w:val="clear" w:color="auto" w:fill="FFFFFF"/>
            <w:lang w:val="en-US" w:eastAsia="en-US" w:bidi="ar-SA"/>
          </w:rPr>
          <w:t>[1994] 1 S.C.R. 420</w:t>
        </w:r>
      </w:hyperlink>
      <w:r>
        <w:rPr>
          <w:rFonts w:ascii="arial" w:eastAsia="arial" w:hAnsi="arial" w:cs="arial"/>
          <w:color w:val="000000"/>
          <w:sz w:val="20"/>
          <w:lang w:val="en-US" w:eastAsia="en-US" w:bidi="ar-SA"/>
        </w:rPr>
        <w:t>, Cory J. reiterated much of what was said in Just and added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distinguishing what is policy and what is operations, it may be helpful to review some of the relevant factors that should be considered in making that determination. These factors can be derived from the following decisions of this Court: Laurentide Motels Ltd. v. Beauport (City), </w:t>
      </w:r>
      <w:hyperlink r:id="rId15" w:history="1">
        <w:r>
          <w:rPr>
            <w:rFonts w:ascii="arial" w:eastAsia="arial" w:hAnsi="arial" w:cs="arial"/>
            <w:i/>
            <w:color w:val="0077CC"/>
            <w:sz w:val="20"/>
            <w:u w:val="single"/>
            <w:shd w:val="clear" w:color="auto" w:fill="FFFFFF"/>
            <w:lang w:val="en-US" w:eastAsia="en-US" w:bidi="ar-SA"/>
          </w:rPr>
          <w:t>[1989] 1 S.C.R. 705</w:t>
        </w:r>
      </w:hyperlink>
      <w:r>
        <w:rPr>
          <w:rFonts w:ascii="arial" w:eastAsia="arial" w:hAnsi="arial" w:cs="arial"/>
          <w:color w:val="000000"/>
          <w:sz w:val="20"/>
          <w:lang w:val="en-US" w:eastAsia="en-US" w:bidi="ar-SA"/>
        </w:rPr>
        <w:t xml:space="preserve">; Barratt v. District of North Vancouver, </w:t>
      </w:r>
      <w:hyperlink r:id="rId16" w:history="1">
        <w:r>
          <w:rPr>
            <w:rFonts w:ascii="arial" w:eastAsia="arial" w:hAnsi="arial" w:cs="arial"/>
            <w:i/>
            <w:color w:val="0077CC"/>
            <w:sz w:val="20"/>
            <w:u w:val="single"/>
            <w:shd w:val="clear" w:color="auto" w:fill="FFFFFF"/>
            <w:lang w:val="en-US" w:eastAsia="en-US" w:bidi="ar-SA"/>
          </w:rPr>
          <w:t>[1980] 2 S.C.R. 418</w:t>
        </w:r>
      </w:hyperlink>
      <w:r>
        <w:rPr>
          <w:rFonts w:ascii="arial" w:eastAsia="arial" w:hAnsi="arial" w:cs="arial"/>
          <w:color w:val="000000"/>
          <w:sz w:val="20"/>
          <w:lang w:val="en-US" w:eastAsia="en-US" w:bidi="ar-SA"/>
        </w:rPr>
        <w:t>; and Just, supra; and can be summarized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True policy decisions involve social, political and economic factors. In such decisions, the authority attempts to strike a balance between efficiency and thrift, in the context of planning and predetermining the boundaries of its undertakings and of their actual performance. True policy decisions will usually be dictated by financial, economic, social and political factors or constraints.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operational area is concerned with the practical implementation of the formulated policies, it mainly covers the performance or carrying out of a policy. Operational decisions will usually be made on the basis of administrative direction, expert or professional opinion, technical standards or general standards of reasonableness.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requirement of good faith is an overriding consideration that will extend liability no matter how a particular government act or omission is characterized. At pp. 435-6 of Brown, Cory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will always be open to a plaintiff to attempt to establish, on a balance of probabilities, that the policy decision was not bona fide or was so irrational or unreasonable as to constitute an improper exercise of governmental discretion. This is not a new concept. It has long been recognized that government decisions may be attacked in those relatively rare instances where the policy decision is shown to have been made in bad faith or in circumstances where it is so patently unreasonable that it exceeds governmental discretion. The test to be applied when a policy decision is questioned is set out in City of Kamloops v. Nielsen, </w:t>
      </w:r>
      <w:hyperlink r:id="rId11" w:history="1">
        <w:r>
          <w:rPr>
            <w:rFonts w:ascii="arial" w:eastAsia="arial" w:hAnsi="arial" w:cs="arial"/>
            <w:i/>
            <w:color w:val="0077CC"/>
            <w:sz w:val="20"/>
            <w:u w:val="single"/>
            <w:shd w:val="clear" w:color="auto" w:fill="FFFFFF"/>
            <w:lang w:val="en-US" w:eastAsia="en-US" w:bidi="ar-SA"/>
          </w:rPr>
          <w:t>[1984] 2 S.C.R. 2</w:t>
        </w:r>
      </w:hyperlink>
      <w:r>
        <w:rPr>
          <w:rFonts w:ascii="arial" w:eastAsia="arial" w:hAnsi="arial" w:cs="arial"/>
          <w:color w:val="000000"/>
          <w:sz w:val="20"/>
          <w:lang w:val="en-US" w:eastAsia="en-US" w:bidi="ar-SA"/>
        </w:rPr>
        <w:t>, at p. 24, by Wilson J. in these words: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my view, inaction for no reason or inaction for an improper reason cannot be a policy decision taken in the bona fide exercise of discretion. Where the question whether the requisite action should be taken has not even been considered by the public authority, or at least has not been considered in good faith, it seems clear that for that very reason the authority has not acted with reasonable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Ingles v. Tutkaluk </w:t>
      </w:r>
      <w:hyperlink r:id="rId17" w:history="1">
        <w:r>
          <w:rPr>
            <w:rFonts w:ascii="arial" w:eastAsia="arial" w:hAnsi="arial" w:cs="arial"/>
            <w:i/>
            <w:color w:val="0077CC"/>
            <w:sz w:val="20"/>
            <w:u w:val="single"/>
            <w:shd w:val="clear" w:color="auto" w:fill="FFFFFF"/>
            <w:lang w:val="en-US" w:eastAsia="en-US" w:bidi="ar-SA"/>
          </w:rPr>
          <w:t>[2000] 1 S.C.R. 298</w:t>
        </w:r>
      </w:hyperlink>
      <w:r>
        <w:rPr>
          <w:rFonts w:ascii="arial" w:eastAsia="arial" w:hAnsi="arial" w:cs="arial"/>
          <w:color w:val="000000"/>
          <w:sz w:val="20"/>
          <w:lang w:val="en-US" w:eastAsia="en-US" w:bidi="ar-SA"/>
        </w:rPr>
        <w:t>, the point was again made by Bastarache J. at pp. 311-2: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determine whether an inspection scheme by a local authority will be subject to a private law duty of care, the court must determine whether the scheme represents a policy decision on the part of the authority, or whether it represents the implementation of a policy decision, at the operational level. True policy decisions are exempt from civil liability to ensure that governments are not restricted in making decisions based upon political or economic factors. It is clear, however, that once a government agency makes a policy decision to inspect, in certain circumstances, it owes a duty of care to all who may be injured by the negligent implementation of that policy; see, for example, Just v. British Columbia, </w:t>
      </w:r>
      <w:hyperlink r:id="rId13" w:history="1">
        <w:r>
          <w:rPr>
            <w:rFonts w:ascii="arial" w:eastAsia="arial" w:hAnsi="arial" w:cs="arial"/>
            <w:i/>
            <w:color w:val="0077CC"/>
            <w:sz w:val="20"/>
            <w:u w:val="single"/>
            <w:shd w:val="clear" w:color="auto" w:fill="FFFFFF"/>
            <w:lang w:val="en-US" w:eastAsia="en-US" w:bidi="ar-SA"/>
          </w:rPr>
          <w:t>[1989] 2 S.C.R. 1228</w:t>
        </w:r>
      </w:hyperlink>
      <w:r>
        <w:rPr>
          <w:rFonts w:ascii="arial" w:eastAsia="arial" w:hAnsi="arial" w:cs="arial"/>
          <w:color w:val="000000"/>
          <w:sz w:val="20"/>
          <w:lang w:val="en-US" w:eastAsia="en-US" w:bidi="ar-SA"/>
        </w:rPr>
        <w:t>, at p. 1243, per Cory J.; Rothfield v. Manolakos, supra, at p. 1266, per La Forest J.</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I have stated above that a government agency will not be liable for those decisions made at the policy level, I must emphasize that, where inspection is provided for by statute, a government agency cannot immunize itself from liability by simply making a policy decision never to inspect. The decisions in Anns v. Merton London Borough Council, supra, and Kamloops v. Nielsen, supra, establish that in reaching a policy decision pertaining to inspection, the government agency must act in a reasonable manner which constitutes a bona fide exercise of discretion. In the context of a municipal inspection scheme, we must bear in mind that municipalities are creatures of statute, which have clear responsibilities for health and safety in their area. A policy decision as to whether or not to inspect must accord with this statutory purpose; see, for example, Kamloops v. Nielsen, at p.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standard of care is set out in Ingles at p. 312: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Once it is determined that an inspection has occurred at the operational level, and thus that the public actor owes a duty of care to all who might be injured by a negligent inspection, a traditional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analysis will be applied. To avoid liability, the government agency must exercise the standard of care in its inspection that would be expected of an ordinary, reasonable and prudent person in the same circumstances. Recently, in Ryan v. Victoria, </w:t>
      </w:r>
      <w:hyperlink r:id="rId18" w:history="1">
        <w:r>
          <w:rPr>
            <w:rFonts w:ascii="arial" w:eastAsia="arial" w:hAnsi="arial" w:cs="arial"/>
            <w:i/>
            <w:color w:val="0077CC"/>
            <w:sz w:val="20"/>
            <w:u w:val="single"/>
            <w:shd w:val="clear" w:color="auto" w:fill="FFFFFF"/>
            <w:lang w:val="en-US" w:eastAsia="en-US" w:bidi="ar-SA"/>
          </w:rPr>
          <w:t>[1999] 1 S.C.R. 420</w:t>
        </w:r>
      </w:hyperlink>
      <w:r>
        <w:rPr>
          <w:rFonts w:ascii="arial" w:eastAsia="arial" w:hAnsi="arial" w:cs="arial"/>
          <w:color w:val="000000"/>
          <w:sz w:val="20"/>
          <w:lang w:val="en-US" w:eastAsia="en-US" w:bidi="ar-SA"/>
        </w:rPr>
        <w:t xml:space="preserve"> at para. 28, Major J. reaffirmed that the measure of what is reasonable in the circumstances will depend on a variety of factors, including the likelihood of a known or foreseeable harm, the gravity of that harm and the burden or cost which would be incurred to prevent the injury. The same standard of care applies to a municipality, which conducts an inspection of a construction project. While the municipal inspector will not be expected to discover every latent defect in a project, or every derogation from the building code standards, it will be liable for those defects that it could reasonably be expected to have detected and to have ordered remedied; see, for example, Rothfield v. Manolakos, supra, at pp. 1268-69.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It is difficult to conceive of an act or omission of a regulatory body that would be the direct or principal cause of faulty construction, but such an act or omission could be a cause of the loss, in conjunction with the other causal factors, if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regulatory body materially contributed to the loss. This, for example, was the finding in Manolakos where the deficient construction was predominantly the fault of the contractor. The city's failing in not conducting a proper inspection, however, was judged to have contributed to the loss, which might otherwise have been avoided.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Barring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the plaintiff, defendants mutually contributing to the loss will be jointly and severally liable to the plaintiff. In cases where the participants most contributing to the loss are those responsible for construction, these defendants may be separately incorporated for the individual project and accordingly may not be viable entities when latent defects become apparent. This leaves the other enduring entities associated with the loss exposed to the full force of the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APPLICABLE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 municipality's power to regulate construction emanates from Section 694 of the Municipal Act R.S.B.C. c. 323. That section provides that a Municipal Council, "may, for the health, safety and protection of persons and property, by bylaw, do one or more of the following:</w:t>
      </w:r>
      <w:r>
        <w:rPr>
          <w:rFonts w:ascii="arial" w:eastAsia="arial" w:hAnsi="arial" w:cs="arial"/>
          <w:sz w:val="20"/>
          <w:lang w:val="en-US" w:eastAsia="en-US" w:bidi="ar-SA"/>
        </w:rPr>
        <w:cr/>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regulate the construction, alteration, repair or demolition of buildings and structures;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require, before occupancy of a building or part of it after construction, wrecking or alteration, or a change in class of occupancy of a building or part of it, an occupancy permit be obtained from the council or the authorised official;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prescribe conditions generally governing the issue and validity of permits, inspection of works, buildings and structures;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provision is permissive. Municipalities, which adopt regulation of building standards in their districts, enact bylaws accepting the jurisdiction and delegating powers to their officials.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standards to be applied in regulating construction are stipulated in most part by the Provincial Government through the establishment of a Provincial Building Code for British Columbia (the Provincial Code). These standards have Provincial effect and by Section 692 (3) of the Municipal Act, a Municipal Council accepting the regulation of construction must not provide regulatory standards inconsistent with the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preamble to the Delta building bylaw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WHEREAS Section (694) of the "Municipal Act", being Chapter 290, R.S.B.C. 1979, and amendments thereto, provides for the Minister to make regulations for the establishment of a Building Code for the Province which shall apply to all municipalities thereof and which shall have the same force and effect as a validly enacted By-law of the Municipality.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WHEREAS it is deemed expedient to make provision for the administration and enforcement of the said Building Code within the Municipality of Delta and to regulate building generally in respect of those matters not included in the said Building Code.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NOW THEREFORE the Council of the Corporation of Delta in open meeting assembled, ENACTS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Section 4 of the bylaw, the Municipality provides for the appointment of a Director of Permits and Licences who shall:</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administer this By-law;</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keep records of every application received, the permits and orders issued and the inspections and tests made, and shall retain copies of all papers and documents connected with the administration of this By-law;</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issue permits for the purposes mentioned in this By-law.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Director and inspectors appointed to assist in the administration of the bylaw are given powers to enter onto premises, stop work, or revoke permits in enforcement of the bylaw and building code. Sections 13 and 14(a) of the bylaw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Part II - Buildings: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building or any part thereof, shall be constructed, altered, repaired, or demolished, except in accordance with the provisions of this By-law and the Provincial Code.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Permit Required: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Except as hereinafter specifically provided, no building, or any part thereof, shall be constructed, altered, repaired, or demolished until a building permit therefor has first been obtained pursuant to this By-law.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requirements for a building permit are stipulated in section 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Permit Application: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(a) Every application for a building permit shall:</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 accompanied by copies, in duplicate for a single family dwelling or duplex and related accessory buildings, and in triplicate for all other buildings, of the specifications and scale drawings of the building with respect to which the work is to be carried out, showing:</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technical information which is required to be included on the drawings pursuant to this By-law or the Provincial Code; and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such other information as is necessary to illustrate all essential features of the design of the building; and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contain any and all other information necessary to establish compliance with the Provincial Code and this By-law.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Sections 7 and 17 provide for reliance upon professional certification: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Professional Design and Supervision: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Whenever the character of any proposed work for which a permit has been applied pursuant to this By-law is such that the project requires technical expertise, all drawings, specifications and plot plans shall be prepared and signed by and the construction carried out under the supervision of an Architect or a Professional Engineer who are registered with the appropriate Professional body to practice in the Province of British Columbia.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Inspections Required: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owner or the agent of the owner of any building upon which any construction, alteration, repair, or demolition is being done shall obtain an inspection by the Director of Permits and Licences or an Inspector to determine compliance with the provisions of this By-law and the Provincial code: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forms for footings and foundation walls are complete, but prior to the placing of any concrete therein;</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single and two family dwellings, after the installation of foundation drains and drain rock, but prior to the backfilling of foundations;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framing of floors above crawl spaces, but prior to the installation of subfloors;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framing and sheathing of the building are complete, including fire-stopping, bracing, chimneys, duct work, plumbing, gas venting and wiring, but before any insulation, lath or other interior or exterior finish is applied which would conceal such work;</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insulation and vapour barriers have been installed and prior to interior finishing; and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building or any portion thereof is complete and ready for occupancy, but before occupancy of any portion of the building takes place.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Provided, however, that where an architect or a professional engineer registered to practice in British Columbia is engaged by the owner for the inspection of the construction of the building, sealed certificates of compliance with the approved plans and the Provincial Code, submitted by the architect or engineer, may be accepted in lieu of inspections made by the Director of Permits and Licences or an Inspector.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Sections 18(a) and (b) provide for an occupancy permit: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Occupancy Permit: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No person shall occupy or permit the occupancy of any building hereafter erected or any portion thereof, until an occupancy permit therefor has been issued by the Director of Permits and Licences in the form set out in Schedule "B" hereto.</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occupancy permit shall be issued for any building or portion thereof until the building meets all of the requirements of the Provincial Code, all By-laws of The Corporation of Delta, the Gas Act and the Electrical Energy Inspection Act as evidenced by certificates of approval in accordance with this By-law, the Gas Act and the Electrical Energy Inspection Act and regulations pursuant thereto.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PROVINCIAL BUILDING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building code is a document divided into a number of parts. Some of these focus on different aspects of a building's design. The code differentiates between buildings used for various purposes and, for example, provides standards for single family homes different from those that are applicable to the design of larger residential buildings. The smaller buildings are regulated in large part under Part 9 of the building code. Larger residential buildings are regulated under parts 3,4,5,and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Generally the provisions regulating smaller structures attempt to stipulate mandatory or minimum criteria. The standards for larger more complicated structures are commonly expressed as design objectives. A designer will propose to meet the design objective by an individual plan. This allows professional designers the flexibility to employ custom methods or materials to suit the requirements of a specific building while meeting the objective.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latter form of regulation, stipulating a design objective, provides challenges to Municipal Inspectors. It is easier to assure compliance with criteria or a minimum stipulation than to be satisfied that a design objective has been met. This sort of inspection is inherently more difficult and often requires professional expertise which may be beyond the abilities of many Municipal Building Departments. Section 695 of the Municipal Act and Section 7 and 17 of the Delta bylaw provide an option to Municipal inspection, allowing professional certification of design and subsequent professional inspection of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Part 5 of the Building Code prescribes the design objectives relating to wind, water and vapour protection for buildings having a floor area greater than six hundred square metres. Section 5.4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 5.4 CONTROL OF RAIN PENETRATION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SUBSECTION 5.4.1 JOINTS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5.4.1.1. Joints in exterior cladding and the junctions of different exterior claddings shall be constructed to minimize the entrance of rain-water into the building assembly.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SUBSECTION 5.4.2. OPENINGS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5.4.2.1. An opening in an exterior wall or roof shall be so constructed as to prevent the entrance of rain or snow into the building.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SUBSECTION 5.4.3. ROOFING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5.4.3.1(1) Roofing shall be installed so as to</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shed or drain water effectively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SUBSECTION 5.4.4. PARAPETS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5.4.4.1.(1) Where the top of a wall is exposed to the weather</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shall be capped, and</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through-wall flashing shall be installed immediately under a segmented or pervious cap, and at such other points in the wall as are necessary to divert rainwater to the outside.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SUBSECTION 5.4.5. EXTERIOR WALL CLADDING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5.4.5.1. Exterior wall cladding shall be so installed that it sheds water to prevent its entry into other components of the building assembly. Where there is a likelihood of some penetration, drainage shall be provided to take water to the outside.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evidence of the Delta Director of Permits and Licenses was that the building department did not undertake any processes to ensure compliance with most of Part 5, either by requiring plans that showed construction details designed to accomplish the objectives, on site inspection, or by requiring professional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He acknowledged that the bylaw adopted enforcement of all parts of the Provincial Code and that under the bylaw plans submitted for permits were required to show information necessary to establish compliance with the code. The department practice, however, was only to check plans for full compliance with Part 3, Use and Occupancy requirements. These detail features of a building prescribed to suit its use and in large part detail safety, especially fire safety, features. The Part 4 provisions, which deal with structural integrity, were not checked or inspected because the department did not have sufficient expertise in structural design and made use of the option of requiring professional certification.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Inspections performed under the bylaw were also of limited scope. There were, however, two Part 5 requirements that were inspected, installation of insulation and vapour barrier, and foundation dampproofing. Insulation and vapour barrier were inspected because there had been avoidance of these features when first introduced to the code. The reason for inspecting dampproofing of the concrete walls, that in this case enclosed the car park, was not clear. This was especially so because there was no inspection of any other element of the building envelope to assure water would not penetrate.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department practice of not including inspections relating to Part 5 was explained as being the result of the difficulty involved in assessing performance based objectives and due to the fact that building envelope failures were not seen as a problem. The Director did not think that council would approve funds for more complete inspections in the absence of past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ARCHITECTS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role of professional practice in construction in British Columbia is stipulated in part by the Architects' Act R.S.B.C. 1979, c. 19, ss. 56-58. These sections restrict the planning, designing, and the supervision of construction of residential buildings having more than five units, to architects certified under the statute. Here the municipality took the position that the Architects' Act was not relevant to the district's administration and enforcement of the Provincial Code, which in most aspects speaks generically of a designer, defined to mean simply the person responsible for the design. Delta felt that they were not obligated to impose the additional professional requirement under the Provincial Statute.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"POLICY DECISION" EXCLUSION: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Municipality argues that it chose not to implement procedure designed to enforce Part 5 of the code as a policy decision. The incongruity in this position is that the Municipality purported to "make provision for the administration and enforcement of the said building code," without any reservation of responsibility for individual parts. From a reading of the enabling bylaw it would seem that the applicable policy was set by the adoption of authority and it is difficult to accept that it is open to the District to say it then took no responsibility for certain parts of the code. Further, the Director's evidence was that his department recognized the bylaw was all-inclusive in its adoption of the code for regulation.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examination of whether any policy exclusion applies, however, likely requires a further level of consideration. The argument can be made that, although the responsibility undertaken was to administer and enforce the building code, it remained subject to Municipal policy determining selection of how and to what extent it was to be done. Here the decision was made at the departmental level. The question posed is whether a decision to limit the scope in administration of a public law responsibility at this level should be seen to be policy which, except for considerations of patent unreasonableness and bad faith, exempts the Municipality from a duty of care; or should the departmental decision be seen as part of its plan of implementation of the municipality's public law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If the latter is correct, the next step is to determine if the decision not to regulate certain sections is acceptable under the standard of care test, i.e., did the Municipality effect a reasonable level of review in light of all of the circumstances? If the former is correct, the concepts of patent unreasonableness and bad faith still remain for consideration, but to be analysed with deference to the Municipality's role as a representative body responsible for martialling its resources. The difficulty in resolving this is foreshadowed by the statement at page 1239 of Just,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Particularly difficult decisions will arise in situations where governmental inspections may be expected.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evidence here is that Delta made a policy decision to administer and enforce the Provincial Code through the process of permit approval and subsequent inspection. Administration of these processes through the Building Department became implementation at the operational level. As I noted earlier, the Director acknowledged the bylaw adopted enforcement of the whole code. It was at the departmental level that the decision was made not to deal with certain provisions. In such cases, as in Ingles, at p. 311,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clear, however, that once a government agency makes a policy decision to inspect, in certain circumstances, it owes a duty of care to all who may be injured by the negligent implementation of that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To hold otherwise would allow for a situation where a Municipality declares in a bylaw it is going to administer and enforce a scheme of regulation, parts of which are then avoided at the departmental level, defeating significant aspects of this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If I am wrong in this analysis, I note the further comment from p. 311 of Ingles,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must emphasize that, where inspection is provided for by statute, a government agency cannot immunize itself from liability by simply making a policy decision never to inspect.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That comment related to the Ontario Statute which imposes the duty to inspect on the Municipal authority and speaks to the obligation to show good faith in setting policy in an area of responsibility. I view the comment as equally applicable to a case in British Columbia where the Municipality adopts enforcement of the Provincial code. The last comment from Ingles illustrates that in the ultimate, in a case such as this, an analysis of the reasonableness of the approval and inspection system comes into view however the elusive policy or operation' test is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main argument in defence of liability was that the Municipality was not negligent because it could not reasonably have known of the likelihood of the problem that developed. As indicated in Manolakos, an inspection authority is not an insurer and can only be held responsible for defects it could reasonably have detected and ordered remedied. Here the evidence is that at the time Riverwest was developed the system of applying stucco directly to the exterior wall, without a backing airspace drained to the outside, was commonly employed in construction of frame apartments.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Historically, the earliest stucco applications referred to in the evidence used wooden lath as the underlying surface holding the stucco, which allowed for some airspace in the application. Stucco on buildings of that time apparently performed well, likely in part due to the separation the wooden lath allowed, but perhaps also in that wall construction of that era was not otherwise as sensitive to moisture retention as modern standards dictate. Design features of earlier buildings may also have offered less opportunity for moisture entry through simpler design and fewer and smaller wall openings and may have been more forgiving through the more prevalent use of overhangs, for example.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subsequent direct application of stucco to building paper-covered sheathing, employs wire lath nailed to the wall. The modern stucco topcoat is acrylic and the efficacy of the application depends on the stucco sealing out moisture at its outer surface. The application is often referred to as a "face-seal" method. However, if sufficient water penetrates the outer surface, the application is likely to hold the moisture inside the wall. Wood framing is not tolerant of moisture levels exceeding 15% - 20% moisture content and if the moisture content persists it will rot.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It is not news that the climate in the lower mainland often features wind driven rain. The engineering evidence at this trial was that the effect of this weather on an exposed wall is to coat the wall with a film of water. If a face- seal method is used this film of water is subject to significant air pressure acting on the outer surface of the cladding, markedly greater than the air pressure on the cladding's inside surface. One expert remarked that under these conditions a wall surface, to be successful in sealing out water, must perform as a 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degree of exposure to this effect will vary at different geographic locations as a result of climatic conditions and the exposure presented by wall height, sheltering landscapes or surrounding buildings, and protective design features such as overhangs. The success of a cladding in sealing the wall from water infiltration is often dictated by how well the seal is maintained or the wall is protected at wall openings, and where the wall meets horizontal surfaces. The greater prevalence of these design features will add to the risk of failure. Various forms of flashings are common protective measures.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An alternative design scheme is to shelter the area of the wall exposed to the air pressure differential by shielding that portion of the wall from the water. This is the primary purpose of allowing air entry behind the surface that will receive the rain. The cladding becomes the shield and an air space with openings to the outside is maintained between the cladding and the inside components of the wall. The common term is a "rain screen" design. The vented air cavity allows for drainage paths to be incorporated to drain water that might enter behind the screening feature. Drainage is not impeded by air pressure because there is little air pressure differential between the outside and the space itself. The exposure to the outside also promotes drying of the inside wall surface, should water penetrate past the air space. Arguably, lapped siding and shingles use the same strategy. Masonry walls have traditionally adopted this strategy. Brick walls for example have an inside cavity drained to the outside. The outside brick surface acts as the shield, which along with the drained middle cavity protects the inside surface.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evidence in this case underscores the fact that designs have limitations. Face-seal stucco applications even after the failures of the application on many lower mainland frame apartments, continue to be used in the construction of single family homes, which generally do not present the same risk factors. Successful applications in locations where wind driven rain is not as prevalent are also common. The problem with the application is not that the stucco fails by being inherently flawed, but occurs when employed in inclement areas in designs difficult to protect, and when applied without attention to details critical to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S. 15 of the bylaw requires that plans demonstrate compliance with the Provincial Code. However, the standard adopted by Delta in enforcing Part 5 of the Provincial Code was, with the two exceptions noted, simply to take no action in examining plans for approval or inspecting subsequent construction. In essence no useful detail was required on the plans showing the design being incorporated at points where flashings were required, for example. The details that did show on the Riverwest plans were too small in scale or not drawn to show how these features were to be constructed. One stipulation that was shown was an inappropriate deck slope but because the criteria did not relate to the limited scope adopted in the plan checking process, no one focused on the deficiency.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approval process is important because it not only has the potential to detect breaches of the standards, but also because it requires the designer to exercise foresight through the process of illustrating compliance. A failure to stipulate a design often leaves design of detail items to whoever is doing the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subsequent process of inspection involves viewing the ongoing construction. Again inspection will not guarantee good construction, but it should detect that which would be apparent to an inspector exercising reasonable care. Here, the problems with the decks and many of the flashings should have been apparent during an onsite inspection. Many of these items were seen by Mr. Frank, for example, when he did an inspection to advise on deficiencies one year after substantial completion.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express purpose of Part 5.4 is to provide standards dealing with rain protection, an elementary feature to be expected of residential construction. In my view Delta should have anticipated the obvious. The public would reasonably expect that a municipality would put some effort into its responsibility to administer and enforce these Provincial Code provisions. I think it would surprise most Delta residents, for example, to find that no attention was to be paid to whether s. 5.4.3 was met: the very basic requirement that a roof shed or drain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Many of the design limitations of a cladding that is intended to seal the outside building surface are present in the design of Riverwest. The buildings are exposed to weather and the design includes many wall openings. The walls adjoin the horizontal surfaces of the decks and balconies at each level and the building design incorporates a minimum of sheltering features. Mr. Morstead commented on this vulnerability at page 6 of the 1997 M.H.D.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Resistance to rain entry at Riverwest is largely dependent on the integrity of exterior seals and surfaces of stucco cladding, junctions of claddings with other elements and joints within assemblies such as windowsills to jams. Very high performance of these exterior surfaces, joints and junctions are needed. Some assemblies are inherently difficult to build and maintain due to the varied features of the buildings that make them appealing residences.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Prior to this Mr. Frank recognized the lack of protecting overhang and exposed location in his January 1992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design presented significant risks and required attention to detail. There were numerous examples of failures in these buildings caused by improper design and poor quality of construction. The listing of points of water entry by Mr. Rickets of R.D.H. Building Engineering Ltd., at page 20 of his August 1998 report, shown in order of relative importance, was as follows:</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Parapet flashing joints in metal and at interface with adjacent walls (saddles).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Lack of continuous membrane under metal.</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Lack of slope on metal cap flashings on parapets and on upstand walls.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Metal reveal band (simple lap joints and buckling of metal).</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Poorly sealed waterproof membrane at scuppers.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Reverse laps between balcony membranes and building paper.</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Poor drainage details at edge of sloped metal roofs and adjacent stucco walls.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Mitred corners of windows.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Back sloped head flashing at windows.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Lack of sealant at the intersection between windows and doors, and adjacent wall assemblies.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Electrical and mechanical penetration through face-seal.</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Cracks in the stucco wall assembly.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Most of these findings bring to mind provisions of s. 5.4 of the building code directing the quality of construction to be maintained under the Provincial Code. Specifically, the sources of leakage listed at items (a), (d) and (g) are related to s. 5.4.1, which speaks of joints and junctions in exterior claddings. The sources at paragraphs (i), (j) and (k) relate to s. 5.4.2, construction of openings. Items (c), and (e) and (f), at least in reference to the decks that are also roofs over the suites below, relate to s. 5.4.3, and item (b) indicates a breach of s. 5.4.4.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my view, proper administration and enforcement of these sections required details to be shown on the plans presented for approval, indicating the applications designed to satisfy the provisions of s. 5.4. The plans presented by Elbe, Lock, Walls were minimal in presentation of detail. The comment from Mr. Gies, an architect retained to give expert opinion, at page 15 of his report,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ELW's Building permit drawings did NOT comply with certain provisions of the BCBC-1985 or industry standards and therefore fell below the accepted standard of architectural practice. Of note are the exterior decks constructed over habitable spaces from which moisture penetrated into living spaces below. With reference to paragraphs 25 and 37 in Sections 5 - Facts, ELKW designed the Riverwest decks to have a slope of 1/8" to 1' on the basis of Article 9.27.3.2 and Table 9.27.3.A of the BCBC-85. In fact, Table 9.27.3.A and Article 9.27.3.2 establish a minimum slope of 1 in 50 ratio (or about 1/4 inch of rise for each 12 inches of run, regardless of the type of roofing materials installed). The industry standard published by the Roofing Contractors Association of British Columbia also recommends a minimum slope of 1:50 and a positive slope to drain (no standing water remains on the deck).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Finally, ELW also failed to meet the standard of practice expected of an architect practicing in the period May 1989 to Spring 1991 in that its Building Permit and Construction Drawings were not sufficiently detailed to direct a contractor to build Riverwest in compliance with the BCBC-1985. Generally, the drawings lacked sufficient information on physical properties, functions, and quality of materials of construction. In particular, I reviewed the following drawings and in my opinion the illustrations did NOT adequately show size, shape, location, and methods of connection of the various elements: Drawings A-28 (notes), A-35 (detail 3), A-37 (section 1), A-38 (sections 7,9,9 &amp; 22), A-39 (sections 12, 13, 23 &amp; details 14 &amp; 16), A-40 (section 20/A36 &amp; 27A, and A-41 (section 25 &amp; detail 24). An architect would be expected to provide the detailed information required in the form of specifications or on large-scale drawn details.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deficiency in detail on the plans left the design of these features to be accomplished by the contractors on the site who failed in taking proper measures. In some applications the use of flashings had the opposite effect of introducing moisture to the wall cavity rather than directing it to the outside.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first of the two reasons advanced by the Director of Inspections for non enforcement was the fact that part 5 for the most part stipulated design objectives which were inherently difficult to inspect. The fact is however that the construction of the decks and the parapet flashings, both identified as significant points of water entry, relate to s. 5.4.3 and s. 5.4.4. Each section either relates to an objective criteria (slope), or mandates a specific feature (a through-wall flashing). Further, to abandon inspection of design objectives leaves the public little protection where arguably it needs it most, in the design of larger more sophisticated buildings.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second reason advanced was that the council would not likely want money spent without the need being demonstrated by a record of failures. Here I think that the comment by La Forest J. at p. 457 of Manolakis helps to assess this comment,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to be expected that contractors, in the normal course of events, will fail to observe certain aspects of the building bylaws. That is why municipalities employ building inspectors. Their role is to detect such negligent omissions before they translate into dangers to health and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Detection before a history of failure occurs can and often should be expected. The fact that a wood structure would suffer damage if water persistently entered the interior of a frame wall, which did not have the capacity to drain prescribed in s.5.4.5.1, was, in my view, reasonably foreseeable. Like a defective retaining wall, the situation shouldn't have required a history of failure before the provisions were enforced.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face-seal design presented an environment that allowed rain penetration to do its worst. This fact may now be better appreciated with the clarity of hindsight. But nonetheless from the outset significant damage was foreseeable. In these circumstances, and when the code itself prescribes features of the design which should be presented and inspected, a record of failures should not be a prerequisite to exercising a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Delta also argued that its treatment of Part 5 was to the same standard adopted by other Municipalities and that it shouldn't be obliged to have exercised greater care than was common. The evidence of the head of the Burnaby Building Department was that at the relevant time, Burnaby did not see enforcement of Part 5 as part of its primary function, which he identified as the inspection of health and safety provisions of the code. He, however, also acknowledged that there was no provision in the by-law exempting enforcement of any part of the Provincial Code and said the concentration of activity was adopted by Burnaby for the same reasons given by Delta. Like Delta, procedures in his department have subsequently 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evidence was that the Delta Director had previously been part of the Burnaby Building Department and a wide ranging practice is difficult to establish on this evidence alone. Mr. Gies' evidence was that at the relevant time Municipal Building Departments had inquired in respect of Part 5 issues on projects he was responsible for. He viewed the pursuit of these issues as being individual to the checker or Municipality. In the ultimate, however, whether or not it was common for municipalities to take steps to enforce Part 5, there was a clear obligation to enforce all parts of the code, and it will not do for a regulating authority to say that it, like others, did not deal with the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turning to the question of whether an inspector exercising reasonable care would have been able to detect the deficiencies in this case, I note that Mr. Frank, who examined the construction a year after substantial completion, was able to comment on the construction of the decks, flashings and details. These are items that would have been equally apparent to an inspector viewing the site during the last stages of construction. The question then arises whether the failure to discover the bad construction was a cause of the eventual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Rickets gave evidence on the appropriateness of the stucco application, given the risk presented by the face-seal design, the architectural features of the buildings, and the exposure to weather. In his analysis he judged that the high quality of construction and maintenance needed to succeed with the face-seal stucco application at Riverwest gave rise to too high a risk of eventual failure. In his view a professional designer should have avoided a face-seal design. This risk or susceptibility to failure was realised by the lack of protection from rain penetration resulting from the undetected breaches of s. 5.4. These failings in this case materially contributed to the onset and extent of the failure, and hence the failure in the enforcement of the code is a cause of the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As a last comment on the expenditure of municipal funds, the legislative scheme allows that the District can largely avoid the costs of enforcement and supplement its resources through reliance on professional certification. The Architects Act would have required the 85 unit, three building project to have been planned, and the construction supervised, by a person licensed under the statute. The municipality had no direct role in enforcement of the act, however the requirement of the act stands as a publication that professional design and supervision are standards which should have been adopted in construction of the project. Professional involvement is no absolute guarantee of a well-constructed building as the structural failures in these buildings will attest, but it is a method that is provided for use by a municipality in supplementing a lack of expertise and resources in satisfying its responsibility under the Provincial Code. The evidence of Mr. Gies was that the standard of care of Elbe, Lock, Walls, the participant who prepared the design, was below that which should have been expected of an architect dealing with part 5 provisions. Mr. Rickets' evidence went further and suggested that a professional designer, giving proper weight to the risk factors, would have avoided a face-seal design. Had these standards been adopted, the end result may well have been avoided. The municipality through s. 7 of the bylaw could have required the professional involvement deemed appropriate under the Architects Act and in this sense failures in design or construction supervision can also be visited on the municipality.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LIMITATION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The District argues that the plaintiffs failed to give the notice required under Sections 285 and 286 of the Local Government Act </w:t>
      </w:r>
      <w:r>
        <w:rPr>
          <w:rFonts w:ascii="arial" w:eastAsia="arial" w:hAnsi="arial" w:cs="arial"/>
          <w:i/>
          <w:color w:val="000000"/>
          <w:sz w:val="20"/>
          <w:lang w:val="en-US" w:eastAsia="en-US" w:bidi="ar-SA"/>
        </w:rPr>
        <w:t>R.S.B.C. 1996, c. 323</w:t>
      </w:r>
      <w:r>
        <w:rPr>
          <w:rFonts w:ascii="arial" w:eastAsia="arial" w:hAnsi="arial" w:cs="arial"/>
          <w:color w:val="000000"/>
          <w:sz w:val="20"/>
          <w:lang w:val="en-US" w:eastAsia="en-US" w:bidi="ar-SA"/>
        </w:rPr>
        <w:t>. These sections provide that notice of a claim for damages should be given to a Municipality within two months from the date on which the damage was sustained and that an action against the Municipality for an unlawful action should be commenced within six months after the cause of action first arose. The law concerning these sections indicates that time begins to run when the damage referred to ought to have been discovered through reasonable diligence. In this case the Strata Corporation took reasonable efforts at all stages after occupancy to determine the nature and extent of the problem they were faced with due to the water penetration into the buildings. The final investigation that determined the full extent of the problem was the evaluation report done by Mr. Morstead dated January 10th, 1997. This report was requested of Mr. Morstead after he proposed a "general performance assessment of wall, window and deck performance" in a letter dated July 22nd, 1996. His recommendation that this report be done was prompted by the finding of rot in the beam below the deck of suite 301 the month before, along with what he had learned of the history of water leaks at Riverwest, and in light of then recent publicity of problems in other similar buildings. On October 3rd, prior to any conclusions from Mr. Morstead, the Municipality was put on notice and this action was commenced later during that same month. The fact is that the notification and commencement of action preceded advice that there was extensive failure of the building envelopes at Riverwest and, in my view, there is no question of limitation arising under either of these sections.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Delta argues that the Strata Council contributed by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failing to properly maintain the buildings that comprise Riverwest.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would have the effect of restricting damages against the Municipality to the proportion corresponding to its fault. The fact is, however, that this Strata Corporation acted with a high degree of diligence in pursuing problems with these three buildings.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degree of organization exhibited by the Strata Council would, in my view, be difficult to sustain with most residential Strata Councils. Their initial efforts were to have the developer correct deficiencies. These were maintained with diligence for so long as the developer was responsive. They continued with efforts to deal with leaks into the various suites and to correct the decks in accordance with advice given them. Ultimately they took the appropriate action in receiving expert advice and undertaking the remediation. I find no substance in this claim that the Strata Council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last argument advanced by the District was that the cost of the remediation was excessive in that the lowest quote was not accepted for the remediation project. The District also argued that certain features represented betterment or an improvement over the original design. The first of these items was the installation of canopies over certain doors. The next was the fact that a superior wall assembly was eventually put in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difference in the proposed cost of the remediation project received from the two construction companies was approximately $200,000. This difference in price was considered by the Strata Council with advice from the consulting engineers. The higher priced tender had the prospect of incorporating some savings during the project and this contractor was recommended as more likely to give satisfactory performance. I view their selection as being a reasonable one and don't accept that the lower initial quote establishes that there would have been likely savings had the competitor been instructed to complete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installation of canopies over certain doors was a necessary remedial measure, which speaks more to making those exposed doors useful than an enhancement of the suites involved. The last item, the upgrade in the wall assembly would not be apparent to anyone viewing the building. The stucco repair was not an enhancement, but simply introduced the air space necessary to make the application functional.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total claim for damages is in the sum of $3,246,739.56. This includes the cost associated with redoing the exterior features of the buildings ($2,815,440.98); the consultant services of RDH, ($200,724.02); the cost of landscaping the grounds after construction ($35,352.98); and the accumulative costs of increased maintenance and temporary repairs, and professional advice, during the years prior to the remediation ($37,500 and $125,054.67 respectively). The plaintiffs also claim for estimated cost of future window replacement ($37,500).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cost of construction includes the cost of structural repairs. Design and inspection of the structural features of the buildings were the obligation of the structural engineer. The poor construction, the fault of the construction company. No case was made against the Municipality for any failings in this regard. The structural deficiencies stand apart from the failing to regulate features dealing with rain penetration. Accordingly, liability in this regard is assessed only against the Construction Company and the engineer. In fairness to all parties, I view the appropriate figure to assess for the work done in this regard to be the sum of $62,500.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claim for future costs should not be allowed. The windows used in this project were of a lower quality. They have served now for approximately ten years and future replacement would, in any event, be a likely requirement.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case against Canlan Ice Sports Corp., the developer, has been discontinued in accordance with a settlement reached with this defendant. The resulting judgment against Van Maren Construction (#8701) Ltd., Elbe, Lock, Walls &amp; Associates Inc., and the Municipality of Delta will be for the total damages, $3,151,572.65 less the portion attributable to the fault of Canlan.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A separate judgment will issue against J. Novacek and Associates Ltd. and Van Maren Construction (#8701) Ltd. in the sum of $62,500.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individual contributions of defendants to the two judgments are not easily fixed because this trial focused almost exclusively on the involvement of the Municipality. No authority or argument was presented dealing with the Municipality's degree of relative contribution. On first exposure I view the District's relative contribution to be significantly less than that of the primary defendants and would assess the relative contribution at 20%. There may be no need to fix this figure in the ultimate, but if I am wrong in this there will be liberty to argue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plaintiffs are entitled to prejudgment interest. The issues and the presentation of evidence were significantly more complex in this trial than in the great bulk of other cases. Costs should be assessed at scale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GRIST J.</w:t>
      </w:r>
      <w:r>
        <w:rPr>
          <w:rFonts w:ascii="arial" w:eastAsia="arial" w:hAnsi="arial" w:cs="arial"/>
          <w:sz w:val="20"/>
          <w:lang w:val="en-US" w:eastAsia="en-US" w:bidi="ar-SA"/>
        </w:rPr>
        <w:cr/>
      </w:r>
    </w:p>
    <w:p>
      <w:pPr>
        <w:spacing w:line="260" w:lineRule="atLeast"/>
        <w:ind w:left="2160"/>
        <w:rPr>
          <w:rFonts w:ascii="arial" w:eastAsia="arial" w:hAnsi="arial" w:cs="arial"/>
          <w:sz w:val="20"/>
          <w:lang w:val="en-US" w:eastAsia="en-US" w:bidi="ar-SA"/>
        </w:rPr>
      </w:pP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CORRIGENDA</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August 27,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646"/>
        <w:gridCol w:w="376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Counsel for the defendents and</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Lawrence W. Coulter</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third parties Van Maren Construction</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 Ltd. and Van Maren Construction</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53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(#8701) Ltd.</w:t>
            </w:r>
          </w:p>
        </w:tc>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646"/>
        <w:gridCol w:w="376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Acting in person</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 Novacek &amp;</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53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Associates Ltd.</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646"/>
        <w:gridCol w:w="376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Counsel for the defendant,</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James G. Yardley</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53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Corporation of Delta</w:t>
            </w:r>
          </w:p>
        </w:tc>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646"/>
        <w:gridCol w:w="376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Counsel for the defendants and</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Beth Allard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third parties Elbe, Lock, Walls</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53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&amp; Associates Inc.</w:t>
            </w:r>
          </w:p>
        </w:tc>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646"/>
        <w:gridCol w:w="376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Counsel for the plaintiffs,</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Darrell W. Roberts,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Owners, Strata Plan NW</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Q.C., and Barbara</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53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et al</w:t>
            </w:r>
          </w:p>
        </w:tc>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 Curran</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646"/>
        <w:gridCol w:w="376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Date and Place of Hearing/Trial</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December 11th to</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December 15th, 2000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and January 2nd to</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19th, 2001</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53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New Westminster,BC</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 In my Reasons for Judgment dated August 21st, 2001, the names of the plaintiffs' Counsel were inadvertently omitted and should be replaced as noted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 The trial of this matter took place in New Westminster court on December 11th to 15th, 2000 and January 2nd to 19th, 2001 and not as previously shown in my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GRIST J.</w:t>
      </w:r>
      <w:r>
        <w:rPr>
          <w:rFonts w:ascii="arial" w:eastAsia="arial" w:hAnsi="arial" w:cs="arial"/>
          <w:sz w:val="20"/>
          <w:lang w:val="en-US" w:eastAsia="en-US" w:bidi="ar-SA"/>
        </w:rPr>
        <w:cr/>
      </w:r>
    </w:p>
    <w:p>
      <w:pPr>
        <w:spacing w:line="260" w:lineRule="atLeast"/>
        <w:ind w:left="2160"/>
        <w:rPr>
          <w:rFonts w:ascii="arial" w:eastAsia="arial" w:hAnsi="arial" w:cs="arial"/>
          <w:sz w:val="20"/>
          <w:lang w:val="en-US" w:eastAsia="en-US" w:bidi="ar-SA"/>
        </w:rPr>
      </w:pP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August 28,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646"/>
        <w:gridCol w:w="376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Counsel for the defendents and</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Lawrence W. Coulter</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third parties Van Maren Construction</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 Ltd. and Van Maren Construction</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53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(#8701) Ltd.</w:t>
            </w:r>
          </w:p>
        </w:tc>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646"/>
        <w:gridCol w:w="376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Acting in person</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 Novacek &amp;</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53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Associates Ltd.</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646"/>
        <w:gridCol w:w="376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Counsel for the defendant,</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Donald Howieson and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53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Corporation of Delta</w:t>
            </w:r>
          </w:p>
        </w:tc>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James G. Yardley</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646"/>
        <w:gridCol w:w="376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Counsel for the defendants and</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Beth Allard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third parties Elbe, Lock, Walls</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53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&amp; Associates Inc.</w:t>
            </w:r>
          </w:p>
        </w:tc>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646"/>
        <w:gridCol w:w="376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Counsel for the plaintiffs,</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Darrell W. Roberts,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Owners, Strata Plan NW</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Q.C., and Barbara</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53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et al</w:t>
            </w:r>
          </w:p>
        </w:tc>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 Curran</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646"/>
        <w:gridCol w:w="376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Date and Place of Hearing/Trial</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December 11th to</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December 15th, 2000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and January 2nd to</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68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19th, 2001</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53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New Westminster, BC</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 In my reasons for Judgment dated August 21st, 2001, Donald Howieson, one of two Counsel for the Corporation of Delta was inadvertently omitted and should be replaced as noted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GRIST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September 26,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At paragraph 95 of the Reasons for Judgment I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Judgment will be granted against Canlan Ice Sports Corp., the developer, Van Maren Construction (#8701) Ltd.; Elbe, Lock, Walls &amp; Associates Inc., and the Municipality of Delta, for the sum of $3,151,572.65.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 Counsel have brought to my attention that during the course of the trial a settlement was announced in respect of the liability of Canlan Ice Sports Corp., and a discontinuance entered against this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 Accordingly paragraph (95) should be corrected to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[95] The case against, Canlan Ice Sports Corp., the developer, has been discontinued in accordance with a settlement reached with this defendant. The resulting judgment against Van Maren Construction (#8701) Ltd., Elbe, Lock, Walls &amp; Associates Inc., and the Municipality of Delta will be for the total damages, $3,151,572.65 less the portion attributable to the fault of Canlan.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This Corrigendum to the Reasons for judgment was released from the Vancouver Registry on October 23, 2001 and was date stamped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GRIST J.</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QL Update: 20010828</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cp/i/ln/qlsng/qlbrl</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29" style="position:absolute;z-index:2518609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5" w:history="1">
        <w:r>
          <w:rPr>
            <w:rFonts w:ascii="arial" w:eastAsia="arial" w:hAnsi="arial" w:cs="arial"/>
            <w:b/>
            <w:bCs/>
            <w:i/>
            <w:color w:val="0077CC"/>
            <w:kern w:val="32"/>
            <w:sz w:val="28"/>
            <w:szCs w:val="32"/>
            <w:u w:val="single"/>
            <w:shd w:val="clear" w:color="auto" w:fill="FFFFFF"/>
            <w:lang w:val="en-US" w:eastAsia="en-US" w:bidi="ar-SA"/>
          </w:rPr>
          <w:t>Morris v. John Doe, [2011] B.C.J. No. 334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K.M. Ker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23-24, 2009; July 8-9 and September 7,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August 19 and September 16, 2010 (Plaintiff) and September 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2010 (Defendant), by written submissions.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M107047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334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6" w:history="1">
        <w:r>
          <w:rPr>
            <w:rFonts w:ascii="arial" w:eastAsia="arial" w:hAnsi="arial" w:cs="arial"/>
            <w:i/>
            <w:color w:val="0077CC"/>
            <w:sz w:val="20"/>
            <w:u w:val="single"/>
            <w:shd w:val="clear" w:color="auto" w:fill="FFFFFF"/>
            <w:lang w:val="en-US" w:eastAsia="en-US" w:bidi="ar-SA"/>
          </w:rPr>
          <w:t>2011 BCSC 253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6" w:history="1">
        <w:r>
          <w:rPr>
            <w:rFonts w:ascii="arial" w:eastAsia="arial" w:hAnsi="arial" w:cs="arial"/>
            <w:i/>
            <w:color w:val="0077CC"/>
            <w:sz w:val="20"/>
            <w:u w:val="single"/>
            <w:shd w:val="clear" w:color="auto" w:fill="FFFFFF"/>
            <w:lang w:val="en-US" w:eastAsia="en-US" w:bidi="ar-SA"/>
          </w:rPr>
          <w:t>[2011] I.L.R. I-5133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7" w:history="1">
        <w:r>
          <w:rPr>
            <w:rFonts w:ascii="arial" w:eastAsia="arial" w:hAnsi="arial" w:cs="arial"/>
            <w:i/>
            <w:color w:val="0077CC"/>
            <w:sz w:val="20"/>
            <w:u w:val="single"/>
            <w:shd w:val="clear" w:color="auto" w:fill="FFFFFF"/>
            <w:lang w:val="en-US" w:eastAsia="en-US" w:bidi="ar-SA"/>
          </w:rPr>
          <w:t>96 C.C.L.I. (4th) 69</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6" w:history="1">
        <w:r>
          <w:rPr>
            <w:rFonts w:ascii="arial" w:eastAsia="arial" w:hAnsi="arial" w:cs="arial"/>
            <w:i/>
            <w:color w:val="0077CC"/>
            <w:sz w:val="20"/>
            <w:u w:val="single"/>
            <w:shd w:val="clear" w:color="auto" w:fill="FFFFFF"/>
            <w:lang w:val="en-US" w:eastAsia="en-US" w:bidi="ar-SA"/>
          </w:rPr>
          <w:t>2011 Carswell BC 411</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Kathleen Morris, Plaintiff, and John Doe and Insurance Corporation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0" style="position:absolute;z-index:251659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 w:name="Keywords_0"/>
      <w:bookmarkEnd w:id="7"/>
      <w:r>
        <w:rPr>
          <w:rFonts w:ascii="arial" w:eastAsia="arial" w:hAnsi="arial" w:cs="arial"/>
          <w:b/>
          <w:color w:val="000000"/>
          <w:sz w:val="20"/>
          <w:lang w:val="en-US" w:eastAsia="en-US" w:bidi="ar-SA"/>
        </w:rPr>
        <w:t>Insurance law — Automobile insurance — Compulsory government schemes — Claims against parties unknown — Exclusions — Action by plaintiff for damages for injuries sustained in a motor vehicle accident with an unknown driver dismissed with costs — The plaintiff failed to take all necessary and reasonable steps to establish the identity of the unknown driver as required by s. 24(5) of the Insurance (Vehicle) Act — Where the offending driver had fled the accident scene, it was insufficient to simply phone 911 and then report the accident to the insurer — The plaintiff ought to have returned to the scene to post signs and advertised for potential witnesses — Assuming the police were investigating was unreasonable — Insurance (Vehicle) Act, s. 24(5).</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driver — Action by plaintiff for damages for injuries sustained in a motor vehicle accident with an unknown driver dismissed with costs — The plaintiff failed to take all necessary and reasonable steps to establish the identity of the unknown driver as required by s. 24(5) of the Insurance (Vehicle) Act — Where the offending driver had fled the accident scene, it was insufficient to simply phone 911 and then report the accident to the insurer — The plaintiff ought to have returned to the scene to post signs and advertised for potential witnesses — Assuming the police were investigating was unreasonable — Insurance (Vehicle) Act, s. 24(5).</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 w:name="Case Summary_0"/>
            <w:bookmarkEnd w:id="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plaintiff for damages for injuries sustained in a 2006 motor vehicle accident with an unknown driver. The plaintiff's husband was driving his company's pick-up truck, with the plaintiff as a passenger, and had stopped at a red light when a vehicle rear-ended the truck. The driver was not identified, and left after seemingly indicating he would pull over into an adjacent parking lot for the purposes of exchanging information. The plaintiff's husband described the driver as an East Indian male. Although the licence plate of the offending vehicle was visible while stopped at the intersection, the plaintiff's husband did not make note of it as he understood he was going to follow the man into the parking lot. The plaintiff immediately reported the accident to police and received an incident report number. She followed up by reporting the incident to the defendant Insurance Corporation of B.C. in the days following the accident. ICBC now asserted the action should fail as the plaintiff failed to take all necessary and reasonable steps to establish the identity of the unknown driver as required by s. 24(5) of the Insurance (Vehicle) Act. The plaintiff claimed that she took all necessary and reasonable steps, as advertising or placing posters at the scene or canvassing local business was not logical, sensible or fair in the circumstances. She agreed the only steps she took to identify the driver consisted of calling 911, speaking to ICBC after the accident and having Mr. Gordon, the driver of a vehicle in front of the pick-up truck, as a witness. She claimed that during a meeting with ICBC she suggested they email the repair shops but they laughed at her.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 w:name="Holdings of Court_0"/>
            <w:bookmarkEnd w:id="9"/>
            <w:r>
              <w:rPr>
                <w:rFonts w:ascii="arial" w:eastAsia="arial" w:hAnsi="arial" w:cs="arial"/>
                <w:color w:val="000000"/>
                <w:sz w:val="20"/>
                <w:lang w:val="en-US" w:eastAsia="en-US" w:bidi="ar-SA"/>
              </w:rPr>
              <w:t>HELD: Action dismissed with costs.</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action failed based on s. 24(5) of the Act. The appropriate test was whether the plaintiff did all that she would have to identify the other parties involved if she intended to pursue legal action against them if ICBC were not potentially liable under s. 24. The plaintiff and her husband were not in shock, confused or disoriented as a result of the accident. The husband was entitled to rely on the fact that the unidentified driver would pull over as he acknowledged and honour his statutory obligation to remain at the accident scene and provide his particulars for insurance purposes. Although the plaintiff phoned the police after they discovered the driver had left, she was unable to provide any sort of details as to what the car looked like or which direction it went. They failed to determine from their witness, Gordon, whether he was able to identify the driver. They failed to make immediate inquiries in the area, particularly at a restaurant and its parking lot, as to whether anyone there could assist in ascertaining the driver's identity. Again, this failure was not fatal, as the plaintiff and her husband were likely flustered by the accident. While the plaintiff reported the accident to ICBC the next day and then attended a claims centre to have their vehicle inspected within a few days, they took no steps to follow up with police. They did not return to the accident scene and post signs seeking witnesses or place any advertisements in the local newspaper. While signage or advertising might possibly have not produced any further information, it was equally likely such steps might well have elicited some helpful information. This was fatal to the plaintiff's case. The failure to take any other steps than contacting police and advising ICBC of the accident was unreasonable. Assuming the police were investigating in the absence of ascertaining that they were, in fact, investigating was unreasonable. The accident scene was a relatively busy intersection with potential witnesses.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 w:name="Legislation Cited_0"/>
      <w:bookmarkEnd w:id="1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1" style="position:absolute;z-index:2517104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Insurance (Vehicle) Act, </w:t>
      </w:r>
      <w:hyperlink r:id="rId28" w:history="1">
        <w:r>
          <w:rPr>
            <w:rFonts w:ascii="arial" w:eastAsia="arial" w:hAnsi="arial" w:cs="arial"/>
            <w:i/>
            <w:color w:val="0077CC"/>
            <w:sz w:val="20"/>
            <w:u w:val="single"/>
            <w:shd w:val="clear" w:color="auto" w:fill="FFFFFF"/>
            <w:lang w:val="en-US" w:eastAsia="en-US" w:bidi="ar-SA"/>
          </w:rPr>
          <w:t>RSBC 1996, CHAPTER 231, s. 24</w:t>
        </w:r>
      </w:hyperlink>
      <w:r>
        <w:rPr>
          <w:rFonts w:ascii="arial" w:eastAsia="arial" w:hAnsi="arial" w:cs="arial"/>
          <w:color w:val="000000"/>
          <w:sz w:val="20"/>
          <w:lang w:val="en-US" w:eastAsia="en-US" w:bidi="ar-SA"/>
        </w:rPr>
        <w:t>, s. 24(5)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Motor Vehicle Act, </w:t>
      </w:r>
      <w:hyperlink r:id="rId29" w:history="1">
        <w:r>
          <w:rPr>
            <w:rFonts w:ascii="arial" w:eastAsia="arial" w:hAnsi="arial" w:cs="arial"/>
            <w:i/>
            <w:color w:val="0077CC"/>
            <w:sz w:val="20"/>
            <w:u w:val="single"/>
            <w:shd w:val="clear" w:color="auto" w:fill="FFFFFF"/>
            <w:lang w:val="en-US" w:eastAsia="en-US" w:bidi="ar-SA"/>
          </w:rPr>
          <w:t>RSBC 1996, CHAPTER 318, s. 68</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1" w:name="Counsel_0"/>
      <w:bookmarkEnd w:id="1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2" style="position:absolute;z-index:2517616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S.T. Cope.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A. Urquhart.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 w:name="Judgment_0"/>
      <w:bookmarkEnd w:id="12"/>
      <w:r>
        <w:pict>
          <v:line id="_x0000_s1033" style="position:absolute;z-index:25181286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 w:name="K.M. KER J."/>
            <w:bookmarkEnd w:id="13"/>
            <w:r>
              <w:rPr>
                <w:rFonts w:ascii="arial" w:eastAsia="arial" w:hAnsi="arial" w:cs="arial"/>
                <w:b/>
                <w:color w:val="000000"/>
                <w:sz w:val="30"/>
                <w:lang w:val="en-US" w:eastAsia="en-US" w:bidi="ar-SA"/>
              </w:rPr>
              <w:t>K.M. KER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Kathleen Morris, was injured in a motor vehicle accident on April 12, 2006, at the intersection of South Fraser Way and Ware Rd. in Abbotsford, B.C. The plaintiff's husband, Gill Morris, was driving his company's pick-up truck and had stopped at a red light. A vehicle, approaching from behind, hit the rear end of their truck and bumped the plaintiff's vehicle forward. The defendant driver of the vehicle that hit the plaintiff's vehicle was not identified at the scene. He left the area after seemingly indicating to the plaintiff's husband he would pull over into an adjacent parking lot for the purposes of exchanging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Liability is an issue in this trial. The defendant Insurance Corporation of British Columbia ("ICBC") asserts the action must fail as the plaintiff failed to take all necessary and reasonable steps to establish the identity of the unidentified driver who caused the accident as required by s. 24(5) in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asserts she took all necessary and reasonable steps in the circumstances to establish the identity of the offending driver, and that advertising or placing posters at the scene or canvassing local businesses was not logical, sensible or fair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other central issue in this case is the cause and extent of Mrs. Morris's injuries, in particular whether the dizziness she experienced after the accident, and until the fall of 2006, has remitted completely or whether it continues. Also in issue is the amount and type of damages Mrs. Morris is entitled to receive if the issue of liability is resolved in her favour.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As I have determined that this action must fail based on s. 24(5)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 will only address the evidence on the issue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II.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At approximately 7:00 p.m. on April 12, 2006, the plaintiff, Kathleen Morris, was a passenger in her husband's 2004 GMC Sierra pick-up truck. The couple was driving eastbound along South Fraser Way, a major thoroughfare in Abbotsford, British Columbia. They approached the red stoplight at the intersection with Ware Rd and stopped behind another vehicle operated by Jeffrey Gordon. While they were stopped at the red light another vehicle, described as a white vehicle similar to a Pontiac Grand-Am, rear-ended the Morris's pick-up truck. At the moment of impact the plaintiff's head was turned to the left and she was in the midst of advising her husband they were about to be hit from behind by the approaching vehicle. The force of the impact caused the plaintiff's vehicle to lurch forward. The plaintiff heard a crack in the back of her neck area and felt pain instantly. The collision was of sufficient force to loosen a wiring harness (that held electrical cables for the lighting system for trailers pulled by the truck) from underneath the bumper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Immediately after the collision, Mr. Morris exited the pick-up truck. Although he did not speak with the driver, whom he described as an East Indian male, he motioned to him to pull his vehicle off to the side of the road into the parking lot area of a Curtis Tire store that was adjacent to the intersection where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No discussion at the actual scene of the accident occurred and no information was exchanged there. Although able to see the licence plate of the offending vehicle while stopped at the intersection, Mr. Morris did not make note of it as he understood from the gestures of the offending driver that he was going to follow Mr. Morris into the Curtis Tire parking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plaintiff's vehicle, Mr. Gordon's vehicle and the vehicle that hit the plaintiff's vehicle were all in the right hand turn lane facing eastbound on South Fraser Way. When the traffic light changed to green and permitted them to proceed through the intersection, Mr. Gordon and Mr. Morris turned right and drove into the Curtis Tire parking lot. Once in the parking lot, Mr. Morris approached Mr. Gordon and then realized the driver who hit his vehicle had not stopped and had disappeared from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Mrs. Morris immediately made a 9-1-1 call to report the accident to the police and received an incident report number. Mr. Morris followed up by reporting the incident to ICBC in the days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III. Evidentiary Synopsis and Findings from the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The Evidence of Kathleen Morris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At about 7:15 p.m. on April 12, 2006, the plaintiff, Kathleen Morris, was a passenger in her husband's pick-up truck. They were proceeding eastbound on South Fraser Way in Abbotsford, B.C. and were stopped behind another vehicle, waiting for the red light to change. Mrs. Morris looked in the passenger side rear view mirror and saw a white vehicle coming down the hill. She braced herself and told her husband the vehicle was going to hit them immediately before it did. Mrs. Morris heard a crack in the back of her head in the neck area and felt pain instantly.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Morris drove their pick-up truck into the nearby Curtis Tire parking lot. Mrs. Morris did not recall her husband getting out of the truck while still stopped at the light. Once in the parking lot, Mrs. Morris got out of the truck. In direct examination Mrs. Morris testified she noticed that the white car which had hit them did not go into the parking lot but rather continued along South Fraser Way. In cross-examination, however, Mrs. Morris was directed to her evidence from her examination for discovery where she testified she did not see the vehicle leave or where it went. Mrs. Morris acknowledged that her discovery evidence was true and explained that it had been a number of years and she believed she saw the car proceed along South Fraser Way. While Mrs. Morris may well believe she saw the vehicle continuing along, I am unable, in these circumstances, to find she in fact did see the vehicle driving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Mrs. Morris testified she called the police and spoke to the 9-1-1 operator to advise there had been an accident and the vehicle that hit them had failed to remain at the scene. She testified she was left with the impression, and assumed, a police vehicle she saw moments later was going after the white car that had left the scene. I am unable to place any weight on this assumption given the fact that I am not able to find that Mrs. Morris saw the white vehicle driving away. Given the passage of time, Mrs. Morris may well believe this is what she saw and assumed was happening, but her memory as demonstrated by her evidence on this point is unreliable.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After her husband obtained personal identification information from the driver of the vehicle in front of them, Jeffery Gordon, they returned to their home. A little later on Mrs. Morris attended a walk-in clinic and saw a doctor as she was not feeling well, experiencing neck pain and dizziness.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Mrs. Morris was cross-examined extensively about the amount of traffic in the area, sources of possible witnesses and the steps she and/or her husband took to identify possible witnesses. She agreed the accident occurred at a major intersection in Abbotsford.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Mrs. Morris repeatedly stated she thought that having Mr. Gordon as their witness was sufficient, but acknowledged she did not know whether he could identify the driver of the white vehicle. She also acknowledged there was traffic in the area, both proceeding westbound along South Fraser Way, and likely coming down the hill eastbound along South Fraser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Mrs. Morris believed the businesses of Curtis Tire, OK Tire and an oil change company, located on the southwest, southeast and northwest corners of the intersection were likely closed at the time and so did not make any inquiries at them as to whether anyone had seen the accident. Mrs. Morris was aware of the White Spot restaurant located on the northeast corner of the intersection, having attended it a number of times, but testified she doubted anyone would have seen the accident as the blinds on the windows would likely have been closed. She did not make any inquiries there as to whether anyone had seen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Mrs. Morris acknowledged there were possible sources of witnesses with people in the vicinity of the White Spot restaurant, pedestrians on the sidewalk and traffic in eastbound and westbound lanes of South Fraser Way and the other points of the intersection, who may have witnessed the accident. She acknowledged neither she nor her husband took any steps such as posting signs or placing advertisements in the paper seeking witnesses to the accident stating that she did not know that she should do so or that it she had to do so. Mrs. Morris did not think other steps were necessary as she thought having Mr. Gordon as a witness was sufficient.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Mrs. Morris agreed her only steps to try and identify the driver involved in the accident consisted of calling 9-1-1, speaking to ICBC on one occasion after the accident and having Mr. Gordon as a witness. She conceded she left it to the police and ICBC to identify the driver that struck her husband's truck. Mrs. Morris testified that during the meeting with ICBC she suggested they e-mail the repair shops but they laughed at her. Mrs. Morris also conceded she made no follow up inquires with the police to see if they had investigated or located the driver of the vehicle that had hit them in the accident, explaining that she thought she would have been notified through ICBC.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The Evidence of Gill Morris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April 12, 2006, Gill Morris, the plaintiff's husband, was driving his company's 2004 GMC Sierra pick-up truck eastbound on South Fraser Way sometime after 5:00 p.m. His wife, the plaintiff, was a passenger in the vehicle. Mr Morris approached the light at the intersection with Ware Rd. and stopped behind another vehicle that was waiting for the red light to change. Mr. Morris testified there were "a couple of vehicles there." Mr. Morris noticed a vehicle coming up behind his truck and thought it was going to stop. His wife, however, who was looking in the passenger rear view mirror, warned him the vehicle was not going to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Morris testified the vehicle did not stop and hit the truck from behind, causing the truck to lurch upward and forward a short distance; two or three inches according to a statement given to ICBC on April 18, 2006, six days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Morris described the traffic as heavy at the time with a "load of traffic" coming down the hill eastbound on South Fraser Way towards the light. Not wanting to block traffic at the intersection for what he described as a minor accident, Mr. Morris placed his truck in park, got out of his truck, walked back a few steps and turned to look at the driver who had hit them and motioned him to pull over to the adjacent Curtis Tire parking lot. The driver acknowledged this direction by nodding at Mr. Morris. Mr. Morris intended to exchange personal information with the offending driver once they were out of the flow of traffic and in the parking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Upon receiving the acknowledgement from the other driver, Mr. Morris returned to his truck and, when the traffic light turned green, followed the vehicle directly in front of him (Jeffery Gordon's vehicle), turning right into the adjacent Curtis Tire parking lot. Once parked, Mr. Morris again got out of his truck, went over to Mr. Gordon's vehicle and then noticed the driver of the vehicle that had hit his pick-up truck had not turned into the parking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Morris did not see where the offending driver went but assumed he continued eastbound on South Fraser Way. He did not pursue the vehicle as he did not know where it went and thought it would not have been a safe thing to do. Mr. Morris exchanged information with Mr. Gordon and then telephoned the police, providing a description of the vehicle that had hit them and the damage he observed to the hood of the vehicle. The police did not attend the scene but did provide an incident number.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Morris testified he recalled the driver of the vehicle that hit his truck to be an East Indian male driving what looked like a white Grand Am. Although he did not step all the way to the back of his truck while stopped at the light and out of his truck, it was Mr. Morris's evidence that he was able to see that the vehicle that hit his truck had a hole in its hood from the trailer hitch on his truck bumper. Mr. Morris thought he conveyed this information to the ICBC adjuster he dealt with on April 18,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cross-examination, Mr. Morris acknowledged his statement to the ICBC adjuster on April 18, 2006, did not contain any descriptive information about the suspect driver or damage to the driver's vehicle, only a general description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During the meeting with the ICBC adjustor, Mr. Morris provided the name of Jeffrey Gordon as a witness to the accident. He was given no other instructions by ICBC other than receiving authorization to have his truck repaired.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only damage to Mr. Morris's truck noted at the time was that the electrical wiring harness for the trailer brake lights was loosened by the impact. About two months after the accident, Mr. Morris and a friend noticed the towing mechanism on the truck bumper area appeared to have been pushed forward and was pinching the spare tire so that it could not be removed without dropping the entire mechanism to loosen the spare tire. Mr. Morris attributed this damage to the accident, but reluctantly conceded he could not say it had not been caused either before the accident, or at another time in the two months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cross-examination, Mr. Morris explained that when he was out of his truck at the intersection, he was standing about three feet in front of the vehicle that had hit him. Although he could have seen the licence plate and made a note of it, he did not, explaining he was not thinking that way at the time. Instead, he assumed he would obtain the necessary information when they pulled into the parking lot and exchanged information.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The Evidence of Jeffrey Gordon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April 12, 2006, at about 7:00 p.m., Jeffrey Gordon was driving eastbound in the right hand curb lane of South Fraser Way in Abbotsford, B.C. He stopped for a red light at the intersection with Ware Rd. and within a few seconds heard tires squealing. He looked in his rear-view mirror but could not see behind the large pick-up truck stopped immediately behind him. Mr. Gordon heard a crash and saw the pick-up truck immediately behind him "lurch ahead." Mr. Gordon did not see the vehicle that hit the plaintiff's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Gordon described South Fraser Way as having two lanes of travel in each direction as well as two left hand turn lanes. Although he recalled the traffic as being light at the time of the accident, he testified there was traffic in the area, including a vehicle beside him, when the accident occurred. Immediately to the right of the intersection where the accident occurred is a Curtis Tire store set back 30 metres from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Gordon decided to turn into the Curtis Tire parking lot to advise Mr. Morris he would be a witness to hearing and seeing his truck being hit. As soon as the light turned green, he made a right hand turn off South Fraser Way and then turned into the Curtis Tire parking lot. Once in the parking lot, Mr. Gordon spoke to Mr. Morris and provided him with his name and number.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Gordon did not see the other vehicle involved in the collision and did not recall what happened to it. He did not see it in the parking lot of Curtis Tire.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From the time of the collision to the time Mr. Gordon entered the Curtis Tire parking lot once the light turned green, he did not see any vehicle travelling in the same direction pass by him. Mr. Gordon also did not see any vehicle behind the pick-up truck make a U-turn and leave the area in an effort to evade the scene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Gordon did not recall seeing either, or both, Mr. and Mrs. Morris get out of their vehicle in an effort to identify the vehicle behind them.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Findings from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evidence adduced in this trial establishes that in the early evening of April 12, 2006, the plaintiff and her husband were in a 2004 GMC pick-up truck travelling eastbound on South Fraser Way in Abbotsford, B.C. While stopped at a red light at the intersection of South Fraser Way and Ware Rd, their vehicle was rear-ended by a white sedan-type vehicle. Although Mr. Morris got out of his vehicle and stepped back to see the front of the vehicle and the driver of the vehicle that had rear-ended his truck, he made no note of the licence plate. Mr. Morris understood from the unidentified driver's acknowledgement head nod that they would pull over into a parking lot out of the flow of traffic and exchange their particulars for insurance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intersection where the accident occurred is a busy major thoroughfare in Abbotsford and I find there was other traffic in the area at the time of the accident. Indeed that was one of the motivating reasons for Mr. Morris to pull into the parking lot so as not to impede the flow of traffic at the intersection. Mr. Gordon recalled traffic in the area and noted at least one other vehicle beside him at the intersection when the accident occurred. Mr. Morris recalled traffic to be heavy, and Mrs. Morris agreed there was traffic in the area in both directions of South Fraser Way and possibly pedestrians in the vicinity of the nearby White Spot restaurant.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Gordon did not see the driver of the vehicle or the vehicle that rear-ended the Morris's vehicle and was unable to identify the driver that caused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 believes she saw the white vehicle that collided with their pick-up truck continuing eastbound on South Fraser Way through the intersection after her husband and Mr. Gordon pulled into the parking lot at the Curtis Tires store. However, it is clear from her examination for discovery evidence that this cannot be correct. Her prior sworn evidence, which she acknowledged was true, is completely inconsistent with her trial evidence on this point. Given this inconsistency in her evidence on a significant detail, I am unable to accept Mrs. Morris's evidence at trial on this point. It is clear from her evidence she believes she saw this, but the significant inconsistency on this point indicates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and Mrs. Morris reported the existence of the unidentified vehicle and its departure from the scene as soon as reasonably possible to the police via a 9-1-1 telephone call while still at the scene. They also reported the incident to ICBC and then attended an ICBC claims centre on April 18, 2006, and had their vehicle inspected, provided statements and received authorization to have the vehicle wiring harness repaired.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Apart from contacting 9-1-1 to report the driver who had caused the accident had fled the scene without identifying himself, reporting the incident to ICBC and attending at an ICBC claims centre to provide statements and have their vehicle examined for damage, Mr. and Mrs. Morris took no other steps to attempt to determine the identity of the driver of the vehicle who had caused the accident. They placed no signs in the vicinity of the intersection where the accident occurred seeking help or information from potential witnesses. They placed no advertisements in the local newspapers or other media seeking help or information from potential witnesses to the accident. They did not attend at a nearby White Spot restaurant, located cater-corner to where the accident occurred, to see if any customers or nearby pedestrians had observed the accident, nor did they attend at any of the other businesses in the area, believing them to be closed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 admitted in her evidence she relied upon the police to take steps to identify the driver or owner of the vehicle but did nothing to follow up on the course of any investigation, if there was one. She further testified she did not know she had to have other witnesses, thinking that having one witness was sufficient. However, neither Mr. nor Mrs. Morris did anything to ascertain whether Mr. Gordon could identify the driver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IV.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primary issue in this case is whether the plaintiff made reasonable efforts to ascertain the identity of the unknown driver in this case. The defendant, ICBC, argues the plaintiff's claim should be dismissed because the plaintiff failed to make the efforts required by s. 24(5)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to ascertain the identity of the unknown driver of the vehicle that struck her husband's pick-up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 asserts she took all necessary and reasonable steps in the circumstances to establish the identity of the offending driver at the scene and that advertising or placing posters at the scene or canvassing local businesses was not logical, sensible or fair in the circumstances as no one would be able to provide the missing licence plate number or information on the identity of the negligent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V.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Section 24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provides a statutory right of action, enabling plaintiffs involved in hit and run accidents to sue ICBC as a nominal defendant in certain circumstances where the identity of a negligent driver is unknown. The right to recover against an unknown tortfeasor does not exist at common law. However, s. 24(5) imposes an obligation on plaintiffs who seek to take advantage of the avenue of recovery that s. 24 provides. It limits the availability of the benefits of s. 24 to those who have complied with the provisions of s. 24(5): </w:t>
      </w:r>
      <w:r>
        <w:rPr>
          <w:rFonts w:ascii="arial" w:eastAsia="arial" w:hAnsi="arial" w:cs="arial"/>
          <w:i/>
          <w:color w:val="000000"/>
          <w:sz w:val="20"/>
          <w:lang w:val="en-US" w:eastAsia="en-US" w:bidi="ar-SA"/>
        </w:rPr>
        <w:t>Tessier v. Vancouver (City)</w:t>
      </w:r>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shd w:val="clear" w:color="auto" w:fill="FFFFFF"/>
            <w:lang w:val="en-US" w:eastAsia="en-US" w:bidi="ar-SA"/>
          </w:rPr>
          <w:t>(2002), 48 C.C.L.I. (2d) 273</w:t>
        </w:r>
      </w:hyperlink>
      <w:r>
        <w:rPr>
          <w:rFonts w:ascii="arial" w:eastAsia="arial" w:hAnsi="arial" w:cs="arial"/>
          <w:color w:val="000000"/>
          <w:sz w:val="20"/>
          <w:lang w:val="en-US" w:eastAsia="en-US" w:bidi="ar-SA"/>
        </w:rPr>
        <w:t xml:space="preserve"> (B.C.S.C.) [</w:t>
      </w:r>
      <w:r>
        <w:rPr>
          <w:rFonts w:ascii="arial" w:eastAsia="arial" w:hAnsi="arial" w:cs="arial"/>
          <w:i/>
          <w:color w:val="000000"/>
          <w:sz w:val="20"/>
          <w:lang w:val="en-US" w:eastAsia="en-US" w:bidi="ar-SA"/>
        </w:rPr>
        <w:t>Tessier</w:t>
      </w:r>
      <w:r>
        <w:rPr>
          <w:rFonts w:ascii="arial" w:eastAsia="arial" w:hAnsi="arial" w:cs="arial"/>
          <w:color w:val="000000"/>
          <w:sz w:val="20"/>
          <w:lang w:val="en-US" w:eastAsia="en-US" w:bidi="ar-SA"/>
        </w:rPr>
        <w:t xml:space="preserve">], at para. 12; </w:t>
      </w:r>
      <w:r>
        <w:rPr>
          <w:rFonts w:ascii="arial" w:eastAsia="arial" w:hAnsi="arial" w:cs="arial"/>
          <w:i/>
          <w:color w:val="000000"/>
          <w:sz w:val="20"/>
          <w:lang w:val="en-US" w:eastAsia="en-US" w:bidi="ar-SA"/>
        </w:rPr>
        <w:t>Hocaluk v. ICBC</w:t>
      </w:r>
      <w:r>
        <w:rPr>
          <w:rFonts w:ascii="arial" w:eastAsia="arial" w:hAnsi="arial" w:cs="arial"/>
          <w:color w:val="000000"/>
          <w:sz w:val="20"/>
          <w:lang w:val="en-US" w:eastAsia="en-US" w:bidi="ar-SA"/>
        </w:rPr>
        <w:t xml:space="preserve">, </w:t>
      </w:r>
      <w:hyperlink r:id="rId31" w:history="1">
        <w:r>
          <w:rPr>
            <w:rFonts w:ascii="arial" w:eastAsia="arial" w:hAnsi="arial" w:cs="arial"/>
            <w:i/>
            <w:color w:val="0077CC"/>
            <w:sz w:val="20"/>
            <w:u w:val="single"/>
            <w:shd w:val="clear" w:color="auto" w:fill="FFFFFF"/>
            <w:lang w:val="en-US" w:eastAsia="en-US" w:bidi="ar-SA"/>
          </w:rPr>
          <w:t>2007 BCSC 170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Hocaluk</w:t>
      </w:r>
      <w:r>
        <w:rPr>
          <w:rFonts w:ascii="arial" w:eastAsia="arial" w:hAnsi="arial" w:cs="arial"/>
          <w:color w:val="000000"/>
          <w:sz w:val="20"/>
          <w:lang w:val="en-US" w:eastAsia="en-US" w:bidi="ar-SA"/>
        </w:rPr>
        <w:t>], at para.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Section 24(5)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Remedy for damage in hit and run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24(5) In an action against the corporation as nominal defendant, a judgment against the corporation must not be given unless the court is satisfied that</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reasonable efforts have been made by the parties to ascertain the identity of the unknown owner and driver or unknown driver, as the case may be, and</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identity of those persons or that person, as the case may be, is not ascertainable.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Section 24(5) restricts plaintiffs in their actions against ICBC as the nominal defendant to those who satisfy the court they have made all reasonable efforts to identify the unknown hit and run driver and that the identity of the driver is not ascertainable. The onus to be met by plaintiffs on the issue of reasonable steps, although not exceptionally onerous, is not one easily displaced, even in circumstances in which the unidentified vehicle has fled the scene: </w:t>
      </w:r>
      <w:r>
        <w:rPr>
          <w:rFonts w:ascii="arial" w:eastAsia="arial" w:hAnsi="arial" w:cs="arial"/>
          <w:i/>
          <w:color w:val="000000"/>
          <w:sz w:val="20"/>
          <w:lang w:val="en-US" w:eastAsia="en-US" w:bidi="ar-SA"/>
        </w:rPr>
        <w:t>Nelson v. ICBC</w:t>
      </w:r>
      <w:r>
        <w:rPr>
          <w:rFonts w:ascii="arial" w:eastAsia="arial" w:hAnsi="arial" w:cs="arial"/>
          <w:color w:val="000000"/>
          <w:sz w:val="20"/>
          <w:lang w:val="en-US" w:eastAsia="en-US" w:bidi="ar-SA"/>
        </w:rPr>
        <w:t xml:space="preserve">, </w:t>
      </w:r>
      <w:hyperlink r:id="rId32" w:history="1">
        <w:r>
          <w:rPr>
            <w:rFonts w:ascii="arial" w:eastAsia="arial" w:hAnsi="arial" w:cs="arial"/>
            <w:i/>
            <w:color w:val="0077CC"/>
            <w:sz w:val="20"/>
            <w:u w:val="single"/>
            <w:shd w:val="clear" w:color="auto" w:fill="FFFFFF"/>
            <w:lang w:val="en-US" w:eastAsia="en-US" w:bidi="ar-SA"/>
          </w:rPr>
          <w:t>2003 BCSC 121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Nelson</w:t>
      </w:r>
      <w:r>
        <w:rPr>
          <w:rFonts w:ascii="arial" w:eastAsia="arial" w:hAnsi="arial" w:cs="arial"/>
          <w:color w:val="000000"/>
          <w:sz w:val="20"/>
          <w:lang w:val="en-US" w:eastAsia="en-US" w:bidi="ar-SA"/>
        </w:rPr>
        <w:t xml:space="preserve">], at para. 17; </w:t>
      </w:r>
      <w:r>
        <w:rPr>
          <w:rFonts w:ascii="arial" w:eastAsia="arial" w:hAnsi="arial" w:cs="arial"/>
          <w:i/>
          <w:color w:val="000000"/>
          <w:sz w:val="20"/>
          <w:lang w:val="en-US" w:eastAsia="en-US" w:bidi="ar-SA"/>
        </w:rPr>
        <w:t>Burley v. ICBC</w:t>
      </w:r>
      <w:r>
        <w:rPr>
          <w:rFonts w:ascii="arial" w:eastAsia="arial" w:hAnsi="arial" w:cs="arial"/>
          <w:color w:val="000000"/>
          <w:sz w:val="20"/>
          <w:lang w:val="en-US" w:eastAsia="en-US" w:bidi="ar-SA"/>
        </w:rPr>
        <w:t xml:space="preserve">, </w:t>
      </w:r>
      <w:hyperlink r:id="rId33" w:history="1">
        <w:r>
          <w:rPr>
            <w:rFonts w:ascii="arial" w:eastAsia="arial" w:hAnsi="arial" w:cs="arial"/>
            <w:i/>
            <w:color w:val="0077CC"/>
            <w:sz w:val="20"/>
            <w:u w:val="single"/>
            <w:shd w:val="clear" w:color="auto" w:fill="FFFFFF"/>
            <w:lang w:val="en-US" w:eastAsia="en-US" w:bidi="ar-SA"/>
          </w:rPr>
          <w:t>2003 BCSC 1837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Burley</w:t>
      </w:r>
      <w:r>
        <w:rPr>
          <w:rFonts w:ascii="arial" w:eastAsia="arial" w:hAnsi="arial" w:cs="arial"/>
          <w:color w:val="000000"/>
          <w:sz w:val="20"/>
          <w:lang w:val="en-US" w:eastAsia="en-US" w:bidi="ar-SA"/>
        </w:rPr>
        <w:t xml:space="preserve">], at para. 7; </w:t>
      </w:r>
      <w:r>
        <w:rPr>
          <w:rFonts w:ascii="arial" w:eastAsia="arial" w:hAnsi="arial" w:cs="arial"/>
          <w:i/>
          <w:color w:val="000000"/>
          <w:sz w:val="20"/>
          <w:lang w:val="en-US" w:eastAsia="en-US" w:bidi="ar-SA"/>
        </w:rPr>
        <w:t>Godara v. ICBC</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2008 BCSC 183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Godara</w:t>
      </w:r>
      <w:r>
        <w:rPr>
          <w:rFonts w:ascii="arial" w:eastAsia="arial" w:hAnsi="arial" w:cs="arial"/>
          <w:color w:val="000000"/>
          <w:sz w:val="20"/>
          <w:lang w:val="en-US" w:eastAsia="en-US" w:bidi="ar-SA"/>
        </w:rPr>
        <w:t>], at para. 53. A plaintiff's failure to discharge this onus and establish that reasonable steps have been taken is fatal to a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leading authority on the interpretation of s. 24(5)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is the decision in </w:t>
      </w:r>
      <w:r>
        <w:rPr>
          <w:rFonts w:ascii="arial" w:eastAsia="arial" w:hAnsi="arial" w:cs="arial"/>
          <w:i/>
          <w:color w:val="000000"/>
          <w:sz w:val="20"/>
          <w:lang w:val="en-US" w:eastAsia="en-US" w:bidi="ar-SA"/>
        </w:rPr>
        <w:t>Leggett v. ICBC</w:t>
      </w:r>
      <w:r>
        <w:rPr>
          <w:rFonts w:ascii="arial" w:eastAsia="arial" w:hAnsi="arial" w:cs="arial"/>
          <w:color w:val="000000"/>
          <w:sz w:val="20"/>
          <w:lang w:val="en-US" w:eastAsia="en-US" w:bidi="ar-SA"/>
        </w:rPr>
        <w:t xml:space="preserve"> </w:t>
      </w:r>
      <w:hyperlink r:id="rId35" w:history="1">
        <w:r>
          <w:rPr>
            <w:rFonts w:ascii="arial" w:eastAsia="arial" w:hAnsi="arial" w:cs="arial"/>
            <w:i/>
            <w:color w:val="0077CC"/>
            <w:sz w:val="20"/>
            <w:u w:val="single"/>
            <w:shd w:val="clear" w:color="auto" w:fill="FFFFFF"/>
            <w:lang w:val="en-US" w:eastAsia="en-US" w:bidi="ar-SA"/>
          </w:rPr>
          <w:t>(1992), 72 B.C.L.R. (2d) 201</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Leggett</w:t>
      </w:r>
      <w:r>
        <w:rPr>
          <w:rFonts w:ascii="arial" w:eastAsia="arial" w:hAnsi="arial" w:cs="arial"/>
          <w:color w:val="000000"/>
          <w:sz w:val="20"/>
          <w:lang w:val="en-US" w:eastAsia="en-US" w:bidi="ar-SA"/>
        </w:rPr>
        <w:t xml:space="preserve">], leave to appeal to S.C.C. ref'd, </w:t>
      </w:r>
      <w:hyperlink r:id="rId36" w:history="1">
        <w:r>
          <w:rPr>
            <w:rFonts w:ascii="arial" w:eastAsia="arial" w:hAnsi="arial" w:cs="arial"/>
            <w:i/>
            <w:color w:val="0077CC"/>
            <w:sz w:val="20"/>
            <w:u w:val="single"/>
            <w:shd w:val="clear" w:color="auto" w:fill="FFFFFF"/>
            <w:lang w:val="en-US" w:eastAsia="en-US" w:bidi="ar-SA"/>
          </w:rPr>
          <w:t>[1992] S.C.C.A. No. 558</w:t>
        </w:r>
      </w:hyperlink>
      <w:r>
        <w:rPr>
          <w:rFonts w:ascii="arial" w:eastAsia="arial" w:hAnsi="arial" w:cs="arial"/>
          <w:color w:val="000000"/>
          <w:sz w:val="20"/>
          <w:lang w:val="en-US" w:eastAsia="en-US" w:bidi="ar-SA"/>
        </w:rPr>
        <w:t>, where the British Columbia Court of Appeal made it clear that ICBC's exposure to liability is limited to claims brought by those who could not ascertain the identity of the parties responsible, and not to parties who had the opportunity to identify the offending vehicle but chose not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Leggett,</w:t>
      </w:r>
      <w:r>
        <w:rPr>
          <w:rFonts w:ascii="arial" w:eastAsia="arial" w:hAnsi="arial" w:cs="arial"/>
          <w:color w:val="000000"/>
          <w:sz w:val="20"/>
          <w:lang w:val="en-US" w:eastAsia="en-US" w:bidi="ar-SA"/>
        </w:rPr>
        <w:t xml:space="preserve"> the plaintiff's vehicle was rear-ended by an unidentified motorist. After the accident, the plaintiff examined his vehicle, saw minor damage and spoke with the unidentified driver who had stopped at the scene of the accident. The two drivers determined they would each look after their own damage. Neither party provided the other with any identification or contact information. The plaintiff in </w:t>
      </w:r>
      <w:r>
        <w:rPr>
          <w:rFonts w:ascii="arial" w:eastAsia="arial" w:hAnsi="arial" w:cs="arial"/>
          <w:i/>
          <w:color w:val="000000"/>
          <w:sz w:val="20"/>
          <w:lang w:val="en-US" w:eastAsia="en-US" w:bidi="ar-SA"/>
        </w:rPr>
        <w:t>Leggett</w:t>
      </w:r>
      <w:r>
        <w:rPr>
          <w:rFonts w:ascii="arial" w:eastAsia="arial" w:hAnsi="arial" w:cs="arial"/>
          <w:color w:val="000000"/>
          <w:sz w:val="20"/>
          <w:lang w:val="en-US" w:eastAsia="en-US" w:bidi="ar-SA"/>
        </w:rPr>
        <w:t xml:space="preserve"> chose not to obtain particulars of the unidentified driver, believing at the time he had not suffered any injury. The next day, however, the plaintiff started to experience symptoms consistent with a soft tissue injury to his lower back. He sought damages from ICBC pursuant to then s. 23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The trial judge found the plaintiff had made reasonable efforts to ascertain the identity of the offending driver when he returned to the scene of the accident over 10 different days all at around the time of the accident, in the hope that he would see the vehicle involved and record its licence plate number. The plaintiff in </w:t>
      </w:r>
      <w:r>
        <w:rPr>
          <w:rFonts w:ascii="arial" w:eastAsia="arial" w:hAnsi="arial" w:cs="arial"/>
          <w:i/>
          <w:color w:val="000000"/>
          <w:sz w:val="20"/>
          <w:lang w:val="en-US" w:eastAsia="en-US" w:bidi="ar-SA"/>
        </w:rPr>
        <w:t>Leggett</w:t>
      </w:r>
      <w:r>
        <w:rPr>
          <w:rFonts w:ascii="arial" w:eastAsia="arial" w:hAnsi="arial" w:cs="arial"/>
          <w:color w:val="000000"/>
          <w:sz w:val="20"/>
          <w:lang w:val="en-US" w:eastAsia="en-US" w:bidi="ar-SA"/>
        </w:rPr>
        <w:t xml:space="preserve"> took other steps to ascertain the driver's identity including placing advertisements in newspapers seeking information about the identity of the driver, but all efforts proved fruitless.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In allowing ICBC's appeal in </w:t>
      </w:r>
      <w:r>
        <w:rPr>
          <w:rFonts w:ascii="arial" w:eastAsia="arial" w:hAnsi="arial" w:cs="arial"/>
          <w:i/>
          <w:color w:val="000000"/>
          <w:sz w:val="20"/>
          <w:lang w:val="en-US" w:eastAsia="en-US" w:bidi="ar-SA"/>
        </w:rPr>
        <w:t>Leggett</w:t>
      </w:r>
      <w:r>
        <w:rPr>
          <w:rFonts w:ascii="arial" w:eastAsia="arial" w:hAnsi="arial" w:cs="arial"/>
          <w:color w:val="000000"/>
          <w:sz w:val="20"/>
          <w:lang w:val="en-US" w:eastAsia="en-US" w:bidi="ar-SA"/>
        </w:rPr>
        <w:t>, Mr. Justice Taylor outlined the purpose of s. 24(5) stating at page 205 [para. 9-10]: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 the overall purpose of the section is to limit the exposure of the corporation to claims brought by persons who, in the matter of seeking to identify those responsible for the accident, have done everything they reasonably could to protect what ordinarily would be their own interests, and which, by virtue of the section, become the interests of the corporation.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The corporation's exposure under the section is limited to claims brought by those who could not have ascertained the identity of the parties responsible. It does not, in my view, extend to claims by those who have chosen not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While one of the purposes of s. 24(5) is to protect against the potential for fraudulent claims, that is not its sole purpose. Its broader purpose is to protect those who have done everything they reasonably could to protect what ordinarily would be their own interests. What constitutes all reasonable steps as contemplated by s. 24(5)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must be determined in light of the purpose of the section and the circumstances of the particular case. The test which emerges from the purpose of the section was stated by Taylor, J.A. in </w:t>
      </w:r>
      <w:r>
        <w:rPr>
          <w:rFonts w:ascii="arial" w:eastAsia="arial" w:hAnsi="arial" w:cs="arial"/>
          <w:i/>
          <w:color w:val="000000"/>
          <w:sz w:val="20"/>
          <w:lang w:val="en-US" w:eastAsia="en-US" w:bidi="ar-SA"/>
        </w:rPr>
        <w:t>Leggett</w:t>
      </w:r>
      <w:r>
        <w:rPr>
          <w:rFonts w:ascii="arial" w:eastAsia="arial" w:hAnsi="arial" w:cs="arial"/>
          <w:color w:val="000000"/>
          <w:sz w:val="20"/>
          <w:lang w:val="en-US" w:eastAsia="en-US" w:bidi="ar-SA"/>
        </w:rPr>
        <w:t xml:space="preserve"> at page 206 [para. 13]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whether the claimants had "pursued the investigation to identify the vehicle and its owner and driver as resolutely and resourcefully as they would have done in like circumstances" had there been no such provision. In order to accommodate the current statutory requirement in the present context, I would add, after the words "would have done in like circumstances", the words "if the claimant intended to pursue any right of action which he or she might have arising out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To put it another way, the appropriate test to determine whether all reasonable efforts have been made is: Did the plaintiff do all that she would have to identify the other parties involved if she intended to pursue legal action against them, if ICBC were not potentially liable under s. 24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Goncalves v. Doe</w:t>
      </w:r>
      <w:r>
        <w:rPr>
          <w:rFonts w:ascii="arial" w:eastAsia="arial" w:hAnsi="arial" w:cs="arial"/>
          <w:color w:val="000000"/>
          <w:sz w:val="20"/>
          <w:lang w:val="en-US" w:eastAsia="en-US" w:bidi="ar-SA"/>
        </w:rPr>
        <w:t xml:space="preserve">, </w:t>
      </w:r>
      <w:hyperlink r:id="rId37" w:history="1">
        <w:r>
          <w:rPr>
            <w:rFonts w:ascii="arial" w:eastAsia="arial" w:hAnsi="arial" w:cs="arial"/>
            <w:i/>
            <w:color w:val="0077CC"/>
            <w:sz w:val="20"/>
            <w:u w:val="single"/>
            <w:shd w:val="clear" w:color="auto" w:fill="FFFFFF"/>
            <w:lang w:val="en-US" w:eastAsia="en-US" w:bidi="ar-SA"/>
          </w:rPr>
          <w:t>2010 BCSC 1241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Goncalves</w:t>
      </w:r>
      <w:r>
        <w:rPr>
          <w:rFonts w:ascii="arial" w:eastAsia="arial" w:hAnsi="arial" w:cs="arial"/>
          <w:color w:val="000000"/>
          <w:sz w:val="20"/>
          <w:lang w:val="en-US" w:eastAsia="en-US" w:bidi="ar-SA"/>
        </w:rPr>
        <w:t>], at para.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What is "reasonable" in similar circumstances has been interpreted as synonymous with "logical, sensible, and fair" but does not include efforts which are "absurd, whimsical or unwarranted:" </w:t>
      </w:r>
      <w:r>
        <w:rPr>
          <w:rFonts w:ascii="arial" w:eastAsia="arial" w:hAnsi="arial" w:cs="arial"/>
          <w:i/>
          <w:color w:val="000000"/>
          <w:sz w:val="20"/>
          <w:lang w:val="en-US" w:eastAsia="en-US" w:bidi="ar-SA"/>
        </w:rPr>
        <w:t>Tessier</w:t>
      </w:r>
      <w:r>
        <w:rPr>
          <w:rFonts w:ascii="arial" w:eastAsia="arial" w:hAnsi="arial" w:cs="arial"/>
          <w:color w:val="000000"/>
          <w:sz w:val="20"/>
          <w:lang w:val="en-US" w:eastAsia="en-US" w:bidi="ar-SA"/>
        </w:rPr>
        <w:t xml:space="preserve"> at para. 14; </w:t>
      </w:r>
      <w:r>
        <w:rPr>
          <w:rFonts w:ascii="arial" w:eastAsia="arial" w:hAnsi="arial" w:cs="arial"/>
          <w:i/>
          <w:color w:val="000000"/>
          <w:sz w:val="20"/>
          <w:lang w:val="en-US" w:eastAsia="en-US" w:bidi="ar-SA"/>
        </w:rPr>
        <w:t>Slezak v. ICBC</w:t>
      </w:r>
      <w:r>
        <w:rPr>
          <w:rFonts w:ascii="arial" w:eastAsia="arial" w:hAnsi="arial" w:cs="arial"/>
          <w:color w:val="000000"/>
          <w:sz w:val="20"/>
          <w:lang w:val="en-US" w:eastAsia="en-US" w:bidi="ar-SA"/>
        </w:rPr>
        <w:t xml:space="preserve">, </w:t>
      </w:r>
      <w:hyperlink r:id="rId38" w:history="1">
        <w:r>
          <w:rPr>
            <w:rFonts w:ascii="arial" w:eastAsia="arial" w:hAnsi="arial" w:cs="arial"/>
            <w:i/>
            <w:color w:val="0077CC"/>
            <w:sz w:val="20"/>
            <w:u w:val="single"/>
            <w:shd w:val="clear" w:color="auto" w:fill="FFFFFF"/>
            <w:lang w:val="en-US" w:eastAsia="en-US" w:bidi="ar-SA"/>
          </w:rPr>
          <w:t>2003 BCSC 1679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Slezak</w:t>
      </w:r>
      <w:r>
        <w:rPr>
          <w:rFonts w:ascii="arial" w:eastAsia="arial" w:hAnsi="arial" w:cs="arial"/>
          <w:color w:val="000000"/>
          <w:sz w:val="20"/>
          <w:lang w:val="en-US" w:eastAsia="en-US" w:bidi="ar-SA"/>
        </w:rPr>
        <w:t xml:space="preserve">], at para. 40. The test, however, is not whether Mrs. Morris made "best efforts;" it is whether she made "reasonable efforts" to ascertain the identity of the driver: </w:t>
      </w:r>
      <w:r>
        <w:rPr>
          <w:rFonts w:ascii="arial" w:eastAsia="arial" w:hAnsi="arial" w:cs="arial"/>
          <w:i/>
          <w:color w:val="000000"/>
          <w:sz w:val="20"/>
          <w:lang w:val="en-US" w:eastAsia="en-US" w:bidi="ar-SA"/>
        </w:rPr>
        <w:t>Hocaluk</w:t>
      </w:r>
      <w:r>
        <w:rPr>
          <w:rFonts w:ascii="arial" w:eastAsia="arial" w:hAnsi="arial" w:cs="arial"/>
          <w:color w:val="000000"/>
          <w:sz w:val="20"/>
          <w:lang w:val="en-US" w:eastAsia="en-US" w:bidi="ar-SA"/>
        </w:rPr>
        <w:t xml:space="preserve"> at para. 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Two specific time periods are relevant under the s. 24(5) inquiry: the time of the accident and the days or weeks following the accident. If reasonable efforts could not be made at the time of the accident, e.g. due to shock or injury; a belief that the party has not sustained any injury; or the driver fled the scene before information could reasonably be obtained, the court examines the steps taken by the plaintiff to ascertain the identity of the negligent driver in the days or weeks following the accident. What constitutes all reasonable efforts is a factual issue decided on a case by case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An examination of the jurisprudence on what constitutes reasonable efforts reveals the following principles:</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depending on the plaintiff's condition at the scene of the accident, it may not be realistic to expect the plaintiff to obtain particulars as to the identity of the offending driver particularly where the plaintiff is in shock or confused or injured: </w:t>
      </w:r>
      <w:r>
        <w:rPr>
          <w:rFonts w:ascii="arial" w:eastAsia="arial" w:hAnsi="arial" w:cs="arial"/>
          <w:i/>
          <w:color w:val="000000"/>
          <w:sz w:val="20"/>
          <w:lang w:val="en-US" w:eastAsia="en-US" w:bidi="ar-SA"/>
        </w:rPr>
        <w:t>Tessier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Hocaluk</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Ingram v. ICBC</w:t>
      </w:r>
      <w:r>
        <w:rPr>
          <w:rFonts w:ascii="arial" w:eastAsia="arial" w:hAnsi="arial" w:cs="arial"/>
          <w:color w:val="000000"/>
          <w:sz w:val="20"/>
          <w:lang w:val="en-US" w:eastAsia="en-US" w:bidi="ar-SA"/>
        </w:rPr>
        <w:t xml:space="preserve"> </w:t>
      </w:r>
      <w:hyperlink r:id="rId39" w:history="1">
        <w:r>
          <w:rPr>
            <w:rFonts w:ascii="arial" w:eastAsia="arial" w:hAnsi="arial" w:cs="arial"/>
            <w:i/>
            <w:color w:val="0077CC"/>
            <w:sz w:val="20"/>
            <w:u w:val="single"/>
            <w:shd w:val="clear" w:color="auto" w:fill="FFFFFF"/>
            <w:lang w:val="en-US" w:eastAsia="en-US" w:bidi="ar-SA"/>
          </w:rPr>
          <w:t>(1994), 45 B.C.A.C. 218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Ingram</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Holloway v. ICBC</w:t>
      </w:r>
      <w:r>
        <w:rPr>
          <w:rFonts w:ascii="arial" w:eastAsia="arial" w:hAnsi="arial" w:cs="arial"/>
          <w:color w:val="000000"/>
          <w:sz w:val="20"/>
          <w:lang w:val="en-US" w:eastAsia="en-US" w:bidi="ar-SA"/>
        </w:rPr>
        <w:t xml:space="preserve">, </w:t>
      </w:r>
      <w:hyperlink r:id="rId40" w:history="1">
        <w:r>
          <w:rPr>
            <w:rFonts w:ascii="arial" w:eastAsia="arial" w:hAnsi="arial" w:cs="arial"/>
            <w:i/>
            <w:color w:val="0077CC"/>
            <w:sz w:val="20"/>
            <w:u w:val="single"/>
            <w:shd w:val="clear" w:color="auto" w:fill="FFFFFF"/>
            <w:lang w:val="en-US" w:eastAsia="en-US" w:bidi="ar-SA"/>
          </w:rPr>
          <w:t>2007 BCCA 175</w:t>
        </w:r>
      </w:hyperlink>
      <w:r>
        <w:rPr>
          <w:rFonts w:ascii="arial" w:eastAsia="arial" w:hAnsi="arial" w:cs="arial"/>
          <w:color w:val="000000"/>
          <w:sz w:val="20"/>
          <w:lang w:val="en-US" w:eastAsia="en-US" w:bidi="ar-SA"/>
        </w:rPr>
        <w:t xml:space="preserve">, at para. 14; </w:t>
      </w:r>
      <w:r>
        <w:rPr>
          <w:rFonts w:ascii="arial" w:eastAsia="arial" w:hAnsi="arial" w:cs="arial"/>
          <w:i/>
          <w:color w:val="000000"/>
          <w:sz w:val="20"/>
          <w:lang w:val="en-US" w:eastAsia="en-US" w:bidi="ar-SA"/>
        </w:rPr>
        <w:t>Larsen v. Doe</w:t>
      </w:r>
      <w:r>
        <w:rPr>
          <w:rFonts w:ascii="arial" w:eastAsia="arial" w:hAnsi="arial" w:cs="arial"/>
          <w:color w:val="000000"/>
          <w:sz w:val="20"/>
          <w:lang w:val="en-US" w:eastAsia="en-US" w:bidi="ar-SA"/>
        </w:rPr>
        <w:t xml:space="preserve">, </w:t>
      </w:r>
      <w:hyperlink r:id="rId41" w:history="1">
        <w:r>
          <w:rPr>
            <w:rFonts w:ascii="arial" w:eastAsia="arial" w:hAnsi="arial" w:cs="arial"/>
            <w:i/>
            <w:color w:val="0077CC"/>
            <w:sz w:val="20"/>
            <w:u w:val="single"/>
            <w:shd w:val="clear" w:color="auto" w:fill="FFFFFF"/>
            <w:lang w:val="en-US" w:eastAsia="en-US" w:bidi="ar-SA"/>
          </w:rPr>
          <w:t>2010 BCSC 333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Larsen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Becker v. ICBC</w:t>
      </w:r>
      <w:r>
        <w:rPr>
          <w:rFonts w:ascii="arial" w:eastAsia="arial" w:hAnsi="arial" w:cs="arial"/>
          <w:color w:val="000000"/>
          <w:sz w:val="20"/>
          <w:lang w:val="en-US" w:eastAsia="en-US" w:bidi="ar-SA"/>
        </w:rPr>
        <w:t xml:space="preserve">, </w:t>
      </w:r>
      <w:hyperlink r:id="rId42" w:history="1">
        <w:r>
          <w:rPr>
            <w:rFonts w:ascii="arial" w:eastAsia="arial" w:hAnsi="arial" w:cs="arial"/>
            <w:i/>
            <w:color w:val="0077CC"/>
            <w:sz w:val="20"/>
            <w:u w:val="single"/>
            <w:shd w:val="clear" w:color="auto" w:fill="FFFFFF"/>
            <w:lang w:val="en-US" w:eastAsia="en-US" w:bidi="ar-SA"/>
          </w:rPr>
          <w:t>2002 BCSC 1106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Becker</w:t>
      </w:r>
      <w:r>
        <w:rPr>
          <w:rFonts w:ascii="arial" w:eastAsia="arial" w:hAnsi="arial" w:cs="arial"/>
          <w:color w:val="000000"/>
          <w:sz w:val="20"/>
          <w:lang w:val="en-US" w:eastAsia="en-US" w:bidi="ar-SA"/>
        </w:rPr>
        <w:t xml:space="preserve">], at para. 20; </w:t>
      </w:r>
      <w:r>
        <w:rPr>
          <w:rFonts w:ascii="arial" w:eastAsia="arial" w:hAnsi="arial" w:cs="arial"/>
          <w:i/>
          <w:color w:val="000000"/>
          <w:sz w:val="20"/>
          <w:lang w:val="en-US" w:eastAsia="en-US" w:bidi="ar-SA"/>
        </w:rPr>
        <w:t>Nelson</w:t>
      </w:r>
      <w:r>
        <w:rPr>
          <w:rFonts w:ascii="arial" w:eastAsia="arial" w:hAnsi="arial" w:cs="arial"/>
          <w:color w:val="000000"/>
          <w:sz w:val="20"/>
          <w:lang w:val="en-US" w:eastAsia="en-US" w:bidi="ar-SA"/>
        </w:rPr>
        <w:t xml:space="preserve"> at paras. 19-20</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failure to record a licence plate number at the time of the accident when the plaintiff has the opportunity to do so or obtain information as to the driver's identity, either personally or through the assistance of others, but does not take advantage of the opportunity amounts to a failure to take reasonable steps at the time of the accident: </w:t>
      </w:r>
      <w:r>
        <w:rPr>
          <w:rFonts w:ascii="arial" w:eastAsia="arial" w:hAnsi="arial" w:cs="arial"/>
          <w:i/>
          <w:color w:val="000000"/>
          <w:sz w:val="20"/>
          <w:lang w:val="en-US" w:eastAsia="en-US" w:bidi="ar-SA"/>
        </w:rPr>
        <w:t>Burley</w:t>
      </w:r>
      <w:r>
        <w:rPr>
          <w:rFonts w:ascii="arial" w:eastAsia="arial" w:hAnsi="arial" w:cs="arial"/>
          <w:color w:val="000000"/>
          <w:sz w:val="20"/>
          <w:lang w:val="en-US" w:eastAsia="en-US" w:bidi="ar-SA"/>
        </w:rPr>
        <w:t xml:space="preserve"> at paras. 23-24; </w:t>
      </w:r>
      <w:r>
        <w:rPr>
          <w:rFonts w:ascii="arial" w:eastAsia="arial" w:hAnsi="arial" w:cs="arial"/>
          <w:i/>
          <w:color w:val="000000"/>
          <w:sz w:val="20"/>
          <w:lang w:val="en-US" w:eastAsia="en-US" w:bidi="ar-SA"/>
        </w:rPr>
        <w:t>Watson v. Insurance Corporation of British Columbia</w:t>
      </w:r>
      <w:r>
        <w:rPr>
          <w:rFonts w:ascii="arial" w:eastAsia="arial" w:hAnsi="arial" w:cs="arial"/>
          <w:color w:val="000000"/>
          <w:sz w:val="20"/>
          <w:lang w:val="en-US" w:eastAsia="en-US" w:bidi="ar-SA"/>
        </w:rPr>
        <w:t xml:space="preserve">, </w:t>
      </w:r>
      <w:hyperlink r:id="rId43" w:history="1">
        <w:r>
          <w:rPr>
            <w:rFonts w:ascii="arial" w:eastAsia="arial" w:hAnsi="arial" w:cs="arial"/>
            <w:i/>
            <w:color w:val="0077CC"/>
            <w:sz w:val="20"/>
            <w:u w:val="single"/>
            <w:shd w:val="clear" w:color="auto" w:fill="FFFFFF"/>
            <w:lang w:val="en-US" w:eastAsia="en-US" w:bidi="ar-SA"/>
          </w:rPr>
          <w:t>2004 BCSC 1695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Watson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Cannon v. ICBC,</w:t>
      </w:r>
      <w:r>
        <w:rPr>
          <w:rFonts w:ascii="arial" w:eastAsia="arial" w:hAnsi="arial" w:cs="arial"/>
          <w:color w:val="000000"/>
          <w:sz w:val="20"/>
          <w:lang w:val="en-US" w:eastAsia="en-US" w:bidi="ar-SA"/>
        </w:rPr>
        <w:t xml:space="preserve"> </w:t>
      </w:r>
      <w:hyperlink r:id="rId44" w:history="1">
        <w:r>
          <w:rPr>
            <w:rFonts w:ascii="arial" w:eastAsia="arial" w:hAnsi="arial" w:cs="arial"/>
            <w:i/>
            <w:color w:val="0077CC"/>
            <w:sz w:val="20"/>
            <w:u w:val="single"/>
            <w:shd w:val="clear" w:color="auto" w:fill="FFFFFF"/>
            <w:lang w:val="en-US" w:eastAsia="en-US" w:bidi="ar-SA"/>
          </w:rPr>
          <w:t>2005 BCSC 602</w:t>
        </w:r>
      </w:hyperlink>
      <w:r>
        <w:rPr>
          <w:rFonts w:ascii="arial" w:eastAsia="arial" w:hAnsi="arial" w:cs="arial"/>
          <w:color w:val="000000"/>
          <w:sz w:val="20"/>
          <w:lang w:val="en-US" w:eastAsia="en-US" w:bidi="ar-SA"/>
        </w:rPr>
        <w: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simply notifying the police of the accident may not be sufficient to satisfy the requirements of s. 24(5): </w:t>
      </w:r>
      <w:r>
        <w:rPr>
          <w:rFonts w:ascii="arial" w:eastAsia="arial" w:hAnsi="arial" w:cs="arial"/>
          <w:i/>
          <w:color w:val="000000"/>
          <w:sz w:val="20"/>
          <w:lang w:val="en-US" w:eastAsia="en-US" w:bidi="ar-SA"/>
        </w:rPr>
        <w:t>Tessier</w:t>
      </w:r>
      <w:r>
        <w:rPr>
          <w:rFonts w:ascii="arial" w:eastAsia="arial" w:hAnsi="arial" w:cs="arial"/>
          <w:color w:val="000000"/>
          <w:sz w:val="20"/>
          <w:lang w:val="en-US" w:eastAsia="en-US" w:bidi="ar-SA"/>
        </w:rPr>
        <w:t xml:space="preserve"> at para. 17; </w:t>
      </w:r>
      <w:r>
        <w:rPr>
          <w:rFonts w:ascii="arial" w:eastAsia="arial" w:hAnsi="arial" w:cs="arial"/>
          <w:i/>
          <w:color w:val="000000"/>
          <w:sz w:val="20"/>
          <w:lang w:val="en-US" w:eastAsia="en-US" w:bidi="ar-SA"/>
        </w:rPr>
        <w:t>Becker</w:t>
      </w:r>
      <w:r>
        <w:rPr>
          <w:rFonts w:ascii="arial" w:eastAsia="arial" w:hAnsi="arial" w:cs="arial"/>
          <w:color w:val="000000"/>
          <w:sz w:val="20"/>
          <w:lang w:val="en-US" w:eastAsia="en-US" w:bidi="ar-SA"/>
        </w:rPr>
        <w:t xml:space="preserve"> at para. 18;</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does not put the responsibility to find the unidentified driver on the police; rather the responsibility lies with the plaintiff: </w:t>
      </w:r>
      <w:r>
        <w:rPr>
          <w:rFonts w:ascii="arial" w:eastAsia="arial" w:hAnsi="arial" w:cs="arial"/>
          <w:i/>
          <w:color w:val="000000"/>
          <w:sz w:val="20"/>
          <w:lang w:val="en-US" w:eastAsia="en-US" w:bidi="ar-SA"/>
        </w:rPr>
        <w:t>Becker</w:t>
      </w:r>
      <w:r>
        <w:rPr>
          <w:rFonts w:ascii="arial" w:eastAsia="arial" w:hAnsi="arial" w:cs="arial"/>
          <w:color w:val="000000"/>
          <w:sz w:val="20"/>
          <w:lang w:val="en-US" w:eastAsia="en-US" w:bidi="ar-SA"/>
        </w:rPr>
        <w:t xml:space="preserve"> at para. 17;</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a plaintiff does notify the police of the accident, it is not reasonable for them to simply assume the police will make the necessary inquiries without following up with the police and checking to see if there was an investigation and if so what progress was being made in it: </w:t>
      </w:r>
      <w:r>
        <w:rPr>
          <w:rFonts w:ascii="arial" w:eastAsia="arial" w:hAnsi="arial" w:cs="arial"/>
          <w:i/>
          <w:color w:val="000000"/>
          <w:sz w:val="20"/>
          <w:lang w:val="en-US" w:eastAsia="en-US" w:bidi="ar-SA"/>
        </w:rPr>
        <w:t>Becker</w:t>
      </w:r>
      <w:r>
        <w:rPr>
          <w:rFonts w:ascii="arial" w:eastAsia="arial" w:hAnsi="arial" w:cs="arial"/>
          <w:color w:val="000000"/>
          <w:sz w:val="20"/>
          <w:lang w:val="en-US" w:eastAsia="en-US" w:bidi="ar-SA"/>
        </w:rPr>
        <w:t xml:space="preserve"> at paras. 17-18; </w:t>
      </w:r>
      <w:r>
        <w:rPr>
          <w:rFonts w:ascii="arial" w:eastAsia="arial" w:hAnsi="arial" w:cs="arial"/>
          <w:i/>
          <w:color w:val="000000"/>
          <w:sz w:val="20"/>
          <w:lang w:val="en-US" w:eastAsia="en-US" w:bidi="ar-SA"/>
        </w:rPr>
        <w:t>Tessier</w:t>
      </w:r>
      <w:r>
        <w:rPr>
          <w:rFonts w:ascii="arial" w:eastAsia="arial" w:hAnsi="arial" w:cs="arial"/>
          <w:color w:val="000000"/>
          <w:sz w:val="20"/>
          <w:lang w:val="en-US" w:eastAsia="en-US" w:bidi="ar-SA"/>
        </w:rPr>
        <w:t xml:space="preserve"> at para. 17; </w:t>
      </w:r>
      <w:r>
        <w:rPr>
          <w:rFonts w:ascii="arial" w:eastAsia="arial" w:hAnsi="arial" w:cs="arial"/>
          <w:i/>
          <w:color w:val="000000"/>
          <w:sz w:val="20"/>
          <w:lang w:val="en-US" w:eastAsia="en-US" w:bidi="ar-SA"/>
        </w:rPr>
        <w:t>Goncalves</w:t>
      </w:r>
      <w:r>
        <w:rPr>
          <w:rFonts w:ascii="arial" w:eastAsia="arial" w:hAnsi="arial" w:cs="arial"/>
          <w:color w:val="000000"/>
          <w:sz w:val="20"/>
          <w:lang w:val="en-US" w:eastAsia="en-US" w:bidi="ar-SA"/>
        </w:rPr>
        <w:t xml:space="preserve"> at para 23;</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simply reporting the matter to the police and ICBC, without more, has led to the dismissal of a plaintiff's action for failure to comply with the requirement of taking all reasonable steps to ascertain the identity of the driver: </w:t>
      </w:r>
      <w:r>
        <w:rPr>
          <w:rFonts w:ascii="arial" w:eastAsia="arial" w:hAnsi="arial" w:cs="arial"/>
          <w:i/>
          <w:color w:val="000000"/>
          <w:sz w:val="20"/>
          <w:lang w:val="en-US" w:eastAsia="en-US" w:bidi="ar-SA"/>
        </w:rPr>
        <w:t>Meghji v. ICBC,</w:t>
      </w:r>
      <w:r>
        <w:rPr>
          <w:rFonts w:ascii="arial" w:eastAsia="arial" w:hAnsi="arial" w:cs="arial"/>
          <w:color w:val="000000"/>
          <w:sz w:val="20"/>
          <w:lang w:val="en-US" w:eastAsia="en-US" w:bidi="ar-SA"/>
        </w:rPr>
        <w:t xml:space="preserve"> </w:t>
      </w:r>
      <w:hyperlink r:id="rId45" w:history="1">
        <w:r>
          <w:rPr>
            <w:rFonts w:ascii="arial" w:eastAsia="arial" w:hAnsi="arial" w:cs="arial"/>
            <w:i/>
            <w:color w:val="0077CC"/>
            <w:sz w:val="20"/>
            <w:u w:val="single"/>
            <w:shd w:val="clear" w:color="auto" w:fill="FFFFFF"/>
            <w:lang w:val="en-US" w:eastAsia="en-US" w:bidi="ar-SA"/>
          </w:rPr>
          <w:t>[1998] B.C.J. No. 3107</w:t>
        </w:r>
      </w:hyperlink>
      <w:r>
        <w:rPr>
          <w:rFonts w:ascii="arial" w:eastAsia="arial" w:hAnsi="arial" w:cs="arial"/>
          <w:color w:val="000000"/>
          <w:sz w:val="20"/>
          <w:lang w:val="en-US" w:eastAsia="en-US" w:bidi="ar-SA"/>
        </w:rPr>
        <w:t xml:space="preserve"> (P.C.);</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the police attend the scene of the accident and take witness statements and indicate they are investigating the hit and run accident, it may not be necessary for the plaintiff to take any additional steps, depending on the circumstances: </w:t>
      </w:r>
      <w:r>
        <w:rPr>
          <w:rFonts w:ascii="arial" w:eastAsia="arial" w:hAnsi="arial" w:cs="arial"/>
          <w:i/>
          <w:color w:val="000000"/>
          <w:sz w:val="20"/>
          <w:lang w:val="en-US" w:eastAsia="en-US" w:bidi="ar-SA"/>
        </w:rPr>
        <w:t>Hough v. Doe</w:t>
      </w:r>
      <w:r>
        <w:rPr>
          <w:rFonts w:ascii="arial" w:eastAsia="arial" w:hAnsi="arial" w:cs="arial"/>
          <w:color w:val="000000"/>
          <w:sz w:val="20"/>
          <w:lang w:val="en-US" w:eastAsia="en-US" w:bidi="ar-SA"/>
        </w:rPr>
        <w:t xml:space="preserve">, </w:t>
      </w:r>
      <w:hyperlink r:id="rId46" w:history="1">
        <w:r>
          <w:rPr>
            <w:rFonts w:ascii="arial" w:eastAsia="arial" w:hAnsi="arial" w:cs="arial"/>
            <w:i/>
            <w:color w:val="0077CC"/>
            <w:sz w:val="20"/>
            <w:u w:val="single"/>
            <w:shd w:val="clear" w:color="auto" w:fill="FFFFFF"/>
            <w:lang w:val="en-US" w:eastAsia="en-US" w:bidi="ar-SA"/>
          </w:rPr>
          <w:t>2006 BCSC 1450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Hough</w:t>
      </w:r>
      <w:r>
        <w:rPr>
          <w:rFonts w:ascii="arial" w:eastAsia="arial" w:hAnsi="arial" w:cs="arial"/>
          <w:color w:val="000000"/>
          <w:sz w:val="20"/>
          <w:lang w:val="en-US" w:eastAsia="en-US" w:bidi="ar-SA"/>
        </w:rPr>
        <w:t xml:space="preserve">], at paras. 16-17 &amp; 21; </w:t>
      </w:r>
      <w:r>
        <w:rPr>
          <w:rFonts w:ascii="arial" w:eastAsia="arial" w:hAnsi="arial" w:cs="arial"/>
          <w:i/>
          <w:color w:val="000000"/>
          <w:sz w:val="20"/>
          <w:lang w:val="en-US" w:eastAsia="en-US" w:bidi="ar-SA"/>
        </w:rPr>
        <w:t>Ingram</w:t>
      </w:r>
      <w:r>
        <w:rPr>
          <w:rFonts w:ascii="arial" w:eastAsia="arial" w:hAnsi="arial" w:cs="arial"/>
          <w:color w:val="000000"/>
          <w:sz w:val="20"/>
          <w:lang w:val="en-US" w:eastAsia="en-US" w:bidi="ar-SA"/>
        </w:rPr>
        <w:t xml:space="preserve"> at para. 13;</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plaintiff placed in a position of danger at the time of the accident cannot be expected to remain in that position to obtain details of a licence plate and movement to a position of safety before trying to obtain any licence information does not constitute a failure to take reasonable steps at the scene of the accident: </w:t>
      </w:r>
      <w:r>
        <w:rPr>
          <w:rFonts w:ascii="arial" w:eastAsia="arial" w:hAnsi="arial" w:cs="arial"/>
          <w:i/>
          <w:color w:val="000000"/>
          <w:sz w:val="20"/>
          <w:lang w:val="en-US" w:eastAsia="en-US" w:bidi="ar-SA"/>
        </w:rPr>
        <w:t>Nelson</w:t>
      </w:r>
      <w:r>
        <w:rPr>
          <w:rFonts w:ascii="arial" w:eastAsia="arial" w:hAnsi="arial" w:cs="arial"/>
          <w:color w:val="000000"/>
          <w:sz w:val="20"/>
          <w:lang w:val="en-US" w:eastAsia="en-US" w:bidi="ar-SA"/>
        </w:rPr>
        <w:t xml:space="preserve"> at paras. 19-20;</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posting signs in the area of the accident and/or advertising in local newspapers in an effort to find witnesses within a reasonable time after the accident where the accident occurs at a busy intersection is a reasonable and expected step as it is possible that someone present at the time of the accident could be of assistance in ascertaining the identity of the driver of the vehicle that left the scene: </w:t>
      </w:r>
      <w:r>
        <w:rPr>
          <w:rFonts w:ascii="arial" w:eastAsia="arial" w:hAnsi="arial" w:cs="arial"/>
          <w:i/>
          <w:color w:val="000000"/>
          <w:sz w:val="20"/>
          <w:lang w:val="en-US" w:eastAsia="en-US" w:bidi="ar-SA"/>
        </w:rPr>
        <w:t>Johal v. ICBC</w:t>
      </w:r>
      <w:r>
        <w:rPr>
          <w:rFonts w:ascii="arial" w:eastAsia="arial" w:hAnsi="arial" w:cs="arial"/>
          <w:color w:val="000000"/>
          <w:sz w:val="20"/>
          <w:lang w:val="en-US" w:eastAsia="en-US" w:bidi="ar-SA"/>
        </w:rPr>
        <w:t xml:space="preserve"> </w:t>
      </w:r>
      <w:hyperlink r:id="rId47" w:history="1">
        <w:r>
          <w:rPr>
            <w:rFonts w:ascii="arial" w:eastAsia="arial" w:hAnsi="arial" w:cs="arial"/>
            <w:i/>
            <w:color w:val="0077CC"/>
            <w:sz w:val="20"/>
            <w:u w:val="single"/>
            <w:shd w:val="clear" w:color="auto" w:fill="FFFFFF"/>
            <w:lang w:val="en-US" w:eastAsia="en-US" w:bidi="ar-SA"/>
          </w:rPr>
          <w:t>(1992), 9 C.C.L.I. (2d) 172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Johal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Fan v. Doe,</w:t>
      </w:r>
      <w:r>
        <w:rPr>
          <w:rFonts w:ascii="arial" w:eastAsia="arial" w:hAnsi="arial" w:cs="arial"/>
          <w:color w:val="000000"/>
          <w:sz w:val="20"/>
          <w:lang w:val="en-US" w:eastAsia="en-US" w:bidi="ar-SA"/>
        </w:rPr>
        <w:t xml:space="preserve"> </w:t>
      </w:r>
      <w:hyperlink r:id="rId48" w:history="1">
        <w:r>
          <w:rPr>
            <w:rFonts w:ascii="arial" w:eastAsia="arial" w:hAnsi="arial" w:cs="arial"/>
            <w:i/>
            <w:color w:val="0077CC"/>
            <w:sz w:val="20"/>
            <w:u w:val="single"/>
            <w:shd w:val="clear" w:color="auto" w:fill="FFFFFF"/>
            <w:lang w:val="en-US" w:eastAsia="en-US" w:bidi="ar-SA"/>
          </w:rPr>
          <w:t>2009 BCSC 568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Fan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Nelson</w:t>
      </w:r>
      <w:r>
        <w:rPr>
          <w:rFonts w:ascii="arial" w:eastAsia="arial" w:hAnsi="arial" w:cs="arial"/>
          <w:color w:val="000000"/>
          <w:sz w:val="20"/>
          <w:lang w:val="en-US" w:eastAsia="en-US" w:bidi="ar-SA"/>
        </w:rPr>
        <w:t xml:space="preserve"> at paras. 21-22; </w:t>
      </w:r>
      <w:r>
        <w:rPr>
          <w:rFonts w:ascii="arial" w:eastAsia="arial" w:hAnsi="arial" w:cs="arial"/>
          <w:i/>
          <w:color w:val="000000"/>
          <w:sz w:val="20"/>
          <w:lang w:val="en-US" w:eastAsia="en-US" w:bidi="ar-SA"/>
        </w:rPr>
        <w:t>Godara</w:t>
      </w:r>
      <w:r>
        <w:rPr>
          <w:rFonts w:ascii="arial" w:eastAsia="arial" w:hAnsi="arial" w:cs="arial"/>
          <w:color w:val="000000"/>
          <w:sz w:val="20"/>
          <w:lang w:val="en-US" w:eastAsia="en-US" w:bidi="ar-SA"/>
        </w:rPr>
        <w:t xml:space="preserve"> at paras. 51-54; </w:t>
      </w:r>
      <w:r>
        <w:rPr>
          <w:rFonts w:ascii="arial" w:eastAsia="arial" w:hAnsi="arial" w:cs="arial"/>
          <w:i/>
          <w:color w:val="000000"/>
          <w:sz w:val="20"/>
          <w:lang w:val="en-US" w:eastAsia="en-US" w:bidi="ar-SA"/>
        </w:rPr>
        <w:t>Tessier</w:t>
      </w:r>
      <w:r>
        <w:rPr>
          <w:rFonts w:ascii="arial" w:eastAsia="arial" w:hAnsi="arial" w:cs="arial"/>
          <w:color w:val="000000"/>
          <w:sz w:val="20"/>
          <w:lang w:val="en-US" w:eastAsia="en-US" w:bidi="ar-SA"/>
        </w:rPr>
        <w:t xml:space="preserve"> at para. 17; </w:t>
      </w:r>
      <w:r>
        <w:rPr>
          <w:rFonts w:ascii="arial" w:eastAsia="arial" w:hAnsi="arial" w:cs="arial"/>
          <w:i/>
          <w:color w:val="000000"/>
          <w:sz w:val="20"/>
          <w:lang w:val="en-US" w:eastAsia="en-US" w:bidi="ar-SA"/>
        </w:rPr>
        <w:t>Halfyard v. ICBC</w:t>
      </w:r>
      <w:r>
        <w:rPr>
          <w:rFonts w:ascii="arial" w:eastAsia="arial" w:hAnsi="arial" w:cs="arial"/>
          <w:color w:val="000000"/>
          <w:sz w:val="20"/>
          <w:lang w:val="en-US" w:eastAsia="en-US" w:bidi="ar-SA"/>
        </w:rPr>
        <w:t xml:space="preserve"> </w:t>
      </w:r>
      <w:hyperlink r:id="rId49" w:history="1">
        <w:r>
          <w:rPr>
            <w:rFonts w:ascii="arial" w:eastAsia="arial" w:hAnsi="arial" w:cs="arial"/>
            <w:i/>
            <w:color w:val="0077CC"/>
            <w:sz w:val="20"/>
            <w:u w:val="single"/>
            <w:shd w:val="clear" w:color="auto" w:fill="FFFFFF"/>
            <w:lang w:val="en-US" w:eastAsia="en-US" w:bidi="ar-SA"/>
          </w:rPr>
          <w:t>(1993), 26 C.C.L.I. (2d) 320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Halfyard</w:t>
      </w:r>
      <w:r>
        <w:rPr>
          <w:rFonts w:ascii="arial" w:eastAsia="arial" w:hAnsi="arial" w:cs="arial"/>
          <w:color w:val="000000"/>
          <w:sz w:val="20"/>
          <w:lang w:val="en-US" w:eastAsia="en-US" w:bidi="ar-SA"/>
        </w:rPr>
        <w: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failing to post signs at the scene of the accident or place advertisements in the newspaper in a timely manner or in a manner that provides insufficient detail where it is possible that there were potential witnesses who may have information about the accident will result in a denial of coverage under s. 24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Johal; Fan; Burley; Becker; Nelson</w:t>
      </w:r>
      <w:r>
        <w:rPr>
          <w:rFonts w:ascii="arial" w:eastAsia="arial" w:hAnsi="arial" w:cs="arial"/>
          <w:color w:val="000000"/>
          <w:sz w:val="20"/>
          <w:lang w:val="en-US" w:eastAsia="en-US" w:bidi="ar-SA"/>
        </w:rPr>
        <w:t xml:space="preserve"> at paras. 21-22; </w:t>
      </w:r>
      <w:r>
        <w:rPr>
          <w:rFonts w:ascii="arial" w:eastAsia="arial" w:hAnsi="arial" w:cs="arial"/>
          <w:i/>
          <w:color w:val="000000"/>
          <w:sz w:val="20"/>
          <w:lang w:val="en-US" w:eastAsia="en-US" w:bidi="ar-SA"/>
        </w:rPr>
        <w:t>Jennings v. ICBC</w:t>
      </w:r>
      <w:r>
        <w:rPr>
          <w:rFonts w:ascii="arial" w:eastAsia="arial" w:hAnsi="arial" w:cs="arial"/>
          <w:color w:val="000000"/>
          <w:sz w:val="20"/>
          <w:lang w:val="en-US" w:eastAsia="en-US" w:bidi="ar-SA"/>
        </w:rPr>
        <w:t xml:space="preserve">, </w:t>
      </w:r>
      <w:hyperlink r:id="rId50" w:history="1">
        <w:r>
          <w:rPr>
            <w:rFonts w:ascii="arial" w:eastAsia="arial" w:hAnsi="arial" w:cs="arial"/>
            <w:i/>
            <w:color w:val="0077CC"/>
            <w:sz w:val="20"/>
            <w:u w:val="single"/>
            <w:shd w:val="clear" w:color="auto" w:fill="FFFFFF"/>
            <w:lang w:val="en-US" w:eastAsia="en-US" w:bidi="ar-SA"/>
          </w:rPr>
          <w:t>2002 BCSC 341</w:t>
        </w:r>
      </w:hyperlink>
      <w:r>
        <w:rPr>
          <w:rFonts w:ascii="arial" w:eastAsia="arial" w:hAnsi="arial" w:cs="arial"/>
          <w:color w:val="000000"/>
          <w:sz w:val="20"/>
          <w:lang w:val="en-US" w:eastAsia="en-US" w:bidi="ar-SA"/>
        </w:rPr>
        <w: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repeatedly canvassing regular patrons of the business where the plaintiff's vehicle was damaged in the parking lot of the business may constitute reasonable steps to ascertain the identity of the driver: </w:t>
      </w:r>
      <w:r>
        <w:rPr>
          <w:rFonts w:ascii="arial" w:eastAsia="arial" w:hAnsi="arial" w:cs="arial"/>
          <w:i/>
          <w:color w:val="000000"/>
          <w:sz w:val="20"/>
          <w:lang w:val="en-US" w:eastAsia="en-US" w:bidi="ar-SA"/>
        </w:rPr>
        <w:t>Janzen v. Insurance Corporation of British Columbia</w:t>
      </w:r>
      <w:r>
        <w:rPr>
          <w:rFonts w:ascii="arial" w:eastAsia="arial" w:hAnsi="arial" w:cs="arial"/>
          <w:color w:val="000000"/>
          <w:sz w:val="20"/>
          <w:lang w:val="en-US" w:eastAsia="en-US" w:bidi="ar-SA"/>
        </w:rPr>
        <w:t xml:space="preserve">, </w:t>
      </w:r>
      <w:hyperlink r:id="rId51" w:history="1">
        <w:r>
          <w:rPr>
            <w:rFonts w:ascii="arial" w:eastAsia="arial" w:hAnsi="arial" w:cs="arial"/>
            <w:i/>
            <w:color w:val="0077CC"/>
            <w:sz w:val="20"/>
            <w:u w:val="single"/>
            <w:shd w:val="clear" w:color="auto" w:fill="FFFFFF"/>
            <w:lang w:val="en-US" w:eastAsia="en-US" w:bidi="ar-SA"/>
          </w:rPr>
          <w:t>2004 BCPC 437</w:t>
        </w:r>
      </w:hyperlink>
      <w:r>
        <w:rPr>
          <w:rFonts w:ascii="arial" w:eastAsia="arial" w:hAnsi="arial" w:cs="arial"/>
          <w:color w:val="000000"/>
          <w:sz w:val="20"/>
          <w:lang w:val="en-US" w:eastAsia="en-US" w:bidi="ar-SA"/>
        </w:rPr>
        <w: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posting signs and advertising in local newspapers may not be a reasonable step where the accident occurs on a high speed area of highway or a on highway in an area that is undeveloped and sparsely populated: </w:t>
      </w:r>
      <w:r>
        <w:rPr>
          <w:rFonts w:ascii="arial" w:eastAsia="arial" w:hAnsi="arial" w:cs="arial"/>
          <w:i/>
          <w:color w:val="000000"/>
          <w:sz w:val="20"/>
          <w:lang w:val="en-US" w:eastAsia="en-US" w:bidi="ar-SA"/>
        </w:rPr>
        <w:t>Hough</w:t>
      </w:r>
      <w:r>
        <w:rPr>
          <w:rFonts w:ascii="arial" w:eastAsia="arial" w:hAnsi="arial" w:cs="arial"/>
          <w:color w:val="000000"/>
          <w:sz w:val="20"/>
          <w:lang w:val="en-US" w:eastAsia="en-US" w:bidi="ar-SA"/>
        </w:rPr>
        <w:t xml:space="preserve"> at para. 24; </w:t>
      </w:r>
      <w:r>
        <w:rPr>
          <w:rFonts w:ascii="arial" w:eastAsia="arial" w:hAnsi="arial" w:cs="arial"/>
          <w:i/>
          <w:color w:val="000000"/>
          <w:sz w:val="20"/>
          <w:lang w:val="en-US" w:eastAsia="en-US" w:bidi="ar-SA"/>
        </w:rPr>
        <w:t>Goncalves</w:t>
      </w:r>
      <w:r>
        <w:rPr>
          <w:rFonts w:ascii="arial" w:eastAsia="arial" w:hAnsi="arial" w:cs="arial"/>
          <w:color w:val="000000"/>
          <w:sz w:val="20"/>
          <w:lang w:val="en-US" w:eastAsia="en-US" w:bidi="ar-SA"/>
        </w:rPr>
        <w:t xml:space="preserve"> at para. 16-21;</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once it is found that a plaintiff acted reasonably in believing they had the information that would be required, such as a licence plate number, there is no onus cast upon them to undertake a highly speculative further investigation upon being advised they have the wrong license plate number: </w:t>
      </w:r>
      <w:r>
        <w:rPr>
          <w:rFonts w:ascii="arial" w:eastAsia="arial" w:hAnsi="arial" w:cs="arial"/>
          <w:i/>
          <w:color w:val="000000"/>
          <w:sz w:val="20"/>
          <w:lang w:val="en-US" w:eastAsia="en-US" w:bidi="ar-SA"/>
        </w:rPr>
        <w:t>Smoluk v. ICBC</w:t>
      </w:r>
      <w:r>
        <w:rPr>
          <w:rFonts w:ascii="arial" w:eastAsia="arial" w:hAnsi="arial" w:cs="arial"/>
          <w:color w:val="000000"/>
          <w:sz w:val="20"/>
          <w:lang w:val="en-US" w:eastAsia="en-US" w:bidi="ar-SA"/>
        </w:rPr>
        <w:t xml:space="preserve"> </w:t>
      </w:r>
      <w:hyperlink r:id="rId52" w:history="1">
        <w:r>
          <w:rPr>
            <w:rFonts w:ascii="arial" w:eastAsia="arial" w:hAnsi="arial" w:cs="arial"/>
            <w:i/>
            <w:color w:val="0077CC"/>
            <w:sz w:val="20"/>
            <w:u w:val="single"/>
            <w:shd w:val="clear" w:color="auto" w:fill="FFFFFF"/>
            <w:lang w:val="en-US" w:eastAsia="en-US" w:bidi="ar-SA"/>
          </w:rPr>
          <w:t>(1993), 26 B.C.A.C. 23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[Smoluk</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Walker v. Farnel</w:t>
      </w:r>
      <w:r>
        <w:rPr>
          <w:rFonts w:ascii="arial" w:eastAsia="arial" w:hAnsi="arial" w:cs="arial"/>
          <w:color w:val="000000"/>
          <w:sz w:val="20"/>
          <w:lang w:val="en-US" w:eastAsia="en-US" w:bidi="ar-SA"/>
        </w:rPr>
        <w:t xml:space="preserve"> </w:t>
      </w:r>
      <w:hyperlink r:id="rId53" w:history="1">
        <w:r>
          <w:rPr>
            <w:rFonts w:ascii="arial" w:eastAsia="arial" w:hAnsi="arial" w:cs="arial"/>
            <w:i/>
            <w:color w:val="0077CC"/>
            <w:sz w:val="20"/>
            <w:u w:val="single"/>
            <w:shd w:val="clear" w:color="auto" w:fill="FFFFFF"/>
            <w:lang w:val="en-US" w:eastAsia="en-US" w:bidi="ar-SA"/>
          </w:rPr>
          <w:t>(1995), 36 C.C.L.I. (2d) 312</w:t>
        </w:r>
      </w:hyperlink>
      <w:r>
        <w:rPr>
          <w:rFonts w:ascii="arial" w:eastAsia="arial" w:hAnsi="arial" w:cs="arial"/>
          <w:color w:val="000000"/>
          <w:sz w:val="20"/>
          <w:lang w:val="en-US" w:eastAsia="en-US" w:bidi="ar-SA"/>
        </w:rPr>
        <w:t>, at para. 24;</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plaintiff will not be foreclosed from pursuing ICBC as the nominal defendant in a hit and run case where they rely upon information provided by the offending driver that subsequently turns out to be untruthful: </w:t>
      </w:r>
      <w:r>
        <w:rPr>
          <w:rFonts w:ascii="arial" w:eastAsia="arial" w:hAnsi="arial" w:cs="arial"/>
          <w:i/>
          <w:color w:val="000000"/>
          <w:sz w:val="20"/>
          <w:lang w:val="en-US" w:eastAsia="en-US" w:bidi="ar-SA"/>
        </w:rPr>
        <w:t>Mudrie v. Grove</w:t>
      </w:r>
      <w:r>
        <w:rPr>
          <w:rFonts w:ascii="arial" w:eastAsia="arial" w:hAnsi="arial" w:cs="arial"/>
          <w:color w:val="000000"/>
          <w:sz w:val="20"/>
          <w:lang w:val="en-US" w:eastAsia="en-US" w:bidi="ar-SA"/>
        </w:rPr>
        <w:t xml:space="preserve">, </w:t>
      </w:r>
      <w:hyperlink r:id="rId54" w:history="1">
        <w:r>
          <w:rPr>
            <w:rFonts w:ascii="arial" w:eastAsia="arial" w:hAnsi="arial" w:cs="arial"/>
            <w:i/>
            <w:color w:val="0077CC"/>
            <w:sz w:val="20"/>
            <w:u w:val="single"/>
            <w:shd w:val="clear" w:color="auto" w:fill="FFFFFF"/>
            <w:lang w:val="en-US" w:eastAsia="en-US" w:bidi="ar-SA"/>
          </w:rPr>
          <w:t>2010 BCSC 1113</w:t>
        </w:r>
      </w:hyperlink>
      <w:r>
        <w:rPr>
          <w:rFonts w:ascii="arial" w:eastAsia="arial" w:hAnsi="arial" w:cs="arial"/>
          <w:color w:val="000000"/>
          <w:sz w:val="20"/>
          <w:lang w:val="en-US" w:eastAsia="en-US" w:bidi="ar-SA"/>
        </w:rPr>
        <w:t>, at paras. 33-36;</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failure to follow up on directions to take additional steps such as posting signs for witnesses or advertising, once advised the recorded licence plate number is incorrect will result in a denial of coverage under s. 24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Watson</w:t>
      </w:r>
      <w:r>
        <w:rPr>
          <w:rFonts w:ascii="arial" w:eastAsia="arial" w:hAnsi="arial" w:cs="arial"/>
          <w:color w:val="000000"/>
          <w:sz w:val="20"/>
          <w:lang w:val="en-US" w:eastAsia="en-US" w:bidi="ar-SA"/>
        </w:rPr>
        <w: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failing to make a timely report to the police and failing to follow up on available information from the scene of the accident such as information in the possession of ambulance personnel who attended the scene will result in a denial of coverage under s. 24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Johal;</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failure of ICBC adjusters to advise the plaintiff that other steps to try and ascertain the identity of the driver should be undertaken does not relieve a plaintiff of the obligation to take all reasonable steps to ascertain the unknown driver's identity: </w:t>
      </w:r>
      <w:r>
        <w:rPr>
          <w:rFonts w:ascii="arial" w:eastAsia="arial" w:hAnsi="arial" w:cs="arial"/>
          <w:i/>
          <w:color w:val="000000"/>
          <w:sz w:val="20"/>
          <w:lang w:val="en-US" w:eastAsia="en-US" w:bidi="ar-SA"/>
        </w:rPr>
        <w:t>Tessier</w:t>
      </w:r>
      <w:r>
        <w:rPr>
          <w:rFonts w:ascii="arial" w:eastAsia="arial" w:hAnsi="arial" w:cs="arial"/>
          <w:color w:val="000000"/>
          <w:sz w:val="20"/>
          <w:lang w:val="en-US" w:eastAsia="en-US" w:bidi="ar-SA"/>
        </w:rPr>
        <w:t xml:space="preserve"> at para.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As the jurisprudence demonstrates, what constitutes reasonable steps varies with the circumstances of each case. However, where it was not reasonable to obtain information that would assist in ascertaining the identity of the driver at the time of the accident, taking no steps at the second stage in the days or weeks after the accident, cannot amount to discharging the clear onus placed upon a plaintiff to take reasonable steps to ascertain the identity of the unknown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VI.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Turning to the circumstances of this case, I am satisfied that this is not a case in which there is a risk of fraud. When the risk of fraud is not present, it may well be the approach to "all reasonable efforts" is somewhat relaxed. As noted by Chief Justice Esson (as he then was) in </w:t>
      </w:r>
      <w:r>
        <w:rPr>
          <w:rFonts w:ascii="arial" w:eastAsia="arial" w:hAnsi="arial" w:cs="arial"/>
          <w:i/>
          <w:color w:val="000000"/>
          <w:sz w:val="20"/>
          <w:lang w:val="en-US" w:eastAsia="en-US" w:bidi="ar-SA"/>
        </w:rPr>
        <w:t>Johal</w:t>
      </w:r>
      <w:r>
        <w:rPr>
          <w:rFonts w:ascii="arial" w:eastAsia="arial" w:hAnsi="arial" w:cs="arial"/>
          <w:color w:val="000000"/>
          <w:sz w:val="20"/>
          <w:lang w:val="en-US" w:eastAsia="en-US" w:bidi="ar-SA"/>
        </w:rPr>
        <w:t xml:space="preserve">, when the risk of fraud is absent the test for all reasonable efforts "should not be made so exacting that it cannot be met:" see also </w:t>
      </w:r>
      <w:r>
        <w:rPr>
          <w:rFonts w:ascii="arial" w:eastAsia="arial" w:hAnsi="arial" w:cs="arial"/>
          <w:i/>
          <w:color w:val="000000"/>
          <w:sz w:val="20"/>
          <w:lang w:val="en-US" w:eastAsia="en-US" w:bidi="ar-SA"/>
        </w:rPr>
        <w:t>Tessier</w:t>
      </w:r>
      <w:r>
        <w:rPr>
          <w:rFonts w:ascii="arial" w:eastAsia="arial" w:hAnsi="arial" w:cs="arial"/>
          <w:color w:val="000000"/>
          <w:sz w:val="20"/>
          <w:lang w:val="en-US" w:eastAsia="en-US" w:bidi="ar-SA"/>
        </w:rPr>
        <w:t xml:space="preserve"> at para.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As noted above, there are two time frames to consider when assessing whether a plaintiff has discharged its onus of establishing that it made all reasonable efforts to ascertain the identity of the driver: the steps taken at the time of the accident and the steps taken in the days and weeks following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Steps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As noted by the Court of Appeal in </w:t>
      </w:r>
      <w:r>
        <w:rPr>
          <w:rFonts w:ascii="arial" w:eastAsia="arial" w:hAnsi="arial" w:cs="arial"/>
          <w:i/>
          <w:color w:val="000000"/>
          <w:sz w:val="20"/>
          <w:lang w:val="en-US" w:eastAsia="en-US" w:bidi="ar-SA"/>
        </w:rPr>
        <w:t>Leggett,</w:t>
      </w:r>
      <w:r>
        <w:rPr>
          <w:rFonts w:ascii="arial" w:eastAsia="arial" w:hAnsi="arial" w:cs="arial"/>
          <w:color w:val="000000"/>
          <w:sz w:val="20"/>
          <w:lang w:val="en-US" w:eastAsia="en-US" w:bidi="ar-SA"/>
        </w:rPr>
        <w:t xml:space="preserve"> the critical issue is whether Mrs. Morris "was in such a position and condition that it would be reasonable for [her] to discover and record the appropriate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In this case, I find that Mr. and Mrs. Morris were not in shock, confused or disoriented as a result of the accident. Mr. Morris certainly had the opportunity to obtain the licence plate of the vehicle that hit them when he stepped out of his vehicle to check for damage. The fact that he did not is not necessarily fatal at this first stage as it is reasonable to conclude Mr. Morris did not want to impede the flow of traffic in the intersection and was relying upon the driver's indication that he would pull over to exchange information for insurance purposes. Mr. Morris was entitled to rely on the fact that the unidentified driver would pull over, as he acknowledged, and honour his statutory obligation under s. 68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to remain at the scene accident and provide his particulars for insurance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By the time Mr. and Mrs. Morris discovered the offending driver was not stopping in the parking lot to provide particulars about identity and insurance, it was too late for anyone to obtain a licence plate number, the vehicle having left the area. The plaintiff and her husband were not then in a position to obtain the licence plate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Mrs. Morris had the presence of mind to contact the police by means of a 9-1-1 call as soon as they discovered the driver who had hit them had left the scene, and to that extent took a step in attempting to ascertain the identity of the driver. I find however, Mrs. Morris was unable to provide any sort of details as to what the car looked like or what direction it had left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What the Morrises failed to do at the scene of the accident was determine from "their witness" Mr. Gordon whether he was able to identify the driver of the other vehicle. Had they made such an inquiry they would have immediately learned he was unable to provide any details about the identity of the offending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They also failed to make any immediate inquiries in the area, particularly at the White Spot restaurant and its parking lot and drive-through area, as to whether anyone there had made any observations and could assist in ascertaining the identity of the offending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Although the plaintiff and her husband could have taken steps to canvas the surrounding area at the time of the incident for potential witnesses, I do not find it fatal in these circumstances that they did not do so. They likely were flustered by the fact they had been in an accident, and that the offending motorist had departed from the scene without providing particulars for insurance purposes, despite his physical acknowledgement to Mr. Morris that he would turn off into the adjacent parking lot to exchange information out of the flow of traffic. Although Mr. Morris had a reasonable opportunity to record the licence plate of the vehicle that hit his pick-up truck while they were still at the accident scene, his failure to obtain such does not necessarily foreclose the plaintiff's action. In the circumstances, Mr. Morris acted reasonably at the time of the accident in not writing down the licence plate, electing to wait until both vehicles had moved out of the intersection and into the parking lot to exchange information. In this respect, the plaintiff and her husband were entitled to operate on the assumption that the driver would abide by his statutory obligation to remain at the scene of the accident and provide identifying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the circumstances, the plaintiff and her husband acted reasonably at the time of the accident but could not obtain the required information because the driver had fled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However, the requirement to make all reasonable efforts is not limited to the immediate aftermath of the accident. To satisfy the test in s. 24(5), the plaintiff must not only have made all reasonable efforts at the scene of the accident, but must also have made all reasonable efforts to identify the other parties in the days and, possibly weeks, that followed the accident, if they did not or could not obtain the information at the time of the accident: </w:t>
      </w:r>
      <w:r>
        <w:rPr>
          <w:rFonts w:ascii="arial" w:eastAsia="arial" w:hAnsi="arial" w:cs="arial"/>
          <w:i/>
          <w:color w:val="000000"/>
          <w:sz w:val="20"/>
          <w:lang w:val="en-US" w:eastAsia="en-US" w:bidi="ar-SA"/>
        </w:rPr>
        <w:t>Slezack</w:t>
      </w:r>
      <w:r>
        <w:rPr>
          <w:rFonts w:ascii="arial" w:eastAsia="arial" w:hAnsi="arial" w:cs="arial"/>
          <w:color w:val="000000"/>
          <w:sz w:val="20"/>
          <w:lang w:val="en-US" w:eastAsia="en-US" w:bidi="ar-SA"/>
        </w:rPr>
        <w:t xml:space="preserve"> at para. 42; </w:t>
      </w:r>
      <w:r>
        <w:rPr>
          <w:rFonts w:ascii="arial" w:eastAsia="arial" w:hAnsi="arial" w:cs="arial"/>
          <w:i/>
          <w:color w:val="000000"/>
          <w:sz w:val="20"/>
          <w:lang w:val="en-US" w:eastAsia="en-US" w:bidi="ar-SA"/>
        </w:rPr>
        <w:t>Goncalves</w:t>
      </w:r>
      <w:r>
        <w:rPr>
          <w:rFonts w:ascii="arial" w:eastAsia="arial" w:hAnsi="arial" w:cs="arial"/>
          <w:color w:val="000000"/>
          <w:sz w:val="20"/>
          <w:lang w:val="en-US" w:eastAsia="en-US" w:bidi="ar-SA"/>
        </w:rPr>
        <w:t xml:space="preserve"> at para. 7; </w:t>
      </w:r>
      <w:r>
        <w:rPr>
          <w:rFonts w:ascii="arial" w:eastAsia="arial" w:hAnsi="arial" w:cs="arial"/>
          <w:i/>
          <w:color w:val="000000"/>
          <w:sz w:val="20"/>
          <w:lang w:val="en-US" w:eastAsia="en-US" w:bidi="ar-SA"/>
        </w:rPr>
        <w:t>Godara</w:t>
      </w:r>
      <w:r>
        <w:rPr>
          <w:rFonts w:ascii="arial" w:eastAsia="arial" w:hAnsi="arial" w:cs="arial"/>
          <w:color w:val="000000"/>
          <w:sz w:val="20"/>
          <w:lang w:val="en-US" w:eastAsia="en-US" w:bidi="ar-SA"/>
        </w:rPr>
        <w:t xml:space="preserve"> at para. 47.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The days and weeks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In assessing the reasonableness of a plaintiff's efforts to ascertain the identity of the negligent unidentified driver in the days and weeks following the accident, it is useful to repeat the test considered appropriate in determining whether all reasonable efforts have been made: did the plaintiff do all that she would have to identify the parties involved if she intended to pursue legal action against them, if ICBC was not potentially liable under s. 24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Leggett</w:t>
      </w:r>
      <w:r>
        <w:rPr>
          <w:rFonts w:ascii="arial" w:eastAsia="arial" w:hAnsi="arial" w:cs="arial"/>
          <w:color w:val="000000"/>
          <w:sz w:val="20"/>
          <w:lang w:val="en-US" w:eastAsia="en-US" w:bidi="ar-SA"/>
        </w:rPr>
        <w:t xml:space="preserve"> at para.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Morris reported the accident to ICBC the next day and within a few days of the accident, Mr. and Mrs. Morris attended an ICBC claims centre to have their vehicle inspected and provided statements to ICBC. They took no follow up steps with the police to determine if the police were investigating the matter they had reported right after the accident, although they relied on the police and ICBC to investigate and identify the driver that hit them. They did not return to the scene of the accident and post signs in the area seeking witnesses, including at the nearby White Spot; nor did they place any advertisements in the local newspaper seeking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Counsel for the plaintiff argues that the failure to post signs or advertisements is not fatal as in this case there were no such witnesses who reasonably existed who could have provided the information and no target audience who could contribute anything more than that offered by Mr. Gordon. This argument, however, is entirely speculative. While signage or advertising might possibly not have produced any further information, it is equally likely that such steps may well have elicited some helpful information. Mr. and Mrs. Morris and Mr. Gordon all acknowledged that there was traffic in the area at the time of the accident and so there was a potential source of witnesses. There is nothing to suggest that efforts to seek out witnesses around the time of the accident would have been fruitless. It is this failure to take the steps to try and obtain the information in the days and weeks after the accident that is fatal to the plaintiff's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Often, quickly reporting the matter to ICBC, filing a police report, combined with posting signs or a newspaper advertisement seeking witnesses in the days or weeks that follow, are sufficient steps to meet the onus placed on plaintiffs by s. 24(5)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Smoluk</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Slezak</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Becker</w:t>
      </w:r>
      <w:r>
        <w:rPr>
          <w:rFonts w:ascii="arial" w:eastAsia="arial" w:hAnsi="arial" w:cs="arial"/>
          <w:color w:val="000000"/>
          <w:sz w:val="20"/>
          <w:lang w:val="en-US" w:eastAsia="en-US" w:bidi="ar-SA"/>
        </w:rPr>
        <w:t xml:space="preserve"> at para. 16; </w:t>
      </w:r>
      <w:r>
        <w:rPr>
          <w:rFonts w:ascii="arial" w:eastAsia="arial" w:hAnsi="arial" w:cs="arial"/>
          <w:i/>
          <w:color w:val="000000"/>
          <w:sz w:val="20"/>
          <w:lang w:val="en-US" w:eastAsia="en-US" w:bidi="ar-SA"/>
        </w:rPr>
        <w:t>Halfyard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Larsen</w:t>
      </w:r>
      <w:r>
        <w:rPr>
          <w:rFonts w:ascii="arial" w:eastAsia="arial" w:hAnsi="arial" w:cs="arial"/>
          <w:color w:val="000000"/>
          <w:sz w:val="20"/>
          <w:lang w:val="en-US" w:eastAsia="en-US" w:bidi="ar-SA"/>
        </w:rPr>
        <w:t xml:space="preserve"> at para 30-39.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this case no other steps or investigation was conducted by Mrs. Morris or her husband to ascertain the identity of the owner or driver of the vehicle that rear-ended their truck apart from calling 9-1-1 at the time and reporting the matter to ICBC. While Mr. Morris's reliance upon the negligent driver's indication that he would pull over may well have been sufficient for reasonable steps at the scene in the circumstances, the failure to take any other steps than those of contacting the police and advising ICBC of the accident is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plaintiff's assumption that the police were investigating the matter is unreasonable in the absence of first ascertaining that the police in fact were investigating the matter. A call to 9-1-1 and obtaining a police file number does not amount to circumstances where one can simply assume the police are investigating the matter. In this case no police officers attended at the scene and the plaintiff was certainly never advised nor did she affirmatively ascertain that the police were in fact investigating the matter. This is not a case like the circumstances in </w:t>
      </w:r>
      <w:r>
        <w:rPr>
          <w:rFonts w:ascii="arial" w:eastAsia="arial" w:hAnsi="arial" w:cs="arial"/>
          <w:i/>
          <w:color w:val="000000"/>
          <w:sz w:val="20"/>
          <w:lang w:val="en-US" w:eastAsia="en-US" w:bidi="ar-SA"/>
        </w:rPr>
        <w:t>Hough</w:t>
      </w:r>
      <w:r>
        <w:rPr>
          <w:rFonts w:ascii="arial" w:eastAsia="arial" w:hAnsi="arial" w:cs="arial"/>
          <w:color w:val="000000"/>
          <w:sz w:val="20"/>
          <w:lang w:val="en-US" w:eastAsia="en-US" w:bidi="ar-SA"/>
        </w:rPr>
        <w:t xml:space="preserve"> where the police attended and advised the plaintiff they in fact were investigating the hit and run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accident in this case occurred at a relatively busy intersection in Abbotsford, B.C. There was some traffic in the area at the time in addition to Mr. Gordon, the evidence from all the witnesses establishes this fact. There was, therefore, a source of potential witnesses in the vicinity including possibly at the area of the White Spot restaurant. The plaintiff's assertion that it is unlikely that any witnesses would have come forth cannot be relied upon as a reason for not at least endeavouring to determine if any witnesses were available. The failure to take any steps to see if there were any witnesses who could assist cannot be turned into a shield to protect plaintiffs from their inaction by suggesting no such witnesses would have been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It cannot be said in these circumstances that at least making the effort to post signs and advertise in a local newspaper in an effort to seek out potential witnesses was "absurd, whimsical or unwarranted." On the contrary, such steps are entirely "logical, sensible and fair." Such steps are not onerous and could well have provided a source of potential witnesses. The suggestion that advertising or posting signs likely would not produce witnesses in these circumstance cannot be used as a justification for failing to do so. It is not reasonable to operate on the assumption that a contemporaneous advertisement or posting of signs at the intersection would not elicit some assistance in ascertaining the identity of the unknown driver: </w:t>
      </w:r>
      <w:r>
        <w:rPr>
          <w:rFonts w:ascii="arial" w:eastAsia="arial" w:hAnsi="arial" w:cs="arial"/>
          <w:i/>
          <w:color w:val="000000"/>
          <w:sz w:val="20"/>
          <w:lang w:val="en-US" w:eastAsia="en-US" w:bidi="ar-SA"/>
        </w:rPr>
        <w:t>Becker</w:t>
      </w:r>
      <w:r>
        <w:rPr>
          <w:rFonts w:ascii="arial" w:eastAsia="arial" w:hAnsi="arial" w:cs="arial"/>
          <w:color w:val="000000"/>
          <w:sz w:val="20"/>
          <w:lang w:val="en-US" w:eastAsia="en-US" w:bidi="ar-SA"/>
        </w:rPr>
        <w:t xml:space="preserve"> at para. 16; </w:t>
      </w:r>
      <w:r>
        <w:rPr>
          <w:rFonts w:ascii="arial" w:eastAsia="arial" w:hAnsi="arial" w:cs="arial"/>
          <w:i/>
          <w:color w:val="000000"/>
          <w:sz w:val="20"/>
          <w:lang w:val="en-US" w:eastAsia="en-US" w:bidi="ar-SA"/>
        </w:rPr>
        <w:t>Godara</w:t>
      </w:r>
      <w:r>
        <w:rPr>
          <w:rFonts w:ascii="arial" w:eastAsia="arial" w:hAnsi="arial" w:cs="arial"/>
          <w:color w:val="000000"/>
          <w:sz w:val="20"/>
          <w:lang w:val="en-US" w:eastAsia="en-US" w:bidi="ar-SA"/>
        </w:rPr>
        <w:t xml:space="preserve"> at para. 51. If that was an acceptable assumption, then the jurisprudence would not require the plaintiff take such a step where the circumstances indicate it might assist. In many other cases such steps were undertaken, albeit to no avail, but at least the plaintiff endeavoured to take some steps to try and ascertain the identity of the negligent driver. In this case, the plaintiff failed to take any such step at all, apart from notifying the police in the 9-1-1 call and reporting the incident to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the circumstances, Mrs. Morris's failure to take any other steps to try and ascertain the identity of the driver after calling 9-1-1 at the scene and reporting the matter to ICBC cannot be described as anything other than failing to make all reasonable efforts to ascertain the identity of the driver. Indeed, on the evidence before the Court, no efforts, let alone reasonable efforts, were made to ascertain the identity of the driver in the days and weeks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VI.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The plaintiff has failed to prove she has complied with the requirements of s. 24(5)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therefore is not entitled to claim damages against ICBC directly under s. 24 of the </w:t>
      </w:r>
      <w:r>
        <w:rPr>
          <w:rFonts w:ascii="arial" w:eastAsia="arial" w:hAnsi="arial" w:cs="arial"/>
          <w:i/>
          <w:color w:val="000000"/>
          <w:sz w:val="20"/>
          <w:lang w:val="en-US" w:eastAsia="en-US" w:bidi="ar-SA"/>
        </w:rPr>
        <w: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action is dismissed and the defendant is entitled to the costs of this action, subject to any application counsel may make. If the parties seek to make further submissions on the issue of costs, notice must be given to the Court within 30 days of the filing of this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K.M. KER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4" style="position:absolute;z-index:2518620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5"/>
          <w:headerReference w:type="default" r:id="rId56"/>
          <w:footerReference w:type="even" r:id="rId57"/>
          <w:footerReference w:type="default" r:id="rId58"/>
          <w:headerReference w:type="first" r:id="rId59"/>
          <w:footerReference w:type="first" r:id="rId6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1" w:history="1">
        <w:r>
          <w:rPr>
            <w:rFonts w:ascii="arial" w:eastAsia="arial" w:hAnsi="arial" w:cs="arial"/>
            <w:b/>
            <w:bCs/>
            <w:i/>
            <w:color w:val="0077CC"/>
            <w:kern w:val="32"/>
            <w:sz w:val="28"/>
            <w:szCs w:val="32"/>
            <w:u w:val="single"/>
            <w:shd w:val="clear" w:color="auto" w:fill="FFFFFF"/>
            <w:lang w:val="en-US" w:eastAsia="en-US" w:bidi="ar-SA"/>
          </w:rPr>
          <w:t>Arbutus Bay Estates Ltd. v. Canada (Attorney General), [2016] B.C.J. No. 2351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L.B. Gerow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5-9, 13-16, November 23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and 26, 2015; September 19-23,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14,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S130225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2351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2083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CarswellBC 3169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273 A.C.W.S. (3d) 425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Arbutus Bay Estates Ltd., Plaintiff, and Attorney General of Canada, Capital Regional District and the Queen in Right of the Province of British Columbia, Defendants, and Her Majesty the Queen in Right of the Province of British Columbia, Third Party, and Arbutus Bay Estates Ltd. and Her Majesty the Queen in Right of the Province of British Columbia, Defendants by way of Counterclaim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(172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5" style="position:absolute;z-index:251660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 w:name="Keywords_1"/>
      <w:bookmarkEnd w:id="14"/>
      <w:r>
        <w:rPr>
          <w:rFonts w:ascii="arial" w:eastAsia="arial" w:hAnsi="arial" w:cs="arial"/>
          <w:b/>
          <w:color w:val="000000"/>
          <w:sz w:val="20"/>
          <w:lang w:val="en-US" w:eastAsia="en-US" w:bidi="ar-SA"/>
        </w:rPr>
        <w:t>Contracts — Remedies — Equitable remedies — Rectification — Action for declaration operation of wharf interfered with plaintiff's riparian rights, damages, injunction, cancellation of easement allowed in part — Counterclaim for declaration easement allowed operation of wharf or rectification allowed — Government defendants decided to construct and operate public wharf in 1959, and province entered agreement with former upland owner for easement over his property to permit access from road to wharf — Easement was registered and plaintiff had notice — Easement expressly for benefit including riparian rights — Path and wharf structures were slightly outside easement boundaries so rectification ordered and plaintiff awarded $7,500 nominal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Nominal damages — No loss or injury — Action for declaration operation of wharf interfered with plaintiff's riparian rights, damages, injunction, cancellation of easement allowed in part — Counterclaim for declaration easement allowed operation of wharf or rectification allowed — Government defendants decided to construct and operate public wharf in 1959, and province entered agreement with former upland owner for easement over his property to permit access from road to wharf — Easement was registered and plaintiff had notice — Easement expressly for benefit including riparian rights — Path and wharf structures were slightly outside easement boundaries so rectification ordered and plaintiff awarded $7,500 nominal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Government law — Crown — Actions by and against Crown — Actions for declarations — Contracts with Crown — Termination or annulment — Action for declaration operation of wharf interfered with plaintiff's riparian rights, damages, injunction, cancellation of easement allowed in part — Counterclaim for declaration easement allowed operation of wharf or rectification allowed — Government defendants decided to construct and operate public wharf in 1959, and province entered agreement with former upland owner for easement over his property to permit access from road to wharf — Easement was registered and plaintiff had notice — Easement expressly for benefit including riparian rights — Path and wharf structures were slightly outside easement boundaries so rectification ordered and plaintiff awarded $7,500 nominal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Natural resources law — Water — Riparian rights — Obstructions — Action for declaration operation of wharf interfered with plaintiff's riparian rights, damages, injunction, cancellation of easement allowed in part — Counterclaim for declaration easement allowed operation of wharf or rectification allowed — Government defendants decided to construct and operate public wharf in 1959, and province entered agreement with former upland owner for easement over his property to permit access from road to wharf — Easement was registered and plaintiff had notice — Easement expressly for benefit including riparian rights — Path and wharf structures were slightly outside easement boundaries so rectification ordered and plaintiff awarded $7,500 nominal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Real property law — Interests in land — Easements — Characteristics of — Dominant and servient tenement — Creation — By express grant — By inter vivos grant — Extinguishment of easements — Expiration — Particular easements — Positive easements — Public right of way — Registration and notice — Land Titles Acts — Scope of easement — Description on grant — Manner of past use — Action for declaration operation of wharf interfered with plaintiff's riparian rights, damages, injunction, cancellation of easement allowed in part — Counterclaim for declaration easement allowed operation of wharf or rectification allowed — Government defendants decided to construct and operate public wharf in 1959, and province entered agreement with former upland owner for easement over his property to permit access from road to wharf — Easement was registered and plaintiff had notice — Easement expressly for benefit including riparian rights — Path and wharf structures were slightly outside easement boundaries so rectification ordered and plaintiff awarded $7,500 nominal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 w:name="Case Summary_1"/>
            <w:bookmarkEnd w:id="1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upland property owner for a declaration the operation of the wharf facilities interfered with the plaintiff's riparian rights, damages, an injunction, and cancellation of the registered easement. Counterclaim by the governments and wharf operator for a declaration the easement allowed operation of the wharf, an order rectifying the easement, or a declaration they were entitled to an easement. In 1959, the federal and provincial governments decided to develop a public wharf. The upland owner at the time granted a 20-foot wide easement for a pathway to allow access from the road to the wharf, and did not object to Canada obtaining a reserve for public landing purposes. Public Works obtained a water lot reserve by order in council, and constructed the public wharf by 1960. The province paid the upland owner for the easement and registered it on title. The wharf had operated as a public facility since, with no complaint from former owners. The plaintiff's principal purchased the property in 1973 and was aware of the charge on title and existence of the wharf. She assigned the purchase and sale agreement to the plaintiff in 1978. Additional floats were added to the wharf between 1974 and 1978. The plaintiff began complaining about the public wharf in 1990, and expressed the position the water lot reserve had expired. CRD took over operation of the public wharf under various management agreements with Canada. An expert in surveying had determined the easement did not line up with what was shown on the sketch plan, and 440 square feet of the path and wharf structures were outside the easement boundaries. The plaintiff argued the easement did not secure any riparian rights for the defendants, did not actively intersect with the wharf or water lot so the plaintiff's consent was required, and rectification was not available or appropriate.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6" w:name="Holdings of Court_1"/>
            <w:bookmarkEnd w:id="16"/>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Counterclaim allowed. The registered easement did not fall within the definition of a statutory easement under s. 218 Land Title Act as it clearly had a dominant tenement, the water lot. The plain language of the easement provided notice to subsequent occupiers of impairment to their riparian rights. The purpose was the construction of a foot path and other works incidental to the operation of the wharf. The plain language clearly provided a right of way between the road and wharf located on the water lot, and the explanatory plan stated the right of way was required for access to the landing. The former upland owner authorized all facilities and burdens on the property rights necessary for the construction and operation of the wharf. There was no authority for the plaintiff's position the waiver of riparian rights could only occur as a result of a statutory right of way. The plaintiff's interpretation did not accord with the purpose of the easement. Vehicular access was contemplated at the time of the grant, and road parking was an ancillary right in the circumstances as there was no other parking nearby. The easement allowed use of the footpath, harbour and impairment on the plaintiff's riparian rights. There were no complaints about the location of the footpath and wharf structures until the recent survey. As the charge was registered on title, s. 29 of the Land Title Act did not bar rectification. The plaintiff purchased the property with the understanding the easement allowed for public access to and from the wharf, and the parties and predecessors believed the path and structures were included in the easement. Rectification was ordered, to include the areas of the footpath and structures in the easement. Even if the order in council with respect to the water lot had expired, the easement continued. The list of grounds to cancel a registered charge under s. 35(2) Property Law Act did not include a change in operator of the dominant tenement, and operation had continued throughout. The grantor of the easement did not place any restrictions on size, configuration or operation of the wharf. There had been a minor and technical infringement on the plaintiff's rights due to the footpath and structures being outside the easement area, so she was awarded $7,500 nominal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 w:name="Legislation Cited_1"/>
      <w:bookmarkEnd w:id="1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6" style="position:absolute;z-index:2517114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Crown Proceeding Act, S.B.C. 1974, c.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Land Registry Act, R.S.B.C. 1960, c. 206, s. 42, s. 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Land Title Act, 1979, c. 219, s. 1, s. 27(1)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Land Title Act, </w:t>
      </w:r>
      <w:hyperlink r:id="rId62" w:history="1">
        <w:r>
          <w:rPr>
            <w:rFonts w:ascii="arial" w:eastAsia="arial" w:hAnsi="arial" w:cs="arial"/>
            <w:i/>
            <w:color w:val="0077CC"/>
            <w:sz w:val="20"/>
            <w:u w:val="single"/>
            <w:shd w:val="clear" w:color="auto" w:fill="FFFFFF"/>
            <w:lang w:val="en-US" w:eastAsia="en-US" w:bidi="ar-SA"/>
          </w:rPr>
          <w:t>R.S.B.C. 1996, c. 250, s. 27</w:t>
        </w:r>
      </w:hyperlink>
      <w:r>
        <w:rPr>
          <w:rFonts w:ascii="arial" w:eastAsia="arial" w:hAnsi="arial" w:cs="arial"/>
          <w:color w:val="000000"/>
          <w:sz w:val="20"/>
          <w:lang w:val="en-US" w:eastAsia="en-US" w:bidi="ar-SA"/>
        </w:rPr>
        <w:t>, s. 29, s. 218, s. 218(3)(b)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Limitation Act, </w:t>
      </w:r>
      <w:hyperlink r:id="rId63" w:history="1">
        <w:r>
          <w:rPr>
            <w:rFonts w:ascii="arial" w:eastAsia="arial" w:hAnsi="arial" w:cs="arial"/>
            <w:i/>
            <w:color w:val="0077CC"/>
            <w:sz w:val="20"/>
            <w:u w:val="single"/>
            <w:shd w:val="clear" w:color="auto" w:fill="FFFFFF"/>
            <w:lang w:val="en-US" w:eastAsia="en-US" w:bidi="ar-SA"/>
          </w:rPr>
          <w:t>S.B.C. 2012, c. 13, s. 6</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Property Law Act, R.S.C. 1996, c. 377, s. 35(1), s. 35(2), s. 35(2)(e)</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8" w:name="Counsel_1"/>
      <w:bookmarkEnd w:id="1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7" style="position:absolute;z-index:2517626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Arbutus Bay Estates Ltd.: S. Hern, C. Boies Parker.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Attorney General of Canada and Regional Capital District: M.K. Bulmer, O.R. Pulleyblank.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Her Majesty the Queen in Right of the Province of British Columbia: D.R. Suntjens, M. Butler.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 w:name="Judgment_1"/>
      <w:bookmarkEnd w:id="19"/>
      <w:r>
        <w:pict>
          <v:line id="_x0000_s1038" style="position:absolute;z-index:25181388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ISSUES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BACKGROUND 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 the registered easement a statutory easement?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DOES THE REGISTERED EASEMENT AUTHORIZE THE ONGOING OPERATION OF THE PUBLIC WHARF IN HORTON BAY HARBOUR, INCLUDING IMPACTING THE PLAINTIFF'S RIPARIAN RIGHTS?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Plaintiff's Position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Canada and the CRD's Position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Province's Position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IF THE REGISTERED EASEMENT DOES NOT AUTHORIZE THE ONGOING OPERATION OF THE WHARF FACILITIES, SHOULD IT BE RECTIFIED?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Plaintiff's Position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Canada and CRD's position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Province's Position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DID THE REGISTERED EASEMENT EXPIRE WHEN THE WHARF WAS EXPANDED OR WHEN THE</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CRD TOOK OVER ITS OPERATION?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WHAT IF, ANY, DAMAGES IS THE PLAINTIFF ENTITLED TO?</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CONCLUSION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 w:name="L.B. GEROW J."/>
            <w:bookmarkEnd w:id="20"/>
            <w:r>
              <w:rPr>
                <w:rFonts w:ascii="arial" w:eastAsia="arial" w:hAnsi="arial" w:cs="arial"/>
                <w:b/>
                <w:color w:val="000000"/>
                <w:sz w:val="30"/>
                <w:lang w:val="en-US" w:eastAsia="en-US" w:bidi="ar-SA"/>
              </w:rPr>
              <w:t>L.B. GEROW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Paula Buchholz purchased approximately 155 acres of land on Mayne Island (the "Property") in or around 1973. The Property was upland and appurtenant to the public wharf in Horton Bay harbour that had been operating since 1960. There was a registered easement on the Property on which a footpath was built connecting the wharf to Horton Bay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After she purchased the property in 1973, Ms. Buchholz transferred the ownership of the Property to a corporate entity, Paula Buchholz Estates Ltd. The name of the company was changed to the plaintiff, Arbutus Bay Estates Ltd., in 1979. Ms. Buchholz is the principal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January 2013, the plaintiff commenced this action seeking a declaration that the operation of the wharf facilities interferes with its riparian rights, damages for breach of its riparian rights, an injunction restraining the defendants from interfering with its riparian rights, damages for nuisance and trespass, as well as other relief, including the cancellation of the registered easement over its lands. The plaintiff takes the position that the wharf is also unlawful because the registered easement expired when the wharf was expanded and when the federal government turned its operation over to the Capital Regional District (the "CRD").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defendants, the Attorney General of Canada ("Canada"), the CRD and Her Majesty the Queen in Right of the Province of British Columbia (the "Province") oppose the plaintiff's claims. They have filed counterclaims seeking declarations that the registered easement allows the operation of the Horton Bay harbour public wharf in its present location. In the alternative the defendants seek an order rectifying the registered easement to allow the ongoing operation of the Horton Bay harbour public wharf as was agreed between the parties. They say rectification would not be unjust because Ms. Buchholz had knowledge of the existence of both the easement and the public wharf when she purchased the property in 1973. In the further alternative, the defendants seek a declaration that B.C., Canada, the CRD and their servants, agents, assigns, visitors and members of the general public are entitled to an easement allowing them to use the path to access the Horton Bay harbour public wharf, and any impairment of riparian rights is authorized so long as the operation of the wharf continues.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Canada and the CRD take the position that the operation of the Horton Bay harbour public wharf is authorized by the registered easement. In the alternative, they take the position that if the registered easement cannot be read to authorize the ongoing use and operation of a public harbour, than the charge fails to reflect the agreement between the parties and should be rectified.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Province takes the position the wording of the registered easement is ambiguous and should be rectified to reflect the true agreement between the parties. The Province asserts that as the grantee of the licence of water lot 431 it is not liable if there is found to be an infringement of the plaintiff's riparian rights, or trespass from parked vehicles along Horton Bay Road and members of the public who access the wharf via the registered easement, or for any nuisance arising from the operation of the wharf. In the alternative, the Province argues that any infringement of riparian rights, trespass or nuisance is so trivial as to not merit an award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Canada and the CRD have filed a third party notice against the Province but did not make any arguments regarding the third party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For the following reasons, I have concluded the registered easement authorizes the operation of the Horton Bay harbour public wharf facilities. In the event the registered easement does not authorize the operation wharf facilities, I am of the view that the easement should be rectified to allow the ongoing operation of the public harbour. In my view, such a rectification would not be unjust as Ms. Buchholz had actual notice of the easement and that a public wharf was being operated in Horton Bay harbour prior to purchasing the property and transferring it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issues raised by the pleadings and submissions are:</w:t>
      </w:r>
      <w:r>
        <w:rPr>
          <w:rFonts w:ascii="arial" w:eastAsia="arial" w:hAnsi="arial" w:cs="arial"/>
          <w:sz w:val="20"/>
          <w:lang w:val="en-US" w:eastAsia="en-US" w:bidi="ar-SA"/>
        </w:rPr>
        <w:cr/>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the registered easement a statutory easement governed by s. 218 of the </w:t>
      </w:r>
      <w:r>
        <w:rPr>
          <w:rFonts w:ascii="arial" w:eastAsia="arial" w:hAnsi="arial" w:cs="arial"/>
          <w:i/>
          <w:color w:val="000000"/>
          <w:sz w:val="20"/>
          <w:lang w:val="en-US" w:eastAsia="en-US" w:bidi="ar-SA"/>
        </w:rPr>
        <w:t>Land Titles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R.S.B.C.1996, c. 250</w:t>
      </w:r>
      <w:r>
        <w:rPr>
          <w:rFonts w:ascii="arial" w:eastAsia="arial" w:hAnsi="arial" w:cs="arial"/>
          <w:color w:val="000000"/>
          <w:sz w:val="20"/>
          <w:lang w:val="en-US" w:eastAsia="en-US" w:bidi="ar-SA"/>
        </w:rPr>
        <w: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registered easement authorize the ongoing operation of the public wharf in Horton Bay harbour, including impacting the plaintiff's riparian rights?</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registered easement does not authorize the ongoing operation of the wharf facilities, should it be rectified?</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registered easement expire when the public wharf was expanded or when the CRD took over its operation?</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presence of the wharf has infringed the plaintiff's rights and/or the defendants are liable for trespass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what, if any, damages are the plaintiff entitled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1959, the federal and provincial governments came together to develop a public harbour in Horton Bay on Mayne Island in response to a population increase and public demands. In May 1959, the federal Department of Public Works ("Public Works") approved the construction of a wharf in Horton Bay.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plan required that a right-of-way be obtained for a pathway between the proposed wharf and the nearby public Horton Bay Road. In June 1959, Public Works advised the provincial Department of Highways ("BC Highways") of its plan to construct a wharf provided public access from Horton Bay Road could be obtained, and asked BC Highways to secure the required access.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BC Highways approached the upland owner, F.W. Pratt. Mr. Pratt owned a 158 acre plot of land he acquired in 1945 from the Director of Soldier Settlement. Mr. Pratt was unwilling to sell any land, but was in favour of the public wharf. On September 22, 1959, Mr. Pratt sent a letter to the District Engineer of BC Highways, in which he agreed to "grant a 20 foot wide easement for a pathway to a public float to be installed in Horton Bay".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November 18, 1959, A.W. Walkey, District Engineer in the Harbours and Rivers Engineering Branch of the Department of Public Works, wrote a letter to Mr. Pratt seeking his consent for Canada to "obtain a reserve on the area outlined on the plan for public landing purposes." The letter attached a plan outlining the area of water lot 431. On November 20, 1959, Mr. Pratt replied to Mr. Walkey's letter stating: "I have no objection to the Department of Public Works obtaining a reserve as shown, i.e. the area outlined in red on the plan you sent me showing the proposed landing on Horton Bay."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Public Works applied for and obtained a water lot reserve by Order-in-Council on August 26, 1960, and constructed the Horton Bay harbour public wharf between November 1959 and May 6, 1960.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During the time the pathway and wharf were being constructed negotiations continued between Mr. Pratt and the Province regarding the land needed to access and operate the wharf. On December 17, 1959, Norman Allan, a right of way agent for the Province, sent a letter to L.A. Broddy, an engineer for the Province, stating "an easement registered against the title of the property involved has a legal value, and as Mr. Pratt is only prepared to consider an easement for the footpath, it would appear for the moment that we will have to proceed accordingly". In the letter, Mr. Allan also requested that Mr. Broddy contact Mr. Walkey to see if Canada is prepared to proceed when access can only be secured by means of an easement and to discuss whether the easement "should run for a given period of time, or alternately, in perpetuity." Mr. Walkey then contacted Mr. Wilfred Grimble at the federal Department of Public Works and sent a letter to Mr. Grimble and an internal memo to Mr. Allan, confirming that the Department of Public Works "would be satisfied with a public 20' easement...as long as the public have access over the easement in the present and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first version of the easement sent to the Land Title Office was rejected due to an error in the form. Subsequently an easement was executed by Mr. Pratt and registered on title on September 26, 1960. The Province paid Mr. Pratt $50.00 for the easement. Both the pathway and the wharf were constructed prior to the easement being executed by Mr. Pratt and registered on title.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Since its construction the Horton Bay harbour wharf has operated as a public facility. From 1960, and through successors in title to the Property, the public wharf has been continuously used by the public without complaint from any of the former owners.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Members of the Mayne Island community testified regarding the importance of the Horton Bay harbour public wharf to the community. The Horton Bay harbour public wharf is used by both visitors and residents of the island. It has been used for official business for a number of groups, including the police, and the local school. The fire department uses the wharf for a number of purposes, including training, and it is part of Mayne Island's emergency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Property changed hands several times after Mr. Pratt owned it. Ms. Buchholz, the principal of the plaintiff, testified that she became interested in investing in real estate in British Columbia in 1969 when she visited Canada with a group of entrepreneurs. At the time, she was involved in the real estate business in Germany, developing high end condominiums. Ms. Buchholz asked a friend and fellow developer, Guenter Adolphs to keep an eye out for suitable properties for her. Dr. Adolphs had moved to B.C. in 1971.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1973, Ms. Buchholz received a real estate listing for the Property from Dr. Adolphs, together with several photographs of it, including an aerial photograph depicting the Horton Bay harbour public wharf and the footpath leading to it from Horton Bay Road. The real estate listing has a subheading "anchorage" and states there is a "government wharf suitable for small yachts".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Buchholz retained the services of Ivan Robertson, a lawyer in Vancouver, to assist her with the purchase of the Property. Mr. Robertson provided Ms. Buchholz with a copy of the easement registered against the title. Ms. Buchholz agrees that she received and read the easement prior to purchasing the Property. Ms. Buchholz executed an agreement for purchase and sale for the upland property, knowing of both the registered charge on title and the existence and operation of the wharf. The listing price for the Property was $250,000, and Ms. Buchholz purchased it for $150,000.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That same year, Ms. Buchholz assigned the purchase and sale agreement to her company, Paula Buchholz Estates Ltd. Paula Buchholz Estates Ltd. acquired fee simple to the Property on or about January 4, 1978. Paula Buchholz Estates Ltd. changed its name to Arbutus Bay Estates Ltd. in September 1980.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1974 and 1978 additional floats C and D were added to the Horton Bay harbour public wharf. A portion of the additional floats was located outside the boundaries of water lot 431. In 2000, float D was removed and float C was shortened and added to the end of float B to bring the wharfage facility back within the confines of water lot 431.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1986, the plaintiff began subdividing Property. The Property has now been subdivided into a number of parcels by either the plaintiff or subsequent owners of parcels sold by the plaintiff. Lot A, the property on which the easement is registered, was formed by subdivision of the Property in 2005. The eastern boundary of Lot A is the natural-high water mark.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Buchholz did not complain about the operations of the wharf while she was owner of the Property. No complaints were made about the operations of the wharf by Paula Buchholz Estates Ltd. The plaintiff did not complain about the operation of the Horton Bay harbour public wharf from 1980, the time the ownership of the Property was put in its name, until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the late 1980s, the plaintiff began to pursue the development of a private marina in Horton Bay harbour, immediately east of the public wharf. In August 1989, the plaintiff filed an application with BC Lands for an approximately one hectare water lease for a commercial marina.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Referrals regarding the lease application were sent to other regulatory authorities, including Islands Trust, who is the local land use authority on Mayne Island. Islands Trust responded to the referral in September 1989, noting that approval was not recommended because "current zoning would not permit this use". In 1989, the plaintiff filed a rezoning application with Islands Trust which was rejected. The plaintiff provided further materials in support of rezoning in 1990 but Islands Trust decided that a commercial marina was not appropriate in Horton Bay.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plaintiff's first complaints about the operation of the wharf were made in response to a letter in November 1990 from Philip Gertsman, Acquisition Assistant with the Real Estate Division of Public Works Canada, requesting the plaintiff's consent, as the holder of riparian rights, for the Province to grant formal tenure to Public Works Canada over the water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May 1992, legal counsel representing the plaintiff wrote to Public Works Canada and the Department of Fisheries and Oceans stating that it was the plaintiff's position the water lot reserve had expired. As well, the letter states that the addition of docks added after 1973 constituted a violation of the plaintiff's rights, since no consent had been obtained. The letter indicated the plaintiff took the position the wharfage facilities would need to be discontinued which would in turn void the upland easement because its term was conditional on its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Counsel for Public Works Canada responded disagreeing with the statement that the water lot 431 had expired. The Province took the same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March 1994, the same lawyer wrote on behalf of the plaintiff demanding the removal of the wharf and threatening to block access. Counsel for Canada continued to advise the plaintiff that Canada disagreed the wharf was illegally situated or that the plaintiff had the right to block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1994 or 1995, Canada announced it would be divesting all recreational harbours. In August 1995, Ms. Buchholz, on behalf of the plaintiff, corresponded with Canada and the Province suggesting the wharf be privatized and taken over in whole or in part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February 1996, the plaintiff was advised that there was a plan by Small Craft Harbours to divest all recreational harbours, and that Horton Bay harbour fell within the plan. The plaintiff was further advised that if the Horton Bay harbour public wharf was divested, it would first be offered to other federal departments and Crown corporations, the province, local government, non-profit community groups, and finally for sale to the general public by way of public tender. In the event it was put to public tender, the plaintiff would be able to participate in the tender.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October 1996, Ms. Buchholz wrote to Islands Trust indicating the plaintiff was hoping to reach an agreement with Canada on the privatization of the wharf to avoid a public hearing and the fees required by the rezoning process. However, the plaintiff's proposal to take over operation of the wharf did not move forward due to the local opposition and concerns of Islands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April 1996, a senior examiner from BC Lands wrote to the plaintiff, in response to an inquiry from Ms. Buchholz, confirming BC Lands' position that the water reserve had not expired and remained in effect until formally terminated.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June 1997, the plaintiff began submitting yearly invoices to Canada demanding between $5,000 and $7,280 as a yearly "user fee", dating back to 1973. As of 2013, the plaintiff had rendered invoices, including interest, of approximately $1.9 million dollars to Small Craft Harbours. In September 2015, the plaintiff began purporting to charge daily rent in the amount of $1,000. Ms. Buchholz agreed the amount of $1,000 a day was excessive.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As a result of the ongoing conflict between the plaintiff and defendants regarding the wharf, the Horton Bay harbour public wharf was not divested as planned. Canada operated the public wharf from 1960 to 2007. In June 2007, Canada and the CRD entered into an agreement whereby the CRD agreed to manage the Horton Bay harbour wharfage facilities for one year. Since 2007, the CRD has operated the Horton Bay harbour public wharf pursuant to various management agreements. Canada has at all times been responsible for the maintenance, inspection and repairs to the public wharf. The Province has been responsible for maintenance, inspection and repair of the pathway between the wharf and Horton Bay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March and April of 2013, Ian Robertson, an expert in surveying, surveyed the registered easement and found it was not accurately described in an earlier sketch plan. Mr. Robertson determined that the easement did not line up with the wharf as had been shown on the earlier sketch plan. Based on Mr. Robertson's survey, a portion of the wharf structure and a portion of the pathway are outside the boundaries of the registered easement. Mr. Robertson determined the area of the land outside the registered easement that is used to access the wharfage facilities to be 40.9 square metres or 440 square feet in size, which is 0.010 acre.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 the registered easement a statutory easement?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 asserts the registered easement is a statutory easement and only provides for the construction of the footpath and other works, but does not secure any riparian rights for the defendants. The plaintiff submits that the easement does not actually intersect with the wharf or much of water lot 431, so the consent of the plaintiff for interference with its riparian rights is still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defendants do not agree that the registered easement is a statutory easement. The defendants point to the fact that there is a dominant and servient tenement set out in the easement.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registered easement at issue reads: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BETWEEN Francis Winterton Pratt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Of Mayne Island, Province of British Columbia</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hereinafter called the "Grantor"</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AND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Her Majesty the Queen in the Right of the Province of British Columbia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hereinafter called the "Grantee"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WITNESSETH that in consideration of the sum of $50.00 now paid by the Grantee to the Grantor (the receipt whereof is hereby acknowledged) the Grantor doth hereby grant and convey unto the Grantee, the owner in fee of those lands and premises described as Lot 431, Cowichan District, her heirs and assigns and her and their agents, servants and workmen a free and uninterrupted right-of-way in perpetuity but subject to the proviso hereinafter contained, through, along and over that certain parcel of land described as: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Commencing at a point South 63 15' 30" East, a distance of 263.1 feet more or less from the most southerly corner of Lot 2, Section 2, Mayne Island, Plan 6166, then North 22 02' West 87 feet more or less to High Water Mark of Horton Bay and South 22 02' East 7 feet more or less from the said commencement point and having a width of ten fee on either side of the above described centreline, containing 0.043 acre more or less for the purpose of constructing a footpath and other works incidental to the operation of wharfage facilities appurtenant to the lands owned by the Grantee hereinbefore described.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Provided, and it is hereby expressly agreed, that if and whenever the operation of the said wharfage facilities is discontinued, the said right-of-way and all rights incidental thereto and hereby granted shall cease and determine.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Grantee for herself, her heirs and assigns covenants with the Grantor his heirs and assigns that the Grantee will at her own expense keep the right-of-way in proper repair and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registered easement contains an explanatory plan, attached as page 5 and entitled "Explanatory plan of R/W required for access to federal government landing is S.E. 1/4 Section 2 Mayne Island". The plan shows the location of the right of way leading from Horton Bay Road to the water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Pursuant to s. 27 of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250</w:t>
      </w:r>
      <w:r>
        <w:rPr>
          <w:rFonts w:ascii="arial" w:eastAsia="arial" w:hAnsi="arial" w:cs="arial"/>
          <w:color w:val="000000"/>
          <w:sz w:val="20"/>
          <w:lang w:val="en-US" w:eastAsia="en-US" w:bidi="ar-SA"/>
        </w:rPr>
        <w:t>, Ms. Buchholz was deemed to have notice of the explanatory plan. Section 27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(1) The registration of a charge gives notice, from the date and time the application for the registration was received by the registrar, to every person dealing with the title to the land affected, of</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estate or interest in respect of which the charge has been registered, and</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contents of the instrument creating the charge so far as it relates to that estate or interest,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not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Section 42 of the </w:t>
      </w:r>
      <w:r>
        <w:rPr>
          <w:rFonts w:ascii="arial" w:eastAsia="arial" w:hAnsi="arial" w:cs="arial"/>
          <w:i/>
          <w:color w:val="000000"/>
          <w:sz w:val="20"/>
          <w:lang w:val="en-US" w:eastAsia="en-US" w:bidi="ar-SA"/>
        </w:rPr>
        <w:t>Land Registry Act</w:t>
      </w:r>
      <w:r>
        <w:rPr>
          <w:rFonts w:ascii="arial" w:eastAsia="arial" w:hAnsi="arial" w:cs="arial"/>
          <w:color w:val="000000"/>
          <w:sz w:val="20"/>
          <w:lang w:val="en-US" w:eastAsia="en-US" w:bidi="ar-SA"/>
        </w:rPr>
        <w:t xml:space="preserve">, R.S.B.C. 1960, c, 206, contained a similar provision that the registration of a charge gives notice of the contents of the instrument creating the charge. Section 27(1) of the British Columbia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R.S.B.C. 1979, c. 219, contained the same language as the current statute. The definition of charge is in s. 1 and includes a registered easement.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my opinion, the registered easement does not fall within the definition of statutory right of way set out in s. 218 of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and the case law. The relevant portions of s. 218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218 (1) A person may and is deemed always to have been able to create, by grant or otherwise in favour of</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Crown or a Crown corporation or agency,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easement, without a dominant tenement, to be known as a "statutory right of way" for any purpose necessary for the operation and maintenance of the grantee's undertaking, including a right to flood.</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the extent necessary to give effect to subsection (1), the rule requiring an easement to have a dominant and servient tenement is abrogated.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Registration of an instrument granting or otherwise creating a statutory right of way</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constitutes a charge on the land in favour of the grantee, and</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confers on the grantee the right to use the land charged in accordance with the terms of the instrument, and the terms, conditions and covenants expressed in the instrument are binding on and take effect to the benefit of the grantor and grantee and their successors in title, unless a contrary intention appears.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Section 218 allows a person to create, by grant or otherwise in favour of the Crown, "an easement, </w:t>
      </w:r>
      <w:r>
        <w:rPr>
          <w:rFonts w:ascii="arial" w:eastAsia="arial" w:hAnsi="arial" w:cs="arial"/>
          <w:color w:val="000000"/>
          <w:sz w:val="20"/>
          <w:u w:val="single"/>
          <w:lang w:val="en-US" w:eastAsia="en-US" w:bidi="ar-SA"/>
        </w:rPr>
        <w:t>without a dominant tenement</w:t>
      </w:r>
      <w:r>
        <w:rPr>
          <w:rFonts w:ascii="arial" w:eastAsia="arial" w:hAnsi="arial" w:cs="arial"/>
          <w:color w:val="000000"/>
          <w:sz w:val="20"/>
          <w:lang w:val="en-US" w:eastAsia="en-US" w:bidi="ar-SA"/>
        </w:rPr>
        <w:t>, to be known as a 'statutory right of way' for any purpose necessary for the operation and maintenance of the grantee's undertaking, including a right to flood."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Court of Appeal decision in </w:t>
      </w:r>
      <w:r>
        <w:rPr>
          <w:rFonts w:ascii="arial" w:eastAsia="arial" w:hAnsi="arial" w:cs="arial"/>
          <w:i/>
          <w:color w:val="000000"/>
          <w:sz w:val="20"/>
          <w:lang w:val="en-US" w:eastAsia="en-US" w:bidi="ar-SA"/>
        </w:rPr>
        <w:t>Stasiuk Estate v. West Kootenay Power,</w:t>
      </w:r>
      <w:r>
        <w:rPr>
          <w:rFonts w:ascii="arial" w:eastAsia="arial" w:hAnsi="arial" w:cs="arial"/>
          <w:color w:val="000000"/>
          <w:sz w:val="20"/>
          <w:lang w:val="en-US" w:eastAsia="en-US" w:bidi="ar-SA"/>
        </w:rPr>
        <w:t xml:space="preserve"> </w:t>
      </w:r>
      <w:hyperlink r:id="rId64" w:history="1">
        <w:r>
          <w:rPr>
            <w:rFonts w:ascii="arial" w:eastAsia="arial" w:hAnsi="arial" w:cs="arial"/>
            <w:i/>
            <w:color w:val="0077CC"/>
            <w:sz w:val="20"/>
            <w:u w:val="single"/>
            <w:shd w:val="clear" w:color="auto" w:fill="FFFFFF"/>
            <w:lang w:val="en-US" w:eastAsia="en-US" w:bidi="ar-SA"/>
          </w:rPr>
          <w:t>2000 BCCA 377</w:t>
        </w:r>
      </w:hyperlink>
      <w:r>
        <w:rPr>
          <w:rFonts w:ascii="arial" w:eastAsia="arial" w:hAnsi="arial" w:cs="arial"/>
          <w:color w:val="000000"/>
          <w:sz w:val="20"/>
          <w:lang w:val="en-US" w:eastAsia="en-US" w:bidi="ar-SA"/>
        </w:rPr>
        <w:t xml:space="preserve"> at paras. 6-7, confirmed that a 'statutory easement' falls within the definition of s.218 only if there is no dominant tenement,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 The ambit of an easement at common law is determined with reference to a dominant tenement. The requirement for a dominant tenement is abrogated for a s. 218 right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registered easement in this case clearly identifies a dominant tenement, "Lot 431", the water lot the wharf is built on,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consideration of the sum of $50.00 now paid by the Grantee to the Grantor (the receipt whereof is hereby acknowledged) the Grantor doth hereby grant and convey unto the Grantee, the owner in fee of those lands and premises described as Lot 431, Cowichan District... uninterrupted right-of-way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Accordingly, it is my opinion that s. 218 of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has no application as the registered easement is not a statutory right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Does the registered easement authorize the ongoing operation of the public wharf in Horton Bay harbour, including impacting the plaintiff's riparian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next issue I will deal with is whether the registered easement authorizes the ongoing operation of the public wharf, including the interference with the plaintiff's riparian rights.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 asserts that:</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presence of the wharf is an actionable breach of the plaintiff's riparian rights; and</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use of the upland easement by the defendants and their invitees to pass to and from the wharf, and to anchor the wharf to the bank of the plaintiff's property is unauthorized and constitutes a trespass.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 says the reason the wharf's interference with the plaintiff's riparian rights is unlawful is because Mr. Pratt's original consent to the interference was never recorded in an instrument that was registered on title to the property, Therefore each subsequent owner had to separately consent to the interference for it to remain lawful. Absent registration, unless the current upland owner consents, interference with riparian rights is actionable, even if the interference is the result of an activity in the adjacent water lot that has otherwise been licensed or authorized by the Crown. Here, there has been no consent by the plaintiff to the interference with its riparian rights. Mr. Pratt's consent was not put into registrable form and did not bind future owners. The only registered instrument is the upland easement, and on its face that provides for construction of the footpath and other works, but does not secure any riparian rights for the defendants. Moreover, the upland easement does not actually intersect with the wharf or much of water lot 431, so the consent of the upland owner was still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plaintiff asserts that the second reason the wharf is unlawful is because the water lot reserve has expired on its terms when the change of operation occurred. The wharf is no longer being operated by Canada, but rather by the CRD. Mr. Pratt's consent was to Canada, and therefore its authorization ended when the CRD took over operations. The plaintiff argues that the upland easement expired when the public wharf was no longer authorized by virtue of the change in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 takes the position that if the use of the wharf was and is unlawful for the reasons advanced by the plaintiff, the defendants' and the public's use of the upland easement is trespass.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Canada and the CRD's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Canada and the CRD take the position that the registered easement authorizes the on-going use and operation of a public wharf with public access across the pathway over the upland property. Canada and the CRD assert that when the registered easement is read in accordance with the principles of interpretation, including the maxim that ambiguity is to be resolved in favour of the grantee, the inescapable conclusion is that the charge authorizes ongoing operation of the harbour as a public facility.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defendants assert the registered easement provided actual notice of the wharfage facilities within water lot 431.The presence and operation of wharfage facilities on and appurtenant to the upland is the central premise of the registered easement, which authorizes the construction of "a footpath and </w:t>
      </w:r>
      <w:r>
        <w:rPr>
          <w:rFonts w:ascii="arial" w:eastAsia="arial" w:hAnsi="arial" w:cs="arial"/>
          <w:color w:val="000000"/>
          <w:sz w:val="20"/>
          <w:u w:val="single"/>
          <w:lang w:val="en-US" w:eastAsia="en-US" w:bidi="ar-SA"/>
        </w:rPr>
        <w:t>other works incidental</w:t>
      </w:r>
      <w:r>
        <w:rPr>
          <w:rFonts w:ascii="arial" w:eastAsia="arial" w:hAnsi="arial" w:cs="arial"/>
          <w:color w:val="000000"/>
          <w:sz w:val="20"/>
          <w:lang w:val="en-US" w:eastAsia="en-US" w:bidi="ar-SA"/>
        </w:rPr>
        <w:t xml:space="preserve"> to the operation of wharfage facilities". The easement is to last until "the said wharfage facilities is discontinued". The easement therefore is clearly predicated on an operating wharf, and gives purchasers of the Property notice of that wharf and the access across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authorization to build a pathway and "works incidental to the operation of wharfage facilities" on the upland property necessarily includes a waiver of riparian rights. Canada and the CRD argue it would be absurd to interpret the registered easement as authorizing the facilities necessary to access and place a wharf on the upland while not authorizing the existence of the wharf attached to such facilities located in the neighbouring water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Canada and the CRD agree that the easement is ambiguous on the type of wharf authorized. The registered easement does not specify what kind of "wharfage facility" is authorized, including who may use and operate the facility. The ambiguity can be resolved by two different means: (i) by resolving the ambiguity in favour of the grantee, or (ii) by resorting to extrinsic evidence. Canada and the CRD assert that under either approach, the ongoing operation of the Horton Bay harbour wharf as a public facility is authorized by the registered easement.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Canada and the CRD submit that the extrinsic evidence makes plain that it was always the intention of all parties that the easement would authorize the presence and ongoing operation of the wharf as a public facility. There is no evidence of any intention to construct anything other than a public harbour in Horton Bay, comprising a wharf and an access pathway, connected on the upland property. At the time the easement was registered the wharf and path had already been constructed. There was no need to authorize anything but their ongoing presence and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registered easement also provides for and authorizes all such ancillary rights that are necessary for the reasonable and meaningful use and enjoyment of the grant, including a right to reasonable parking on the side of Horton Bay Road.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Province's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Province's position is that consent to a waiver of riparian rights is implicit in the terms of the registered easement, which expressly references water lot 431 and the wharfage facilities. The registered easement, which Ms. Buchholz acknowledges reading prior to purchasing the Property, provided actual notice of the wharf and its location, and implicit notice of a predecessor in title's consent to the infringement of riparian rights relative to the presence of the wharf. The Province asserts that any rational person reading the easement would understand their ability to access the water at the precise location where the wharf meets the foreshore is impaired by the wharf itself. To read otherwise would require an irrational assumption that users of the wharf are leaping from the property's high water mark to the wharf or wading through the water in gumboots.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registered easement also provides actual notice that the wharfage facilities are within water lot 431, Cowichan District. Accordingly, the registered easement provides notice to a potential purchaser who may have concerns about the size of the wharfage facilities, or its location relative to the upland property, so that he or she might obtain the plans for water lot 431 if so desired.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addition to the registered notice of the wharf, the plaintiff admitted Ms. Buchholz knew that the approach of the public harbour met the Property and blocked any ingress or egress at this point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Province points to the fact that the plaintiff relies on s. 218 of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to assert that the easement is a statutory right-of-way and relies on a narrow interpretation of ss. 218(3)(b) to try to limit the Province's rights. The Province takes the position that the section has no application as the easement is not a statutory right-of-way since the easement has a dominant tenement. As well the Province says the sub-section is not applicable because the Province is using the land in accordance with the terms of the easement, i.e.to access the wharfage facilities along the footpath.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its counterclaim, the Province seeks a declaration that any impairment of riparian rights attached to the part of Lot A that fronts the right of way, the pathway and the Horton Bay harbour public wharf is authorized so long as the operation of wharf continues. The Province is not claiming for rectification of the registered easement to include a waiver of riparian rights, nor is it asserting the reserve of water lot 431 by Order-in-Council authorized any interference with riparian rights.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As noted earlier, the plaintiff asserts that the registered easement provides for construction of the footpath and other works, but does not secure any riparian rights for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Riparian rights are common law rights arising from the ownership of land adjoining water. The case law has its roots in English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Riparian rights have been discussed in the case law in B.C. In </w:t>
      </w:r>
      <w:r>
        <w:rPr>
          <w:rFonts w:ascii="arial" w:eastAsia="arial" w:hAnsi="arial" w:cs="arial"/>
          <w:i/>
          <w:color w:val="000000"/>
          <w:sz w:val="20"/>
          <w:lang w:val="en-US" w:eastAsia="en-US" w:bidi="ar-SA"/>
        </w:rPr>
        <w:t>North Saanich (District) v. Murray</w:t>
      </w:r>
      <w:r>
        <w:rPr>
          <w:rFonts w:ascii="arial" w:eastAsia="arial" w:hAnsi="arial" w:cs="arial"/>
          <w:color w:val="000000"/>
          <w:sz w:val="20"/>
          <w:lang w:val="en-US" w:eastAsia="en-US" w:bidi="ar-SA"/>
        </w:rPr>
        <w:t xml:space="preserve">, </w:t>
      </w:r>
      <w:hyperlink r:id="rId65" w:history="1">
        <w:r>
          <w:rPr>
            <w:rFonts w:ascii="arial" w:eastAsia="arial" w:hAnsi="arial" w:cs="arial"/>
            <w:i/>
            <w:color w:val="0077CC"/>
            <w:sz w:val="20"/>
            <w:u w:val="single"/>
            <w:shd w:val="clear" w:color="auto" w:fill="FFFFFF"/>
            <w:lang w:val="en-US" w:eastAsia="en-US" w:bidi="ar-SA"/>
          </w:rPr>
          <w:t>[1975] B.C.J. No. 1126</w:t>
        </w:r>
      </w:hyperlink>
      <w:r>
        <w:rPr>
          <w:rFonts w:ascii="arial" w:eastAsia="arial" w:hAnsi="arial" w:cs="arial"/>
          <w:color w:val="000000"/>
          <w:sz w:val="20"/>
          <w:lang w:val="en-US" w:eastAsia="en-US" w:bidi="ar-SA"/>
        </w:rPr>
        <w:t xml:space="preserve"> (C.A.), the issue before the Court was whether a riparian owner had the right to construct wharves or other structures upon the foreshore. In finding the riparian owner did not have the right to construct wharves or other structures on the foreshore, the Court of Appeal adopted the following statements as accurately stating the law on riparian rights in British Columbia: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In so far as the issues that arise in this case are concerned, I think that the general statements contained in 39 Hals., 3rd ed., p. 514 et seq., accurately state the law of British Columbia:</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right of access by riparian owners. A riparian owner, that is to say, an owner of land abutting on water, is entitled ex jure naturae to access and regress to and from that water ...</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right of access. A riparian owner's right of access to the water on which his land abuts is a private and not a public right and any interference with it is actionable without proof of special damage; it does not depend on ownership of the bed of the river or other water in question and it is wholly distinct from the public right of navigation.</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Exercise of right of access. </w:t>
      </w:r>
      <w:r>
        <w:rPr>
          <w:rFonts w:ascii="arial" w:eastAsia="arial" w:hAnsi="arial" w:cs="arial"/>
          <w:i/>
          <w:color w:val="000000"/>
          <w:sz w:val="20"/>
          <w:lang w:val="en-US" w:eastAsia="en-US" w:bidi="ar-SA"/>
        </w:rPr>
        <w:t>In the exercise of his right of access a riparian owner must not</w:t>
      </w:r>
      <w:r>
        <w:rPr>
          <w:rFonts w:ascii="arial" w:eastAsia="arial" w:hAnsi="arial" w:cs="arial"/>
          <w:color w:val="000000"/>
          <w:sz w:val="20"/>
          <w:lang w:val="en-US" w:eastAsia="en-US" w:bidi="ar-SA"/>
        </w:rPr>
        <w:t xml:space="preserve"> interfere with any public right of navigation which exists in the water on which his land abuts or </w:t>
      </w:r>
      <w:r>
        <w:rPr>
          <w:rFonts w:ascii="arial" w:eastAsia="arial" w:hAnsi="arial" w:cs="arial"/>
          <w:i/>
          <w:color w:val="000000"/>
          <w:sz w:val="20"/>
          <w:lang w:val="en-US" w:eastAsia="en-US" w:bidi="ar-SA"/>
        </w:rPr>
        <w:t>put down anything which disturbs the foreshore</w:t>
      </w:r>
      <w:r>
        <w:rPr>
          <w:rFonts w:ascii="arial" w:eastAsia="arial" w:hAnsi="arial" w:cs="arial"/>
          <w:color w:val="000000"/>
          <w:sz w:val="20"/>
          <w:lang w:val="en-US" w:eastAsia="en-US" w:bidi="ar-SA"/>
        </w:rPr>
        <w:t>. If, however, there is an erection on the foreshore, such as a pier or causeway, the riparian owner, and those whom he permits to go on his land, may use it as a means of access [emphasis in original].</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Incidental rights. The riparian owner's right of access includes (1) the right to land, or pass over the shore or bed at all states of the water for that purpose, even when the shore or bed is not vested in him; and (2) the right to moor vessels adjacent to his land for such period as is necessary to load or unload them and, in the case of tidal waters, if they cannot be loaded or unloaded in one tide, the right to keep them there until the operation is completed. A riparian owner must not, however, moor a vessel in such a way as to interfere with another riparian owner's right of access or so as to interfere with any public right of navigation.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See also: </w:t>
      </w:r>
      <w:r>
        <w:rPr>
          <w:rFonts w:ascii="arial" w:eastAsia="arial" w:hAnsi="arial" w:cs="arial"/>
          <w:i/>
          <w:color w:val="000000"/>
          <w:sz w:val="20"/>
          <w:lang w:val="en-US" w:eastAsia="en-US" w:bidi="ar-SA"/>
        </w:rPr>
        <w:t>Graham v. Andrusyk</w:t>
      </w:r>
      <w:r>
        <w:rPr>
          <w:rFonts w:ascii="arial" w:eastAsia="arial" w:hAnsi="arial" w:cs="arial"/>
          <w:color w:val="000000"/>
          <w:sz w:val="20"/>
          <w:lang w:val="en-US" w:eastAsia="en-US" w:bidi="ar-SA"/>
        </w:rPr>
        <w:t xml:space="preserve">, </w:t>
      </w:r>
      <w:hyperlink r:id="rId66" w:history="1">
        <w:r>
          <w:rPr>
            <w:rFonts w:ascii="arial" w:eastAsia="arial" w:hAnsi="arial" w:cs="arial"/>
            <w:i/>
            <w:color w:val="0077CC"/>
            <w:sz w:val="20"/>
            <w:u w:val="single"/>
            <w:shd w:val="clear" w:color="auto" w:fill="FFFFFF"/>
            <w:lang w:val="en-US" w:eastAsia="en-US" w:bidi="ar-SA"/>
          </w:rPr>
          <w:t>2006 BCSC 1614</w:t>
        </w:r>
      </w:hyperlink>
      <w:r>
        <w:rPr>
          <w:rFonts w:ascii="arial" w:eastAsia="arial" w:hAnsi="arial" w:cs="arial"/>
          <w:color w:val="000000"/>
          <w:sz w:val="20"/>
          <w:lang w:val="en-US" w:eastAsia="en-US" w:bidi="ar-SA"/>
        </w:rPr>
        <w:t xml:space="preserve"> at para.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As noted earlier, the plaintiff asserts that the registered easement does not on its face provide any notice of the waiver of riparian rights because the specific words are not used. The plaintiff asserts its riparian rights allow unimpeded access to deep water across every point on the Property's foreshore. The plaintiff argues that without specific reference to the riparian rights in the registered easement, the wharf facilities cannot remain on the Property because it blocks the Property's access to deep water at the point it intersects the land. The plaintiff says even if were found that the registered easement impacted its riparian rights, the ramp to the wharf and the pathway are not entirely within the area covered by the registered easement.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An easement sets out a proprietary right that runs with land, burdening the servient tenement and benefiting the dominant tenement. When a purchaser acquires land burdened by an easement, he or she has no inherent right to demand the easement be cancelled or modified.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 registered easement is a reflection of a contractual agreement, and easements are interpreted in accordance with the principles of contractual interpretation. However, easements are unique in that they are intended to be relied upon by subsequent purchasers and others who were not parties to the original transaction. As a result, rules unique to the construction of easements have developed.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McCorquodale v. Baranti Developments Ltd.,</w:t>
      </w:r>
      <w:r>
        <w:rPr>
          <w:rFonts w:ascii="arial" w:eastAsia="arial" w:hAnsi="arial" w:cs="arial"/>
          <w:color w:val="000000"/>
          <w:sz w:val="20"/>
          <w:lang w:val="en-US" w:eastAsia="en-US" w:bidi="ar-SA"/>
        </w:rPr>
        <w:t xml:space="preserve"> </w:t>
      </w:r>
      <w:hyperlink r:id="rId67" w:history="1">
        <w:r>
          <w:rPr>
            <w:rFonts w:ascii="arial" w:eastAsia="arial" w:hAnsi="arial" w:cs="arial"/>
            <w:i/>
            <w:color w:val="0077CC"/>
            <w:sz w:val="20"/>
            <w:u w:val="single"/>
            <w:shd w:val="clear" w:color="auto" w:fill="FFFFFF"/>
            <w:lang w:val="en-US" w:eastAsia="en-US" w:bidi="ar-SA"/>
          </w:rPr>
          <w:t>2015 BCCA 133</w:t>
        </w:r>
      </w:hyperlink>
      <w:r>
        <w:rPr>
          <w:rFonts w:ascii="arial" w:eastAsia="arial" w:hAnsi="arial" w:cs="arial"/>
          <w:color w:val="000000"/>
          <w:sz w:val="20"/>
          <w:lang w:val="en-US" w:eastAsia="en-US" w:bidi="ar-SA"/>
        </w:rPr>
        <w:t>, the Court of Appeal discussed the interpretation of a grant of easement, noting at paras. 23 and 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As the chambers judge recognized at para. 11 by citing </w:t>
      </w:r>
      <w:r>
        <w:rPr>
          <w:rFonts w:ascii="arial" w:eastAsia="arial" w:hAnsi="arial" w:cs="arial"/>
          <w:i/>
          <w:color w:val="000000"/>
          <w:sz w:val="20"/>
          <w:lang w:val="en-US" w:eastAsia="en-US" w:bidi="ar-SA"/>
        </w:rPr>
        <w:t>Community Marine Concepts Ltd. v. The Owners, Strata Plan VIS1889</w:t>
      </w:r>
      <w:r>
        <w:rPr>
          <w:rFonts w:ascii="arial" w:eastAsia="arial" w:hAnsi="arial" w:cs="arial"/>
          <w:color w:val="000000"/>
          <w:sz w:val="20"/>
          <w:lang w:val="en-US" w:eastAsia="en-US" w:bidi="ar-SA"/>
        </w:rPr>
        <w:t xml:space="preserve">, </w:t>
      </w:r>
      <w:hyperlink r:id="rId68" w:history="1">
        <w:r>
          <w:rPr>
            <w:rFonts w:ascii="arial" w:eastAsia="arial" w:hAnsi="arial" w:cs="arial"/>
            <w:i/>
            <w:color w:val="0077CC"/>
            <w:sz w:val="20"/>
            <w:u w:val="single"/>
            <w:shd w:val="clear" w:color="auto" w:fill="FFFFFF"/>
            <w:lang w:val="en-US" w:eastAsia="en-US" w:bidi="ar-SA"/>
          </w:rPr>
          <w:t>2012 BCSC 1384</w:t>
        </w:r>
      </w:hyperlink>
      <w:r>
        <w:rPr>
          <w:rFonts w:ascii="arial" w:eastAsia="arial" w:hAnsi="arial" w:cs="arial"/>
          <w:color w:val="000000"/>
          <w:sz w:val="20"/>
          <w:lang w:val="en-US" w:eastAsia="en-US" w:bidi="ar-SA"/>
        </w:rPr>
        <w:t xml:space="preserve">, in interpreting a grant of an easement, a court must look to the plain language of the grant and will only consider the circumstances surrounding its creation where (a) there is an ambiguity in the wording or (b) the circumstances demonstrate that both parties could not have intended a particular use of the easement that is authorized by the wording of the document: </w:t>
      </w:r>
      <w:r>
        <w:rPr>
          <w:rFonts w:ascii="arial" w:eastAsia="arial" w:hAnsi="arial" w:cs="arial"/>
          <w:i/>
          <w:color w:val="000000"/>
          <w:sz w:val="20"/>
          <w:lang w:val="en-US" w:eastAsia="en-US" w:bidi="ar-SA"/>
        </w:rPr>
        <w:t>Granfield v. Cowichan Valley (Regional District)</w:t>
      </w:r>
      <w:r>
        <w:rPr>
          <w:rFonts w:ascii="arial" w:eastAsia="arial" w:hAnsi="arial" w:cs="arial"/>
          <w:color w:val="000000"/>
          <w:sz w:val="20"/>
          <w:lang w:val="en-US" w:eastAsia="en-US" w:bidi="ar-SA"/>
        </w:rPr>
        <w:t xml:space="preserve"> </w:t>
      </w:r>
      <w:hyperlink r:id="rId69" w:history="1">
        <w:r>
          <w:rPr>
            <w:rFonts w:ascii="arial" w:eastAsia="arial" w:hAnsi="arial" w:cs="arial"/>
            <w:i/>
            <w:color w:val="0077CC"/>
            <w:sz w:val="20"/>
            <w:u w:val="single"/>
            <w:shd w:val="clear" w:color="auto" w:fill="FFFFFF"/>
            <w:lang w:val="en-US" w:eastAsia="en-US" w:bidi="ar-SA"/>
          </w:rPr>
          <w:t>(1996), 16 B.C.L.R. (3d) 382</w:t>
        </w:r>
      </w:hyperlink>
      <w:r>
        <w:rPr>
          <w:rFonts w:ascii="arial" w:eastAsia="arial" w:hAnsi="arial" w:cs="arial"/>
          <w:color w:val="000000"/>
          <w:sz w:val="20"/>
          <w:lang w:val="en-US" w:eastAsia="en-US" w:bidi="ar-SA"/>
        </w:rPr>
        <w:t xml:space="preserve"> at paras. 20-21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In my view, it is helpful to examine the nature of the grant with reference to both its wording and the relevant legal principles that the drafter would have understood when the grant was made, in order to consider whether there is any ambiguity in its 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At para. 29, the Court went on to note: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respect to the operative terms, it was and is an established principle that the use for which an easement was intended at the time of the grant is not a surrounding circumstance that establishes an objective common intention that an easement would not be put to any other use in the future: </w:t>
      </w:r>
      <w:r>
        <w:rPr>
          <w:rFonts w:ascii="arial" w:eastAsia="arial" w:hAnsi="arial" w:cs="arial"/>
          <w:i/>
          <w:color w:val="000000"/>
          <w:sz w:val="20"/>
          <w:lang w:val="en-US" w:eastAsia="en-US" w:bidi="ar-SA"/>
        </w:rPr>
        <w:t>Granfield</w:t>
      </w:r>
      <w:r>
        <w:rPr>
          <w:rFonts w:ascii="arial" w:eastAsia="arial" w:hAnsi="arial" w:cs="arial"/>
          <w:color w:val="000000"/>
          <w:sz w:val="20"/>
          <w:lang w:val="en-US" w:eastAsia="en-US" w:bidi="ar-SA"/>
        </w:rPr>
        <w:t xml:space="preserve"> at paras. 20-21, citing </w:t>
      </w:r>
      <w:r>
        <w:rPr>
          <w:rFonts w:ascii="arial" w:eastAsia="arial" w:hAnsi="arial" w:cs="arial"/>
          <w:i/>
          <w:color w:val="000000"/>
          <w:sz w:val="20"/>
          <w:lang w:val="en-US" w:eastAsia="en-US" w:bidi="ar-SA"/>
        </w:rPr>
        <w:t>White v. Grand Hotel, Eastbourne, Limited</w:t>
      </w:r>
      <w:r>
        <w:rPr>
          <w:rFonts w:ascii="arial" w:eastAsia="arial" w:hAnsi="arial" w:cs="arial"/>
          <w:color w:val="000000"/>
          <w:sz w:val="20"/>
          <w:lang w:val="en-US" w:eastAsia="en-US" w:bidi="ar-SA"/>
        </w:rPr>
        <w:t xml:space="preserve">, [1913] 1 Ch. 113 (C.A.). A general grant of access was just that. Limitations on use or circumstances in which a grant would terminate required express language: </w:t>
      </w:r>
      <w:r>
        <w:rPr>
          <w:rFonts w:ascii="arial" w:eastAsia="arial" w:hAnsi="arial" w:cs="arial"/>
          <w:i/>
          <w:color w:val="000000"/>
          <w:sz w:val="20"/>
          <w:lang w:val="en-US" w:eastAsia="en-US" w:bidi="ar-SA"/>
        </w:rPr>
        <w:t>Grand Hotel</w:t>
      </w:r>
      <w:r>
        <w:rPr>
          <w:rFonts w:ascii="arial" w:eastAsia="arial" w:hAnsi="arial" w:cs="arial"/>
          <w:color w:val="000000"/>
          <w:sz w:val="20"/>
          <w:lang w:val="en-US" w:eastAsia="en-US" w:bidi="ar-SA"/>
        </w:rPr>
        <w:t xml:space="preserve"> at 116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Cozens-Hardy M.R.). Moreover, ambiguity in a grant would be interpreted in favour of the grantee: </w:t>
      </w:r>
      <w:r>
        <w:rPr>
          <w:rFonts w:ascii="arial" w:eastAsia="arial" w:hAnsi="arial" w:cs="arial"/>
          <w:i/>
          <w:color w:val="000000"/>
          <w:sz w:val="20"/>
          <w:lang w:val="en-US" w:eastAsia="en-US" w:bidi="ar-SA"/>
        </w:rPr>
        <w:t>Williams v. James</w:t>
      </w:r>
      <w:r>
        <w:rPr>
          <w:rFonts w:ascii="arial" w:eastAsia="arial" w:hAnsi="arial" w:cs="arial"/>
          <w:color w:val="000000"/>
          <w:sz w:val="20"/>
          <w:lang w:val="en-US" w:eastAsia="en-US" w:bidi="ar-SA"/>
        </w:rPr>
        <w:t xml:space="preserve"> (1867), L.R. 2 C.P. 577 at 581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Willes J.); see also John Leybourn Goddard, </w:t>
      </w:r>
      <w:r>
        <w:rPr>
          <w:rFonts w:ascii="arial" w:eastAsia="arial" w:hAnsi="arial" w:cs="arial"/>
          <w:i/>
          <w:color w:val="000000"/>
          <w:sz w:val="20"/>
          <w:lang w:val="en-US" w:eastAsia="en-US" w:bidi="ar-SA"/>
        </w:rPr>
        <w:t>Gale on Easements</w:t>
      </w:r>
      <w:r>
        <w:rPr>
          <w:rFonts w:ascii="arial" w:eastAsia="arial" w:hAnsi="arial" w:cs="arial"/>
          <w:color w:val="000000"/>
          <w:sz w:val="20"/>
          <w:lang w:val="en-US" w:eastAsia="en-US" w:bidi="ar-SA"/>
        </w:rPr>
        <w:t xml:space="preserve">, 8th ed. (London: Stevens and Sons, Limited, 1921) at 342; Edward Douglas Armour, K.C., </w:t>
      </w:r>
      <w:r>
        <w:rPr>
          <w:rFonts w:ascii="arial" w:eastAsia="arial" w:hAnsi="arial" w:cs="arial"/>
          <w:i/>
          <w:color w:val="000000"/>
          <w:sz w:val="20"/>
          <w:lang w:val="en-US" w:eastAsia="en-US" w:bidi="ar-SA"/>
        </w:rPr>
        <w:t>Armour on Real Property</w:t>
      </w:r>
      <w:r>
        <w:rPr>
          <w:rFonts w:ascii="arial" w:eastAsia="arial" w:hAnsi="arial" w:cs="arial"/>
          <w:color w:val="000000"/>
          <w:sz w:val="20"/>
          <w:lang w:val="en-US" w:eastAsia="en-US" w:bidi="ar-SA"/>
        </w:rPr>
        <w:t>, 2nd ed. (Toronto: Canada Law Book Company, 1916) at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In my opinion, the plain language of the easement in this case provides notice to subsequent owners of the impairment of their riparian rights. The grant to the Province included "her heirs and assigns and her and their agents, servants and workmen". The grant was for a right of way in perpetuity over the Property subject to the provisos in the document. The purpose of the easement is set out as the construction of a footpath and other works incidental to the </w:t>
      </w:r>
      <w:r>
        <w:rPr>
          <w:rFonts w:ascii="arial" w:eastAsia="arial" w:hAnsi="arial" w:cs="arial"/>
          <w:color w:val="000000"/>
          <w:sz w:val="20"/>
          <w:u w:val="single"/>
          <w:lang w:val="en-US" w:eastAsia="en-US" w:bidi="ar-SA"/>
        </w:rPr>
        <w:t>operation of wharfage facilities appurtenant to the lands owned the Grantee hereinbefore described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The registered easement provides for a right of way in perpetuity, provided that, if and whenever, </w:t>
      </w:r>
      <w:r>
        <w:rPr>
          <w:rFonts w:ascii="arial" w:eastAsia="arial" w:hAnsi="arial" w:cs="arial"/>
          <w:color w:val="000000"/>
          <w:sz w:val="20"/>
          <w:u w:val="single"/>
          <w:lang w:val="en-US" w:eastAsia="en-US" w:bidi="ar-SA"/>
        </w:rPr>
        <w:t>the operation of wharfage facilities is discontinued the right of way and all the rights incidental thereto and hereby granted shall cease and determine</w:t>
      </w:r>
      <w:r>
        <w:rPr>
          <w:rFonts w:ascii="arial" w:eastAsia="arial" w:hAnsi="arial" w:cs="arial"/>
          <w:color w:val="000000"/>
          <w:sz w:val="20"/>
          <w:lang w:val="en-US" w:eastAsia="en-US" w:bidi="ar-SA"/>
        </w:rPr>
        <w:t>. The Province is responsible for keeping the right-of-way in proper repair and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It is apparent from the plain language of the grant that it provides for a right of way between Horton Bay Road and the wharfage facilities located in water lot 431. The explanatory plan attached clearly states that the right of way depicted is "required for access to the federal government landing".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The plaintiff asserts the defendants' conduct in seeking its approval for the infringement of its riparian rights is evidence that the defendants recognized the registered easement did not allow the ongoing operation of the wharf facility. However, as stated in </w:t>
      </w:r>
      <w:r>
        <w:rPr>
          <w:rFonts w:ascii="arial" w:eastAsia="arial" w:hAnsi="arial" w:cs="arial"/>
          <w:i/>
          <w:color w:val="000000"/>
          <w:sz w:val="20"/>
          <w:lang w:val="en-US" w:eastAsia="en-US" w:bidi="ar-SA"/>
        </w:rPr>
        <w:t>Robinson v. Pipito,</w:t>
      </w:r>
      <w:r>
        <w:rPr>
          <w:rFonts w:ascii="arial" w:eastAsia="arial" w:hAnsi="arial" w:cs="arial"/>
          <w:color w:val="000000"/>
          <w:sz w:val="20"/>
          <w:lang w:val="en-US" w:eastAsia="en-US" w:bidi="ar-SA"/>
        </w:rPr>
        <w:t xml:space="preserve"> </w:t>
      </w:r>
      <w:hyperlink r:id="rId70" w:history="1">
        <w:r>
          <w:rPr>
            <w:rFonts w:ascii="arial" w:eastAsia="arial" w:hAnsi="arial" w:cs="arial"/>
            <w:i/>
            <w:color w:val="0077CC"/>
            <w:sz w:val="20"/>
            <w:u w:val="single"/>
            <w:shd w:val="clear" w:color="auto" w:fill="FFFFFF"/>
            <w:lang w:val="en-US" w:eastAsia="en-US" w:bidi="ar-SA"/>
          </w:rPr>
          <w:t>2014 BCCA 200</w:t>
        </w:r>
      </w:hyperlink>
      <w:r>
        <w:rPr>
          <w:rFonts w:ascii="arial" w:eastAsia="arial" w:hAnsi="arial" w:cs="arial"/>
          <w:color w:val="000000"/>
          <w:sz w:val="20"/>
          <w:lang w:val="en-US" w:eastAsia="en-US" w:bidi="ar-SA"/>
        </w:rPr>
        <w:t xml:space="preserve"> at para. 20, conduct of the parties is not determinative: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Every easement will, to some extent, exclude the servient owner from the property and prevent the servient owner from exercising some proprietary rights over the property reserved for the easement. The degree of occupation or possession, and the question whether that degree of occupation or possession is compatible with the existence of an easement, should be governed by the document conceding the grant. The conduct of the parties in the purported exercise of the rights granted under the easement is not helpful as a guide to interpreting the document; they may misapprehend their legal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While the plaintiff asserts there is no express wording in the registered easement indicating it is intended to affect rights over foreshore, the registered easement granted by Mr. Pratt is expressly made for the benefit of and appurtenant to water lot 431, and specifically states it is to provide the grantee with free and uninterrupted right of way to the water lot. In other words, the dominant tenement is water and foreshore lands, and is distinguishable as a result from </w:t>
      </w:r>
      <w:r>
        <w:rPr>
          <w:rFonts w:ascii="arial" w:eastAsia="arial" w:hAnsi="arial" w:cs="arial"/>
          <w:i/>
          <w:color w:val="000000"/>
          <w:sz w:val="20"/>
          <w:lang w:val="en-US" w:eastAsia="en-US" w:bidi="ar-SA"/>
        </w:rPr>
        <w:t>Weisner v. Blades</w:t>
      </w:r>
      <w:r>
        <w:rPr>
          <w:rFonts w:ascii="arial" w:eastAsia="arial" w:hAnsi="arial" w:cs="arial"/>
          <w:color w:val="000000"/>
          <w:sz w:val="20"/>
          <w:lang w:val="en-US" w:eastAsia="en-US" w:bidi="ar-SA"/>
        </w:rPr>
        <w:t xml:space="preserve">, </w:t>
      </w:r>
      <w:hyperlink r:id="rId71" w:history="1">
        <w:r>
          <w:rPr>
            <w:rFonts w:ascii="arial" w:eastAsia="arial" w:hAnsi="arial" w:cs="arial"/>
            <w:i/>
            <w:color w:val="0077CC"/>
            <w:sz w:val="20"/>
            <w:u w:val="single"/>
            <w:shd w:val="clear" w:color="auto" w:fill="FFFFFF"/>
            <w:lang w:val="en-US" w:eastAsia="en-US" w:bidi="ar-SA"/>
          </w:rPr>
          <w:t>[1985] B.C.J. No. 182</w:t>
        </w:r>
      </w:hyperlink>
      <w:r>
        <w:rPr>
          <w:rFonts w:ascii="arial" w:eastAsia="arial" w:hAnsi="arial" w:cs="arial"/>
          <w:color w:val="000000"/>
          <w:sz w:val="20"/>
          <w:lang w:val="en-US" w:eastAsia="en-US" w:bidi="ar-SA"/>
        </w:rPr>
        <w:t xml:space="preserve"> (S.C.), the case relied on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As the upland owner adjacent to the proposed public harbour, Mr. Pratt authorized all the facilities and burdens on his property rights that were necessary to allow the construction and operation of the wharfage facility in the water lot. This included construction of the pathway, construction of those components of the wharf that needed to be connected to the upland, access via the pathway to the near-by public road, and the on-going presence and operation of the wharf in front of his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plaintiff has provided no authority for its proposition that waiver of riparian rights can only occur as a result of a statutory right of way. The plaintiff relies on a statutory right of way dated 1989, which is attached to the publication, "Riparian Rights of Access to Water: Private Rights and Public Policy" by J. Martin Kyle (1997), as an example of the sort of registered charge that would effectively waives riparian rights. However, it is my view that a document drafted almost 30 years after the easement in issue for a different property does not provide assistance in interpreting the easement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Finally, even if I were to accept the argument that the easement in issue is a statutory easement, the easement is being used in accordance with the instrument creating it. The easement is providing right of way between the Horton Bay harbour public wharf and Horton Bay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 agree with Canada and the CRD that explicit listing of each and every right granted was not required. It is well established that the grant of an easement includes such ancillary rights as are necessary to enjoy the benefit of that easement.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As stated by the authors in </w:t>
      </w:r>
      <w:r>
        <w:rPr>
          <w:rFonts w:ascii="arial" w:eastAsia="arial" w:hAnsi="arial" w:cs="arial"/>
          <w:i/>
          <w:color w:val="000000"/>
          <w:sz w:val="20"/>
          <w:lang w:val="en-US" w:eastAsia="en-US" w:bidi="ar-SA"/>
        </w:rPr>
        <w:t>Gale on Easements,</w:t>
      </w:r>
      <w:r>
        <w:rPr>
          <w:rFonts w:ascii="arial" w:eastAsia="arial" w:hAnsi="arial" w:cs="arial"/>
          <w:color w:val="000000"/>
          <w:sz w:val="20"/>
          <w:lang w:val="en-US" w:eastAsia="en-US" w:bidi="ar-SA"/>
        </w:rPr>
        <w:t xml:space="preserve"> 17th ed., (London: Sweet and Maxwell, 2002) at 47: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grant of an easement is also the grant of such ancillary rights as are reasonably necessary to its exercise or enjoyment. Where the use of a thing is granted, everything is granted by which the grantee may have and enjoy such use. The ancillary right arises because it is necessary for the enjoyment of the right expressly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MacKenzie v. Matthews</w:t>
      </w:r>
      <w:r>
        <w:rPr>
          <w:rFonts w:ascii="arial" w:eastAsia="arial" w:hAnsi="arial" w:cs="arial"/>
          <w:color w:val="000000"/>
          <w:sz w:val="20"/>
          <w:lang w:val="en-US" w:eastAsia="en-US" w:bidi="ar-SA"/>
        </w:rPr>
        <w:t xml:space="preserve">, </w:t>
      </w:r>
      <w:hyperlink r:id="rId72" w:history="1">
        <w:r>
          <w:rPr>
            <w:rFonts w:ascii="arial" w:eastAsia="arial" w:hAnsi="arial" w:cs="arial"/>
            <w:i/>
            <w:color w:val="0077CC"/>
            <w:sz w:val="20"/>
            <w:u w:val="single"/>
            <w:shd w:val="clear" w:color="auto" w:fill="FFFFFF"/>
            <w:lang w:val="en-US" w:eastAsia="en-US" w:bidi="ar-SA"/>
          </w:rPr>
          <w:t>(1999) 46 O.R. (3d) 21</w:t>
        </w:r>
      </w:hyperlink>
      <w:r>
        <w:rPr>
          <w:rFonts w:ascii="arial" w:eastAsia="arial" w:hAnsi="arial" w:cs="arial"/>
          <w:color w:val="000000"/>
          <w:sz w:val="20"/>
          <w:lang w:val="en-US" w:eastAsia="en-US" w:bidi="ar-SA"/>
        </w:rPr>
        <w:t xml:space="preserve"> (C.A.), the Ontario Court of Appeal discussed ancillary rights in the context of a right of way accessing an island, and determined that the installation and maintenance of a dock was an ancillary right that is reasonably necessary to the use of the easement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my opinion, when the language of the registered easement is considered in accordance with the applicable legal principles that govern the interpretation of registered charges, the only reasonable interpretation is that the easement authorizes the operation of a public harbour comprising a wharf and a footpath, including the impairment of the plaintiff's riparian rights where the wharf meets the upland property. The wording of the grant gives the right to the Province and its assigns a right of way for the purpose of accessing the public wharf.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reading suggested by the plaintiff, namely, that it provides for construction of the footpath and other works, but does not secure any riparian rights so as to allow for the ongoing operation of the wharfage facilities, does accord in any way with the purpose of the easement, which was to provide a free and uninterrupted right of way from Horton Bay Road to the wharf until the operation of the wharfage facilities was discontinued. Nor is the reading suggested by the plaintiff that the use of the easement is limited to the Province, its workmen and fishermen, consistent with the wording of the grant which is broader and refers to the Province and its heirs and assigns and agents, and her and their agents, servants and workmen.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The phrase "that if and whenever the operation of the said wharfage is discontinued, </w:t>
      </w:r>
      <w:r>
        <w:rPr>
          <w:rFonts w:ascii="arial" w:eastAsia="arial" w:hAnsi="arial" w:cs="arial"/>
          <w:color w:val="000000"/>
          <w:sz w:val="20"/>
          <w:u w:val="single"/>
          <w:lang w:val="en-US" w:eastAsia="en-US" w:bidi="ar-SA"/>
        </w:rPr>
        <w:t>the said right-of-way and all rights incidental thereto and hereby granted</w:t>
      </w:r>
      <w:r>
        <w:rPr>
          <w:rFonts w:ascii="arial" w:eastAsia="arial" w:hAnsi="arial" w:cs="arial"/>
          <w:color w:val="000000"/>
          <w:sz w:val="20"/>
          <w:lang w:val="en-US" w:eastAsia="en-US" w:bidi="ar-SA"/>
        </w:rPr>
        <w:t xml:space="preserve"> shall cease and determine" is inconsistent with a narrow grant authorizing construction of a "footpath" and "works" and nothing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Having considered the principles of interpretation set out in the case law and the authorities provided by the parties, it is my opinion the appropriate interpretation is that the registered easement was intended to provide all such rights that were required to allow for the construction and continuing operation of the wharfage facility. In my view, "all rights incidental thereto" includes impairment to the upland property's riparian rights as an incidental and/or ancillary right that is reasonably necessary to the use of the easement to access the wharf from Horton Bay Road and to allow the wharf's continued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Canada and the CRD assert that an incidental and/or ancillary right to park vehicles on the side of Horton Bay Road, within a reasonable distance from Horton Bay harbour, is reasonably necessary to the comfortable exercise and enjoyment of the rights granted in the registered easement.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There is no dispute that vehicular access is necessary for the reasonable use and operation of the wharf, which is situated several kilometers outside the village and the nearest store, and is not connected by public transportation. Users of the wharf testified of the need and practice of parking vehicles on the side of Horton Bay Road in order to reasonably use the facility. Ms. Buchholz agreed that people would have to walk half a kilometer or further if they could not park their vehicles on the side of Horton Bay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documents make it clear that vehicular access was contemplated by the parties at the time of the grant. In his letter of June 1959, Mr. Walkey of Public Works wrote to BC Highways noting that a "turnabout area approximately 23 ft. by 30 ft. would also be required near the start of the proposed approach". Further, a Public Works Wharf Inspection Report from May 1960 indicates that Public Works understood that the provincial road foreman would install fill for a "car turnaround beside road at head of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Canada and the CRD rely on </w:t>
      </w:r>
      <w:r>
        <w:rPr>
          <w:rFonts w:ascii="arial" w:eastAsia="arial" w:hAnsi="arial" w:cs="arial"/>
          <w:i/>
          <w:color w:val="000000"/>
          <w:sz w:val="20"/>
          <w:lang w:val="en-US" w:eastAsia="en-US" w:bidi="ar-SA"/>
        </w:rPr>
        <w:t>MacKenzie</w:t>
      </w:r>
      <w:r>
        <w:rPr>
          <w:rFonts w:ascii="arial" w:eastAsia="arial" w:hAnsi="arial" w:cs="arial"/>
          <w:color w:val="000000"/>
          <w:sz w:val="20"/>
          <w:lang w:val="en-US" w:eastAsia="en-US" w:bidi="ar-SA"/>
        </w:rPr>
        <w:t xml:space="preserve">, for the proposition that parking is an ancillary right. The Court in </w:t>
      </w:r>
      <w:r>
        <w:rPr>
          <w:rFonts w:ascii="arial" w:eastAsia="arial" w:hAnsi="arial" w:cs="arial"/>
          <w:i/>
          <w:color w:val="000000"/>
          <w:sz w:val="20"/>
          <w:lang w:val="en-US" w:eastAsia="en-US" w:bidi="ar-SA"/>
        </w:rPr>
        <w:t>MacKenzie</w:t>
      </w:r>
      <w:r>
        <w:rPr>
          <w:rFonts w:ascii="arial" w:eastAsia="arial" w:hAnsi="arial" w:cs="arial"/>
          <w:color w:val="000000"/>
          <w:sz w:val="20"/>
          <w:lang w:val="en-US" w:eastAsia="en-US" w:bidi="ar-SA"/>
        </w:rPr>
        <w:t xml:space="preserve"> held the parking of vehicles while users enjoy access to the islands was "an ancillary right reasonably necessary to the use and enjoyment of the easement" because the right of way was designed to provide access to the islands, and users of the right of way had to arrive in vehicles that they could not transport to the islands. In </w:t>
      </w:r>
      <w:r>
        <w:rPr>
          <w:rFonts w:ascii="arial" w:eastAsia="arial" w:hAnsi="arial" w:cs="arial"/>
          <w:i/>
          <w:color w:val="000000"/>
          <w:sz w:val="20"/>
          <w:lang w:val="en-US" w:eastAsia="en-US" w:bidi="ar-SA"/>
        </w:rPr>
        <w:t>MacKenzie</w:t>
      </w:r>
      <w:r>
        <w:rPr>
          <w:rFonts w:ascii="arial" w:eastAsia="arial" w:hAnsi="arial" w:cs="arial"/>
          <w:color w:val="000000"/>
          <w:sz w:val="20"/>
          <w:lang w:val="en-US" w:eastAsia="en-US" w:bidi="ar-SA"/>
        </w:rPr>
        <w:t>, the proposed parking was on the registered easement, not on property outside the easement.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The defendants rely on </w:t>
      </w:r>
      <w:r>
        <w:rPr>
          <w:rFonts w:ascii="arial" w:eastAsia="arial" w:hAnsi="arial" w:cs="arial"/>
          <w:i/>
          <w:color w:val="000000"/>
          <w:sz w:val="20"/>
          <w:lang w:val="en-US" w:eastAsia="en-US" w:bidi="ar-SA"/>
        </w:rPr>
        <w:t>Moncrieff v. Jamieson</w:t>
      </w:r>
      <w:r>
        <w:rPr>
          <w:rFonts w:ascii="arial" w:eastAsia="arial" w:hAnsi="arial" w:cs="arial"/>
          <w:color w:val="000000"/>
          <w:sz w:val="20"/>
          <w:lang w:val="en-US" w:eastAsia="en-US" w:bidi="ar-SA"/>
        </w:rPr>
        <w:t xml:space="preserve">, [2007] UKHL 42, in which the House of Lords discussed the accessory right to park vehicles on the servient tenement. In </w:t>
      </w:r>
      <w:r>
        <w:rPr>
          <w:rFonts w:ascii="arial" w:eastAsia="arial" w:hAnsi="arial" w:cs="arial"/>
          <w:i/>
          <w:color w:val="000000"/>
          <w:sz w:val="20"/>
          <w:lang w:val="en-US" w:eastAsia="en-US" w:bidi="ar-SA"/>
        </w:rPr>
        <w:t>Moncrieff</w:t>
      </w:r>
      <w:r>
        <w:rPr>
          <w:rFonts w:ascii="arial" w:eastAsia="arial" w:hAnsi="arial" w:cs="arial"/>
          <w:color w:val="000000"/>
          <w:sz w:val="20"/>
          <w:lang w:val="en-US" w:eastAsia="en-US" w:bidi="ar-SA"/>
        </w:rPr>
        <w:t>, the dominant tenement lay at the foot of a steep escarpment close to its boundaries with another property. Vehicles could not be driven on to the dominant tenement. The owner of the servient tenant conceded that some ancillary rights had to be implied given the use that might reasonably have been expected of the right of access. The right to stop and turn a vehicle and to unload and load goods and passengers from it on the servient tenement was conceded as being obviously necessary. However, the owner of the servient tenement took the position that the driver has no right to park his vehicle on the servient tenement. The court noted that would require the driver to leave the servient tenement after dropping off any goods or passengers and park their car elsewhere, and walk back and forth to their vehicle. The nearest point vehicles could be parked was 150 yards away with a steep descent or climb in exposed country. The court found that in those particular and unusual circumstances, the rights ancillary to the express grant of access in favour of the dominant tenement included a right to park vehicles on the servient tenement.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The plaintiff asserts that the B.C. Court of Appeal makes it clear that there is no right to park in an access easement in </w:t>
      </w:r>
      <w:r>
        <w:rPr>
          <w:rFonts w:ascii="arial" w:eastAsia="arial" w:hAnsi="arial" w:cs="arial"/>
          <w:i/>
          <w:color w:val="000000"/>
          <w:sz w:val="20"/>
          <w:lang w:val="en-US" w:eastAsia="en-US" w:bidi="ar-SA"/>
        </w:rPr>
        <w:t>Banville v. White</w:t>
      </w:r>
      <w:r>
        <w:rPr>
          <w:rFonts w:ascii="arial" w:eastAsia="arial" w:hAnsi="arial" w:cs="arial"/>
          <w:color w:val="000000"/>
          <w:sz w:val="20"/>
          <w:lang w:val="en-US" w:eastAsia="en-US" w:bidi="ar-SA"/>
        </w:rPr>
        <w:t xml:space="preserve">, </w:t>
      </w:r>
      <w:hyperlink r:id="rId73" w:history="1">
        <w:r>
          <w:rPr>
            <w:rFonts w:ascii="arial" w:eastAsia="arial" w:hAnsi="arial" w:cs="arial"/>
            <w:i/>
            <w:color w:val="0077CC"/>
            <w:sz w:val="20"/>
            <w:u w:val="single"/>
            <w:shd w:val="clear" w:color="auto" w:fill="FFFFFF"/>
            <w:lang w:val="en-US" w:eastAsia="en-US" w:bidi="ar-SA"/>
          </w:rPr>
          <w:t>2002 BCCA 239</w:t>
        </w:r>
      </w:hyperlink>
      <w:r>
        <w:rPr>
          <w:rFonts w:ascii="arial" w:eastAsia="arial" w:hAnsi="arial" w:cs="arial"/>
          <w:color w:val="000000"/>
          <w:sz w:val="20"/>
          <w:lang w:val="en-US" w:eastAsia="en-US" w:bidi="ar-SA"/>
        </w:rPr>
        <w:t xml:space="preserve"> at para. 43-49. In </w:t>
      </w:r>
      <w:r>
        <w:rPr>
          <w:rFonts w:ascii="arial" w:eastAsia="arial" w:hAnsi="arial" w:cs="arial"/>
          <w:i/>
          <w:color w:val="000000"/>
          <w:sz w:val="20"/>
          <w:lang w:val="en-US" w:eastAsia="en-US" w:bidi="ar-SA"/>
        </w:rPr>
        <w:t>Banville</w:t>
      </w:r>
      <w:r>
        <w:rPr>
          <w:rFonts w:ascii="arial" w:eastAsia="arial" w:hAnsi="arial" w:cs="arial"/>
          <w:color w:val="000000"/>
          <w:sz w:val="20"/>
          <w:lang w:val="en-US" w:eastAsia="en-US" w:bidi="ar-SA"/>
        </w:rPr>
        <w:t xml:space="preserve">, the court adopted the statement in </w:t>
      </w:r>
      <w:r>
        <w:rPr>
          <w:rFonts w:ascii="arial" w:eastAsia="arial" w:hAnsi="arial" w:cs="arial"/>
          <w:i/>
          <w:color w:val="000000"/>
          <w:sz w:val="20"/>
          <w:lang w:val="en-US" w:eastAsia="en-US" w:bidi="ar-SA"/>
        </w:rPr>
        <w:t>Brundrett v. Muckle</w:t>
      </w:r>
      <w:r>
        <w:rPr>
          <w:rFonts w:ascii="arial" w:eastAsia="arial" w:hAnsi="arial" w:cs="arial"/>
          <w:color w:val="000000"/>
          <w:sz w:val="20"/>
          <w:lang w:val="en-US" w:eastAsia="en-US" w:bidi="ar-SA"/>
        </w:rPr>
        <w:t xml:space="preserve">, </w:t>
      </w:r>
      <w:hyperlink r:id="rId74" w:history="1">
        <w:r>
          <w:rPr>
            <w:rFonts w:ascii="arial" w:eastAsia="arial" w:hAnsi="arial" w:cs="arial"/>
            <w:i/>
            <w:color w:val="0077CC"/>
            <w:sz w:val="20"/>
            <w:u w:val="single"/>
            <w:shd w:val="clear" w:color="auto" w:fill="FFFFFF"/>
            <w:lang w:val="en-US" w:eastAsia="en-US" w:bidi="ar-SA"/>
          </w:rPr>
          <w:t>[1997] B.C.J. No. 1585</w:t>
        </w:r>
      </w:hyperlink>
      <w:r>
        <w:rPr>
          <w:rFonts w:ascii="arial" w:eastAsia="arial" w:hAnsi="arial" w:cs="arial"/>
          <w:color w:val="000000"/>
          <w:sz w:val="20"/>
          <w:lang w:val="en-US" w:eastAsia="en-US" w:bidi="ar-SA"/>
        </w:rPr>
        <w:t xml:space="preserve"> (C.A.), that the right to cross over an easement area does not carry with it a right of parking, noting parking areas may be reasonably incidental, but were not necessarily ancillary to the kind of grant made in that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 agree with the defendants that not allowing reasonable parking along Horton Bay Road would substantially defeat the purpose of the easement and make the wharf dramatically less useful to the people of Mayne Island. The evidence is that this is a rural area and there is no public transit to the Horton Bay harbour public wharf facility and no parking available nearby apart from on the side of Horton Bay Road. The nearest place parking is available is 1.5 kilometres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Since the time the easement was registered in 1960 persons using the wharf have been parking on the side of Horton Bay Road when accessing the wharfage facilities. The easement specifically refers to the operation of the wharf in connection with the right of way and "all rights incidental thereto".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While, I agree that the authorities do not support a finding that parking is an ancillary right to the right of easement in the majority of cases, this case is unusual in that there is no parking available within 1.5 kilometres of the wharf. In my view, this is a situation akin to that in </w:t>
      </w:r>
      <w:r>
        <w:rPr>
          <w:rFonts w:ascii="arial" w:eastAsia="arial" w:hAnsi="arial" w:cs="arial"/>
          <w:i/>
          <w:color w:val="000000"/>
          <w:sz w:val="20"/>
          <w:lang w:val="en-US" w:eastAsia="en-US" w:bidi="ar-SA"/>
        </w:rPr>
        <w:t>Moncrieff</w:t>
      </w:r>
      <w:r>
        <w:rPr>
          <w:rFonts w:ascii="arial" w:eastAsia="arial" w:hAnsi="arial" w:cs="arial"/>
          <w:color w:val="000000"/>
          <w:sz w:val="20"/>
          <w:lang w:val="en-US" w:eastAsia="en-US" w:bidi="ar-SA"/>
        </w:rPr>
        <w:t>, and rights ancillary to the express grant of access in favour of the wharfage facilities include a right of parking on the Horton Bay Road while accessing the wharf. As noted earlier, it was contemplated at the time of the grant that people accessing the wharf would use vehicles. Since the time the wharf began operating individuals accessing it have parked on their vehicles on the side of Horton Bay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my view, the ancillary right for reasonable parking on the side of Horton Bay road arises because it is necessary for the enjoyment of the right expressly granted, i.e. access to the public wharf located on water lot 431 from Horton Bay Road. In the unique circumstances of this case, I find that allowing individuals to park their vehicles along Horton Bay road while accessing the wharf facilities is a necessary ancillary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As noted earlier, the plaintiff asserts that, even if it were found that the registered easement authorized the breach of its riparian rights, a recent survey indicates that a small portion of the pathway and wharf structures were placed slightly north of the area described in the easement. The defendants take the position the discrepancy is minimal, however, they seek rectification of the discrepancy. Accordingly, I will next address the issue of rectification.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If the registered easement does not authorize the ongoing operation of the wharf facilities, should it be rectified?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plaintiff takes the position that rectification could not bind a third party purchaser for value like the plaintiff, or any owner after Mr. Pratt. The plaintiff asserts that, in any event, the equitable remedy of rectification cannot transform the registered easement into a waiver of riparian rights. Moreover, the plaintiff says the area covered by the easement is insufficient to prevent an interference with its riparian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The plaintiff says neither Canada nor the CRD have standing to claim rectification. The plaintiff asserts rectification is a remedy only available to the parties to a contract. The easement was negotiated between the Province and Mr. Pratt. The Province retains ownership of the dominant tenement. The plaintiff is the owner of the servient tenement. The plaintiff argues that as a result the Province is the only party who could claim rectification, and Canada and the CRD have no standing. In that regard, the plaintiff relies on </w:t>
      </w:r>
      <w:r>
        <w:rPr>
          <w:rFonts w:ascii="arial" w:eastAsia="arial" w:hAnsi="arial" w:cs="arial"/>
          <w:i/>
          <w:color w:val="000000"/>
          <w:sz w:val="20"/>
          <w:lang w:val="en-US" w:eastAsia="en-US" w:bidi="ar-SA"/>
        </w:rPr>
        <w:t>Drapeau v Heald</w:t>
      </w:r>
      <w:r>
        <w:rPr>
          <w:rFonts w:ascii="arial" w:eastAsia="arial" w:hAnsi="arial" w:cs="arial"/>
          <w:color w:val="000000"/>
          <w:sz w:val="20"/>
          <w:lang w:val="en-US" w:eastAsia="en-US" w:bidi="ar-SA"/>
        </w:rPr>
        <w:t xml:space="preserve">, </w:t>
      </w:r>
      <w:hyperlink r:id="rId75" w:history="1">
        <w:r>
          <w:rPr>
            <w:rFonts w:ascii="arial" w:eastAsia="arial" w:hAnsi="arial" w:cs="arial"/>
            <w:i/>
            <w:color w:val="0077CC"/>
            <w:sz w:val="20"/>
            <w:u w:val="single"/>
            <w:shd w:val="clear" w:color="auto" w:fill="FFFFFF"/>
            <w:lang w:val="en-US" w:eastAsia="en-US" w:bidi="ar-SA"/>
          </w:rPr>
          <w:t>[2006] O.J. No. 1147</w:t>
        </w:r>
      </w:hyperlink>
      <w:r>
        <w:rPr>
          <w:rFonts w:ascii="arial" w:eastAsia="arial" w:hAnsi="arial" w:cs="arial"/>
          <w:color w:val="000000"/>
          <w:sz w:val="20"/>
          <w:lang w:val="en-US" w:eastAsia="en-US" w:bidi="ar-SA"/>
        </w:rPr>
        <w:t xml:space="preserve"> (S.C.J.) at para 22; and </w:t>
      </w:r>
      <w:r>
        <w:rPr>
          <w:rFonts w:ascii="arial" w:eastAsia="arial" w:hAnsi="arial" w:cs="arial"/>
          <w:i/>
          <w:color w:val="000000"/>
          <w:sz w:val="20"/>
          <w:lang w:val="en-US" w:eastAsia="en-US" w:bidi="ar-SA"/>
        </w:rPr>
        <w:t>Gates v. Trainor,</w:t>
      </w:r>
      <w:r>
        <w:rPr>
          <w:rFonts w:ascii="arial" w:eastAsia="arial" w:hAnsi="arial" w:cs="arial"/>
          <w:color w:val="000000"/>
          <w:sz w:val="20"/>
          <w:lang w:val="en-US" w:eastAsia="en-US" w:bidi="ar-SA"/>
        </w:rPr>
        <w:t xml:space="preserve"> </w:t>
      </w:r>
      <w:hyperlink r:id="rId76" w:history="1">
        <w:r>
          <w:rPr>
            <w:rFonts w:ascii="arial" w:eastAsia="arial" w:hAnsi="arial" w:cs="arial"/>
            <w:i/>
            <w:color w:val="0077CC"/>
            <w:sz w:val="20"/>
            <w:u w:val="single"/>
            <w:shd w:val="clear" w:color="auto" w:fill="FFFFFF"/>
            <w:lang w:val="en-US" w:eastAsia="en-US" w:bidi="ar-SA"/>
          </w:rPr>
          <w:t>(1979) 23 Nfld. &amp; P.E.I.R. 331</w:t>
        </w:r>
      </w:hyperlink>
      <w:r>
        <w:rPr>
          <w:rFonts w:ascii="arial" w:eastAsia="arial" w:hAnsi="arial" w:cs="arial"/>
          <w:color w:val="000000"/>
          <w:sz w:val="20"/>
          <w:lang w:val="en-US" w:eastAsia="en-US" w:bidi="ar-SA"/>
        </w:rPr>
        <w:t xml:space="preserve"> (P.E.l.S.C.) at para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plaintiff takes the position that even if rectification were an available remedy the defendants do not meet the test for rectification. The party seeking rectification must show that:</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had a common continuing intention in respect of a particular matter in the instrument to be rectified;</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an outward expression of accord;</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intention continued at the time of the execution of the instrument sought to be rectified;</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mistake, the instrument did not reflect that common intention.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It is a remedy that is to be employed with significant caution: </w:t>
      </w:r>
      <w:r>
        <w:rPr>
          <w:rFonts w:ascii="arial" w:eastAsia="arial" w:hAnsi="arial" w:cs="arial"/>
          <w:i/>
          <w:color w:val="000000"/>
          <w:sz w:val="20"/>
          <w:lang w:val="en-US" w:eastAsia="en-US" w:bidi="ar-SA"/>
        </w:rPr>
        <w:t>Fraser v. Houston et al,</w:t>
      </w:r>
      <w:r>
        <w:rPr>
          <w:rFonts w:ascii="arial" w:eastAsia="arial" w:hAnsi="arial" w:cs="arial"/>
          <w:color w:val="000000"/>
          <w:sz w:val="20"/>
          <w:lang w:val="en-US" w:eastAsia="en-US" w:bidi="ar-SA"/>
        </w:rPr>
        <w:t xml:space="preserve"> </w:t>
      </w:r>
      <w:hyperlink r:id="rId77" w:history="1">
        <w:r>
          <w:rPr>
            <w:rFonts w:ascii="arial" w:eastAsia="arial" w:hAnsi="arial" w:cs="arial"/>
            <w:i/>
            <w:color w:val="0077CC"/>
            <w:sz w:val="20"/>
            <w:u w:val="single"/>
            <w:shd w:val="clear" w:color="auto" w:fill="FFFFFF"/>
            <w:lang w:val="en-US" w:eastAsia="en-US" w:bidi="ar-SA"/>
          </w:rPr>
          <w:t>2006 BCCA 66</w:t>
        </w:r>
      </w:hyperlink>
      <w:r>
        <w:rPr>
          <w:rFonts w:ascii="arial" w:eastAsia="arial" w:hAnsi="arial" w:cs="arial"/>
          <w:color w:val="000000"/>
          <w:sz w:val="20"/>
          <w:lang w:val="en-US" w:eastAsia="en-US" w:bidi="ar-SA"/>
        </w:rPr>
        <w:t xml:space="preserve"> paras. 26-30.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plaintiff points to the fact that rectification is restorative, not speculative. It is used to correct the situation where the parties settled on certain terms but have written them down incorrectly. The plaintiff asserts that the only evidence of what was actually agreed to is the written document and there is no evidence of any other meeting of the parties' minds.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Canada and CRD's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Canada and the CRD note any question related to Canada and the CRD's standing to seek rectification is moot given the fact that the Province is seeking rectification of the registered easement. Canada and the CRD support the Province's request for rectification.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Canada and the CRD take the position that if the registered easement cannot be construed as authorizing the operation of the wharf as a public facility and/or permitting reasonable parking along Horton Bay Road, the registered easement should be rectified to reflect such as that was the shared intention of Mr. Pratt and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Canada and the CRD concede that Mr. Robertson's survey suggests that a small portion of the pathway and wharf structures are outside the area defined in the registered easement. Canada and CRD ask that the registered easement be rectified so as to include the entire pathway and upland portions of the wharf structures in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Province's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Province takes the position that rectification is appropriate in this case because there is an ambiguity in the wording of the easement. The easement is granted "in perpetuity", yet ceases and determines when the wharfage facilities are no longer operational. However, the easement as drafted limits its purpose to the construction of the footpath and works incidental to the wharfage facilities, without making any express provision for the actual operation of the wharf.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As well, the Province seeks rectification of the easement to include the small area outside the area defined by the registered easement on which a portion of the pathway and wharf structures have been built.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Province asserts rectification is appropriate because the evidence establishes it was not the parties' agreement to limit the use of the easement to the Province, "her heirs and assigns and her and their agents, servants and workmen", or to limit the easement for the sole "purpose of constructing a footpath and other works incidental to the operation of the wharfage facilities". If the easement was intended solely for those persons and for that purpose, then it would frustrate the public's use of and access to what has at all times been a public wharfage facility.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Province seeks to rectify the easement to accurately reflect the agreement of the parties at the time it was made; that is, to allow the public to use the easement to gain access to the public wharf at Horton Bay. The Province has sought specific wording for the proposed rectification which it submits does not displace the priority scheme of the Torrens system.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Rectification is an equitable doctrine that allows the court to correct a written instrument that fails to accurately set out the contractual agreement that was actually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The plaintiff asserts that the combination of ss. 27 and 29 of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(formerly ss. 42 and 44 of the </w:t>
      </w:r>
      <w:r>
        <w:rPr>
          <w:rFonts w:ascii="arial" w:eastAsia="arial" w:hAnsi="arial" w:cs="arial"/>
          <w:i/>
          <w:color w:val="000000"/>
          <w:sz w:val="20"/>
          <w:lang w:val="en-US" w:eastAsia="en-US" w:bidi="ar-SA"/>
        </w:rPr>
        <w:t>Land Registry Act</w:t>
      </w:r>
      <w:r>
        <w:rPr>
          <w:rFonts w:ascii="arial" w:eastAsia="arial" w:hAnsi="arial" w:cs="arial"/>
          <w:color w:val="000000"/>
          <w:sz w:val="20"/>
          <w:lang w:val="en-US" w:eastAsia="en-US" w:bidi="ar-SA"/>
        </w:rPr>
        <w:t>, R.S.B.C. 1960, c. 208</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establish that, except where a purchaser has participated in a fraud, a purchaser for value is not affected by any notice of an unregistered interest. This includes barring a claim of rectification of an unregistered instrument negotiated with a prior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Banville v. White</w:t>
      </w:r>
      <w:r>
        <w:rPr>
          <w:rFonts w:ascii="arial" w:eastAsia="arial" w:hAnsi="arial" w:cs="arial"/>
          <w:color w:val="000000"/>
          <w:sz w:val="20"/>
          <w:lang w:val="en-US" w:eastAsia="en-US" w:bidi="ar-SA"/>
        </w:rPr>
        <w:t xml:space="preserve">, </w:t>
      </w:r>
      <w:hyperlink r:id="rId73" w:history="1">
        <w:r>
          <w:rPr>
            <w:rFonts w:ascii="arial" w:eastAsia="arial" w:hAnsi="arial" w:cs="arial"/>
            <w:i/>
            <w:color w:val="0077CC"/>
            <w:sz w:val="20"/>
            <w:u w:val="single"/>
            <w:shd w:val="clear" w:color="auto" w:fill="FFFFFF"/>
            <w:lang w:val="en-US" w:eastAsia="en-US" w:bidi="ar-SA"/>
          </w:rPr>
          <w:t>2002 BCCA 239</w:t>
        </w:r>
      </w:hyperlink>
      <w:r>
        <w:rPr>
          <w:rFonts w:ascii="arial" w:eastAsia="arial" w:hAnsi="arial" w:cs="arial"/>
          <w:color w:val="000000"/>
          <w:sz w:val="20"/>
          <w:lang w:val="en-US" w:eastAsia="en-US" w:bidi="ar-SA"/>
        </w:rPr>
        <w:t>, the Court of Appeal discussed the doctrine of rectification in the context of a registered easement and whether it was available against a subsequent purchaser. The issue was whether a turnaround that fell outside the area covered by a right of way was intended to be covered by the registered easement. The right of way had been created by the original owners when the lands were subdivided into Lots 1 and 2. The two lots were adjacent to one another and shared a private driveway that ended in a turnaround that was located on Lot 1, now owned by the plaintiffs. The defendants sought rectification, for the first time on appeal, if it was found that the turnaround did not fall within the easement. The dissent noted that the plaintiffs had constructive notice of the existence of the turnaround and in the circumstances would have ordered rectification of the easement to include the turnaround so as to reflect the agreement when the easement was granted. The minority noted at para. 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Therefore, in order to rectify the title in the case at bar, it would be necessary to conclude that the easement as it appears on title is not the true "agreement", and that there was a common intention between the original parties that the turnaround in fact be part of the easement. This would have to have been demonstrated very convincingly. In addition, it would have to be demonstrated that the Whites and Banvilles had notice, when they purchased, that the turnaround was "part" of the easement.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majority allowed the appeal on the basis that rectification had not been pleaded, stating that the equities in the case favoured the matter being remitted to be determined on amended pleadings seeking rectification.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In the summary trial following the amendments, </w:t>
      </w:r>
      <w:r>
        <w:rPr>
          <w:rFonts w:ascii="arial" w:eastAsia="arial" w:hAnsi="arial" w:cs="arial"/>
          <w:i/>
          <w:color w:val="000000"/>
          <w:sz w:val="20"/>
          <w:lang w:val="en-US" w:eastAsia="en-US" w:bidi="ar-SA"/>
        </w:rPr>
        <w:t>White v. Banville</w:t>
      </w:r>
      <w:r>
        <w:rPr>
          <w:rFonts w:ascii="arial" w:eastAsia="arial" w:hAnsi="arial" w:cs="arial"/>
          <w:color w:val="000000"/>
          <w:sz w:val="20"/>
          <w:lang w:val="en-US" w:eastAsia="en-US" w:bidi="ar-SA"/>
        </w:rPr>
        <w:t xml:space="preserve">, </w:t>
      </w:r>
      <w:hyperlink r:id="rId78" w:history="1">
        <w:r>
          <w:rPr>
            <w:rFonts w:ascii="arial" w:eastAsia="arial" w:hAnsi="arial" w:cs="arial"/>
            <w:i/>
            <w:color w:val="0077CC"/>
            <w:sz w:val="20"/>
            <w:u w:val="single"/>
            <w:shd w:val="clear" w:color="auto" w:fill="FFFFFF"/>
            <w:lang w:val="en-US" w:eastAsia="en-US" w:bidi="ar-SA"/>
          </w:rPr>
          <w:t>2003 BCSC 606</w:t>
        </w:r>
      </w:hyperlink>
      <w:r>
        <w:rPr>
          <w:rFonts w:ascii="arial" w:eastAsia="arial" w:hAnsi="arial" w:cs="arial"/>
          <w:color w:val="000000"/>
          <w:sz w:val="20"/>
          <w:lang w:val="en-US" w:eastAsia="en-US" w:bidi="ar-SA"/>
        </w:rPr>
        <w:t>, the trial judge ordered the rectification sought by the Whites to include the turnaround within the right of way, noting that it simply reflected the title the Banvilles believed they were acquiring when they bought the lot, and that there was no injustice.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In this case, the plaintiff argues that the Torrens system embodied in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and, in particular s. 29, bars rectification. Section 29 provides that a person is not affected by unregistered interests in land or unregistered charges, even if the person has actual or constructive notice, except in the case of fraud. This provision applies to unregistered charges. In this matter, the charge is registered against the title. The plaintiff has provided no case authority for the proposition that s. 29 of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bars the rectification of a registered instrument, whereas I have been provided with cases in which courts have granted rectification of a registered instrument.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White v. Banville</w:t>
      </w:r>
      <w:r>
        <w:rPr>
          <w:rFonts w:ascii="arial" w:eastAsia="arial" w:hAnsi="arial" w:cs="arial"/>
          <w:color w:val="000000"/>
          <w:sz w:val="20"/>
          <w:lang w:val="en-US" w:eastAsia="en-US" w:bidi="ar-SA"/>
        </w:rPr>
        <w:t xml:space="preserve">, the court noted at para. 38, that neither the principles of the </w:t>
      </w:r>
      <w:r>
        <w:rPr>
          <w:rFonts w:ascii="arial" w:eastAsia="arial" w:hAnsi="arial" w:cs="arial"/>
          <w:i/>
          <w:color w:val="000000"/>
          <w:sz w:val="20"/>
          <w:lang w:val="en-US" w:eastAsia="en-US" w:bidi="ar-SA"/>
        </w:rPr>
        <w:t>Land Title Act</w:t>
      </w:r>
      <w:r>
        <w:rPr>
          <w:rFonts w:ascii="arial" w:eastAsia="arial" w:hAnsi="arial" w:cs="arial"/>
          <w:color w:val="000000"/>
          <w:sz w:val="20"/>
          <w:lang w:val="en-US" w:eastAsia="en-US" w:bidi="ar-SA"/>
        </w:rPr>
        <w:t xml:space="preserve"> or the principles of the Torrens System are a bar to the rectification of a registered instrument citing </w:t>
      </w:r>
      <w:r>
        <w:rPr>
          <w:rFonts w:ascii="arial" w:eastAsia="arial" w:hAnsi="arial" w:cs="arial"/>
          <w:i/>
          <w:color w:val="000000"/>
          <w:sz w:val="20"/>
          <w:lang w:val="en-US" w:eastAsia="en-US" w:bidi="ar-SA"/>
        </w:rPr>
        <w:t>Hawkes Estates v. Silver Campsites Ltd</w:t>
      </w:r>
      <w:r>
        <w:rPr>
          <w:rFonts w:ascii="arial" w:eastAsia="arial" w:hAnsi="arial" w:cs="arial"/>
          <w:color w:val="000000"/>
          <w:sz w:val="20"/>
          <w:lang w:val="en-US" w:eastAsia="en-US" w:bidi="ar-SA"/>
        </w:rPr>
        <w:t xml:space="preserve">. </w:t>
      </w:r>
      <w:hyperlink r:id="rId79" w:history="1">
        <w:r>
          <w:rPr>
            <w:rFonts w:ascii="arial" w:eastAsia="arial" w:hAnsi="arial" w:cs="arial"/>
            <w:i/>
            <w:color w:val="0077CC"/>
            <w:sz w:val="20"/>
            <w:u w:val="single"/>
            <w:shd w:val="clear" w:color="auto" w:fill="FFFFFF"/>
            <w:lang w:val="en-US" w:eastAsia="en-US" w:bidi="ar-SA"/>
          </w:rPr>
          <w:t>(1991), 79 D.L.R. (4th) 677</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It is clear from a review of the case law, that rectification is available in situations where it was established there was a common intention between the original parties that is not reflected in the registered instrument, and the subsequent purchaser had notice at the time they purchased that "part of the easement" included the area sought to be included by the rectification.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In the event that the easement cannot be construed to allow for the operation of the public wharf, it is clear from the evidence that Ms. Buchholz purchased the property in 1973 with the understanding that the registered easement allowed for public access to and from the wharf. I agree that if this was a misunderstanding it was passed on to the plaintiff when Ms. Buchholz transferred the interest to its predecessor company the same year. As well, she was under the mistaken belief that all of the wharf structures and pathway was on an area included in the easement.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As in </w:t>
      </w:r>
      <w:r>
        <w:rPr>
          <w:rFonts w:ascii="arial" w:eastAsia="arial" w:hAnsi="arial" w:cs="arial"/>
          <w:i/>
          <w:color w:val="000000"/>
          <w:sz w:val="20"/>
          <w:lang w:val="en-US" w:eastAsia="en-US" w:bidi="ar-SA"/>
        </w:rPr>
        <w:t>White v. Banville</w:t>
      </w:r>
      <w:r>
        <w:rPr>
          <w:rFonts w:ascii="arial" w:eastAsia="arial" w:hAnsi="arial" w:cs="arial"/>
          <w:color w:val="000000"/>
          <w:sz w:val="20"/>
          <w:lang w:val="en-US" w:eastAsia="en-US" w:bidi="ar-SA"/>
        </w:rPr>
        <w:t xml:space="preserve">, the plaintiff was a bona fide purchaser for value without knowledge that the easement did not include the foot path and the wharf structures. The facts of this case are distinguishable from the case the plaintiff relies on </w:t>
      </w:r>
      <w:r>
        <w:rPr>
          <w:rFonts w:ascii="arial" w:eastAsia="arial" w:hAnsi="arial" w:cs="arial"/>
          <w:i/>
          <w:color w:val="000000"/>
          <w:sz w:val="20"/>
          <w:lang w:val="en-US" w:eastAsia="en-US" w:bidi="ar-SA"/>
        </w:rPr>
        <w:t>Kemp v. Holler</w:t>
      </w:r>
      <w:r>
        <w:rPr>
          <w:rFonts w:ascii="arial" w:eastAsia="arial" w:hAnsi="arial" w:cs="arial"/>
          <w:color w:val="000000"/>
          <w:sz w:val="20"/>
          <w:lang w:val="en-US" w:eastAsia="en-US" w:bidi="ar-SA"/>
        </w:rPr>
        <w:t xml:space="preserve">, </w:t>
      </w:r>
      <w:hyperlink r:id="rId80" w:history="1">
        <w:r>
          <w:rPr>
            <w:rFonts w:ascii="arial" w:eastAsia="arial" w:hAnsi="arial" w:cs="arial"/>
            <w:i/>
            <w:color w:val="0077CC"/>
            <w:sz w:val="20"/>
            <w:u w:val="single"/>
            <w:shd w:val="clear" w:color="auto" w:fill="FFFFFF"/>
            <w:lang w:val="en-US" w:eastAsia="en-US" w:bidi="ar-SA"/>
          </w:rPr>
          <w:t>[1989] B.C.J. No. 1101</w:t>
        </w:r>
      </w:hyperlink>
      <w:r>
        <w:rPr>
          <w:rFonts w:ascii="arial" w:eastAsia="arial" w:hAnsi="arial" w:cs="arial"/>
          <w:color w:val="000000"/>
          <w:sz w:val="20"/>
          <w:lang w:val="en-US" w:eastAsia="en-US" w:bidi="ar-SA"/>
        </w:rPr>
        <w:t xml:space="preserve"> (S.C.), where it was found the subsequent purchasers had no notice of the unregistered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documents from 1959 - 1960, the time the easement was granted, establish that it was the intention of the parties to allow for public access to the wharf across the Property. At the time the easement was executed on September 26, 1960, Mr. Pratt had agreed to grant "a 20 foot wide easement for pathway to a public float to be installed in Horton Bay", he had sent a letter consenting to the water lot for the proposed public boat landing, the footpath and wharf had been constructed, and Canada had requested the Province to ensure that easement would allow public access to the wharf in the present and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Canada, the Province and Mr. Pratt clearly intended that the easement was to provide public access to the wharf located in water lot 431.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There is no evidence to suggest that any of the successor property owners, other than the current owner, has ever complained of or questioned the public's use of the easement to access the wharf. Ms. Buchholz's attempt at trial, to resile from her admission during her examination for discovery as the plaintiff's representative, that she understood the easement to allow for public access, is not credible. Prior to purchasing the Property Ms. Buchholz was aware there was an easement on the Property, and a pathway on it leading from Horton Bay Road to the public wharf.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As noted earlier, the plaintiff did not raise any concerns about the Horton Bay harbour public wharf until after its consent was requested to change the tenure of the water lot. The plaintiff did not raise any concerns about the location of the footpath or the wharf structures until after a recent survey. In my opinion, the facts of this case are similar to the </w:t>
      </w:r>
      <w:r>
        <w:rPr>
          <w:rFonts w:ascii="arial" w:eastAsia="arial" w:hAnsi="arial" w:cs="arial"/>
          <w:i/>
          <w:color w:val="000000"/>
          <w:sz w:val="20"/>
          <w:lang w:val="en-US" w:eastAsia="en-US" w:bidi="ar-SA"/>
        </w:rPr>
        <w:t>White</w:t>
      </w:r>
      <w:r>
        <w:rPr>
          <w:rFonts w:ascii="arial" w:eastAsia="arial" w:hAnsi="arial" w:cs="arial"/>
          <w:color w:val="000000"/>
          <w:sz w:val="20"/>
          <w:lang w:val="en-US" w:eastAsia="en-US" w:bidi="ar-SA"/>
        </w:rPr>
        <w:t xml:space="preserve"> case in that Ms. Buchholz purchased the Property under the mistaken belief that the footpath and wharf structures were included in the easement.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As noted, the intention of the parties at the time the registered easement was entered into was to provide a right of way to the Horton Bay harbour public wharf for access to it from the Horton Bay Road, so long as it was operating.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fact is that all of Mr. Pratt's successors in title, excepting Ms. Buchholz and the plaintiff, are deceased and there is no evidence as to what they understood the easement to allow. However, as noted, there is also no evidence that anyone other than the plaintiff ever objected to the public's use of the easement since its installation in 1960 and that objection only began many years after the plaintiff acquired title.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This is not a matter of an unregistered easement about which the plaintiff had no notice. On the contrary, notice of the easement was registered on title and the plaintiff's principal, Ms. Buchholz, understood it to provide for access to the public wharf from Horton Bay Road when she purchased the property in 1973. Her understanding passed to the plaintiff when she assigned the purchase agreement to it later that same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The plaintiff relies on </w:t>
      </w:r>
      <w:r>
        <w:rPr>
          <w:rFonts w:ascii="arial" w:eastAsia="arial" w:hAnsi="arial" w:cs="arial"/>
          <w:i/>
          <w:color w:val="000000"/>
          <w:sz w:val="20"/>
          <w:lang w:val="en-US" w:eastAsia="en-US" w:bidi="ar-SA"/>
        </w:rPr>
        <w:t>Avanti Mining Inc. v. Kitsault Resort Ltd.</w:t>
      </w:r>
      <w:r>
        <w:rPr>
          <w:rFonts w:ascii="arial" w:eastAsia="arial" w:hAnsi="arial" w:cs="arial"/>
          <w:color w:val="000000"/>
          <w:sz w:val="20"/>
          <w:lang w:val="en-US" w:eastAsia="en-US" w:bidi="ar-SA"/>
        </w:rPr>
        <w:t xml:space="preserve">, </w:t>
      </w:r>
      <w:hyperlink r:id="rId81" w:history="1">
        <w:r>
          <w:rPr>
            <w:rFonts w:ascii="arial" w:eastAsia="arial" w:hAnsi="arial" w:cs="arial"/>
            <w:i/>
            <w:color w:val="0077CC"/>
            <w:sz w:val="20"/>
            <w:u w:val="single"/>
            <w:shd w:val="clear" w:color="auto" w:fill="FFFFFF"/>
            <w:lang w:val="en-US" w:eastAsia="en-US" w:bidi="ar-SA"/>
          </w:rPr>
          <w:t>2010 BCSC 1181</w:t>
        </w:r>
      </w:hyperlink>
      <w:r>
        <w:rPr>
          <w:rFonts w:ascii="arial" w:eastAsia="arial" w:hAnsi="arial" w:cs="arial"/>
          <w:color w:val="000000"/>
          <w:sz w:val="20"/>
          <w:lang w:val="en-US" w:eastAsia="en-US" w:bidi="ar-SA"/>
        </w:rPr>
        <w:t>, for the proposition that rectification will not be granted against a bona fide purchaser for value without notice. I agree with that proposition. However, in this case it is clear from the evidence that the plaintiff had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 find that Ms. Buchholz purchased the Property, and subsequently transferred it to the plaintiff, under the belief that the registered easement authorized the ongoing operation of the public wharf in Horton Bay harbour, including the right to park on the side of Horton Bay Road while accessing the wharf facility.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In the circumstances, I am of the view that the order for rectification sought by the defendants to include the area of the footpath and wharf structures in the registered easement should be granted. I further order that the defendants bear the costs of preparing the new right of way and other documents required to register the new instrument rectifying the right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 am also of the view that if I have reached the wrong conclusion regarding whether the riparian rights and parking are included in the registered easement, the registered easement should be rectified as sought by the Province, with some modifications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WITNESSETH that in consideration of the sum of $50.00 now paid by the Grantee to the Grantor (the receipt whereof is hereby acknowledged) the Grantor doth hereby grant and convey unto the Grantee, the owner in fee of those lands and premises described as Lot 431, Cowichan District, her heirs and assigns and her and their agents, servants and workmen, </w:t>
      </w:r>
      <w:r>
        <w:rPr>
          <w:rFonts w:ascii="arial" w:eastAsia="arial" w:hAnsi="arial" w:cs="arial"/>
          <w:color w:val="000000"/>
          <w:sz w:val="20"/>
          <w:u w:val="single"/>
          <w:lang w:val="en-US" w:eastAsia="en-US" w:bidi="ar-SA"/>
        </w:rPr>
        <w:t>visitors, invitees and members of the public</w:t>
      </w:r>
      <w:r>
        <w:rPr>
          <w:rFonts w:ascii="arial" w:eastAsia="arial" w:hAnsi="arial" w:cs="arial"/>
          <w:color w:val="000000"/>
          <w:sz w:val="20"/>
          <w:lang w:val="en-US" w:eastAsia="en-US" w:bidi="ar-SA"/>
        </w:rPr>
        <w:t xml:space="preserve"> a free and uninterrupted right-of-way </w:t>
      </w:r>
      <w:r>
        <w:rPr>
          <w:rFonts w:ascii="arial" w:eastAsia="arial" w:hAnsi="arial" w:cs="arial"/>
          <w:color w:val="000000"/>
          <w:sz w:val="20"/>
          <w:u w:val="single"/>
          <w:lang w:val="en-US" w:eastAsia="en-US" w:bidi="ar-SA"/>
        </w:rPr>
        <w:t>for ingress and egress to the wharfage facility and to the maintenance, operation, construction or replacement of the wharfage facility appurtenant to the lands owned by the Grantee hereinbefore described</w:t>
      </w:r>
      <w:r>
        <w:rPr>
          <w:rFonts w:ascii="arial" w:eastAsia="arial" w:hAnsi="arial" w:cs="arial"/>
          <w:color w:val="000000"/>
          <w:sz w:val="20"/>
          <w:lang w:val="en-US" w:eastAsia="en-US" w:bidi="ar-SA"/>
        </w:rPr>
        <w:t xml:space="preserve"> in perpetuity but subject to the proviso hereinafter contained, through, along and over that certain parcel of land described as: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Commencing at a point South 63 15' 30" East, a distance of 263.1 feet more or less from the most southerly corner of Lot 2, Section 2, Mayne Island, Plan 6166, then North 22 02' West 87 feet more or less to High Water Mark of Horton Bay and South 22 02' East 7 feet more or less from the said commencement point and having a width of ten fee on either side of the above described centreline, containing 0.043 acre more or less for the purpose of </w:t>
      </w:r>
      <w:r>
        <w:rPr>
          <w:rFonts w:ascii="arial" w:eastAsia="arial" w:hAnsi="arial" w:cs="arial"/>
          <w:color w:val="000000"/>
          <w:sz w:val="20"/>
          <w:u w:val="single"/>
          <w:lang w:val="en-US" w:eastAsia="en-US" w:bidi="ar-SA"/>
        </w:rPr>
        <w:t>ingress and egress from Horton Bay Road to</w:t>
      </w:r>
      <w:r>
        <w:rPr>
          <w:rFonts w:ascii="arial" w:eastAsia="arial" w:hAnsi="arial" w:cs="arial"/>
          <w:color w:val="000000"/>
          <w:sz w:val="20"/>
          <w:lang w:val="en-US" w:eastAsia="en-US" w:bidi="ar-SA"/>
        </w:rPr>
        <w:t xml:space="preserve"> [constructing a footpath and other works incidental to the operation of] </w:t>
      </w:r>
      <w:r>
        <w:rPr>
          <w:rFonts w:ascii="arial" w:eastAsia="arial" w:hAnsi="arial" w:cs="arial"/>
          <w:color w:val="000000"/>
          <w:sz w:val="18"/>
          <w:lang w:val="en-US" w:eastAsia="en-US" w:bidi="ar-SA"/>
        </w:rPr>
        <w:t>[Editor's note: Text in brackets is struck out in the original]</w:t>
      </w:r>
      <w:r>
        <w:rPr>
          <w:rFonts w:ascii="arial" w:eastAsia="arial" w:hAnsi="arial" w:cs="arial"/>
          <w:color w:val="000000"/>
          <w:sz w:val="20"/>
          <w:lang w:val="en-US" w:eastAsia="en-US" w:bidi="ar-SA"/>
        </w:rPr>
        <w:t xml:space="preserve"> wharfage facilities appurtenant to the lands owned by the Grantee hereinbefore described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 description of the area also has to be rectified to include all of the area on which the footpath and wharfage structures are situated. As noted earlier, the area to be included in the easement is approximately 0.010 acre or 440 square feet.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Did the registered easement expire when the wharf was expanded or when the CRD took over its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plaintiff pleads that the easement ceased to exist when the wharf was expanded by floats C and D in 1973 and 1978, respectively, and when the CRD took over the operation of the public wharf in 2007. The plaintiff argues the Order-in-Council that created water lot 431 terminated when Canada transferred the operation of the wharf to the CRD because the use and purpose of the wharf 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plaintiff says that Canada decided in 1995 to divest itself of all recreational harbours, including the public wharf in Horton Bay harbour. The plaintiff argues that as a result water lot 431 is no longer being used for the purpose of a federal government wharf. The water lot was granted on its use and purpose, so by its own terms, the water lot reserve has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plaintiff argues that Canada and the CRD have attempted to circumvent the need for it to consent to Canada's divestiture of the Horton Bay harbour public wharf by purporting not to divest, but rather transferring control and operation of the wharf to the CRD without formally transferring the tenure.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plaintiff argues the effort must fail, and that by transferring the control and operation of the wharf to the CRD, the use and purpose of the wharf has changed and that has brought about the termination of the water lot reserve. The plaintiff argues that as a result, there is no valid provincial authorization for the wharf and it must be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Canada and the CRD take the position that the plaintiff's assertion that the expansion, reconfiguration or transfer of the operation of the wharf entitles it to demand cancellation of the registered easement rests on an unsustainable reading of the registered charge and on an unsupported allegation that the water lot reserve has expired. Canada and CRD point to the fact that plaintiff did not plead that the water lot reserve has expired in its amended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Province takes the position that water lot 431 has not expired on its terms, and further that the plaintiff has not sought a declaration that the water lot has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Order-In-Council that created water lot 431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...Lot 431...be reserved and set apart for the use of the Department of Public Works, Canada, as the site for a wharf so long as required for such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Apart from that limitation, there is no express mechanism for the termination of the water lot reserve. The Province asserts that in order to terminate the water lot, a declaration is needed and the plaintiff has not sought one in the amended notice of civil claim. Even if the plaintiff amends its pleadings, the water lot is reserved for Canada's use as a site for a wharf. That purpose has not changed since 1960 when the wharf was built.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 agree that even if the Order-In-Council that created water lot 431 is extinguished, the easement determines in accordance with its terms, not the terms of the tenure agreement between the Province and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When a registered charge can be cancelled is set out in s. 35 of the </w:t>
      </w:r>
      <w:r>
        <w:rPr>
          <w:rFonts w:ascii="arial" w:eastAsia="arial" w:hAnsi="arial" w:cs="arial"/>
          <w:i/>
          <w:color w:val="000000"/>
          <w:sz w:val="20"/>
          <w:lang w:val="en-US" w:eastAsia="en-US" w:bidi="ar-SA"/>
        </w:rPr>
        <w:t>Property Law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377</w:t>
      </w:r>
      <w:r>
        <w:rPr>
          <w:rFonts w:ascii="arial" w:eastAsia="arial" w:hAnsi="arial" w:cs="arial"/>
          <w:color w:val="000000"/>
          <w:sz w:val="20"/>
          <w:lang w:val="en-US" w:eastAsia="en-US" w:bidi="ar-SA"/>
        </w:rPr>
        <w:t>,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 (1) A person interested in land may apply to the Supreme Court for an order to modify or cancel any of the following charges or interests against the land, whether registered before or after this section comes into force:</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easement;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may make an order under subsection (1) on being satisfied that the application is not premature in the circumstances, and that</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because of changes in the character of the land, the neighbourhood or other circumstances the court considers material, the registered charge or interest is obsolete,</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reasonable use of the land will be impeded, without practical benefit to others, if the registered charge or interest is not modified or cancelled,</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persons who are or have been entitled to the benefit of the registered charge or interest have expressly or impliedly agreed to it being modified or cancelled,</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modification or cancellation will not injure the person entitled to the benefit of the registered charge or interest, or</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registered instrument is invalid, unenforceable or has expired, and its registration should be cancelled.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As stated in </w:t>
      </w:r>
      <w:r>
        <w:rPr>
          <w:rFonts w:ascii="arial" w:eastAsia="arial" w:hAnsi="arial" w:cs="arial"/>
          <w:i/>
          <w:color w:val="000000"/>
          <w:sz w:val="20"/>
          <w:lang w:val="en-US" w:eastAsia="en-US" w:bidi="ar-SA"/>
        </w:rPr>
        <w:t>Vandenberg v. Olson</w:t>
      </w:r>
      <w:r>
        <w:rPr>
          <w:rFonts w:ascii="arial" w:eastAsia="arial" w:hAnsi="arial" w:cs="arial"/>
          <w:color w:val="000000"/>
          <w:sz w:val="20"/>
          <w:lang w:val="en-US" w:eastAsia="en-US" w:bidi="ar-SA"/>
        </w:rPr>
        <w:t xml:space="preserve">, </w:t>
      </w:r>
      <w:hyperlink r:id="rId82" w:history="1">
        <w:r>
          <w:rPr>
            <w:rFonts w:ascii="arial" w:eastAsia="arial" w:hAnsi="arial" w:cs="arial"/>
            <w:i/>
            <w:color w:val="0077CC"/>
            <w:sz w:val="20"/>
            <w:u w:val="single"/>
            <w:shd w:val="clear" w:color="auto" w:fill="FFFFFF"/>
            <w:lang w:val="en-US" w:eastAsia="en-US" w:bidi="ar-SA"/>
          </w:rPr>
          <w:t>2010 BCCA 204</w:t>
        </w:r>
      </w:hyperlink>
      <w:r>
        <w:rPr>
          <w:rFonts w:ascii="arial" w:eastAsia="arial" w:hAnsi="arial" w:cs="arial"/>
          <w:color w:val="000000"/>
          <w:sz w:val="20"/>
          <w:lang w:val="en-US" w:eastAsia="en-US" w:bidi="ar-SA"/>
        </w:rPr>
        <w:t xml:space="preserve"> at para. 23, the court's authority to cancel an easement is governed by s. 35: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respondents argue, correctly in my view, that the court's authority is no more and no less than that conferred by s. 35(2) of the </w:t>
      </w:r>
      <w:r>
        <w:rPr>
          <w:rFonts w:ascii="arial" w:eastAsia="arial" w:hAnsi="arial" w:cs="arial"/>
          <w:i/>
          <w:color w:val="000000"/>
          <w:sz w:val="20"/>
          <w:lang w:val="en-US" w:eastAsia="en-US" w:bidi="ar-SA"/>
        </w:rPr>
        <w:t>Property Law Act</w:t>
      </w:r>
      <w:r>
        <w:rPr>
          <w:rFonts w:ascii="arial" w:eastAsia="arial" w:hAnsi="arial" w:cs="arial"/>
          <w:color w:val="000000"/>
          <w:sz w:val="20"/>
          <w:lang w:val="en-US" w:eastAsia="en-US" w:bidi="ar-SA"/>
        </w:rPr>
        <w:t>. I also agree with the respondents that s. 35(2) is a comprehensive code (as that phrase is described by Sullivan) which displaces the common law. The authority of the court to cancel an easement is constrained by the specific grounds set out in s. 35(2). In my view, the language of the opening words of s. 35(2) must be interpreted to mean that the Legislature intended to comprehensively describe all the grounds on which an order under s. 35(1)(a) may be made. Consequently, I am of the view that the appellant must bring himself within the s. 35(2) grounds if he is to obtain any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court went on to state that ss. 35(2)(a) to (e) are to be read disjunctively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Even if a party can satisfy the court that one of the conditions for cancellation in s. 35 is met, there is a residual discretion to allow the charge to stand as set out in </w:t>
      </w:r>
      <w:r>
        <w:rPr>
          <w:rFonts w:ascii="arial" w:eastAsia="arial" w:hAnsi="arial" w:cs="arial"/>
          <w:i/>
          <w:color w:val="000000"/>
          <w:sz w:val="20"/>
          <w:lang w:val="en-US" w:eastAsia="en-US" w:bidi="ar-SA"/>
        </w:rPr>
        <w:t>Dykes v. Nagel</w:t>
      </w:r>
      <w:r>
        <w:rPr>
          <w:rFonts w:ascii="arial" w:eastAsia="arial" w:hAnsi="arial" w:cs="arial"/>
          <w:color w:val="000000"/>
          <w:sz w:val="20"/>
          <w:lang w:val="en-US" w:eastAsia="en-US" w:bidi="ar-SA"/>
        </w:rPr>
        <w:t xml:space="preserve">, </w:t>
      </w:r>
      <w:hyperlink r:id="rId83" w:history="1">
        <w:r>
          <w:rPr>
            <w:rFonts w:ascii="arial" w:eastAsia="arial" w:hAnsi="arial" w:cs="arial"/>
            <w:i/>
            <w:color w:val="0077CC"/>
            <w:sz w:val="20"/>
            <w:u w:val="single"/>
            <w:shd w:val="clear" w:color="auto" w:fill="FFFFFF"/>
            <w:lang w:val="en-US" w:eastAsia="en-US" w:bidi="ar-SA"/>
          </w:rPr>
          <w:t>2011 BCSC 1549</w:t>
        </w:r>
      </w:hyperlink>
      <w:r>
        <w:rPr>
          <w:rFonts w:ascii="arial" w:eastAsia="arial" w:hAnsi="arial" w:cs="arial"/>
          <w:color w:val="000000"/>
          <w:sz w:val="20"/>
          <w:lang w:val="en-US" w:eastAsia="en-US" w:bidi="ar-SA"/>
        </w:rPr>
        <w:t xml:space="preserve"> at para.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equally clear that the authority of the court is discretionary. Falling within the language of a subsection of s. 35(2) does not entail that a charge must be cancelled if there are proper reasons not to do so: </w:t>
      </w:r>
      <w:r>
        <w:rPr>
          <w:rFonts w:ascii="arial" w:eastAsia="arial" w:hAnsi="arial" w:cs="arial"/>
          <w:i/>
          <w:color w:val="000000"/>
          <w:sz w:val="20"/>
          <w:lang w:val="en-US" w:eastAsia="en-US" w:bidi="ar-SA"/>
        </w:rPr>
        <w:t>Firman v. Michaleski</w:t>
      </w:r>
      <w:r>
        <w:rPr>
          <w:rFonts w:ascii="arial" w:eastAsia="arial" w:hAnsi="arial" w:cs="arial"/>
          <w:color w:val="000000"/>
          <w:sz w:val="20"/>
          <w:lang w:val="en-US" w:eastAsia="en-US" w:bidi="ar-SA"/>
        </w:rPr>
        <w:t>, 1995 CarswellBC 710 (WL Can)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list of grounds for cancellation in s. 35(2) does not include a change in the operator of a facility on the dominant tenement. The plaintiff relies on s. 35(2)(e) that the registered easement has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plaintiff argues that Mr. Pratt's consent to the creation of the water lot reserve was only to the wharf as it was configured in 1960 and that it had to be operated by the federal government. The plaintiff asserts that any change to the size or configuration of the wharf, or the operator results in the cancellation of the easement.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However, the operation of the wharf has not been discontinued. There is nothing in the language of the easement or the surrounding circumstances which suggest that Mr. Pratt and the Province intended to only agree to a particular size and configuration of the wharf, or that the operator could only be Public Works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As noted in </w:t>
      </w:r>
      <w:r>
        <w:rPr>
          <w:rFonts w:ascii="arial" w:eastAsia="arial" w:hAnsi="arial" w:cs="arial"/>
          <w:i/>
          <w:color w:val="000000"/>
          <w:sz w:val="20"/>
          <w:lang w:val="en-US" w:eastAsia="en-US" w:bidi="ar-SA"/>
        </w:rPr>
        <w:t>McCorquodale v. Baranti Developments Ltd.</w:t>
      </w:r>
      <w:r>
        <w:rPr>
          <w:rFonts w:ascii="arial" w:eastAsia="arial" w:hAnsi="arial" w:cs="arial"/>
          <w:color w:val="000000"/>
          <w:sz w:val="20"/>
          <w:lang w:val="en-US" w:eastAsia="en-US" w:bidi="ar-SA"/>
        </w:rPr>
        <w:t xml:space="preserve">, </w:t>
      </w:r>
      <w:hyperlink r:id="rId67" w:history="1">
        <w:r>
          <w:rPr>
            <w:rFonts w:ascii="arial" w:eastAsia="arial" w:hAnsi="arial" w:cs="arial"/>
            <w:i/>
            <w:color w:val="0077CC"/>
            <w:sz w:val="20"/>
            <w:u w:val="single"/>
            <w:shd w:val="clear" w:color="auto" w:fill="FFFFFF"/>
            <w:lang w:val="en-US" w:eastAsia="en-US" w:bidi="ar-SA"/>
          </w:rPr>
          <w:t>2015 BCCA 133</w:t>
        </w:r>
      </w:hyperlink>
      <w:r>
        <w:rPr>
          <w:rFonts w:ascii="arial" w:eastAsia="arial" w:hAnsi="arial" w:cs="arial"/>
          <w:color w:val="000000"/>
          <w:sz w:val="20"/>
          <w:lang w:val="en-US" w:eastAsia="en-US" w:bidi="ar-SA"/>
        </w:rPr>
        <w:t xml:space="preserve"> at para. 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respect to the operative terms, it was and is an established principle that the use for which an easement was intended at the time of the grant is not a surrounding circumstance that establishes an objective common intention that an easement would not be put to any other use in the future: </w:t>
      </w:r>
      <w:r>
        <w:rPr>
          <w:rFonts w:ascii="arial" w:eastAsia="arial" w:hAnsi="arial" w:cs="arial"/>
          <w:i/>
          <w:color w:val="000000"/>
          <w:sz w:val="20"/>
          <w:lang w:val="en-US" w:eastAsia="en-US" w:bidi="ar-SA"/>
        </w:rPr>
        <w:t>Granfield</w:t>
      </w:r>
      <w:r>
        <w:rPr>
          <w:rFonts w:ascii="arial" w:eastAsia="arial" w:hAnsi="arial" w:cs="arial"/>
          <w:color w:val="000000"/>
          <w:sz w:val="20"/>
          <w:lang w:val="en-US" w:eastAsia="en-US" w:bidi="ar-SA"/>
        </w:rPr>
        <w:t xml:space="preserve"> at paras. 20-21, citing </w:t>
      </w:r>
      <w:r>
        <w:rPr>
          <w:rFonts w:ascii="arial" w:eastAsia="arial" w:hAnsi="arial" w:cs="arial"/>
          <w:i/>
          <w:color w:val="000000"/>
          <w:sz w:val="20"/>
          <w:lang w:val="en-US" w:eastAsia="en-US" w:bidi="ar-SA"/>
        </w:rPr>
        <w:t>White v. Grand Hotel, Eastbourne, Limited</w:t>
      </w:r>
      <w:r>
        <w:rPr>
          <w:rFonts w:ascii="arial" w:eastAsia="arial" w:hAnsi="arial" w:cs="arial"/>
          <w:color w:val="000000"/>
          <w:sz w:val="20"/>
          <w:lang w:val="en-US" w:eastAsia="en-US" w:bidi="ar-SA"/>
        </w:rPr>
        <w:t xml:space="preserve">, [1913] 1 Ch. 113 (C.A.). A general grant of access was just that. Limitations on use or circumstances in which a grant would terminate required express language: </w:t>
      </w:r>
      <w:r>
        <w:rPr>
          <w:rFonts w:ascii="arial" w:eastAsia="arial" w:hAnsi="arial" w:cs="arial"/>
          <w:i/>
          <w:color w:val="000000"/>
          <w:sz w:val="20"/>
          <w:lang w:val="en-US" w:eastAsia="en-US" w:bidi="ar-SA"/>
        </w:rPr>
        <w:t>Grand Hotel</w:t>
      </w:r>
      <w:r>
        <w:rPr>
          <w:rFonts w:ascii="arial" w:eastAsia="arial" w:hAnsi="arial" w:cs="arial"/>
          <w:color w:val="000000"/>
          <w:sz w:val="20"/>
          <w:lang w:val="en-US" w:eastAsia="en-US" w:bidi="ar-SA"/>
        </w:rPr>
        <w:t xml:space="preserve"> at 116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Cozens-Hardy M.R.). Moreover, ambiguity in a grant would be interpreted in favour of the grantee: </w:t>
      </w:r>
      <w:r>
        <w:rPr>
          <w:rFonts w:ascii="arial" w:eastAsia="arial" w:hAnsi="arial" w:cs="arial"/>
          <w:i/>
          <w:color w:val="000000"/>
          <w:sz w:val="20"/>
          <w:lang w:val="en-US" w:eastAsia="en-US" w:bidi="ar-SA"/>
        </w:rPr>
        <w:t>Williams v. James</w:t>
      </w:r>
      <w:r>
        <w:rPr>
          <w:rFonts w:ascii="arial" w:eastAsia="arial" w:hAnsi="arial" w:cs="arial"/>
          <w:color w:val="000000"/>
          <w:sz w:val="20"/>
          <w:lang w:val="en-US" w:eastAsia="en-US" w:bidi="ar-SA"/>
        </w:rPr>
        <w:t xml:space="preserve"> (1867), L.R. 2 C.P. 577 at 581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Willes J.); see also John Leybourn Goddard, </w:t>
      </w:r>
      <w:r>
        <w:rPr>
          <w:rFonts w:ascii="arial" w:eastAsia="arial" w:hAnsi="arial" w:cs="arial"/>
          <w:i/>
          <w:color w:val="000000"/>
          <w:sz w:val="20"/>
          <w:lang w:val="en-US" w:eastAsia="en-US" w:bidi="ar-SA"/>
        </w:rPr>
        <w:t>Gale on Easements</w:t>
      </w:r>
      <w:r>
        <w:rPr>
          <w:rFonts w:ascii="arial" w:eastAsia="arial" w:hAnsi="arial" w:cs="arial"/>
          <w:color w:val="000000"/>
          <w:sz w:val="20"/>
          <w:lang w:val="en-US" w:eastAsia="en-US" w:bidi="ar-SA"/>
        </w:rPr>
        <w:t xml:space="preserve">, 8th ed. (London: Stevens and Sons, Limited, 1921) at 342; Edward Douglas Armour, K.C., </w:t>
      </w:r>
      <w:r>
        <w:rPr>
          <w:rFonts w:ascii="arial" w:eastAsia="arial" w:hAnsi="arial" w:cs="arial"/>
          <w:i/>
          <w:color w:val="000000"/>
          <w:sz w:val="20"/>
          <w:lang w:val="en-US" w:eastAsia="en-US" w:bidi="ar-SA"/>
        </w:rPr>
        <w:t>Armour on Real Property</w:t>
      </w:r>
      <w:r>
        <w:rPr>
          <w:rFonts w:ascii="arial" w:eastAsia="arial" w:hAnsi="arial" w:cs="arial"/>
          <w:color w:val="000000"/>
          <w:sz w:val="20"/>
          <w:lang w:val="en-US" w:eastAsia="en-US" w:bidi="ar-SA"/>
        </w:rPr>
        <w:t>, 2nd ed. (Toronto: Canada Law Book Company, 1916) at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Hillside Farms Ltd. v. British Columbia Hydro and Power Authority</w:t>
      </w:r>
      <w:r>
        <w:rPr>
          <w:rFonts w:ascii="arial" w:eastAsia="arial" w:hAnsi="arial" w:cs="arial"/>
          <w:color w:val="000000"/>
          <w:sz w:val="20"/>
          <w:lang w:val="en-US" w:eastAsia="en-US" w:bidi="ar-SA"/>
        </w:rPr>
        <w:t xml:space="preserve">, </w:t>
      </w:r>
      <w:hyperlink r:id="rId84" w:history="1">
        <w:r>
          <w:rPr>
            <w:rFonts w:ascii="arial" w:eastAsia="arial" w:hAnsi="arial" w:cs="arial"/>
            <w:i/>
            <w:color w:val="0077CC"/>
            <w:sz w:val="20"/>
            <w:u w:val="single"/>
            <w:shd w:val="clear" w:color="auto" w:fill="FFFFFF"/>
            <w:lang w:val="en-US" w:eastAsia="en-US" w:bidi="ar-SA"/>
          </w:rPr>
          <w:t>[1977] B.C.J. No. 1010</w:t>
        </w:r>
      </w:hyperlink>
      <w:r>
        <w:rPr>
          <w:rFonts w:ascii="arial" w:eastAsia="arial" w:hAnsi="arial" w:cs="arial"/>
          <w:color w:val="000000"/>
          <w:sz w:val="20"/>
          <w:lang w:val="en-US" w:eastAsia="en-US" w:bidi="ar-SA"/>
        </w:rPr>
        <w:t xml:space="preserve"> (C.A.), the Court of Appeal rejected an argument that limitations on the voltage carried and location of power poles could be read into a power line right of way, stating at para. 14 that "a general grant of a right-of-way will not be limited to the extent of user originally contemplated when the grant was made so long as it is of the same general nature and kind".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There are no conditions in the registered easement as to the size, configuration or operator of the wharf. The historical documents show Mr. Pratt was in favour of a public wharf. As noted earlier, he allowed construction of the pathway and wharf prior to the easement being registered.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In my opinion, the evidence does not support the plaintiff's argument that the registered easement and/or water lot have expired or terminated. The Horton Bay harbour wharf has operated since 1960 as a public wharf facility to provide moorage to residents and visitors to Mayne Island. The public wharf in Horton Bay harbour continues to be of the same nature and kind as was agreed to by Mr. Pratt.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As a result, I find that the registered easement did not expire when the CRD took over the operation of the public wharf. In my opinion, that change did not result in the discontinuance of the operation of the wharfage facilities such as to terminate the grant.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Given my conclusions, I need not address the defendants' alternative arguments. The arguments of equitable easement by promissory estoppel, and whether the area was a public highway only needed to be addressed if it was found that the registered easement did not allow for the ongoing operation of the Horton Bay harbour public wharf, or should not be rectified.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What if, any, damages is the plaintiff entitled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 plaintiff asserts that if rectification is ordered, or it is found that its rights were infringed it is entitled to damages. In this case, I am ordering the easement be rectified to include the portion of the pathway and wharf structures that are outside the area identified in the easement.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In the event rectification of the registered easement is ordered, the plaintiff is claiming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Province for damages on the basis of such diminishment of property rights that would be the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Province in failing to properly prepare and register the true agreement, and for damages for loss of opportunity to use the portion of Lot A that falls within the registered easement.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The easement was drafted in 1960 by employees, servants or agents of the Province. The Province is not vicariously liable for acts or omissions of employees, servants or agents prior to August 1, 1974: </w:t>
      </w:r>
      <w:r>
        <w:rPr>
          <w:rFonts w:ascii="arial" w:eastAsia="arial" w:hAnsi="arial" w:cs="arial"/>
          <w:i/>
          <w:color w:val="000000"/>
          <w:sz w:val="20"/>
          <w:lang w:val="en-US" w:eastAsia="en-US" w:bidi="ar-SA"/>
        </w:rPr>
        <w:t>Arishenkoff v. British Columbia</w:t>
      </w:r>
      <w:r>
        <w:rPr>
          <w:rFonts w:ascii="arial" w:eastAsia="arial" w:hAnsi="arial" w:cs="arial"/>
          <w:color w:val="000000"/>
          <w:sz w:val="20"/>
          <w:lang w:val="en-US" w:eastAsia="en-US" w:bidi="ar-SA"/>
        </w:rPr>
        <w:t xml:space="preserve">, </w:t>
      </w:r>
      <w:hyperlink r:id="rId85" w:history="1">
        <w:r>
          <w:rPr>
            <w:rFonts w:ascii="arial" w:eastAsia="arial" w:hAnsi="arial" w:cs="arial"/>
            <w:i/>
            <w:color w:val="0077CC"/>
            <w:sz w:val="20"/>
            <w:u w:val="single"/>
            <w:shd w:val="clear" w:color="auto" w:fill="FFFFFF"/>
            <w:lang w:val="en-US" w:eastAsia="en-US" w:bidi="ar-SA"/>
          </w:rPr>
          <w:t>2005 BCCA 481</w:t>
        </w:r>
      </w:hyperlink>
      <w:r>
        <w:rPr>
          <w:rFonts w:ascii="arial" w:eastAsia="arial" w:hAnsi="arial" w:cs="arial"/>
          <w:color w:val="000000"/>
          <w:sz w:val="20"/>
          <w:lang w:val="en-US" w:eastAsia="en-US" w:bidi="ar-SA"/>
        </w:rPr>
        <w:t xml:space="preserve"> at para. 56; </w:t>
      </w:r>
      <w:r>
        <w:rPr>
          <w:rFonts w:ascii="arial" w:eastAsia="arial" w:hAnsi="arial" w:cs="arial"/>
          <w:i/>
          <w:color w:val="000000"/>
          <w:sz w:val="20"/>
          <w:lang w:val="en-US" w:eastAsia="en-US" w:bidi="ar-SA"/>
        </w:rPr>
        <w:t>Richard v. British Columbia</w:t>
      </w:r>
      <w:r>
        <w:rPr>
          <w:rFonts w:ascii="arial" w:eastAsia="arial" w:hAnsi="arial" w:cs="arial"/>
          <w:color w:val="000000"/>
          <w:sz w:val="20"/>
          <w:lang w:val="en-US" w:eastAsia="en-US" w:bidi="ar-SA"/>
        </w:rPr>
        <w:t xml:space="preserve">, </w:t>
      </w:r>
      <w:hyperlink r:id="rId86" w:history="1">
        <w:r>
          <w:rPr>
            <w:rFonts w:ascii="arial" w:eastAsia="arial" w:hAnsi="arial" w:cs="arial"/>
            <w:i/>
            <w:color w:val="0077CC"/>
            <w:sz w:val="20"/>
            <w:u w:val="single"/>
            <w:shd w:val="clear" w:color="auto" w:fill="FFFFFF"/>
            <w:lang w:val="en-US" w:eastAsia="en-US" w:bidi="ar-SA"/>
          </w:rPr>
          <w:t>2009 BCCA 185</w:t>
        </w:r>
      </w:hyperlink>
      <w:r>
        <w:rPr>
          <w:rFonts w:ascii="arial" w:eastAsia="arial" w:hAnsi="arial" w:cs="arial"/>
          <w:color w:val="000000"/>
          <w:sz w:val="20"/>
          <w:lang w:val="en-US" w:eastAsia="en-US" w:bidi="ar-SA"/>
        </w:rPr>
        <w:t xml:space="preserve"> at para. 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Accordingly, the plaintiff cannot claim damages against the Province for negligent drafting of the registered easement, since its claims are premised on negligent act that occurred in 1960, prior to the </w:t>
      </w:r>
      <w:r>
        <w:rPr>
          <w:rFonts w:ascii="arial" w:eastAsia="arial" w:hAnsi="arial" w:cs="arial"/>
          <w:i/>
          <w:color w:val="000000"/>
          <w:sz w:val="20"/>
          <w:lang w:val="en-US" w:eastAsia="en-US" w:bidi="ar-SA"/>
        </w:rPr>
        <w:t>Crown Proceeding Act</w:t>
      </w:r>
      <w:r>
        <w:rPr>
          <w:rFonts w:ascii="arial" w:eastAsia="arial" w:hAnsi="arial" w:cs="arial"/>
          <w:color w:val="000000"/>
          <w:sz w:val="20"/>
          <w:lang w:val="en-US" w:eastAsia="en-US" w:bidi="ar-SA"/>
        </w:rPr>
        <w:t>, S.B.C. 1974, c. 24, coming into force on August 1, 1974.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In any event,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would be barred by effluxion of time. As set out earlier, the plaintiff sought legal advice regarding the registered easement and its riparian rights in 1992 and did not file this action until 2013: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63" w:history="1">
        <w:r>
          <w:rPr>
            <w:rFonts w:ascii="arial" w:eastAsia="arial" w:hAnsi="arial" w:cs="arial"/>
            <w:i/>
            <w:color w:val="0077CC"/>
            <w:sz w:val="20"/>
            <w:u w:val="single"/>
            <w:shd w:val="clear" w:color="auto" w:fill="FFFFFF"/>
            <w:lang w:val="en-US" w:eastAsia="en-US" w:bidi="ar-SA"/>
          </w:rPr>
          <w:t>S.B.C. 2012, c. 13, s. 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damages being claimed by the plaintiff for infringement of its rights are based on the presence of the wharf, not the presence of the easement. The plaintiff states in its argument that since 1988 it has been trying to have the wharf removed in order to obtain the full value of the Property. The plaintiff asserts that damages must be based on an overall loss in value of the Property, which reflects the value of the range of uses to which the Property might have been put if the public wharf was not situated in Horton Bay harbour.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Given that I have found the ongoing presence and operation of the wharf facility is authorized by the registered easement, the plaintiff is not entitled to damages it is claiming that are predicated on the removal of the wharf. However, there is a minor and technical infringement of the plaintiff's rights in that a portion of the footpath and wharf structures were built outside the boundaries of the registered easement. As noted earlier, the area in issue is 0.010 acre.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There is no evidence of any damages as a result of a small portion of the pathway and wharf structures being located outside the area defined in the easement. The plaintiff's only expert appraisal evidence refers to the loss of value to the Property as a result of the presence of the wharf.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Keith Pritichard, an expert appraiser retained by the plaintiff, valued the entire Property based on $250,500 an acre. The value of 0.010 acre based on the plaintiff's expert appraiser would be $2,505.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David Osland, an expert appraiser retained by Canada and the CRD valued the land covered by the easement, being 0.043 acres, and the other land which is outside the easement on which the wharf structure and footpath have been constructed, being 0.010 acres. Mr. Osland placed a value on the 0.053 acres. Based on Mr. Osland's valuation 0.010 acre would be worth approximately $4,000.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In the circumstances and in light of the fact that the infringement of the plaintiff's rights is minor, it is my view a nominal damage award is appropriate in the circumstances. Having considered the appraisal evidence, it is my view that a nominal award in the amount of $7,500 to the plaintiff for the infringement of its rights is warranted.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Accordingly, I am granting nominal damages to the plaintiff for the infringement to its rights that has resulted from a small portion of the pathway and wharf structure being outside of the easement in the amount of $7,500. I am dismissing the remainder of the plaintiff's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I am making the following declarations:</w:t>
      </w:r>
      <w:r>
        <w:rPr>
          <w:rFonts w:ascii="arial" w:eastAsia="arial" w:hAnsi="arial" w:cs="arial"/>
          <w:sz w:val="20"/>
          <w:lang w:val="en-US" w:eastAsia="en-US" w:bidi="ar-SA"/>
        </w:rPr>
        <w:cr/>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easement allows the Province and its servants, agents and assign, visitors and invitees, including Canada, the CRD and members of the public to use the footpath to access the Horton Bay harbour public wharf from Horton Bay Road;</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easement allows Canada, the CRD and their assigns to maintain and operate the Horton Bay harbour public wharf in its present location.</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impairment of riparian rights attached to the part of Lot A that fronts the right-of-way, the footpath and the Horton Bay wharf is authorized so long as the operation of the Horton Bay harbour public wharf continues.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I also order that the registered easement be rectified to include all of the area on which the footpath and wharf structures are located. I further order that the defendants bear the costs of preparing and registering the new right of way and other documents required to rectify the right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In the alternative, in the event I am incorrect in my interpretation of the easement, and for the reasons set out, I am of the view an order should be made that the easement be rectified to contain the agreement made between the Province and Mr. Pratt at the time the registered easement was executed. If necessary, the easement should be rectified to allow the Province, and its servants, agents, assigns, visitors and invitees, including Canada, the CRD and members of the public to use the footpath to access the Horton Bay harbour public wharf, and to authorize Canada, the CRD and their assigns to maintain and operate the Horton Bay wharf in its present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Given that the defendants have been substantially successful in this action, they are entitled to their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L.B. GEROW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9" style="position:absolute;z-index:2518630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7"/>
          <w:headerReference w:type="default" r:id="rId88"/>
          <w:footerReference w:type="even" r:id="rId89"/>
          <w:footerReference w:type="default" r:id="rId90"/>
          <w:headerReference w:type="first" r:id="rId91"/>
          <w:footerReference w:type="first" r:id="rId9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3" w:history="1">
        <w:r>
          <w:rPr>
            <w:rFonts w:ascii="arial" w:eastAsia="arial" w:hAnsi="arial" w:cs="arial"/>
            <w:b/>
            <w:bCs/>
            <w:i/>
            <w:color w:val="0077CC"/>
            <w:kern w:val="32"/>
            <w:sz w:val="28"/>
            <w:szCs w:val="32"/>
            <w:u w:val="single"/>
            <w:shd w:val="clear" w:color="auto" w:fill="FFFFFF"/>
            <w:lang w:val="en-US" w:eastAsia="en-US" w:bidi="ar-SA"/>
          </w:rPr>
          <w:t>Bideci v. Neuhold, [2014] B.C.J. No. 1382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 Abrioux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26 and 30,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M135387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1382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1212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Ishan Bideci, Plaintiff, and Carl Neuhold, South Coast BC Transportation Authority and The Corporation of the District of West Vancouver,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0" style="position:absolute;z-index:251661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 w:name="Keywords_2"/>
      <w:bookmarkEnd w:id="21"/>
      <w:r>
        <w:rPr>
          <w:rFonts w:ascii="arial" w:eastAsia="arial" w:hAnsi="arial" w:cs="arial"/>
          <w:b/>
          <w:color w:val="000000"/>
          <w:sz w:val="20"/>
          <w:lang w:val="en-US" w:eastAsia="en-US" w:bidi="ar-SA"/>
        </w:rPr>
        <w:t>Civil litigation — Civil procedure — Costs — Particular circumstances — Where success divided — Offers to settle — Discretion — Application by plaintiff to recover two thirds of costs following apportionment of liability two thirds to defendants for injuries sustained when plaintiff fell on bus allowed in part — Application by defendants to deprive plaintiff of costs from date of formal offer to settle allowed — Damages of $35,100 awarded at trial — Defendants' formal offer was for $32,500 — Formal offer was valid, clear and unambiguous — Plaintiff entitled to two thirds of assessed costs to date of formal offer — Defendants entitled to 25 per cent of assessed costs from date of formal offer to conclusion of proceeding — Supreme Court Civil Rules, Rule 9-1.</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Practice and procedure — Costs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Proportionate to fault — Miscellaneous issues — Application by plaintiff to recover two thirds of costs following apportionment of liability two thirds to defendants for injuries sustained when plaintiff fell on bus allowed in part — Application by defendants to deprive plaintiff of costs from date of formal offer to settle allowed — Damages of $35,100 awarded at trial — Defendants' formal offer was for $32,500 — Formal offer was valid, clear and unambiguous — Plaintiff entitled to two thirds of assessed costs to date of formal offer — Defendants entitled to 25 per cent of assessed costs from date of formal offer to conclusion of proceeding — Supreme Court Civil Rules, Rule 9-1.</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 w:name="Case Summary_2"/>
            <w:bookmarkEnd w:id="2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to recover two thirds of the costs of his action following the apportionment of liability two thirds to the defendants and one third against the plaintiff for the injuries he sustained when he fell while riding the bus. Application by the defendants to deprive the plaintiff of his costs from the date of their formal offer to settle in November 2013. Damages of $35,100 were awarded at trial, two thirds of which were $23,377. The judgment provided the plaintiff was entitled to recover two thirds of the costs of the action, including the costs of trial. In November 2013, the defendants made a formal offer to settle for $32,500 plus costs and disbursements open for acceptance until the eve of trial. No release was attached. In December 2013, the defendants made an informal offer to settle for $35,000 plus costs that was open for acceptance for 48 hours. The plaintiff did not respond to either offer.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3" w:name="Holdings of Court_2"/>
            <w:bookmarkEnd w:id="23"/>
            <w:r>
              <w:rPr>
                <w:rFonts w:ascii="arial" w:eastAsia="arial" w:hAnsi="arial" w:cs="arial"/>
                <w:color w:val="000000"/>
                <w:sz w:val="20"/>
                <w:lang w:val="en-US" w:eastAsia="en-US" w:bidi="ar-SA"/>
              </w:rPr>
              <w:t>HELD: Applications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formal offer was a valid offer to settle. It was clear and unambiguous. There was only one offer open for acceptance at any given time. The informal offer did not revoke the formal offer. The plaintiff ought reasonably to have accepted the formal offer. He was entitled to two thirds of his assessed costs and disbursements to the date of the formal offer. Given the wide range in what the liability apportionment could have been, it was equitable for the defendants to recover 25 per cent of their assessed costs and disbursements from the date of the formal offer to the conclusion of the proceeding.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4" w:name="Legislation Cited_2"/>
      <w:bookmarkEnd w:id="2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1" style="position:absolute;z-index:2517125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Family Compensation Act, </w:t>
      </w:r>
      <w:r>
        <w:rPr>
          <w:rFonts w:ascii="arial" w:eastAsia="arial" w:hAnsi="arial" w:cs="arial"/>
          <w:i/>
          <w:color w:val="000000"/>
          <w:sz w:val="20"/>
          <w:lang w:val="en-US" w:eastAsia="en-US" w:bidi="ar-SA"/>
        </w:rPr>
        <w:t>RSBC 1996, CHAPTER 126</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Insurance (Vehicle) Act, </w:t>
      </w:r>
      <w:hyperlink r:id="rId94" w:history="1">
        <w:r>
          <w:rPr>
            <w:rFonts w:ascii="arial" w:eastAsia="arial" w:hAnsi="arial" w:cs="arial"/>
            <w:i/>
            <w:color w:val="0077CC"/>
            <w:sz w:val="20"/>
            <w:u w:val="single"/>
            <w:shd w:val="clear" w:color="auto" w:fill="FFFFFF"/>
            <w:lang w:val="en-US" w:eastAsia="en-US" w:bidi="ar-SA"/>
          </w:rPr>
          <w:t>RSBC 1996, CHAPTER 231, s. 83</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9-1, Rule 9-1(1)(c)(iii), Rule 9-1(4), Rule 9-1(5), Rule 9-1(6), Rule 15-1, Rule 15-1(15), Rule 37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5" w:name="Counsel_2"/>
      <w:bookmarkEnd w:id="2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2" style="position:absolute;z-index:2517637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 Grunder.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K. Naish.</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 w:name="Judgment_2"/>
      <w:bookmarkEnd w:id="26"/>
      <w:r>
        <w:pict>
          <v:line id="_x0000_s1043" style="position:absolute;z-index:25181491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style="width:432.06pt;height:197.28pt">
            <v:imagedata r:id="rId95" o:title=""/>
          </v:shape>
        </w:pict>
      </w:r>
      <w:r>
        <w:rPr>
          <w:rFonts w:ascii="arial" w:eastAsia="arial" w:hAnsi="arial" w:cs="arial"/>
          <w:sz w:val="20"/>
          <w:lang w:val="en-US" w:eastAsia="en-US" w:bidi="ar-SA"/>
        </w:rPr>
        <w:t xml:space="preserve">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 on Costs</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 w:name="P. ABRIOUX J."/>
            <w:bookmarkEnd w:id="27"/>
            <w:r>
              <w:rPr>
                <w:rFonts w:ascii="arial" w:eastAsia="arial" w:hAnsi="arial" w:cs="arial"/>
                <w:b/>
                <w:color w:val="000000"/>
                <w:sz w:val="30"/>
                <w:lang w:val="en-US" w:eastAsia="en-US" w:bidi="ar-SA"/>
              </w:rPr>
              <w:t>P. ABRIOUX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I:</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Introduction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was a fast track litigation proceeding related to an incident that occurred on September 29, 2012. The plaintiff sustained injuries when he fell while riding a bus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trial commenced on February 26, and concluded on February 28, 2014. Reasons for judgment were rendered on March 7, 2014, and are indexed at </w:t>
      </w:r>
      <w:hyperlink r:id="rId96" w:history="1">
        <w:r>
          <w:rPr>
            <w:rFonts w:ascii="arial" w:eastAsia="arial" w:hAnsi="arial" w:cs="arial"/>
            <w:i/>
            <w:color w:val="0077CC"/>
            <w:sz w:val="20"/>
            <w:u w:val="single"/>
            <w:shd w:val="clear" w:color="auto" w:fill="FFFFFF"/>
            <w:lang w:val="en-US" w:eastAsia="en-US" w:bidi="ar-SA"/>
          </w:rPr>
          <w:t>2014 BCSC 542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 apportioned liability two thirds against the defendants and one third against the plaintiff. I assessed the plaintiff's total damages at $35,100, two thirds of which is $23,376.66.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reasons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[128] The plaintiff is entitled to two thirds of his assessed costs in accordance with Rule 15-1(15), unless there are other factors pertaining to this issue of which I should be made aware. If that is the case, either party has leave to apply to speak to the matter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plaintiff applies to recover two thirds of the costs of this action, including the costs of the trial, in accordance with Rule 15-1(15)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(the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defendants seek an order depriving the plaintiff of his costs and disbursements from the date of their formal offer to settle, being November 20, 2013. They also seek their costs from this date pursuant to Rules 9-1(5) and (6). They do not seek double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464"/>
        <w:gridCol w:w="794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II:</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Offers to Settle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By the beginning of November 2013, there had been several offers to settle made by both parties. This application only concerns the last two offers before the trial, both of which were made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By letter dated November 20, 2013, the defendants delivered an offer to settle for $32,500 plus costs and disbursements (the "Formal Offer"). The Formal Offer contained the words required by Rule 9-1(1)(c)(iii). It provided in part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 reserve the right to bring this offer to the attention of the court for consideration in relation to costs after the court has pronounced judgment on all other issues in the proceeding. The Defendants further reserve the right to bring all previous offers delivered by the Defendants, whether under Rule 37, Rule 37A, Rule 37B, Rule 9-1 or otherwise, to the attention of the court for consideration in relation to costs after the court has pronounced judgment on all other issues in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This was referred to by G.C. Weatherill J. in </w:t>
      </w:r>
      <w:r>
        <w:rPr>
          <w:rFonts w:ascii="arial" w:eastAsia="arial" w:hAnsi="arial" w:cs="arial"/>
          <w:i/>
          <w:color w:val="000000"/>
          <w:sz w:val="20"/>
          <w:lang w:val="en-US" w:eastAsia="en-US" w:bidi="ar-SA"/>
        </w:rPr>
        <w:t>Arsenvoski v. Bodin</w:t>
      </w:r>
      <w:r>
        <w:rPr>
          <w:rFonts w:ascii="arial" w:eastAsia="arial" w:hAnsi="arial" w:cs="arial"/>
          <w:color w:val="000000"/>
          <w:sz w:val="20"/>
          <w:lang w:val="en-US" w:eastAsia="en-US" w:bidi="ar-SA"/>
        </w:rPr>
        <w:t xml:space="preserve">, </w:t>
      </w:r>
      <w:hyperlink r:id="rId97" w:history="1">
        <w:r>
          <w:rPr>
            <w:rFonts w:ascii="arial" w:eastAsia="arial" w:hAnsi="arial" w:cs="arial"/>
            <w:i/>
            <w:color w:val="0077CC"/>
            <w:sz w:val="20"/>
            <w:u w:val="single"/>
            <w:shd w:val="clear" w:color="auto" w:fill="FFFFFF"/>
            <w:lang w:val="en-US" w:eastAsia="en-US" w:bidi="ar-SA"/>
          </w:rPr>
          <w:t>2014 BCSC 199</w:t>
        </w:r>
      </w:hyperlink>
      <w:r>
        <w:rPr>
          <w:rFonts w:ascii="arial" w:eastAsia="arial" w:hAnsi="arial" w:cs="arial"/>
          <w:color w:val="000000"/>
          <w:sz w:val="20"/>
          <w:lang w:val="en-US" w:eastAsia="en-US" w:bidi="ar-SA"/>
        </w:rPr>
        <w:t>, as the "magic language".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Formal Offer also contained an Appendix A with the following terms:</w:t>
      </w:r>
      <w:r>
        <w:rPr>
          <w:rFonts w:ascii="arial" w:eastAsia="arial" w:hAnsi="arial" w:cs="arial"/>
          <w:sz w:val="20"/>
          <w:lang w:val="en-US" w:eastAsia="en-US" w:bidi="ar-SA"/>
        </w:rPr>
        <w:cr/>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offer can be withdrawn only by written notice by the Defendants to the Plaintiff.</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offer to settle does not expire by reason that a counter offer is made or that the Defendants have made subsequent offers that do not attract costs consequences under Rule 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Formal Offer remained open for acceptance until 4:00 pm "on the last business day before the commencement of the first day of trial in this proceeding, after which time this offer to settle expires". That was February 25,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By e-mail at 2:30 pm on December 11, 2013, the defendants delivered another offer, this time for $35,000 plus costs and disbursements (the "Informal Offer"). The Informal Offer expired at noon on December 13, 2013, two days later. This offer did not contain the magic language. It simply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have just received instructions to offer your client $35,000 plus C&amp;D as agreed or assessed in full and final settlement of this matter. This offer will remain open until noon Friday. Certainly, if you wish to discuss the offer or anything else on this file ... please don't hesitate to 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never officially responded to either the Formal or Informal Offers.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Examinations for discovery were completed between the dates of these offers.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784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III:</w:t>
            </w:r>
          </w:p>
        </w:tc>
        <w:tc>
          <w:tcPr>
            <w:tcW w:w="768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Parties' Positions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plaintiff's position can be summarized as follows:</w:t>
      </w:r>
      <w:r>
        <w:rPr>
          <w:rFonts w:ascii="arial" w:eastAsia="arial" w:hAnsi="arial" w:cs="arial"/>
          <w:sz w:val="20"/>
          <w:lang w:val="en-US" w:eastAsia="en-US" w:bidi="ar-SA"/>
        </w:rPr>
        <w:cr/>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subsequent offer revokes a previous offer: </w:t>
      </w:r>
      <w:r>
        <w:rPr>
          <w:rFonts w:ascii="arial" w:eastAsia="arial" w:hAnsi="arial" w:cs="arial"/>
          <w:i/>
          <w:color w:val="000000"/>
          <w:sz w:val="20"/>
          <w:lang w:val="en-US" w:eastAsia="en-US" w:bidi="ar-SA"/>
        </w:rPr>
        <w:t>Arsenvoski</w:t>
      </w:r>
      <w:r>
        <w:rPr>
          <w:rFonts w:ascii="arial" w:eastAsia="arial" w:hAnsi="arial" w:cs="arial"/>
          <w:color w:val="000000"/>
          <w:sz w:val="20"/>
          <w:lang w:val="en-US" w:eastAsia="en-US" w:bidi="ar-SA"/>
        </w:rPr>
        <w:t xml:space="preserve"> at para. 15;</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Formal Offer was revoked by the Informal Offer; and</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Informal Offer expired, leaving no offer open for acceptance after December 13,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plaintiff also contends that the Formal Offer was ambiguous in that no form of release was included: </w:t>
      </w:r>
      <w:r>
        <w:rPr>
          <w:rFonts w:ascii="arial" w:eastAsia="arial" w:hAnsi="arial" w:cs="arial"/>
          <w:i/>
          <w:color w:val="000000"/>
          <w:sz w:val="20"/>
          <w:lang w:val="en-US" w:eastAsia="en-US" w:bidi="ar-SA"/>
        </w:rPr>
        <w:t>Wong-Lai v. Ong</w:t>
      </w:r>
      <w:r>
        <w:rPr>
          <w:rFonts w:ascii="arial" w:eastAsia="arial" w:hAnsi="arial" w:cs="arial"/>
          <w:color w:val="000000"/>
          <w:sz w:val="20"/>
          <w:lang w:val="en-US" w:eastAsia="en-US" w:bidi="ar-SA"/>
        </w:rPr>
        <w:t xml:space="preserve">, </w:t>
      </w:r>
      <w:hyperlink r:id="rId98" w:history="1">
        <w:r>
          <w:rPr>
            <w:rFonts w:ascii="arial" w:eastAsia="arial" w:hAnsi="arial" w:cs="arial"/>
            <w:i/>
            <w:color w:val="0077CC"/>
            <w:sz w:val="20"/>
            <w:u w:val="single"/>
            <w:shd w:val="clear" w:color="auto" w:fill="FFFFFF"/>
            <w:lang w:val="en-US" w:eastAsia="en-US" w:bidi="ar-SA"/>
          </w:rPr>
          <w:t>2012 BCSC 1569</w:t>
        </w:r>
      </w:hyperlink>
      <w:r>
        <w:rPr>
          <w:rFonts w:ascii="arial" w:eastAsia="arial" w:hAnsi="arial" w:cs="arial"/>
          <w:color w:val="000000"/>
          <w:sz w:val="20"/>
          <w:lang w:val="en-US" w:eastAsia="en-US" w:bidi="ar-SA"/>
        </w:rPr>
        <w:t xml:space="preserve"> at para. 47. Therefore, even if the Formal Offer was not revoked, the plaintiff did not act unreasonably in not accepting it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defendants seek to enforce the Formal Offer. Their position includes:</w:t>
      </w:r>
      <w:r>
        <w:rPr>
          <w:rFonts w:ascii="arial" w:eastAsia="arial" w:hAnsi="arial" w:cs="arial"/>
          <w:sz w:val="20"/>
          <w:lang w:val="en-US" w:eastAsia="en-US" w:bidi="ar-SA"/>
        </w:rPr>
        <w:cr/>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Rule 9-1 is silent with respect to how and when a formal offer to settle is withdrawn. Therefore, the common law applies: </w:t>
      </w:r>
      <w:r>
        <w:rPr>
          <w:rFonts w:ascii="arial" w:eastAsia="arial" w:hAnsi="arial" w:cs="arial"/>
          <w:i/>
          <w:color w:val="000000"/>
          <w:sz w:val="20"/>
          <w:lang w:val="en-US" w:eastAsia="en-US" w:bidi="ar-SA"/>
        </w:rPr>
        <w:t>Arsenvoski</w:t>
      </w:r>
      <w:r>
        <w:rPr>
          <w:rFonts w:ascii="arial" w:eastAsia="arial" w:hAnsi="arial" w:cs="arial"/>
          <w:color w:val="000000"/>
          <w:sz w:val="20"/>
          <w:lang w:val="en-US" w:eastAsia="en-US" w:bidi="ar-SA"/>
        </w:rPr>
        <w:t xml:space="preserve"> at para. 14; </w:t>
      </w:r>
      <w:r>
        <w:rPr>
          <w:rFonts w:ascii="arial" w:eastAsia="arial" w:hAnsi="arial" w:cs="arial"/>
          <w:i/>
          <w:color w:val="000000"/>
          <w:sz w:val="20"/>
          <w:lang w:val="en-US" w:eastAsia="en-US" w:bidi="ar-SA"/>
        </w:rPr>
        <w:t>Janzen v. Janzen</w:t>
      </w:r>
      <w:r>
        <w:rPr>
          <w:rFonts w:ascii="arial" w:eastAsia="arial" w:hAnsi="arial" w:cs="arial"/>
          <w:color w:val="000000"/>
          <w:sz w:val="20"/>
          <w:lang w:val="en-US" w:eastAsia="en-US" w:bidi="ar-SA"/>
        </w:rPr>
        <w:t xml:space="preserve">, </w:t>
      </w:r>
      <w:hyperlink r:id="rId99" w:history="1">
        <w:r>
          <w:rPr>
            <w:rFonts w:ascii="arial" w:eastAsia="arial" w:hAnsi="arial" w:cs="arial"/>
            <w:i/>
            <w:color w:val="0077CC"/>
            <w:sz w:val="20"/>
            <w:u w:val="single"/>
            <w:shd w:val="clear" w:color="auto" w:fill="FFFFFF"/>
            <w:lang w:val="en-US" w:eastAsia="en-US" w:bidi="ar-SA"/>
          </w:rPr>
          <w:t>2011 BCSC 1146</w:t>
        </w:r>
      </w:hyperlink>
      <w:r>
        <w:rPr>
          <w:rFonts w:ascii="arial" w:eastAsia="arial" w:hAnsi="arial" w:cs="arial"/>
          <w:color w:val="000000"/>
          <w:sz w:val="20"/>
          <w:lang w:val="en-US" w:eastAsia="en-US" w:bidi="ar-SA"/>
        </w:rPr>
        <w:t xml:space="preserve"> at paras. 14-32;</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under the common law, revocation or withdrawal of a formal offer must occur in clear and unambiguous terms, and may be oral or written: </w:t>
      </w:r>
      <w:r>
        <w:rPr>
          <w:rFonts w:ascii="arial" w:eastAsia="arial" w:hAnsi="arial" w:cs="arial"/>
          <w:i/>
          <w:color w:val="000000"/>
          <w:sz w:val="20"/>
          <w:lang w:val="en-US" w:eastAsia="en-US" w:bidi="ar-SA"/>
        </w:rPr>
        <w:t>Pollock v. ICBC</w:t>
      </w:r>
      <w:r>
        <w:rPr>
          <w:rFonts w:ascii="arial" w:eastAsia="arial" w:hAnsi="arial" w:cs="arial"/>
          <w:color w:val="000000"/>
          <w:sz w:val="20"/>
          <w:lang w:val="en-US" w:eastAsia="en-US" w:bidi="ar-SA"/>
        </w:rPr>
        <w:t xml:space="preserve">, </w:t>
      </w:r>
      <w:hyperlink r:id="rId100" w:history="1">
        <w:r>
          <w:rPr>
            <w:rFonts w:ascii="arial" w:eastAsia="arial" w:hAnsi="arial" w:cs="arial"/>
            <w:i/>
            <w:color w:val="0077CC"/>
            <w:sz w:val="20"/>
            <w:u w:val="single"/>
            <w:shd w:val="clear" w:color="auto" w:fill="FFFFFF"/>
            <w:lang w:val="en-US" w:eastAsia="en-US" w:bidi="ar-SA"/>
          </w:rPr>
          <w:t>2009 BCSC 1031</w:t>
        </w:r>
      </w:hyperlink>
      <w:r>
        <w:rPr>
          <w:rFonts w:ascii="arial" w:eastAsia="arial" w:hAnsi="arial" w:cs="arial"/>
          <w:color w:val="000000"/>
          <w:sz w:val="20"/>
          <w:lang w:val="en-US" w:eastAsia="en-US" w:bidi="ar-SA"/>
        </w:rPr>
        <w:t xml:space="preserve"> at para. 16; </w:t>
      </w:r>
      <w:r>
        <w:rPr>
          <w:rFonts w:ascii="arial" w:eastAsia="arial" w:hAnsi="arial" w:cs="arial"/>
          <w:i/>
          <w:color w:val="000000"/>
          <w:sz w:val="20"/>
          <w:lang w:val="en-US" w:eastAsia="en-US" w:bidi="ar-SA"/>
        </w:rPr>
        <w:t>Janzen</w:t>
      </w:r>
      <w:r>
        <w:rPr>
          <w:rFonts w:ascii="arial" w:eastAsia="arial" w:hAnsi="arial" w:cs="arial"/>
          <w:color w:val="000000"/>
          <w:sz w:val="20"/>
          <w:lang w:val="en-US" w:eastAsia="en-US" w:bidi="ar-SA"/>
        </w:rPr>
        <w:t xml:space="preserve"> at paras. 23, 33-52;</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Formal Offer contained clear and unambiguous language such that it could not be revoked by the Informal Offer; and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Informal Offer was available for acceptance for approximately 48 hours. Afterwards, the Formal Offer would again be open for acceptance by the plaintiff until the last business day before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defendants also contend that the Formal Offer was not ambiguous. They submit that the decision in </w:t>
      </w:r>
      <w:r>
        <w:rPr>
          <w:rFonts w:ascii="arial" w:eastAsia="arial" w:hAnsi="arial" w:cs="arial"/>
          <w:i/>
          <w:color w:val="000000"/>
          <w:sz w:val="20"/>
          <w:lang w:val="en-US" w:eastAsia="en-US" w:bidi="ar-SA"/>
        </w:rPr>
        <w:t>Wong-Lai</w:t>
      </w:r>
      <w:r>
        <w:rPr>
          <w:rFonts w:ascii="arial" w:eastAsia="arial" w:hAnsi="arial" w:cs="arial"/>
          <w:color w:val="000000"/>
          <w:sz w:val="20"/>
          <w:lang w:val="en-US" w:eastAsia="en-US" w:bidi="ar-SA"/>
        </w:rPr>
        <w:t xml:space="preserve"> can be distinguished on the facts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464"/>
        <w:gridCol w:w="794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IV:</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Discussion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threshold issue on this application is whether there is a valid offer to settle before the court on the issue of costs. The following questions arise for determination:</w:t>
      </w:r>
      <w:r>
        <w:rPr>
          <w:rFonts w:ascii="arial" w:eastAsia="arial" w:hAnsi="arial" w:cs="arial"/>
          <w:sz w:val="20"/>
          <w:lang w:val="en-US" w:eastAsia="en-US" w:bidi="ar-SA"/>
        </w:rPr>
        <w:cr/>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Formal Offer revoked by the subsequent Informal Offer?</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Formal Offer ambiguous in that no release was attached?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Lastly, if the Formal Offer remained open for acceptance until the eve of the trial, what effect should it have, if any, on the costs of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For the reasons outlined below, I conclude that the Formal Offer is a valid offer to settle properly before the court for consideration on the issue of costs.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Was the Formal Offer revoked by the subsequent Informal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agree with the defendants, on the basis of the relevant authorities, that in the absence of language in Rule 9-1 with respect to how and when a formal offer can be withdrawn, the common law applies.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plaintiff relies heavily on </w:t>
      </w:r>
      <w:r>
        <w:rPr>
          <w:rFonts w:ascii="arial" w:eastAsia="arial" w:hAnsi="arial" w:cs="arial"/>
          <w:i/>
          <w:color w:val="000000"/>
          <w:sz w:val="20"/>
          <w:lang w:val="en-US" w:eastAsia="en-US" w:bidi="ar-SA"/>
        </w:rPr>
        <w:t>Arsenvoski</w:t>
      </w:r>
      <w:r>
        <w:rPr>
          <w:rFonts w:ascii="arial" w:eastAsia="arial" w:hAnsi="arial" w:cs="arial"/>
          <w:color w:val="000000"/>
          <w:sz w:val="20"/>
          <w:lang w:val="en-US" w:eastAsia="en-US" w:bidi="ar-SA"/>
        </w:rPr>
        <w:t>, a recent decision of Mr. Justice G.C. Weatherill. In that case, Weatherill J. reached the conclusion that a subsequent informal offer revoked a previous formal offer. To understand the context in which I have reached my conclusion, I will outline what occurred in that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facts in </w:t>
      </w:r>
      <w:r>
        <w:rPr>
          <w:rFonts w:ascii="arial" w:eastAsia="arial" w:hAnsi="arial" w:cs="arial"/>
          <w:i/>
          <w:color w:val="000000"/>
          <w:sz w:val="20"/>
          <w:lang w:val="en-US" w:eastAsia="en-US" w:bidi="ar-SA"/>
        </w:rPr>
        <w:t>Arsenvoski</w:t>
      </w:r>
      <w:r>
        <w:rPr>
          <w:rFonts w:ascii="arial" w:eastAsia="arial" w:hAnsi="arial" w:cs="arial"/>
          <w:color w:val="000000"/>
          <w:sz w:val="20"/>
          <w:lang w:val="en-US" w:eastAsia="en-US" w:bidi="ar-SA"/>
        </w:rPr>
        <w:t xml:space="preserve"> were as follows:</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August 25, 2011: defendants' first formal offer;</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September 21, 2011: plaintiff's first formal offer;</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July 4, 2013: plaintiff's second formal offer; and</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July 19, 2013: defendants' informal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 August 7, 2013, the plaintiff purported to accept the defendants' first formal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issue in </w:t>
      </w:r>
      <w:r>
        <w:rPr>
          <w:rFonts w:ascii="arial" w:eastAsia="arial" w:hAnsi="arial" w:cs="arial"/>
          <w:i/>
          <w:color w:val="000000"/>
          <w:sz w:val="20"/>
          <w:lang w:val="en-US" w:eastAsia="en-US" w:bidi="ar-SA"/>
        </w:rPr>
        <w:t>Arsenvoski</w:t>
      </w:r>
      <w:r>
        <w:rPr>
          <w:rFonts w:ascii="arial" w:eastAsia="arial" w:hAnsi="arial" w:cs="arial"/>
          <w:color w:val="000000"/>
          <w:sz w:val="20"/>
          <w:lang w:val="en-US" w:eastAsia="en-US" w:bidi="ar-SA"/>
        </w:rPr>
        <w:t xml:space="preserve"> was whether the defendants' first formal offer was open for acceptance after receipt of the informal offer, such that an enforceable agreement to settle the case existed. As is the case here, the informal offer did not contain the magic language. The plaintiff in </w:t>
      </w:r>
      <w:r>
        <w:rPr>
          <w:rFonts w:ascii="arial" w:eastAsia="arial" w:hAnsi="arial" w:cs="arial"/>
          <w:i/>
          <w:color w:val="000000"/>
          <w:sz w:val="20"/>
          <w:lang w:val="en-US" w:eastAsia="en-US" w:bidi="ar-SA"/>
        </w:rPr>
        <w:t>Arsenvoski</w:t>
      </w:r>
      <w:r>
        <w:rPr>
          <w:rFonts w:ascii="arial" w:eastAsia="arial" w:hAnsi="arial" w:cs="arial"/>
          <w:color w:val="000000"/>
          <w:sz w:val="20"/>
          <w:lang w:val="en-US" w:eastAsia="en-US" w:bidi="ar-SA"/>
        </w:rPr>
        <w:t xml:space="preserve"> conceded that if the informal offer had contained the magic language, then the defendants' first formal offer would have been revoked.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Weatherill J. reviewed the relevant jurisprudence. He held that, under Rule 9-1, a "settlement offer, formal or informal, is revoked upon the communication of a new settlement offer, formal or informal":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This is a case of first instance under Rule 9-1. All of the cases relied upon by plaintiff's counsel were in the context of the Rule 37, which expressly provided for how a formal offer to settle could be withdrawn before acceptance. The one exception is the decision of Madam Justice Fitzpatrick in </w:t>
      </w:r>
      <w:r>
        <w:rPr>
          <w:rFonts w:ascii="arial" w:eastAsia="arial" w:hAnsi="arial" w:cs="arial"/>
          <w:i/>
          <w:color w:val="000000"/>
          <w:sz w:val="20"/>
          <w:lang w:val="en-US" w:eastAsia="en-US" w:bidi="ar-SA"/>
        </w:rPr>
        <w:t>Janzen</w:t>
      </w:r>
      <w:r>
        <w:rPr>
          <w:rFonts w:ascii="arial" w:eastAsia="arial" w:hAnsi="arial" w:cs="arial"/>
          <w:color w:val="000000"/>
          <w:sz w:val="20"/>
          <w:lang w:val="en-US" w:eastAsia="en-US" w:bidi="ar-SA"/>
        </w:rPr>
        <w:t xml:space="preserve"> where she found that, although there had been a clear and unequivocal rejection by the plaintiff of the defendant's counter-offer, there had not been a clear and unambiguous revocation by the plaintiff of her earlier formal settlement offer. In that case, the plaintiff had not made a new settlement offer.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Here, the [informal] defendants' Second Offer stated: "My clients would, however, accept a Consent Dismissal Order in exchange for a waiver of their costs". Those words amounted to a new settlement offer. There was nothing unclear or unequivocal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about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I agree with defendants' counsel that in the absence of language in Rule 9-1 regarding how and when a formal settlement offer is withdrawn, the common law applies.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w:t>
      </w:r>
      <w:r>
        <w:rPr>
          <w:rFonts w:ascii="arial" w:eastAsia="arial" w:hAnsi="arial" w:cs="arial"/>
          <w:color w:val="000000"/>
          <w:sz w:val="20"/>
          <w:u w:val="single"/>
          <w:lang w:val="en-US" w:eastAsia="en-US" w:bidi="ar-SA"/>
        </w:rPr>
        <w:t>I do not accept the argument that a formal settlement offer is not revoked by an informal settlement offer. While that may have been the case under the language of former Rule 37, it is no longer the case under Rule 9-1. A settlement offer, formal or informal, is revoked upon the communication of a new settlement offer, formal or informal.</w:t>
      </w:r>
      <w:r>
        <w:rPr>
          <w:rFonts w:ascii="arial" w:eastAsia="arial" w:hAnsi="arial" w:cs="arial"/>
          <w:color w:val="000000"/>
          <w:sz w:val="20"/>
          <w:lang w:val="en-US" w:eastAsia="en-US" w:bidi="ar-SA"/>
        </w:rPr>
        <w:t xml:space="preserve"> I agree with the following statement of the law by Wilson J. in </w:t>
      </w:r>
      <w:r>
        <w:rPr>
          <w:rFonts w:ascii="arial" w:eastAsia="arial" w:hAnsi="arial" w:cs="arial"/>
          <w:i/>
          <w:color w:val="000000"/>
          <w:sz w:val="20"/>
          <w:lang w:val="en-US" w:eastAsia="en-US" w:bidi="ar-SA"/>
        </w:rPr>
        <w:t>Sidhu v. Sekhon</w:t>
      </w:r>
      <w:r>
        <w:rPr>
          <w:rFonts w:ascii="arial" w:eastAsia="arial" w:hAnsi="arial" w:cs="arial"/>
          <w:color w:val="000000"/>
          <w:sz w:val="20"/>
          <w:lang w:val="en-US" w:eastAsia="en-US" w:bidi="ar-SA"/>
        </w:rPr>
        <w:t xml:space="preserve">, </w:t>
      </w:r>
      <w:hyperlink r:id="rId101" w:history="1">
        <w:r>
          <w:rPr>
            <w:rFonts w:ascii="arial" w:eastAsia="arial" w:hAnsi="arial" w:cs="arial"/>
            <w:i/>
            <w:color w:val="0077CC"/>
            <w:sz w:val="20"/>
            <w:u w:val="single"/>
            <w:shd w:val="clear" w:color="auto" w:fill="FFFFFF"/>
            <w:lang w:val="en-US" w:eastAsia="en-US" w:bidi="ar-SA"/>
          </w:rPr>
          <w:t>[1997] B.C.J. No. 102</w:t>
        </w:r>
      </w:hyperlink>
      <w:r>
        <w:rPr>
          <w:rFonts w:ascii="arial" w:eastAsia="arial" w:hAnsi="arial" w:cs="arial"/>
          <w:color w:val="000000"/>
          <w:sz w:val="20"/>
          <w:lang w:val="en-US" w:eastAsia="en-US" w:bidi="ar-SA"/>
        </w:rPr>
        <w:t xml:space="preserve"> (S.C.) at para. 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think interpretation of the rule contemplates the application of principles of contract law. And that those principles must be implemented before resort is had to policy considerations. In my view, those principles establish a number of precepts. First, an offer may be withdrawn before acceptance. It is sufficient for that purpose, if the offeree has actual knowledge that the offeror has done some act inconsistent with the continuance of the offer. Further, the addition of a new term or condition, to an earlier offer, before acceptance, is the withdrawal of the earlier offer, and the submission of a new offer, of which the new condition or term is a part. From the time the new condition is submitted, the earlier offer is withdrawn, and is no longer open to acceptance or rejection, by the party to whom it was presented. Finally, there can be only one offer outstanding at a time. A later offer to the same offeree, on the same subject matter, has the effect of cancelling the prior offer.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the result, Weatherill J. held that the defendants' informal offer revoked their first formal offer. Accordingly, he dismissed the plaintiff's application to enforce the settlement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 v. Williams</w:t>
      </w:r>
      <w:r>
        <w:rPr>
          <w:rFonts w:ascii="arial" w:eastAsia="arial" w:hAnsi="arial" w:cs="arial"/>
          <w:color w:val="000000"/>
          <w:sz w:val="20"/>
          <w:lang w:val="en-US" w:eastAsia="en-US" w:bidi="ar-SA"/>
        </w:rPr>
        <w:t xml:space="preserve">, </w:t>
      </w:r>
      <w:hyperlink r:id="rId102" w:history="1">
        <w:r>
          <w:rPr>
            <w:rFonts w:ascii="arial" w:eastAsia="arial" w:hAnsi="arial" w:cs="arial"/>
            <w:i/>
            <w:color w:val="0077CC"/>
            <w:sz w:val="20"/>
            <w:u w:val="single"/>
            <w:shd w:val="clear" w:color="auto" w:fill="FFFFFF"/>
            <w:lang w:val="en-US" w:eastAsia="en-US" w:bidi="ar-SA"/>
          </w:rPr>
          <w:t>2013 BCSC 1774</w:t>
        </w:r>
      </w:hyperlink>
      <w:r>
        <w:rPr>
          <w:rFonts w:ascii="arial" w:eastAsia="arial" w:hAnsi="arial" w:cs="arial"/>
          <w:color w:val="000000"/>
          <w:sz w:val="20"/>
          <w:lang w:val="en-US" w:eastAsia="en-US" w:bidi="ar-SA"/>
        </w:rPr>
        <w:t xml:space="preserve"> at para. 59, Romilly J. cited </w:t>
      </w:r>
      <w:r>
        <w:rPr>
          <w:rFonts w:ascii="arial" w:eastAsia="arial" w:hAnsi="arial" w:cs="arial"/>
          <w:i/>
          <w:color w:val="000000"/>
          <w:sz w:val="20"/>
          <w:lang w:val="en-US" w:eastAsia="en-US" w:bidi="ar-SA"/>
        </w:rPr>
        <w:t>R. v. Ottaway</w:t>
      </w:r>
      <w:r>
        <w:rPr>
          <w:rFonts w:ascii="arial" w:eastAsia="arial" w:hAnsi="arial" w:cs="arial"/>
          <w:color w:val="000000"/>
          <w:sz w:val="20"/>
          <w:lang w:val="en-US" w:eastAsia="en-US" w:bidi="ar-SA"/>
        </w:rPr>
        <w:t xml:space="preserve"> </w:t>
      </w:r>
      <w:hyperlink r:id="rId103" w:history="1">
        <w:r>
          <w:rPr>
            <w:rFonts w:ascii="arial" w:eastAsia="arial" w:hAnsi="arial" w:cs="arial"/>
            <w:i/>
            <w:color w:val="0077CC"/>
            <w:sz w:val="20"/>
            <w:u w:val="single"/>
            <w:shd w:val="clear" w:color="auto" w:fill="FFFFFF"/>
            <w:lang w:val="en-US" w:eastAsia="en-US" w:bidi="ar-SA"/>
          </w:rPr>
          <w:t>(1980), 110 D.L.R. (3d) 231</w:t>
        </w:r>
      </w:hyperlink>
      <w:r>
        <w:rPr>
          <w:rFonts w:ascii="arial" w:eastAsia="arial" w:hAnsi="arial" w:cs="arial"/>
          <w:color w:val="000000"/>
          <w:sz w:val="20"/>
          <w:lang w:val="en-US" w:eastAsia="en-US" w:bidi="ar-SA"/>
        </w:rPr>
        <w:t xml:space="preserve"> (B.C.C.A.), wherein Seaton J.A., referring to </w:t>
      </w:r>
      <w:r>
        <w:rPr>
          <w:rFonts w:ascii="arial" w:eastAsia="arial" w:hAnsi="arial" w:cs="arial"/>
          <w:i/>
          <w:color w:val="000000"/>
          <w:sz w:val="20"/>
          <w:lang w:val="en-US" w:eastAsia="en-US" w:bidi="ar-SA"/>
        </w:rPr>
        <w:t>Re Hansard Spruce Mills Ltd.</w:t>
      </w:r>
      <w:r>
        <w:rPr>
          <w:rFonts w:ascii="arial" w:eastAsia="arial" w:hAnsi="arial" w:cs="arial"/>
          <w:color w:val="000000"/>
          <w:sz w:val="20"/>
          <w:lang w:val="en-US" w:eastAsia="en-US" w:bidi="ar-SA"/>
        </w:rPr>
        <w:t xml:space="preserve">, </w:t>
      </w:r>
      <w:hyperlink r:id="rId104" w:history="1">
        <w:r>
          <w:rPr>
            <w:rFonts w:ascii="arial" w:eastAsia="arial" w:hAnsi="arial" w:cs="arial"/>
            <w:i/>
            <w:color w:val="0077CC"/>
            <w:sz w:val="20"/>
            <w:u w:val="single"/>
            <w:shd w:val="clear" w:color="auto" w:fill="FFFFFF"/>
            <w:lang w:val="en-US" w:eastAsia="en-US" w:bidi="ar-SA"/>
          </w:rPr>
          <w:t>[1954] 4 D.L.R. 590</w:t>
        </w:r>
      </w:hyperlink>
      <w:r>
        <w:rPr>
          <w:rFonts w:ascii="arial" w:eastAsia="arial" w:hAnsi="arial" w:cs="arial"/>
          <w:color w:val="000000"/>
          <w:sz w:val="20"/>
          <w:lang w:val="en-US" w:eastAsia="en-US" w:bidi="ar-SA"/>
        </w:rPr>
        <w:t xml:space="preserve"> (B.C.S.C.), said the following at 233: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Barring a distinguishing feature</w:t>
      </w:r>
      <w:r>
        <w:rPr>
          <w:rFonts w:ascii="arial" w:eastAsia="arial" w:hAnsi="arial" w:cs="arial"/>
          <w:color w:val="000000"/>
          <w:sz w:val="20"/>
          <w:lang w:val="en-US" w:eastAsia="en-US" w:bidi="ar-SA"/>
        </w:rPr>
        <w:t>, I think that the Chambers Judge was correct in following a former decision of a Judge of the same Court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There are many distinguishing features here. The facts in this case are fundamentally different from those in </w:t>
      </w:r>
      <w:r>
        <w:rPr>
          <w:rFonts w:ascii="arial" w:eastAsia="arial" w:hAnsi="arial" w:cs="arial"/>
          <w:i/>
          <w:color w:val="000000"/>
          <w:sz w:val="20"/>
          <w:lang w:val="en-US" w:eastAsia="en-US" w:bidi="ar-SA"/>
        </w:rPr>
        <w:t>Arsenvoski</w:t>
      </w:r>
      <w:r>
        <w:rPr>
          <w:rFonts w:ascii="arial" w:eastAsia="arial" w:hAnsi="arial" w:cs="arial"/>
          <w:color w:val="000000"/>
          <w:sz w:val="20"/>
          <w:lang w:val="en-US" w:eastAsia="en-US" w:bidi="ar-SA"/>
        </w:rPr>
        <w:t>. Here:</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Formal and Informal Offers were made consecutively by the same parties, i.e. the defendants' Informal Offer was not a counter offer;</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Informal Offer was a temporary increase of the proposed settlement amount which was open for acceptance for two days. In other words, there was only one offer open for acceptance at any given time;</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Formal Offer could only be withdrawn by written notice from the defendants to the plaintiff;</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Informal Offer did not contain a clear and unambiguous withdrawal or revocation of the Formal Offer;</w:t>
      </w:r>
    </w:p>
    <w:p>
      <w:pPr>
        <w:numPr>
          <w:numId w:val="2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subsequent offer such as the Informal Offer was specifically contemplated in the Formal Offer; and</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both the Formal and Informal Offers provided timeframes after which they would expire.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Arsenvoski</w:t>
      </w:r>
      <w:r>
        <w:rPr>
          <w:rFonts w:ascii="arial" w:eastAsia="arial" w:hAnsi="arial" w:cs="arial"/>
          <w:color w:val="000000"/>
          <w:sz w:val="20"/>
          <w:lang w:val="en-US" w:eastAsia="en-US" w:bidi="ar-SA"/>
        </w:rPr>
        <w:t xml:space="preserve">, the defendants' informal offer was a counter offer to the plaintiff's second formal offer. It was made during a back-and-forth negotiation between counsel over the course of two years. There was no reference in the </w:t>
      </w:r>
      <w:r>
        <w:rPr>
          <w:rFonts w:ascii="arial" w:eastAsia="arial" w:hAnsi="arial" w:cs="arial"/>
          <w:i/>
          <w:color w:val="000000"/>
          <w:sz w:val="20"/>
          <w:lang w:val="en-US" w:eastAsia="en-US" w:bidi="ar-SA"/>
        </w:rPr>
        <w:t>Arsenvoski</w:t>
      </w:r>
      <w:r>
        <w:rPr>
          <w:rFonts w:ascii="arial" w:eastAsia="arial" w:hAnsi="arial" w:cs="arial"/>
          <w:color w:val="000000"/>
          <w:sz w:val="20"/>
          <w:lang w:val="en-US" w:eastAsia="en-US" w:bidi="ar-SA"/>
        </w:rPr>
        <w:t xml:space="preserve"> reasons for judgment regarding how long any of the offers were open for acceptance or if they eventually expired, or how and when an offer could be withdrawn or revoked. In addition, the wording of the defendants' informal offer clearly and unambiguously rejected the plaintiff's second formal offer: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write pursuant to your settlement offer of July 4, 2013.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My clients have instructed me to reject your client's offer to settle.</w:t>
      </w:r>
      <w:r>
        <w:rPr>
          <w:rFonts w:ascii="arial" w:eastAsia="arial" w:hAnsi="arial" w:cs="arial"/>
          <w:color w:val="000000"/>
          <w:sz w:val="20"/>
          <w:lang w:val="en-US" w:eastAsia="en-US" w:bidi="ar-SA"/>
        </w:rPr>
        <w:t xml:space="preserve"> My clients would, however, accept a Consent Dismissal Order in exchange for a waiver of their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the case before me, the Informal Offer was not a counter offer; rather, it was made by the same parties who made the Formal Offer. The Informal Offer was a $2,500 increase available to the plaintiff for a period of two days (during which time the Formal Offer was suspended). After that, the Formal Offer remained extant until the last business day before the trial. There was only one offer open for acceptance at any given time. This is further shown by the clear and unequivocal terms in Appendix A of the Formal Offer regarding how and when that offer could be withdrawn or revoked.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Furthermore, the language used in the Informal Offer contained no indication of a clear and unambiguous withdrawal or revocation of the Formal Offer: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appreciate the intentions you indicated with respect to his file at the discovery. However, I have just received instructions to offer your client $35,000 plus C&amp;D as agreed or assessed in full and final settlement of this matter. This offer will remain open until noon Friday. Certainly, if you wish to discuss the offer or anything else on this file ... please don't hesitate to 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my view, this is a material point of distinction from the offers in </w:t>
      </w:r>
      <w:r>
        <w:rPr>
          <w:rFonts w:ascii="arial" w:eastAsia="arial" w:hAnsi="arial" w:cs="arial"/>
          <w:i/>
          <w:color w:val="000000"/>
          <w:sz w:val="20"/>
          <w:lang w:val="en-US" w:eastAsia="en-US" w:bidi="ar-SA"/>
        </w:rPr>
        <w:t>Arsenvoski</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addition, according to Appendix A, the Formal Offer could "be withdrawn </w:t>
      </w:r>
      <w:r>
        <w:rPr>
          <w:rFonts w:ascii="arial" w:eastAsia="arial" w:hAnsi="arial" w:cs="arial"/>
          <w:color w:val="000000"/>
          <w:sz w:val="20"/>
          <w:u w:val="single"/>
          <w:lang w:val="en-US" w:eastAsia="en-US" w:bidi="ar-SA"/>
        </w:rPr>
        <w:t>only by written notice by the Defendants to the Plaintiff</w:t>
      </w:r>
      <w:r>
        <w:rPr>
          <w:rFonts w:ascii="arial" w:eastAsia="arial" w:hAnsi="arial" w:cs="arial"/>
          <w:color w:val="000000"/>
          <w:sz w:val="20"/>
          <w:lang w:val="en-US" w:eastAsia="en-US" w:bidi="ar-SA"/>
        </w:rPr>
        <w:t xml:space="preserve">", and did "not expire by reason that a counter offer is made </w:t>
      </w:r>
      <w:r>
        <w:rPr>
          <w:rFonts w:ascii="arial" w:eastAsia="arial" w:hAnsi="arial" w:cs="arial"/>
          <w:color w:val="000000"/>
          <w:sz w:val="20"/>
          <w:u w:val="single"/>
          <w:lang w:val="en-US" w:eastAsia="en-US" w:bidi="ar-SA"/>
        </w:rPr>
        <w:t>or that the Defendants have made subsequent offers that do not attract costs consequences under Rule 9-1</w:t>
      </w:r>
      <w:r>
        <w:rPr>
          <w:rFonts w:ascii="arial" w:eastAsia="arial" w:hAnsi="arial" w:cs="arial"/>
          <w:color w:val="000000"/>
          <w:sz w:val="20"/>
          <w:lang w:val="en-US" w:eastAsia="en-US" w:bidi="ar-SA"/>
        </w:rPr>
        <w:t>" (emphasis added). The language of the Formal Offer, accordingly, specifically contemplated the subsequent Informal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 conclude there are sufficient distinguishing features in this case from those in </w:t>
      </w:r>
      <w:r>
        <w:rPr>
          <w:rFonts w:ascii="arial" w:eastAsia="arial" w:hAnsi="arial" w:cs="arial"/>
          <w:i/>
          <w:color w:val="000000"/>
          <w:sz w:val="20"/>
          <w:lang w:val="en-US" w:eastAsia="en-US" w:bidi="ar-SA"/>
        </w:rPr>
        <w:t>Arsenvoski</w:t>
      </w:r>
      <w:r>
        <w:rPr>
          <w:rFonts w:ascii="arial" w:eastAsia="arial" w:hAnsi="arial" w:cs="arial"/>
          <w:color w:val="000000"/>
          <w:sz w:val="20"/>
          <w:lang w:val="en-US" w:eastAsia="en-US" w:bidi="ar-SA"/>
        </w:rPr>
        <w:t xml:space="preserve"> such that I am not bound to follow that decision, in particular what is stated in para. 15 as cited in para. 25 above. That is because, were I to do so, this would not advance the interests of justice on the facts of this case as opposed to those in </w:t>
      </w:r>
      <w:r>
        <w:rPr>
          <w:rFonts w:ascii="arial" w:eastAsia="arial" w:hAnsi="arial" w:cs="arial"/>
          <w:i/>
          <w:color w:val="000000"/>
          <w:sz w:val="20"/>
          <w:lang w:val="en-US" w:eastAsia="en-US" w:bidi="ar-SA"/>
        </w:rPr>
        <w:t>Arsenvoski</w:t>
      </w:r>
      <w:r>
        <w:rPr>
          <w:rFonts w:ascii="arial" w:eastAsia="arial" w:hAnsi="arial" w:cs="arial"/>
          <w:color w:val="000000"/>
          <w:sz w:val="20"/>
          <w:lang w:val="en-US" w:eastAsia="en-US" w:bidi="ar-SA"/>
        </w:rPr>
        <w:t xml:space="preserve">. In my view, the distinguishing features are "exceptional circumstances" in which it is appropriate to decline to follow the decision in </w:t>
      </w:r>
      <w:r>
        <w:rPr>
          <w:rFonts w:ascii="arial" w:eastAsia="arial" w:hAnsi="arial" w:cs="arial"/>
          <w:i/>
          <w:color w:val="000000"/>
          <w:sz w:val="20"/>
          <w:lang w:val="en-US" w:eastAsia="en-US" w:bidi="ar-SA"/>
        </w:rPr>
        <w:t>Arsenvoski</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Sipes</w:t>
      </w:r>
      <w:r>
        <w:rPr>
          <w:rFonts w:ascii="arial" w:eastAsia="arial" w:hAnsi="arial" w:cs="arial"/>
          <w:color w:val="000000"/>
          <w:sz w:val="20"/>
          <w:lang w:val="en-US" w:eastAsia="en-US" w:bidi="ar-SA"/>
        </w:rPr>
        <w:t xml:space="preserve">, </w:t>
      </w:r>
      <w:hyperlink r:id="rId105" w:history="1">
        <w:r>
          <w:rPr>
            <w:rFonts w:ascii="arial" w:eastAsia="arial" w:hAnsi="arial" w:cs="arial"/>
            <w:i/>
            <w:color w:val="0077CC"/>
            <w:sz w:val="20"/>
            <w:u w:val="single"/>
            <w:shd w:val="clear" w:color="auto" w:fill="FFFFFF"/>
            <w:lang w:val="en-US" w:eastAsia="en-US" w:bidi="ar-SA"/>
          </w:rPr>
          <w:t>2009 BCSC 285</w:t>
        </w:r>
      </w:hyperlink>
      <w:r>
        <w:rPr>
          <w:rFonts w:ascii="arial" w:eastAsia="arial" w:hAnsi="arial" w:cs="arial"/>
          <w:color w:val="000000"/>
          <w:sz w:val="20"/>
          <w:lang w:val="en-US" w:eastAsia="en-US" w:bidi="ar-SA"/>
        </w:rPr>
        <w:t xml:space="preserve"> at paras. 10-16. See also: </w:t>
      </w:r>
      <w:r>
        <w:rPr>
          <w:rFonts w:ascii="arial" w:eastAsia="arial" w:hAnsi="arial" w:cs="arial"/>
          <w:i/>
          <w:color w:val="000000"/>
          <w:sz w:val="20"/>
          <w:lang w:val="en-US" w:eastAsia="en-US" w:bidi="ar-SA"/>
        </w:rPr>
        <w:t>Chief Mountain v. British Columbia (Attorney General)</w:t>
      </w:r>
      <w:r>
        <w:rPr>
          <w:rFonts w:ascii="arial" w:eastAsia="arial" w:hAnsi="arial" w:cs="arial"/>
          <w:color w:val="000000"/>
          <w:sz w:val="20"/>
          <w:lang w:val="en-US" w:eastAsia="en-US" w:bidi="ar-SA"/>
        </w:rPr>
        <w:t xml:space="preserve">, </w:t>
      </w:r>
      <w:hyperlink r:id="rId106" w:history="1">
        <w:r>
          <w:rPr>
            <w:rFonts w:ascii="arial" w:eastAsia="arial" w:hAnsi="arial" w:cs="arial"/>
            <w:i/>
            <w:color w:val="0077CC"/>
            <w:sz w:val="20"/>
            <w:u w:val="single"/>
            <w:shd w:val="clear" w:color="auto" w:fill="FFFFFF"/>
            <w:lang w:val="en-US" w:eastAsia="en-US" w:bidi="ar-SA"/>
          </w:rPr>
          <w:t>2011 BCSC 1394</w:t>
        </w:r>
      </w:hyperlink>
      <w:r>
        <w:rPr>
          <w:rFonts w:ascii="arial" w:eastAsia="arial" w:hAnsi="arial" w:cs="arial"/>
          <w:color w:val="000000"/>
          <w:sz w:val="20"/>
          <w:lang w:val="en-US" w:eastAsia="en-US" w:bidi="ar-SA"/>
        </w:rPr>
        <w:t xml:space="preserve"> at paras. 74-99, aff'd </w:t>
      </w:r>
      <w:hyperlink r:id="rId107" w:history="1">
        <w:r>
          <w:rPr>
            <w:rFonts w:ascii="arial" w:eastAsia="arial" w:hAnsi="arial" w:cs="arial"/>
            <w:i/>
            <w:color w:val="0077CC"/>
            <w:sz w:val="20"/>
            <w:u w:val="single"/>
            <w:shd w:val="clear" w:color="auto" w:fill="FFFFFF"/>
            <w:lang w:val="en-US" w:eastAsia="en-US" w:bidi="ar-SA"/>
          </w:rPr>
          <w:t>2013 BCCA 49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sub nom. Sga'nism Sim'augit (Chief Mountain) v. Canada (Attorney General)</w:t>
      </w:r>
      <w:r>
        <w:rPr>
          <w:rFonts w:ascii="arial" w:eastAsia="arial" w:hAnsi="arial" w:cs="arial"/>
          <w:color w:val="000000"/>
          <w:sz w:val="20"/>
          <w:lang w:val="en-US" w:eastAsia="en-US" w:bidi="ar-SA"/>
        </w:rPr>
        <w:t xml:space="preserve">), cited in </w:t>
      </w:r>
      <w:r>
        <w:rPr>
          <w:rFonts w:ascii="arial" w:eastAsia="arial" w:hAnsi="arial" w:cs="arial"/>
          <w:i/>
          <w:color w:val="000000"/>
          <w:sz w:val="20"/>
          <w:lang w:val="en-US" w:eastAsia="en-US" w:bidi="ar-SA"/>
        </w:rPr>
        <w:t>R. v. Widalko</w:t>
      </w:r>
      <w:r>
        <w:rPr>
          <w:rFonts w:ascii="arial" w:eastAsia="arial" w:hAnsi="arial" w:cs="arial"/>
          <w:color w:val="000000"/>
          <w:sz w:val="20"/>
          <w:lang w:val="en-US" w:eastAsia="en-US" w:bidi="ar-SA"/>
        </w:rPr>
        <w:t xml:space="preserve">, </w:t>
      </w:r>
      <w:hyperlink r:id="rId108" w:history="1">
        <w:r>
          <w:rPr>
            <w:rFonts w:ascii="arial" w:eastAsia="arial" w:hAnsi="arial" w:cs="arial"/>
            <w:i/>
            <w:color w:val="0077CC"/>
            <w:sz w:val="20"/>
            <w:u w:val="single"/>
            <w:shd w:val="clear" w:color="auto" w:fill="FFFFFF"/>
            <w:lang w:val="en-US" w:eastAsia="en-US" w:bidi="ar-SA"/>
          </w:rPr>
          <w:t>2013 BCSC 2077</w:t>
        </w:r>
      </w:hyperlink>
      <w:r>
        <w:rPr>
          <w:rFonts w:ascii="arial" w:eastAsia="arial" w:hAnsi="arial" w:cs="arial"/>
          <w:color w:val="000000"/>
          <w:sz w:val="20"/>
          <w:lang w:val="en-US" w:eastAsia="en-US" w:bidi="ar-SA"/>
        </w:rPr>
        <w:t xml:space="preserve"> at para. 19 (</w:t>
      </w:r>
      <w:r>
        <w:rPr>
          <w:rFonts w:ascii="arial" w:eastAsia="arial" w:hAnsi="arial" w:cs="arial"/>
          <w:i/>
          <w:color w:val="000000"/>
          <w:sz w:val="20"/>
          <w:lang w:val="en-US" w:eastAsia="en-US" w:bidi="ar-SA"/>
        </w:rPr>
        <w:t>sub nom. R. v. Widaiko</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offers before me are not the same as those contemplated in </w:t>
      </w:r>
      <w:r>
        <w:rPr>
          <w:rFonts w:ascii="arial" w:eastAsia="arial" w:hAnsi="arial" w:cs="arial"/>
          <w:i/>
          <w:color w:val="000000"/>
          <w:sz w:val="20"/>
          <w:lang w:val="en-US" w:eastAsia="en-US" w:bidi="ar-SA"/>
        </w:rPr>
        <w:t>Arsenvoski</w:t>
      </w:r>
      <w:r>
        <w:rPr>
          <w:rFonts w:ascii="arial" w:eastAsia="arial" w:hAnsi="arial" w:cs="arial"/>
          <w:color w:val="000000"/>
          <w:sz w:val="20"/>
          <w:lang w:val="en-US" w:eastAsia="en-US" w:bidi="ar-SA"/>
        </w:rPr>
        <w:t>. Accordingly, the Informal Offer did not revoke the Formal Offer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 also recognize the court's broad discretion that exists on an application such as this pertaining to costs following a trial, as distinguished from the enforceability of an alleged settlement agreement which was the case in both </w:t>
      </w:r>
      <w:r>
        <w:rPr>
          <w:rFonts w:ascii="arial" w:eastAsia="arial" w:hAnsi="arial" w:cs="arial"/>
          <w:i/>
          <w:color w:val="000000"/>
          <w:sz w:val="20"/>
          <w:lang w:val="en-US" w:eastAsia="en-US" w:bidi="ar-SA"/>
        </w:rPr>
        <w:t>Arsenvoski</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Janzen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Offers to settle and costs orders were recently reviewed by the Court of Appeal in </w:t>
      </w:r>
      <w:r>
        <w:rPr>
          <w:rFonts w:ascii="arial" w:eastAsia="arial" w:hAnsi="arial" w:cs="arial"/>
          <w:i/>
          <w:color w:val="000000"/>
          <w:sz w:val="20"/>
          <w:lang w:val="en-US" w:eastAsia="en-US" w:bidi="ar-SA"/>
        </w:rPr>
        <w:t>Wafler v. Trinh</w:t>
      </w:r>
      <w:r>
        <w:rPr>
          <w:rFonts w:ascii="arial" w:eastAsia="arial" w:hAnsi="arial" w:cs="arial"/>
          <w:color w:val="000000"/>
          <w:sz w:val="20"/>
          <w:lang w:val="en-US" w:eastAsia="en-US" w:bidi="ar-SA"/>
        </w:rPr>
        <w:t xml:space="preserve">, </w:t>
      </w:r>
      <w:hyperlink r:id="rId109" w:history="1">
        <w:r>
          <w:rPr>
            <w:rFonts w:ascii="arial" w:eastAsia="arial" w:hAnsi="arial" w:cs="arial"/>
            <w:i/>
            <w:color w:val="0077CC"/>
            <w:sz w:val="20"/>
            <w:u w:val="single"/>
            <w:shd w:val="clear" w:color="auto" w:fill="FFFFFF"/>
            <w:lang w:val="en-US" w:eastAsia="en-US" w:bidi="ar-SA"/>
          </w:rPr>
          <w:t>2014 BCCA 95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Wafler</w:t>
      </w:r>
      <w:r>
        <w:rPr>
          <w:rFonts w:ascii="arial" w:eastAsia="arial" w:hAnsi="arial" w:cs="arial"/>
          <w:color w:val="000000"/>
          <w:sz w:val="20"/>
          <w:lang w:val="en-US" w:eastAsia="en-US" w:bidi="ar-SA"/>
        </w:rPr>
        <w:t xml:space="preserve"> at para. 61, the Court of Appeal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[61] An award of costs is highly discretionary and only susceptible to appellate intervention if the judge erred in principle or reached a decision that is clearly wrong: </w:t>
      </w:r>
      <w:r>
        <w:rPr>
          <w:rFonts w:ascii="arial" w:eastAsia="arial" w:hAnsi="arial" w:cs="arial"/>
          <w:i/>
          <w:color w:val="000000"/>
          <w:sz w:val="20"/>
          <w:lang w:val="en-US" w:eastAsia="en-US" w:bidi="ar-SA"/>
        </w:rPr>
        <w:t>Little Sisters Book and Art Emporium v. Canada (Commissioner of Customs and Revenue)</w:t>
      </w:r>
      <w:r>
        <w:rPr>
          <w:rFonts w:ascii="arial" w:eastAsia="arial" w:hAnsi="arial" w:cs="arial"/>
          <w:color w:val="000000"/>
          <w:sz w:val="20"/>
          <w:lang w:val="en-US" w:eastAsia="en-US" w:bidi="ar-SA"/>
        </w:rPr>
        <w:t xml:space="preserve">, </w:t>
      </w:r>
      <w:hyperlink r:id="rId110" w:history="1">
        <w:r>
          <w:rPr>
            <w:rFonts w:ascii="arial" w:eastAsia="arial" w:hAnsi="arial" w:cs="arial"/>
            <w:i/>
            <w:color w:val="0077CC"/>
            <w:sz w:val="20"/>
            <w:u w:val="single"/>
            <w:shd w:val="clear" w:color="auto" w:fill="FFFFFF"/>
            <w:lang w:val="en-US" w:eastAsia="en-US" w:bidi="ar-SA"/>
          </w:rPr>
          <w:t>2007 SCC 2</w:t>
        </w:r>
      </w:hyperlink>
      <w:r>
        <w:rPr>
          <w:rFonts w:ascii="arial" w:eastAsia="arial" w:hAnsi="arial" w:cs="arial"/>
          <w:color w:val="000000"/>
          <w:sz w:val="20"/>
          <w:lang w:val="en-US" w:eastAsia="en-US" w:bidi="ar-SA"/>
        </w:rPr>
        <w:t xml:space="preserve"> at paras. 48-49.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broad purpose of Rule 9-1 and the court's discretion under it in relation to costs were discussed at paras. 79-84. The Court of Appeal noted at para. 79: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[79] Pursuant to Rule 14-1(9) of the </w:t>
      </w:r>
      <w:r>
        <w:rPr>
          <w:rFonts w:ascii="arial" w:eastAsia="arial" w:hAnsi="arial" w:cs="arial"/>
          <w:i/>
          <w:color w:val="000000"/>
          <w:sz w:val="20"/>
          <w:lang w:val="en-US" w:eastAsia="en-US" w:bidi="ar-SA"/>
        </w:rPr>
        <w:t>Supreme Court Rules</w:t>
      </w:r>
      <w:r>
        <w:rPr>
          <w:rFonts w:ascii="arial" w:eastAsia="arial" w:hAnsi="arial" w:cs="arial"/>
          <w:color w:val="000000"/>
          <w:sz w:val="20"/>
          <w:lang w:val="en-US" w:eastAsia="en-US" w:bidi="ar-SA"/>
        </w:rPr>
        <w:t xml:space="preserve">, Mr. Wafler, as the successful party, is entitled to his costs unless the court orders otherwise. Pursuant to Rule 9-1(4), the court </w:t>
      </w:r>
      <w:r>
        <w:rPr>
          <w:rFonts w:ascii="arial" w:eastAsia="arial" w:hAnsi="arial" w:cs="arial"/>
          <w:color w:val="000000"/>
          <w:sz w:val="20"/>
          <w:u w:val="single"/>
          <w:lang w:val="en-US" w:eastAsia="en-US" w:bidi="ar-SA"/>
        </w:rPr>
        <w:t>may</w:t>
      </w:r>
      <w:r>
        <w:rPr>
          <w:rFonts w:ascii="arial" w:eastAsia="arial" w:hAnsi="arial" w:cs="arial"/>
          <w:color w:val="000000"/>
          <w:sz w:val="20"/>
          <w:lang w:val="en-US" w:eastAsia="en-US" w:bidi="ar-SA"/>
        </w:rPr>
        <w:t xml:space="preserve"> consider an offer to settle when exercising its discretion in relation to costs. Rule 9-1(5) enumerates the orders the court </w:t>
      </w:r>
      <w:r>
        <w:rPr>
          <w:rFonts w:ascii="arial" w:eastAsia="arial" w:hAnsi="arial" w:cs="arial"/>
          <w:color w:val="000000"/>
          <w:sz w:val="20"/>
          <w:u w:val="single"/>
          <w:lang w:val="en-US" w:eastAsia="en-US" w:bidi="ar-SA"/>
        </w:rPr>
        <w:t>may</w:t>
      </w:r>
      <w:r>
        <w:rPr>
          <w:rFonts w:ascii="arial" w:eastAsia="arial" w:hAnsi="arial" w:cs="arial"/>
          <w:color w:val="000000"/>
          <w:sz w:val="20"/>
          <w:lang w:val="en-US" w:eastAsia="en-US" w:bidi="ar-SA"/>
        </w:rPr>
        <w:t xml:space="preserve"> make. In making an order under subrule (5), the court </w:t>
      </w:r>
      <w:r>
        <w:rPr>
          <w:rFonts w:ascii="arial" w:eastAsia="arial" w:hAnsi="arial" w:cs="arial"/>
          <w:color w:val="000000"/>
          <w:sz w:val="20"/>
          <w:u w:val="single"/>
          <w:lang w:val="en-US" w:eastAsia="en-US" w:bidi="ar-SA"/>
        </w:rPr>
        <w:t>may</w:t>
      </w:r>
      <w:r>
        <w:rPr>
          <w:rFonts w:ascii="arial" w:eastAsia="arial" w:hAnsi="arial" w:cs="arial"/>
          <w:color w:val="000000"/>
          <w:sz w:val="20"/>
          <w:lang w:val="en-US" w:eastAsia="en-US" w:bidi="ar-SA"/>
        </w:rPr>
        <w:t xml:space="preserve"> consider the factors listed in subrule (6).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Court of Appeal then went on to reiterate the purposes for which the costs rules exist, one of which is the general proposition that a plaintiff who rejects a reasonable offer should face some sort of sanction. With respect to the difference between former Rule 37 and current Rule 9-1, it was held at para. 82: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[82] That said, under the present Rule, unlike its predecessor which mandated the result, it is for the trial judge to determine in any particular case the nature and scope of whatever sanctions are to be applied. </w:t>
      </w:r>
      <w:r>
        <w:rPr>
          <w:rFonts w:ascii="arial" w:eastAsia="arial" w:hAnsi="arial" w:cs="arial"/>
          <w:color w:val="000000"/>
          <w:sz w:val="20"/>
          <w:u w:val="single"/>
          <w:lang w:val="en-US" w:eastAsia="en-US" w:bidi="ar-SA"/>
        </w:rPr>
        <w:t>The permissive wording in Rules 9-1(5) and (6) indicates the legislature intended to preserve the historically discretionary nature of costs awards, including an award of costs where an offer to settle has been made.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Therefore, even if I had found that the Informal Offer revoked the Formal Offer in this case, I would still consider the Formal Offer in any event given the fact that it was "made".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Was the Formal Offer ambiguous in that no release was attached?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Formal Offer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acceptance of this offer, the Plaintiff agrees to execute and deliver a Full and Final Release in respect of Carl Neuhold, South Coast BC Transportation Authority, and The Corporation of the District of West Vancouver and to consent, by his solicitor, to a Consent Dismissal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Formal Offer did not contain a copy of the release referred to, nor was one ever provided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At no time prior to the court raising this issue during submissions on May 26, 2014, did the plaintiff take the position that the Formal Offer was ambiguous, nor did he make any inquiry of defendants' counsel regarding the terms of the proposed release.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Relying on </w:t>
      </w:r>
      <w:r>
        <w:rPr>
          <w:rFonts w:ascii="arial" w:eastAsia="arial" w:hAnsi="arial" w:cs="arial"/>
          <w:i/>
          <w:color w:val="000000"/>
          <w:sz w:val="20"/>
          <w:lang w:val="en-US" w:eastAsia="en-US" w:bidi="ar-SA"/>
        </w:rPr>
        <w:t>Wong-Lai</w:t>
      </w:r>
      <w:r>
        <w:rPr>
          <w:rFonts w:ascii="arial" w:eastAsia="arial" w:hAnsi="arial" w:cs="arial"/>
          <w:color w:val="000000"/>
          <w:sz w:val="20"/>
          <w:lang w:val="en-US" w:eastAsia="en-US" w:bidi="ar-SA"/>
        </w:rPr>
        <w:t xml:space="preserve">, the plaintiff's position is that there was ambiguity in the Formal Offer. He says that, taking into account Part 7 benefits paid or payable pursuant to s. 83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"[t]ypically, ICBC's form of release includes a release of Part 7 benefits as well as a release of the tort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In my view, </w:t>
      </w:r>
      <w:r>
        <w:rPr>
          <w:rFonts w:ascii="arial" w:eastAsia="arial" w:hAnsi="arial" w:cs="arial"/>
          <w:i/>
          <w:color w:val="000000"/>
          <w:sz w:val="20"/>
          <w:lang w:val="en-US" w:eastAsia="en-US" w:bidi="ar-SA"/>
        </w:rPr>
        <w:t>Wong-Lai</w:t>
      </w:r>
      <w:r>
        <w:rPr>
          <w:rFonts w:ascii="arial" w:eastAsia="arial" w:hAnsi="arial" w:cs="arial"/>
          <w:color w:val="000000"/>
          <w:sz w:val="20"/>
          <w:lang w:val="en-US" w:eastAsia="en-US" w:bidi="ar-SA"/>
        </w:rPr>
        <w:t xml:space="preserve"> is entirely distinguishable from the facts of this case. There, the plaintiff's husband was killed in a pedestrian-motor vehicle collision. Mr. Justice Sewell, in a situation involving an offer to settle that referred to a release but where no form of release was included with the offer, concluded that the offer to settle was ambiguous.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It is clear from that decision, however, that Sewell J. was cognizant of the fact that the plaintiff was also entitled to bring a claim against the defendants pursuant to the </w:t>
      </w:r>
      <w:r>
        <w:rPr>
          <w:rFonts w:ascii="arial" w:eastAsia="arial" w:hAnsi="arial" w:cs="arial"/>
          <w:i/>
          <w:color w:val="000000"/>
          <w:sz w:val="20"/>
          <w:lang w:val="en-US" w:eastAsia="en-US" w:bidi="ar-SA"/>
        </w:rPr>
        <w:t>Family Compensation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126</w:t>
      </w:r>
      <w:r>
        <w:rPr>
          <w:rFonts w:ascii="arial" w:eastAsia="arial" w:hAnsi="arial" w:cs="arial"/>
          <w:color w:val="000000"/>
          <w:sz w:val="20"/>
          <w:lang w:val="en-US" w:eastAsia="en-US" w:bidi="ar-SA"/>
        </w:rPr>
        <w:t>, with respect to the death of her husband. This was not addressed in the offer, particularly in the reference to the requirement of a release. Accordingly, there was ambiguity in the words "in respect of the defendants", as set out in the reference to a release in the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There is no such ambiguity in this case. The Formal Offer is clear and unambiguous. It identifies the parties to be released. ICBC is not mentioned.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Insofar as the alleged ambiguity is concerned, this case is essentially analogous to </w:t>
      </w:r>
      <w:r>
        <w:rPr>
          <w:rFonts w:ascii="arial" w:eastAsia="arial" w:hAnsi="arial" w:cs="arial"/>
          <w:i/>
          <w:color w:val="000000"/>
          <w:sz w:val="20"/>
          <w:lang w:val="en-US" w:eastAsia="en-US" w:bidi="ar-SA"/>
        </w:rPr>
        <w:t>Ballen v. Ballen</w:t>
      </w:r>
      <w:r>
        <w:rPr>
          <w:rFonts w:ascii="arial" w:eastAsia="arial" w:hAnsi="arial" w:cs="arial"/>
          <w:color w:val="000000"/>
          <w:sz w:val="20"/>
          <w:lang w:val="en-US" w:eastAsia="en-US" w:bidi="ar-SA"/>
        </w:rPr>
        <w:t xml:space="preserve">, </w:t>
      </w:r>
      <w:hyperlink r:id="rId111" w:history="1">
        <w:r>
          <w:rPr>
            <w:rFonts w:ascii="arial" w:eastAsia="arial" w:hAnsi="arial" w:cs="arial"/>
            <w:i/>
            <w:color w:val="0077CC"/>
            <w:sz w:val="20"/>
            <w:u w:val="single"/>
            <w:shd w:val="clear" w:color="auto" w:fill="FFFFFF"/>
            <w:lang w:val="en-US" w:eastAsia="en-US" w:bidi="ar-SA"/>
          </w:rPr>
          <w:t>2000 BCSC 261</w:t>
        </w:r>
      </w:hyperlink>
      <w:r>
        <w:rPr>
          <w:rFonts w:ascii="arial" w:eastAsia="arial" w:hAnsi="arial" w:cs="arial"/>
          <w:color w:val="000000"/>
          <w:sz w:val="20"/>
          <w:lang w:val="en-US" w:eastAsia="en-US" w:bidi="ar-SA"/>
        </w:rPr>
        <w:t>. At paras. 17-22, Skipp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Counsel for the defendant referred to </w:t>
      </w:r>
      <w:r>
        <w:rPr>
          <w:rFonts w:ascii="arial" w:eastAsia="arial" w:hAnsi="arial" w:cs="arial"/>
          <w:i/>
          <w:color w:val="000000"/>
          <w:sz w:val="20"/>
          <w:lang w:val="en-US" w:eastAsia="en-US" w:bidi="ar-SA"/>
        </w:rPr>
        <w:t>Falls v. Falls</w:t>
      </w:r>
      <w:r>
        <w:rPr>
          <w:rFonts w:ascii="arial" w:eastAsia="arial" w:hAnsi="arial" w:cs="arial"/>
          <w:color w:val="000000"/>
          <w:sz w:val="20"/>
          <w:lang w:val="en-US" w:eastAsia="en-US" w:bidi="ar-SA"/>
        </w:rPr>
        <w:t xml:space="preserve"> </w:t>
      </w:r>
      <w:hyperlink r:id="rId112" w:history="1">
        <w:r>
          <w:rPr>
            <w:rFonts w:ascii="arial" w:eastAsia="arial" w:hAnsi="arial" w:cs="arial"/>
            <w:i/>
            <w:color w:val="0077CC"/>
            <w:sz w:val="20"/>
            <w:u w:val="single"/>
            <w:shd w:val="clear" w:color="auto" w:fill="FFFFFF"/>
            <w:lang w:val="en-US" w:eastAsia="en-US" w:bidi="ar-SA"/>
          </w:rPr>
          <w:t>(1995), 13 B.C.L.R. (3d) 369</w:t>
        </w:r>
      </w:hyperlink>
      <w:r>
        <w:rPr>
          <w:rFonts w:ascii="arial" w:eastAsia="arial" w:hAnsi="arial" w:cs="arial"/>
          <w:color w:val="000000"/>
          <w:sz w:val="20"/>
          <w:lang w:val="en-US" w:eastAsia="en-US" w:bidi="ar-SA"/>
        </w:rPr>
        <w:t xml:space="preserve">. In that case Vickers J. referred to his decision in </w:t>
      </w:r>
      <w:r>
        <w:rPr>
          <w:rFonts w:ascii="arial" w:eastAsia="arial" w:hAnsi="arial" w:cs="arial"/>
          <w:i/>
          <w:color w:val="000000"/>
          <w:sz w:val="20"/>
          <w:lang w:val="en-US" w:eastAsia="en-US" w:bidi="ar-SA"/>
        </w:rPr>
        <w:t>Morck v. Soragnese</w:t>
      </w:r>
      <w:r>
        <w:rPr>
          <w:rFonts w:ascii="arial" w:eastAsia="arial" w:hAnsi="arial" w:cs="arial"/>
          <w:color w:val="000000"/>
          <w:sz w:val="20"/>
          <w:lang w:val="en-US" w:eastAsia="en-US" w:bidi="ar-SA"/>
        </w:rPr>
        <w:t xml:space="preserve"> </w:t>
      </w:r>
      <w:hyperlink r:id="rId113" w:history="1">
        <w:r>
          <w:rPr>
            <w:rFonts w:ascii="arial" w:eastAsia="arial" w:hAnsi="arial" w:cs="arial"/>
            <w:i/>
            <w:color w:val="0077CC"/>
            <w:sz w:val="20"/>
            <w:u w:val="single"/>
            <w:shd w:val="clear" w:color="auto" w:fill="FFFFFF"/>
            <w:lang w:val="en-US" w:eastAsia="en-US" w:bidi="ar-SA"/>
          </w:rPr>
          <w:t>(1994), 87 B.C.L.R. (2d) 263</w:t>
        </w:r>
      </w:hyperlink>
      <w:r>
        <w:rPr>
          <w:rFonts w:ascii="arial" w:eastAsia="arial" w:hAnsi="arial" w:cs="arial"/>
          <w:color w:val="000000"/>
          <w:sz w:val="20"/>
          <w:lang w:val="en-US" w:eastAsia="en-US" w:bidi="ar-SA"/>
        </w:rPr>
        <w:t xml:space="preserve"> and to a passage therefrom at page 270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test of whether there has been compliance lies in the answer to two simple questions. Could the person receiving the offer have been in any doubt as to its terms. If so, was there a burden on that person to clarify its terms prior to acceptance.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I note that the defendants made an offer to settle herein and no objection was made by the plaintiff at that time to that offer being ambiguous and on the contrary the plaintiff speedily countered with an offer to settle [three weeks later], escalating from $225,000.00 to $400,000.00.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Counsel for the defendants rely on </w:t>
      </w:r>
      <w:r>
        <w:rPr>
          <w:rFonts w:ascii="arial" w:eastAsia="arial" w:hAnsi="arial" w:cs="arial"/>
          <w:i/>
          <w:color w:val="000000"/>
          <w:sz w:val="20"/>
          <w:lang w:val="en-US" w:eastAsia="en-US" w:bidi="ar-SA"/>
        </w:rPr>
        <w:t>Fieguth v. Acklands Limited</w:t>
      </w:r>
      <w:r>
        <w:rPr>
          <w:rFonts w:ascii="arial" w:eastAsia="arial" w:hAnsi="arial" w:cs="arial"/>
          <w:color w:val="000000"/>
          <w:sz w:val="20"/>
          <w:lang w:val="en-US" w:eastAsia="en-US" w:bidi="ar-SA"/>
        </w:rPr>
        <w:t xml:space="preserve"> </w:t>
      </w:r>
      <w:hyperlink r:id="rId114" w:history="1">
        <w:r>
          <w:rPr>
            <w:rFonts w:ascii="arial" w:eastAsia="arial" w:hAnsi="arial" w:cs="arial"/>
            <w:i/>
            <w:color w:val="0077CC"/>
            <w:sz w:val="20"/>
            <w:u w:val="single"/>
            <w:shd w:val="clear" w:color="auto" w:fill="FFFFFF"/>
            <w:lang w:val="en-US" w:eastAsia="en-US" w:bidi="ar-SA"/>
          </w:rPr>
          <w:t>(1989), 37 B.C.L.R. (2d) 62</w:t>
        </w:r>
      </w:hyperlink>
      <w:r>
        <w:rPr>
          <w:rFonts w:ascii="arial" w:eastAsia="arial" w:hAnsi="arial" w:cs="arial"/>
          <w:color w:val="000000"/>
          <w:sz w:val="20"/>
          <w:lang w:val="en-US" w:eastAsia="en-US" w:bidi="ar-SA"/>
        </w:rPr>
        <w:t>. For the proposition that a defendant's offer to settle which stipulates that the plaintiff is to execute a full and final release of claim which offer also contains a reference to a consent order, does not invalidate an offer to settle.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In </w:t>
      </w:r>
      <w:r>
        <w:rPr>
          <w:rFonts w:ascii="arial" w:eastAsia="arial" w:hAnsi="arial" w:cs="arial"/>
          <w:i/>
          <w:color w:val="000000"/>
          <w:sz w:val="20"/>
          <w:lang w:val="en-US" w:eastAsia="en-US" w:bidi="ar-SA"/>
        </w:rPr>
        <w:t>Fieguth</w:t>
      </w:r>
      <w:r>
        <w:rPr>
          <w:rFonts w:ascii="arial" w:eastAsia="arial" w:hAnsi="arial" w:cs="arial"/>
          <w:color w:val="000000"/>
          <w:sz w:val="20"/>
          <w:lang w:val="en-US" w:eastAsia="en-US" w:bidi="ar-SA"/>
        </w:rPr>
        <w:t xml:space="preserve"> McEachern CJBC concerning disagreements with respect to documentation consequent upon a settlement wrote, "In such cases the settlement will be binding if there is agreement on the essential terms". He continued, "When disputes arise in this connection the question will seldom be one of repudiation as the test cited above is a strict one, but whether a final agreement has been reached which the parties intend to record in formal documentation".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Counsel for the defendants then referred to </w:t>
      </w:r>
      <w:r>
        <w:rPr>
          <w:rFonts w:ascii="arial" w:eastAsia="arial" w:hAnsi="arial" w:cs="arial"/>
          <w:i/>
          <w:color w:val="000000"/>
          <w:sz w:val="20"/>
          <w:lang w:val="en-US" w:eastAsia="en-US" w:bidi="ar-SA"/>
        </w:rPr>
        <w:t>Carlson v. Stewart</w:t>
      </w:r>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shd w:val="clear" w:color="auto" w:fill="FFFFFF"/>
            <w:lang w:val="en-US" w:eastAsia="en-US" w:bidi="ar-SA"/>
          </w:rPr>
          <w:t>[1999] B.C.J. No. 241</w:t>
        </w:r>
      </w:hyperlink>
      <w:r>
        <w:rPr>
          <w:rFonts w:ascii="arial" w:eastAsia="arial" w:hAnsi="arial" w:cs="arial"/>
          <w:color w:val="000000"/>
          <w:sz w:val="20"/>
          <w:lang w:val="en-US" w:eastAsia="en-US" w:bidi="ar-SA"/>
        </w:rPr>
        <w:t>, (BCSC) wherein Taylor J. as he then was set out the approach to be taken to determine whether an offer to settle is ambiguous. The germane excerpt from his reasons is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offer to settle by a defendant must be unambiguous and this court should be reticent to conclude ambiguity particularly with that issue is only raised by the plaintiff after the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w:t>
      </w:r>
      <w:r>
        <w:rPr>
          <w:rFonts w:ascii="arial" w:eastAsia="arial" w:hAnsi="arial" w:cs="arial"/>
          <w:color w:val="000000"/>
          <w:sz w:val="20"/>
          <w:u w:val="single"/>
          <w:lang w:val="en-US" w:eastAsia="en-US" w:bidi="ar-SA"/>
        </w:rPr>
        <w:t>Here the plaintiff, through her counsel, made no inquiry as to the terms of the offer nor did her counsel complain about ambiguities.</w:t>
      </w:r>
      <w:r>
        <w:rPr>
          <w:rFonts w:ascii="arial" w:eastAsia="arial" w:hAnsi="arial" w:cs="arial"/>
          <w:color w:val="000000"/>
          <w:sz w:val="20"/>
          <w:lang w:val="en-US" w:eastAsia="en-US" w:bidi="ar-SA"/>
        </w:rPr>
        <w:t xml:space="preserve"> As observed by Boyle J. in </w:t>
      </w:r>
      <w:r>
        <w:rPr>
          <w:rFonts w:ascii="arial" w:eastAsia="arial" w:hAnsi="arial" w:cs="arial"/>
          <w:i/>
          <w:color w:val="000000"/>
          <w:sz w:val="20"/>
          <w:lang w:val="en-US" w:eastAsia="en-US" w:bidi="ar-SA"/>
        </w:rPr>
        <w:t>Keller v. Whyte</w:t>
      </w:r>
      <w:r>
        <w:rPr>
          <w:rFonts w:ascii="arial" w:eastAsia="arial" w:hAnsi="arial" w:cs="arial"/>
          <w:color w:val="000000"/>
          <w:sz w:val="20"/>
          <w:lang w:val="en-US" w:eastAsia="en-US" w:bidi="ar-SA"/>
        </w:rPr>
        <w:t xml:space="preserve">, </w:t>
      </w:r>
      <w:hyperlink r:id="rId116" w:history="1">
        <w:r>
          <w:rPr>
            <w:rFonts w:ascii="arial" w:eastAsia="arial" w:hAnsi="arial" w:cs="arial"/>
            <w:i/>
            <w:color w:val="0077CC"/>
            <w:sz w:val="20"/>
            <w:u w:val="single"/>
            <w:shd w:val="clear" w:color="auto" w:fill="FFFFFF"/>
            <w:lang w:val="en-US" w:eastAsia="en-US" w:bidi="ar-SA"/>
          </w:rPr>
          <w:t>[1996] B.C.J. No. 705</w:t>
        </w:r>
      </w:hyperlink>
      <w:r>
        <w:rPr>
          <w:rFonts w:ascii="arial" w:eastAsia="arial" w:hAnsi="arial" w:cs="arial"/>
          <w:color w:val="000000"/>
          <w:sz w:val="20"/>
          <w:lang w:val="en-US" w:eastAsia="en-US" w:bidi="ar-SA"/>
        </w:rPr>
        <w:t xml:space="preserve"> (BCSC) at paragraph 11...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The strength goes out of the protest when no response was made at 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that observation I add, "when the only response is a counter offer".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Gill v. Gill</w:t>
      </w:r>
      <w:r>
        <w:rPr>
          <w:rFonts w:ascii="arial" w:eastAsia="arial" w:hAnsi="arial" w:cs="arial"/>
          <w:color w:val="000000"/>
          <w:sz w:val="20"/>
          <w:lang w:val="en-US" w:eastAsia="en-US" w:bidi="ar-SA"/>
        </w:rPr>
        <w:t xml:space="preserve">, </w:t>
      </w:r>
      <w:hyperlink r:id="rId117" w:history="1">
        <w:r>
          <w:rPr>
            <w:rFonts w:ascii="arial" w:eastAsia="arial" w:hAnsi="arial" w:cs="arial"/>
            <w:i/>
            <w:color w:val="0077CC"/>
            <w:sz w:val="20"/>
            <w:u w:val="single"/>
            <w:shd w:val="clear" w:color="auto" w:fill="FFFFFF"/>
            <w:lang w:val="en-US" w:eastAsia="en-US" w:bidi="ar-SA"/>
          </w:rPr>
          <w:t>2004 BCSC 1261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Anderson v. Routbard</w:t>
      </w:r>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2007 BCCA 193</w:t>
        </w:r>
      </w:hyperlink>
      <w:r>
        <w:rPr>
          <w:rFonts w:ascii="arial" w:eastAsia="arial" w:hAnsi="arial" w:cs="arial"/>
          <w:color w:val="000000"/>
          <w:sz w:val="20"/>
          <w:lang w:val="en-US" w:eastAsia="en-US" w:bidi="ar-SA"/>
        </w:rPr>
        <w:t xml:space="preserve"> at para. 16, cited in </w:t>
      </w:r>
      <w:r>
        <w:rPr>
          <w:rFonts w:ascii="arial" w:eastAsia="arial" w:hAnsi="arial" w:cs="arial"/>
          <w:i/>
          <w:color w:val="000000"/>
          <w:sz w:val="20"/>
          <w:lang w:val="en-US" w:eastAsia="en-US" w:bidi="ar-SA"/>
        </w:rPr>
        <w:t>Gichuru v. Pallai</w:t>
      </w:r>
      <w:r>
        <w:rPr>
          <w:rFonts w:ascii="arial" w:eastAsia="arial" w:hAnsi="arial" w:cs="arial"/>
          <w:color w:val="000000"/>
          <w:sz w:val="20"/>
          <w:lang w:val="en-US" w:eastAsia="en-US" w:bidi="ar-SA"/>
        </w:rPr>
        <w:t xml:space="preserve">, </w:t>
      </w:r>
      <w:hyperlink r:id="rId119" w:history="1">
        <w:r>
          <w:rPr>
            <w:rFonts w:ascii="arial" w:eastAsia="arial" w:hAnsi="arial" w:cs="arial"/>
            <w:i/>
            <w:color w:val="0077CC"/>
            <w:sz w:val="20"/>
            <w:u w:val="single"/>
            <w:shd w:val="clear" w:color="auto" w:fill="FFFFFF"/>
            <w:lang w:val="en-US" w:eastAsia="en-US" w:bidi="ar-SA"/>
          </w:rPr>
          <w:t>2012 BCSC 1316</w:t>
        </w:r>
      </w:hyperlink>
      <w:r>
        <w:rPr>
          <w:rFonts w:ascii="arial" w:eastAsia="arial" w:hAnsi="arial" w:cs="arial"/>
          <w:color w:val="000000"/>
          <w:sz w:val="20"/>
          <w:lang w:val="en-US" w:eastAsia="en-US" w:bidi="ar-SA"/>
        </w:rPr>
        <w:t xml:space="preserve"> at para. 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 Conclusion on the Formal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Since the Formal Offer was not ambiguous and was neither revoked nor withdrawn, it remained open for acceptance from November 20, 2013, until the last business day before the trial (except for the two days during which the plaintiff would have received an additional $2,500 under the Informal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V:</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Analysis Regarding Costs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Applicable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applicable law has recently been conveniently summarized by Mr. Justice Voith in </w:t>
      </w:r>
      <w:r>
        <w:rPr>
          <w:rFonts w:ascii="arial" w:eastAsia="arial" w:hAnsi="arial" w:cs="arial"/>
          <w:i/>
          <w:color w:val="000000"/>
          <w:sz w:val="20"/>
          <w:lang w:val="en-US" w:eastAsia="en-US" w:bidi="ar-SA"/>
        </w:rPr>
        <w:t>Brewster v. Li</w:t>
      </w:r>
      <w:r>
        <w:rPr>
          <w:rFonts w:ascii="arial" w:eastAsia="arial" w:hAnsi="arial" w:cs="arial"/>
          <w:color w:val="000000"/>
          <w:sz w:val="20"/>
          <w:lang w:val="en-US" w:eastAsia="en-US" w:bidi="ar-SA"/>
        </w:rPr>
        <w:t xml:space="preserve">, </w:t>
      </w:r>
      <w:hyperlink r:id="rId120" w:history="1">
        <w:r>
          <w:rPr>
            <w:rFonts w:ascii="arial" w:eastAsia="arial" w:hAnsi="arial" w:cs="arial"/>
            <w:i/>
            <w:color w:val="0077CC"/>
            <w:sz w:val="20"/>
            <w:u w:val="single"/>
            <w:shd w:val="clear" w:color="auto" w:fill="FFFFFF"/>
            <w:lang w:val="en-US" w:eastAsia="en-US" w:bidi="ar-SA"/>
          </w:rPr>
          <w:t>2014 BCSC 463</w:t>
        </w:r>
      </w:hyperlink>
      <w:r>
        <w:rPr>
          <w:rFonts w:ascii="arial" w:eastAsia="arial" w:hAnsi="arial" w:cs="arial"/>
          <w:color w:val="000000"/>
          <w:sz w:val="20"/>
          <w:lang w:val="en-US" w:eastAsia="en-US" w:bidi="ar-SA"/>
        </w:rPr>
        <w:t>. After setting out Rules 9-1(4) to (6),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The present Rules provide the court with considerable discretion to define and fix an appropriate cost award: see </w:t>
      </w:r>
      <w:r>
        <w:rPr>
          <w:rFonts w:ascii="arial" w:eastAsia="arial" w:hAnsi="arial" w:cs="arial"/>
          <w:i/>
          <w:color w:val="000000"/>
          <w:sz w:val="20"/>
          <w:lang w:val="en-US" w:eastAsia="en-US" w:bidi="ar-SA"/>
        </w:rPr>
        <w:t>Bailey v. Jang</w:t>
      </w:r>
      <w:r>
        <w:rPr>
          <w:rFonts w:ascii="arial" w:eastAsia="arial" w:hAnsi="arial" w:cs="arial"/>
          <w:color w:val="000000"/>
          <w:sz w:val="20"/>
          <w:lang w:val="en-US" w:eastAsia="en-US" w:bidi="ar-SA"/>
        </w:rPr>
        <w:t xml:space="preserve">, </w:t>
      </w:r>
      <w:hyperlink r:id="rId121" w:history="1">
        <w:r>
          <w:rPr>
            <w:rFonts w:ascii="arial" w:eastAsia="arial" w:hAnsi="arial" w:cs="arial"/>
            <w:i/>
            <w:color w:val="0077CC"/>
            <w:sz w:val="20"/>
            <w:u w:val="single"/>
            <w:shd w:val="clear" w:color="auto" w:fill="FFFFFF"/>
            <w:lang w:val="en-US" w:eastAsia="en-US" w:bidi="ar-SA"/>
          </w:rPr>
          <w:t>2008 BCSC 1372</w:t>
        </w:r>
      </w:hyperlink>
      <w:r>
        <w:rPr>
          <w:rFonts w:ascii="arial" w:eastAsia="arial" w:hAnsi="arial" w:cs="arial"/>
          <w:color w:val="000000"/>
          <w:sz w:val="20"/>
          <w:lang w:val="en-US" w:eastAsia="en-US" w:bidi="ar-SA"/>
        </w:rPr>
        <w:t xml:space="preserve"> at para. 10; </w:t>
      </w:r>
      <w:r>
        <w:rPr>
          <w:rFonts w:ascii="arial" w:eastAsia="arial" w:hAnsi="arial" w:cs="arial"/>
          <w:i/>
          <w:color w:val="000000"/>
          <w:sz w:val="20"/>
          <w:lang w:val="en-US" w:eastAsia="en-US" w:bidi="ar-SA"/>
        </w:rPr>
        <w:t>Bennett v. Scanlan</w:t>
      </w:r>
      <w:r>
        <w:rPr>
          <w:rFonts w:ascii="arial" w:eastAsia="arial" w:hAnsi="arial" w:cs="arial"/>
          <w:color w:val="000000"/>
          <w:sz w:val="20"/>
          <w:lang w:val="en-US" w:eastAsia="en-US" w:bidi="ar-SA"/>
        </w:rPr>
        <w:t xml:space="preserve">, </w:t>
      </w:r>
      <w:hyperlink r:id="rId122" w:history="1">
        <w:r>
          <w:rPr>
            <w:rFonts w:ascii="arial" w:eastAsia="arial" w:hAnsi="arial" w:cs="arial"/>
            <w:i/>
            <w:color w:val="0077CC"/>
            <w:sz w:val="20"/>
            <w:u w:val="single"/>
            <w:shd w:val="clear" w:color="auto" w:fill="FFFFFF"/>
            <w:lang w:val="en-US" w:eastAsia="en-US" w:bidi="ar-SA"/>
          </w:rPr>
          <w:t>2010 BCSC 50</w:t>
        </w:r>
      </w:hyperlink>
      <w:r>
        <w:rPr>
          <w:rFonts w:ascii="arial" w:eastAsia="arial" w:hAnsi="arial" w:cs="arial"/>
          <w:color w:val="000000"/>
          <w:sz w:val="20"/>
          <w:lang w:val="en-US" w:eastAsia="en-US" w:bidi="ar-SA"/>
        </w:rPr>
        <w:t xml:space="preserve"> at para. 29. That discretion is, however, constrained by the considerations outlined in subparagraph (6); </w:t>
      </w:r>
      <w:r>
        <w:rPr>
          <w:rFonts w:ascii="arial" w:eastAsia="arial" w:hAnsi="arial" w:cs="arial"/>
          <w:i/>
          <w:color w:val="000000"/>
          <w:sz w:val="20"/>
          <w:lang w:val="en-US" w:eastAsia="en-US" w:bidi="ar-SA"/>
        </w:rPr>
        <w:t>Bailey</w:t>
      </w:r>
      <w:r>
        <w:rPr>
          <w:rFonts w:ascii="arial" w:eastAsia="arial" w:hAnsi="arial" w:cs="arial"/>
          <w:color w:val="000000"/>
          <w:sz w:val="20"/>
          <w:lang w:val="en-US" w:eastAsia="en-US" w:bidi="ar-SA"/>
        </w:rPr>
        <w:t xml:space="preserve"> at para. 18.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The regime in Rule 9-1 can advance various important objects: see for example </w:t>
      </w:r>
      <w:r>
        <w:rPr>
          <w:rFonts w:ascii="arial" w:eastAsia="arial" w:hAnsi="arial" w:cs="arial"/>
          <w:i/>
          <w:color w:val="000000"/>
          <w:sz w:val="20"/>
          <w:lang w:val="en-US" w:eastAsia="en-US" w:bidi="ar-SA"/>
        </w:rPr>
        <w:t>Lakhani v. Elliott</w:t>
      </w:r>
      <w:r>
        <w:rPr>
          <w:rFonts w:ascii="arial" w:eastAsia="arial" w:hAnsi="arial" w:cs="arial"/>
          <w:color w:val="000000"/>
          <w:sz w:val="20"/>
          <w:lang w:val="en-US" w:eastAsia="en-US" w:bidi="ar-SA"/>
        </w:rPr>
        <w:t xml:space="preserve">, </w:t>
      </w:r>
      <w:hyperlink r:id="rId123" w:history="1">
        <w:r>
          <w:rPr>
            <w:rFonts w:ascii="arial" w:eastAsia="arial" w:hAnsi="arial" w:cs="arial"/>
            <w:i/>
            <w:color w:val="0077CC"/>
            <w:sz w:val="20"/>
            <w:u w:val="single"/>
            <w:shd w:val="clear" w:color="auto" w:fill="FFFFFF"/>
            <w:lang w:val="en-US" w:eastAsia="en-US" w:bidi="ar-SA"/>
          </w:rPr>
          <w:t>2010 BCSC 281</w:t>
        </w:r>
      </w:hyperlink>
      <w:r>
        <w:rPr>
          <w:rFonts w:ascii="arial" w:eastAsia="arial" w:hAnsi="arial" w:cs="arial"/>
          <w:color w:val="000000"/>
          <w:sz w:val="20"/>
          <w:lang w:val="en-US" w:eastAsia="en-US" w:bidi="ar-SA"/>
        </w:rPr>
        <w:t xml:space="preserve"> at paras. 11-16; </w:t>
      </w:r>
      <w:r>
        <w:rPr>
          <w:rFonts w:ascii="arial" w:eastAsia="arial" w:hAnsi="arial" w:cs="arial"/>
          <w:i/>
          <w:color w:val="000000"/>
          <w:sz w:val="20"/>
          <w:lang w:val="en-US" w:eastAsia="en-US" w:bidi="ar-SA"/>
        </w:rPr>
        <w:t>Bailey</w:t>
      </w:r>
      <w:r>
        <w:rPr>
          <w:rFonts w:ascii="arial" w:eastAsia="arial" w:hAnsi="arial" w:cs="arial"/>
          <w:color w:val="000000"/>
          <w:sz w:val="20"/>
          <w:lang w:val="en-US" w:eastAsia="en-US" w:bidi="ar-SA"/>
        </w:rPr>
        <w:t xml:space="preserve"> at para. 18. Its dominant and overarching object, however, is to promote reasonable settlements and to attach some consequence to the failure of a party to accept a reasonable settlement: </w:t>
      </w:r>
      <w:r>
        <w:rPr>
          <w:rFonts w:ascii="arial" w:eastAsia="arial" w:hAnsi="arial" w:cs="arial"/>
          <w:i/>
          <w:color w:val="000000"/>
          <w:sz w:val="20"/>
          <w:lang w:val="en-US" w:eastAsia="en-US" w:bidi="ar-SA"/>
        </w:rPr>
        <w:t>Bennett</w:t>
      </w:r>
      <w:r>
        <w:rPr>
          <w:rFonts w:ascii="arial" w:eastAsia="arial" w:hAnsi="arial" w:cs="arial"/>
          <w:color w:val="000000"/>
          <w:sz w:val="20"/>
          <w:lang w:val="en-US" w:eastAsia="en-US" w:bidi="ar-SA"/>
        </w:rPr>
        <w:t xml:space="preserve"> at para. 28, </w:t>
      </w:r>
      <w:r>
        <w:rPr>
          <w:rFonts w:ascii="arial" w:eastAsia="arial" w:hAnsi="arial" w:cs="arial"/>
          <w:i/>
          <w:color w:val="000000"/>
          <w:sz w:val="20"/>
          <w:lang w:val="en-US" w:eastAsia="en-US" w:bidi="ar-SA"/>
        </w:rPr>
        <w:t>Gonzales v. Voskakis</w:t>
      </w:r>
      <w:r>
        <w:rPr>
          <w:rFonts w:ascii="arial" w:eastAsia="arial" w:hAnsi="arial" w:cs="arial"/>
          <w:color w:val="000000"/>
          <w:sz w:val="20"/>
          <w:lang w:val="en-US" w:eastAsia="en-US" w:bidi="ar-SA"/>
        </w:rPr>
        <w:t xml:space="preserve">, </w:t>
      </w:r>
      <w:hyperlink r:id="rId124" w:history="1">
        <w:r>
          <w:rPr>
            <w:rFonts w:ascii="arial" w:eastAsia="arial" w:hAnsi="arial" w:cs="arial"/>
            <w:i/>
            <w:color w:val="0077CC"/>
            <w:sz w:val="20"/>
            <w:u w:val="single"/>
            <w:shd w:val="clear" w:color="auto" w:fill="FFFFFF"/>
            <w:lang w:val="en-US" w:eastAsia="en-US" w:bidi="ar-SA"/>
          </w:rPr>
          <w:t>2013 BCSC 675</w:t>
        </w:r>
      </w:hyperlink>
      <w:r>
        <w:rPr>
          <w:rFonts w:ascii="arial" w:eastAsia="arial" w:hAnsi="arial" w:cs="arial"/>
          <w:color w:val="000000"/>
          <w:sz w:val="20"/>
          <w:lang w:val="en-US" w:eastAsia="en-US" w:bidi="ar-SA"/>
        </w:rPr>
        <w:t xml:space="preserve"> at para. 13.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This dominant object was summarized in </w:t>
      </w:r>
      <w:r>
        <w:rPr>
          <w:rFonts w:ascii="arial" w:eastAsia="arial" w:hAnsi="arial" w:cs="arial"/>
          <w:i/>
          <w:color w:val="000000"/>
          <w:sz w:val="20"/>
          <w:lang w:val="en-US" w:eastAsia="en-US" w:bidi="ar-SA"/>
        </w:rPr>
        <w:t>Catalyst Paper Corporation v. Companhia de Navegaçao Norsul</w:t>
      </w:r>
      <w:r>
        <w:rPr>
          <w:rFonts w:ascii="arial" w:eastAsia="arial" w:hAnsi="arial" w:cs="arial"/>
          <w:color w:val="000000"/>
          <w:sz w:val="20"/>
          <w:lang w:val="en-US" w:eastAsia="en-US" w:bidi="ar-SA"/>
        </w:rPr>
        <w:t xml:space="preserve">, </w:t>
      </w:r>
      <w:hyperlink r:id="rId125" w:history="1">
        <w:r>
          <w:rPr>
            <w:rFonts w:ascii="arial" w:eastAsia="arial" w:hAnsi="arial" w:cs="arial"/>
            <w:i/>
            <w:color w:val="0077CC"/>
            <w:sz w:val="20"/>
            <w:u w:val="single"/>
            <w:shd w:val="clear" w:color="auto" w:fill="FFFFFF"/>
            <w:lang w:val="en-US" w:eastAsia="en-US" w:bidi="ar-SA"/>
          </w:rPr>
          <w:t>2009 BCCA 16</w:t>
        </w:r>
      </w:hyperlink>
      <w:r>
        <w:rPr>
          <w:rFonts w:ascii="arial" w:eastAsia="arial" w:hAnsi="arial" w:cs="arial"/>
          <w:color w:val="000000"/>
          <w:sz w:val="20"/>
          <w:lang w:val="en-US" w:eastAsia="en-US" w:bidi="ar-SA"/>
        </w:rPr>
        <w:t>, where the court said at para. 16: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seems to me that the trend of recent authorities is to the effect that the costs rules should be utilized to have a winnowing function in the litigation process. The costs rules require litigants to make careful assessments of the strength or lack thereof of their cases at commencement and throughout the course of litigation. The rules should discourage the continuance of doubtful cases or defences. This of course imposes burdens on counsel to carefully consider the strengths and weaknesses of particular fact situations. Such considerations should, among other things, encourage reasonable settlements.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Giles v. Westminster Savings and Credit Union</w:t>
      </w:r>
      <w:r>
        <w:rPr>
          <w:rFonts w:ascii="arial" w:eastAsia="arial" w:hAnsi="arial" w:cs="arial"/>
          <w:color w:val="000000"/>
          <w:sz w:val="20"/>
          <w:lang w:val="en-US" w:eastAsia="en-US" w:bidi="ar-SA"/>
        </w:rPr>
        <w:t xml:space="preserve">, </w:t>
      </w:r>
      <w:hyperlink r:id="rId126" w:history="1">
        <w:r>
          <w:rPr>
            <w:rFonts w:ascii="arial" w:eastAsia="arial" w:hAnsi="arial" w:cs="arial"/>
            <w:i/>
            <w:color w:val="0077CC"/>
            <w:sz w:val="20"/>
            <w:u w:val="single"/>
            <w:shd w:val="clear" w:color="auto" w:fill="FFFFFF"/>
            <w:lang w:val="en-US" w:eastAsia="en-US" w:bidi="ar-SA"/>
          </w:rPr>
          <w:t>2010 BCCA 282</w:t>
        </w:r>
      </w:hyperlink>
      <w:r>
        <w:rPr>
          <w:rFonts w:ascii="arial" w:eastAsia="arial" w:hAnsi="arial" w:cs="arial"/>
          <w:color w:val="000000"/>
          <w:sz w:val="20"/>
          <w:lang w:val="en-US" w:eastAsia="en-US" w:bidi="ar-SA"/>
        </w:rPr>
        <w:t>, Frankel J.A., writing for the Court, stated at paras. 74-75: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[74] The purposes for which costs rules exist must be kept in mind in determining whether appellate intervention is warranted. In addition to indemnifying a successful litigant, those purposes have been described as follows by this Court:</w:t>
      </w:r>
    </w:p>
    <w:p>
      <w:pPr>
        <w:numPr>
          <w:numId w:val="2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"[D]eterring frivolous actions or defences": </w:t>
      </w:r>
      <w:r>
        <w:rPr>
          <w:rFonts w:ascii="arial" w:eastAsia="arial" w:hAnsi="arial" w:cs="arial"/>
          <w:i/>
          <w:color w:val="000000"/>
          <w:sz w:val="20"/>
          <w:lang w:val="en-US" w:eastAsia="en-US" w:bidi="ar-SA"/>
        </w:rPr>
        <w:t>Houweling Nursuries Ltd. v. Fisons Western Corp.</w:t>
      </w:r>
      <w:r>
        <w:rPr>
          <w:rFonts w:ascii="arial" w:eastAsia="arial" w:hAnsi="arial" w:cs="arial"/>
          <w:color w:val="000000"/>
          <w:sz w:val="20"/>
          <w:lang w:val="en-US" w:eastAsia="en-US" w:bidi="ar-SA"/>
        </w:rPr>
        <w:t xml:space="preserve"> </w:t>
      </w:r>
      <w:hyperlink r:id="rId127" w:history="1">
        <w:r>
          <w:rPr>
            <w:rFonts w:ascii="arial" w:eastAsia="arial" w:hAnsi="arial" w:cs="arial"/>
            <w:i/>
            <w:color w:val="0077CC"/>
            <w:sz w:val="20"/>
            <w:u w:val="single"/>
            <w:shd w:val="clear" w:color="auto" w:fill="FFFFFF"/>
            <w:lang w:val="en-US" w:eastAsia="en-US" w:bidi="ar-SA"/>
          </w:rPr>
          <w:t>(1988), 37 B.C.L.R. (2d) 2</w:t>
        </w:r>
      </w:hyperlink>
      <w:r>
        <w:rPr>
          <w:rFonts w:ascii="arial" w:eastAsia="arial" w:hAnsi="arial" w:cs="arial"/>
          <w:color w:val="000000"/>
          <w:sz w:val="20"/>
          <w:lang w:val="en-US" w:eastAsia="en-US" w:bidi="ar-SA"/>
        </w:rPr>
        <w:t xml:space="preserve"> at 25 (C.A.), leave ref'd, [1988] 1 S.C.R. ix;</w:t>
      </w:r>
    </w:p>
    <w:p>
      <w:pPr>
        <w:numPr>
          <w:numId w:val="2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encourage conduct that reduces the duration and expense of litigation and to discourage conduct that has the opposite effect": </w:t>
      </w:r>
      <w:r>
        <w:rPr>
          <w:rFonts w:ascii="arial" w:eastAsia="arial" w:hAnsi="arial" w:cs="arial"/>
          <w:i/>
          <w:color w:val="000000"/>
          <w:sz w:val="20"/>
          <w:lang w:val="en-US" w:eastAsia="en-US" w:bidi="ar-SA"/>
        </w:rPr>
        <w:t>Skidmore v. Blackmore</w:t>
      </w:r>
      <w:r>
        <w:rPr>
          <w:rFonts w:ascii="arial" w:eastAsia="arial" w:hAnsi="arial" w:cs="arial"/>
          <w:color w:val="000000"/>
          <w:sz w:val="20"/>
          <w:lang w:val="en-US" w:eastAsia="en-US" w:bidi="ar-SA"/>
        </w:rPr>
        <w:t xml:space="preserve"> </w:t>
      </w:r>
      <w:hyperlink r:id="rId128" w:history="1">
        <w:r>
          <w:rPr>
            <w:rFonts w:ascii="arial" w:eastAsia="arial" w:hAnsi="arial" w:cs="arial"/>
            <w:i/>
            <w:color w:val="0077CC"/>
            <w:sz w:val="20"/>
            <w:u w:val="single"/>
            <w:shd w:val="clear" w:color="auto" w:fill="FFFFFF"/>
            <w:lang w:val="en-US" w:eastAsia="en-US" w:bidi="ar-SA"/>
          </w:rPr>
          <w:t>(1995), 2 B.C.L.R. (3d) 201</w:t>
        </w:r>
      </w:hyperlink>
      <w:r>
        <w:rPr>
          <w:rFonts w:ascii="arial" w:eastAsia="arial" w:hAnsi="arial" w:cs="arial"/>
          <w:color w:val="000000"/>
          <w:sz w:val="20"/>
          <w:lang w:val="en-US" w:eastAsia="en-US" w:bidi="ar-SA"/>
        </w:rPr>
        <w:t xml:space="preserve"> at para. 28 (C.A.);</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"[E]ncouraging litigants to settle whenever possible, thus freeing up judicial resources for other cases: </w:t>
      </w:r>
      <w:r>
        <w:rPr>
          <w:rFonts w:ascii="arial" w:eastAsia="arial" w:hAnsi="arial" w:cs="arial"/>
          <w:i/>
          <w:color w:val="000000"/>
          <w:sz w:val="20"/>
          <w:lang w:val="en-US" w:eastAsia="en-US" w:bidi="ar-SA"/>
        </w:rPr>
        <w:t>Bedwell v. McGill</w:t>
      </w:r>
      <w:r>
        <w:rPr>
          <w:rFonts w:ascii="arial" w:eastAsia="arial" w:hAnsi="arial" w:cs="arial"/>
          <w:color w:val="000000"/>
          <w:sz w:val="20"/>
          <w:lang w:val="en-US" w:eastAsia="en-US" w:bidi="ar-SA"/>
        </w:rPr>
        <w:t xml:space="preserve">, </w:t>
      </w:r>
      <w:hyperlink r:id="rId129" w:history="1">
        <w:r>
          <w:rPr>
            <w:rFonts w:ascii="arial" w:eastAsia="arial" w:hAnsi="arial" w:cs="arial"/>
            <w:i/>
            <w:color w:val="0077CC"/>
            <w:sz w:val="20"/>
            <w:u w:val="single"/>
            <w:shd w:val="clear" w:color="auto" w:fill="FFFFFF"/>
            <w:lang w:val="en-US" w:eastAsia="en-US" w:bidi="ar-SA"/>
          </w:rPr>
          <w:t>2008 BCCA 526</w:t>
        </w:r>
      </w:hyperlink>
      <w:r>
        <w:rPr>
          <w:rFonts w:ascii="arial" w:eastAsia="arial" w:hAnsi="arial" w:cs="arial"/>
          <w:color w:val="000000"/>
          <w:sz w:val="20"/>
          <w:lang w:val="en-US" w:eastAsia="en-US" w:bidi="ar-SA"/>
        </w:rPr>
        <w:t xml:space="preserve">, </w:t>
      </w:r>
      <w:hyperlink r:id="rId129" w:history="1">
        <w:r>
          <w:rPr>
            <w:rFonts w:ascii="arial" w:eastAsia="arial" w:hAnsi="arial" w:cs="arial"/>
            <w:i/>
            <w:color w:val="0077CC"/>
            <w:sz w:val="20"/>
            <w:u w:val="single"/>
            <w:shd w:val="clear" w:color="auto" w:fill="FFFFFF"/>
            <w:lang w:val="en-US" w:eastAsia="en-US" w:bidi="ar-SA"/>
          </w:rPr>
          <w:t>86 B.C.L.R. (4th) 343</w:t>
        </w:r>
      </w:hyperlink>
      <w:r>
        <w:rPr>
          <w:rFonts w:ascii="arial" w:eastAsia="arial" w:hAnsi="arial" w:cs="arial"/>
          <w:color w:val="000000"/>
          <w:sz w:val="20"/>
          <w:lang w:val="en-US" w:eastAsia="en-US" w:bidi="ar-SA"/>
        </w:rPr>
        <w:t xml:space="preserve"> at para. 33;</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have a winnowing function in the litigation process" by "requir[ing] litigants to make a careful assessment of the strength or lack thereof of their cases at the commencement and throughout the course of the litigation", and by "discourag[ing] the continuance of doubtful cases or defences": </w:t>
      </w:r>
      <w:r>
        <w:rPr>
          <w:rFonts w:ascii="arial" w:eastAsia="arial" w:hAnsi="arial" w:cs="arial"/>
          <w:i/>
          <w:color w:val="000000"/>
          <w:sz w:val="20"/>
          <w:lang w:val="en-US" w:eastAsia="en-US" w:bidi="ar-SA"/>
        </w:rPr>
        <w:t>Catalyst Paper Corporation v. Companhia de Navegaçao Norsul</w:t>
      </w:r>
      <w:r>
        <w:rPr>
          <w:rFonts w:ascii="arial" w:eastAsia="arial" w:hAnsi="arial" w:cs="arial"/>
          <w:color w:val="000000"/>
          <w:sz w:val="20"/>
          <w:lang w:val="en-US" w:eastAsia="en-US" w:bidi="ar-SA"/>
        </w:rPr>
        <w:t xml:space="preserve">, </w:t>
      </w:r>
      <w:hyperlink r:id="rId125" w:history="1">
        <w:r>
          <w:rPr>
            <w:rFonts w:ascii="arial" w:eastAsia="arial" w:hAnsi="arial" w:cs="arial"/>
            <w:i/>
            <w:color w:val="0077CC"/>
            <w:sz w:val="20"/>
            <w:u w:val="single"/>
            <w:shd w:val="clear" w:color="auto" w:fill="FFFFFF"/>
            <w:lang w:val="en-US" w:eastAsia="en-US" w:bidi="ar-SA"/>
          </w:rPr>
          <w:t>2009 BCCA 16</w:t>
        </w:r>
      </w:hyperlink>
      <w:r>
        <w:rPr>
          <w:rFonts w:ascii="arial" w:eastAsia="arial" w:hAnsi="arial" w:cs="arial"/>
          <w:color w:val="000000"/>
          <w:sz w:val="20"/>
          <w:lang w:val="en-US" w:eastAsia="en-US" w:bidi="ar-SA"/>
        </w:rPr>
        <w:t xml:space="preserve">, </w:t>
      </w:r>
      <w:hyperlink r:id="rId125" w:history="1">
        <w:r>
          <w:rPr>
            <w:rFonts w:ascii="arial" w:eastAsia="arial" w:hAnsi="arial" w:cs="arial"/>
            <w:i/>
            <w:color w:val="0077CC"/>
            <w:sz w:val="20"/>
            <w:u w:val="single"/>
            <w:shd w:val="clear" w:color="auto" w:fill="FFFFFF"/>
            <w:lang w:val="en-US" w:eastAsia="en-US" w:bidi="ar-SA"/>
          </w:rPr>
          <w:t>88 B.C.L.R. (4th) 17</w:t>
        </w:r>
      </w:hyperlink>
      <w:r>
        <w:rPr>
          <w:rFonts w:ascii="arial" w:eastAsia="arial" w:hAnsi="arial" w:cs="arial"/>
          <w:color w:val="000000"/>
          <w:sz w:val="20"/>
          <w:lang w:val="en-US" w:eastAsia="en-US" w:bidi="ar-SA"/>
        </w:rPr>
        <w:t xml:space="preserve"> at para. 16.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[75] Lastly, it must be also remembered that "the person who seeks to displace the usual rule [as to costs] has the burden of persuading the judge that the rule should be displaced": </w:t>
      </w:r>
      <w:r>
        <w:rPr>
          <w:rFonts w:ascii="arial" w:eastAsia="arial" w:hAnsi="arial" w:cs="arial"/>
          <w:i/>
          <w:color w:val="000000"/>
          <w:sz w:val="20"/>
          <w:lang w:val="en-US" w:eastAsia="en-US" w:bidi="ar-SA"/>
        </w:rPr>
        <w:t>Grassi v. WIC Radio Ltd.</w:t>
      </w:r>
      <w:r>
        <w:rPr>
          <w:rFonts w:ascii="arial" w:eastAsia="arial" w:hAnsi="arial" w:cs="arial"/>
          <w:color w:val="000000"/>
          <w:sz w:val="20"/>
          <w:lang w:val="en-US" w:eastAsia="en-US" w:bidi="ar-SA"/>
        </w:rPr>
        <w:t xml:space="preserve">, </w:t>
      </w:r>
      <w:hyperlink r:id="rId130" w:history="1">
        <w:r>
          <w:rPr>
            <w:rFonts w:ascii="arial" w:eastAsia="arial" w:hAnsi="arial" w:cs="arial"/>
            <w:i/>
            <w:color w:val="0077CC"/>
            <w:sz w:val="20"/>
            <w:u w:val="single"/>
            <w:shd w:val="clear" w:color="auto" w:fill="FFFFFF"/>
            <w:lang w:val="en-US" w:eastAsia="en-US" w:bidi="ar-SA"/>
          </w:rPr>
          <w:t>2001 BCCA 376</w:t>
        </w:r>
      </w:hyperlink>
      <w:r>
        <w:rPr>
          <w:rFonts w:ascii="arial" w:eastAsia="arial" w:hAnsi="arial" w:cs="arial"/>
          <w:color w:val="000000"/>
          <w:sz w:val="20"/>
          <w:lang w:val="en-US" w:eastAsia="en-US" w:bidi="ar-SA"/>
        </w:rPr>
        <w:t xml:space="preserve">, </w:t>
      </w:r>
      <w:hyperlink r:id="rId130" w:history="1">
        <w:r>
          <w:rPr>
            <w:rFonts w:ascii="arial" w:eastAsia="arial" w:hAnsi="arial" w:cs="arial"/>
            <w:i/>
            <w:color w:val="0077CC"/>
            <w:sz w:val="20"/>
            <w:u w:val="single"/>
            <w:shd w:val="clear" w:color="auto" w:fill="FFFFFF"/>
            <w:lang w:val="en-US" w:eastAsia="en-US" w:bidi="ar-SA"/>
          </w:rPr>
          <w:t>89 B.C.L.R. (3d) 198</w:t>
        </w:r>
      </w:hyperlink>
      <w:r>
        <w:rPr>
          <w:rFonts w:ascii="arial" w:eastAsia="arial" w:hAnsi="arial" w:cs="arial"/>
          <w:color w:val="000000"/>
          <w:sz w:val="20"/>
          <w:lang w:val="en-US" w:eastAsia="en-US" w:bidi="ar-SA"/>
        </w:rPr>
        <w:t xml:space="preserve"> at para. 24.</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The factors for consideration under Rule 9-1(6)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making an order under subrule (5), the court may consider the following:</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offer to settle was one that ought reasonably to have been accepted, either on the date that the offer to settle was delivered or served or on any later date;</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relationship between the terms of settlement offered and the final judgment of the court;</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relative financial circumstances of the parties;</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factor the court considers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first consideration is whether the Formal Offer was one that ought reasonably to have been accepted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This question is not to be addressed with the benefit of hindsight, that is, with the knowledge of the award that was ultimately made: </w:t>
      </w:r>
      <w:r>
        <w:rPr>
          <w:rFonts w:ascii="arial" w:eastAsia="arial" w:hAnsi="arial" w:cs="arial"/>
          <w:i/>
          <w:color w:val="000000"/>
          <w:sz w:val="20"/>
          <w:lang w:val="en-US" w:eastAsia="en-US" w:bidi="ar-SA"/>
        </w:rPr>
        <w:t>Bailey v. Jang</w:t>
      </w:r>
      <w:r>
        <w:rPr>
          <w:rFonts w:ascii="arial" w:eastAsia="arial" w:hAnsi="arial" w:cs="arial"/>
          <w:color w:val="000000"/>
          <w:sz w:val="20"/>
          <w:lang w:val="en-US" w:eastAsia="en-US" w:bidi="ar-SA"/>
        </w:rPr>
        <w:t xml:space="preserve">, </w:t>
      </w:r>
      <w:hyperlink r:id="rId121" w:history="1">
        <w:r>
          <w:rPr>
            <w:rFonts w:ascii="arial" w:eastAsia="arial" w:hAnsi="arial" w:cs="arial"/>
            <w:i/>
            <w:color w:val="0077CC"/>
            <w:sz w:val="20"/>
            <w:u w:val="single"/>
            <w:shd w:val="clear" w:color="auto" w:fill="FFFFFF"/>
            <w:lang w:val="en-US" w:eastAsia="en-US" w:bidi="ar-SA"/>
          </w:rPr>
          <w:t>2008 BCSC 1372</w:t>
        </w:r>
      </w:hyperlink>
      <w:r>
        <w:rPr>
          <w:rFonts w:ascii="arial" w:eastAsia="arial" w:hAnsi="arial" w:cs="arial"/>
          <w:color w:val="000000"/>
          <w:sz w:val="20"/>
          <w:lang w:val="en-US" w:eastAsia="en-US" w:bidi="ar-SA"/>
        </w:rPr>
        <w:t xml:space="preserve"> at para. 24; </w:t>
      </w:r>
      <w:r>
        <w:rPr>
          <w:rFonts w:ascii="arial" w:eastAsia="arial" w:hAnsi="arial" w:cs="arial"/>
          <w:i/>
          <w:color w:val="000000"/>
          <w:sz w:val="20"/>
          <w:lang w:val="en-US" w:eastAsia="en-US" w:bidi="ar-SA"/>
        </w:rPr>
        <w:t>A.E. v. D.W.J.</w:t>
      </w:r>
      <w:r>
        <w:rPr>
          <w:rFonts w:ascii="arial" w:eastAsia="arial" w:hAnsi="arial" w:cs="arial"/>
          <w:color w:val="000000"/>
          <w:sz w:val="20"/>
          <w:lang w:val="en-US" w:eastAsia="en-US" w:bidi="ar-SA"/>
        </w:rPr>
        <w:t xml:space="preserve">, </w:t>
      </w:r>
      <w:hyperlink r:id="rId131" w:history="1">
        <w:r>
          <w:rPr>
            <w:rFonts w:ascii="arial" w:eastAsia="arial" w:hAnsi="arial" w:cs="arial"/>
            <w:i/>
            <w:color w:val="0077CC"/>
            <w:sz w:val="20"/>
            <w:u w:val="single"/>
            <w:shd w:val="clear" w:color="auto" w:fill="FFFFFF"/>
            <w:lang w:val="en-US" w:eastAsia="en-US" w:bidi="ar-SA"/>
          </w:rPr>
          <w:t>2009 BCSC 505</w:t>
        </w:r>
      </w:hyperlink>
      <w:r>
        <w:rPr>
          <w:rFonts w:ascii="arial" w:eastAsia="arial" w:hAnsi="arial" w:cs="arial"/>
          <w:color w:val="000000"/>
          <w:sz w:val="20"/>
          <w:lang w:val="en-US" w:eastAsia="en-US" w:bidi="ar-SA"/>
        </w:rPr>
        <w:t xml:space="preserve"> at para. 55, aff'd </w:t>
      </w:r>
      <w:hyperlink r:id="rId132" w:history="1">
        <w:r>
          <w:rPr>
            <w:rFonts w:ascii="arial" w:eastAsia="arial" w:hAnsi="arial" w:cs="arial"/>
            <w:i/>
            <w:color w:val="0077CC"/>
            <w:sz w:val="20"/>
            <w:u w:val="single"/>
            <w:shd w:val="clear" w:color="auto" w:fill="FFFFFF"/>
            <w:lang w:val="en-US" w:eastAsia="en-US" w:bidi="ar-SA"/>
          </w:rPr>
          <w:t>2011 BCCA 279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sub nom. Evans v. Jensen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Hartshorne v. Hartshorne</w:t>
      </w:r>
      <w:r>
        <w:rPr>
          <w:rFonts w:ascii="arial" w:eastAsia="arial" w:hAnsi="arial" w:cs="arial"/>
          <w:color w:val="000000"/>
          <w:sz w:val="20"/>
          <w:lang w:val="en-US" w:eastAsia="en-US" w:bidi="ar-SA"/>
        </w:rPr>
        <w:t xml:space="preserve">, </w:t>
      </w:r>
      <w:hyperlink r:id="rId133" w:history="1">
        <w:r>
          <w:rPr>
            <w:rFonts w:ascii="arial" w:eastAsia="arial" w:hAnsi="arial" w:cs="arial"/>
            <w:i/>
            <w:color w:val="0077CC"/>
            <w:sz w:val="20"/>
            <w:u w:val="single"/>
            <w:shd w:val="clear" w:color="auto" w:fill="FFFFFF"/>
            <w:lang w:val="en-US" w:eastAsia="en-US" w:bidi="ar-SA"/>
          </w:rPr>
          <w:t>2011 BCCA 29</w:t>
        </w:r>
      </w:hyperlink>
      <w:r>
        <w:rPr>
          <w:rFonts w:ascii="arial" w:eastAsia="arial" w:hAnsi="arial" w:cs="arial"/>
          <w:color w:val="000000"/>
          <w:sz w:val="20"/>
          <w:lang w:val="en-US" w:eastAsia="en-US" w:bidi="ar-SA"/>
        </w:rPr>
        <w:t xml:space="preserve">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A factor that can be taken into account is whether the offer was well within the range of outcomes that could reasonably have been expected: </w:t>
      </w:r>
      <w:r>
        <w:rPr>
          <w:rFonts w:ascii="arial" w:eastAsia="arial" w:hAnsi="arial" w:cs="arial"/>
          <w:i/>
          <w:color w:val="000000"/>
          <w:sz w:val="20"/>
          <w:lang w:val="en-US" w:eastAsia="en-US" w:bidi="ar-SA"/>
        </w:rPr>
        <w:t>A.E. v. D.W.J.</w:t>
      </w:r>
      <w:r>
        <w:rPr>
          <w:rFonts w:ascii="arial" w:eastAsia="arial" w:hAnsi="arial" w:cs="arial"/>
          <w:color w:val="000000"/>
          <w:sz w:val="20"/>
          <w:lang w:val="en-US" w:eastAsia="en-US" w:bidi="ar-SA"/>
        </w:rPr>
        <w:t xml:space="preserve">, cited in </w:t>
      </w:r>
      <w:r>
        <w:rPr>
          <w:rFonts w:ascii="arial" w:eastAsia="arial" w:hAnsi="arial" w:cs="arial"/>
          <w:i/>
          <w:color w:val="000000"/>
          <w:sz w:val="20"/>
          <w:lang w:val="en-US" w:eastAsia="en-US" w:bidi="ar-SA"/>
        </w:rPr>
        <w:t>Hartshorne</w:t>
      </w:r>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Brewster</w:t>
      </w:r>
      <w:r>
        <w:rPr>
          <w:rFonts w:ascii="arial" w:eastAsia="arial" w:hAnsi="arial" w:cs="arial"/>
          <w:color w:val="000000"/>
          <w:sz w:val="20"/>
          <w:lang w:val="en-US" w:eastAsia="en-US" w:bidi="ar-SA"/>
        </w:rPr>
        <w:t xml:space="preserve"> at para.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It is clear that liability was very much in issue in this proceeding. There is also the fact that in light of the plaintiff's health issues prior to the Accident and his advanced age this placed any future losses within a reasonably finite timeframe. Accordingly, the claim for damages was relatively modest.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my view, under the set of circumstances to which I have referred and which existed during the trial in February 2014, the risks the plaintiff assumed in not accepting the Formal Offer ought to have been readily apparent to him when he received the Formal Offer, or within a reasonable period of time thereafter. In any event, it remained open until the last business day before the trial. I find that the plaintiff ought reasonably to have accepted the Formal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second consideration, being the relationship between the terms of the settlement offered and the final judgment of the court, is not to be given undue weight: </w:t>
      </w:r>
      <w:r>
        <w:rPr>
          <w:rFonts w:ascii="arial" w:eastAsia="arial" w:hAnsi="arial" w:cs="arial"/>
          <w:i/>
          <w:color w:val="000000"/>
          <w:sz w:val="20"/>
          <w:lang w:val="en-US" w:eastAsia="en-US" w:bidi="ar-SA"/>
        </w:rPr>
        <w:t>Gonzalez v. Voskakis</w:t>
      </w:r>
      <w:r>
        <w:rPr>
          <w:rFonts w:ascii="arial" w:eastAsia="arial" w:hAnsi="arial" w:cs="arial"/>
          <w:color w:val="000000"/>
          <w:sz w:val="20"/>
          <w:lang w:val="en-US" w:eastAsia="en-US" w:bidi="ar-SA"/>
        </w:rPr>
        <w:t xml:space="preserve">, </w:t>
      </w:r>
      <w:hyperlink r:id="rId124" w:history="1">
        <w:r>
          <w:rPr>
            <w:rFonts w:ascii="arial" w:eastAsia="arial" w:hAnsi="arial" w:cs="arial"/>
            <w:i/>
            <w:color w:val="0077CC"/>
            <w:sz w:val="20"/>
            <w:u w:val="single"/>
            <w:shd w:val="clear" w:color="auto" w:fill="FFFFFF"/>
            <w:lang w:val="en-US" w:eastAsia="en-US" w:bidi="ar-SA"/>
          </w:rPr>
          <w:t>2013 BCSC 675</w:t>
        </w:r>
      </w:hyperlink>
      <w:r>
        <w:rPr>
          <w:rFonts w:ascii="arial" w:eastAsia="arial" w:hAnsi="arial" w:cs="arial"/>
          <w:color w:val="000000"/>
          <w:sz w:val="20"/>
          <w:lang w:val="en-US" w:eastAsia="en-US" w:bidi="ar-SA"/>
        </w:rPr>
        <w:t xml:space="preserve"> at para. 36. Nevertheless, this factor also favours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relative financial circumstances of the parties are not a relevant consideration on the facts of this case. As well, neither party suggested any additional factors for me to consider.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As I have noted, there is a wide discretion available to me on the issue of costs. I conclude that the plaintiff is entitled to two thirds of his assessed costs and disbursements to the date of the Formal Offer. Notwithstanding the defendants' ultimate success at trial in relation to the amount of damages awarded to the plaintiff, I am of the view that it is equitable on the facts of this case for the defendants to recover 25% of their assessed costs and disbursements from the date of the Formal Offer to the conclusion of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That is because, although the Formal Offer ought to have been accepted, there was a wide range in what the liability apportionment could have been. This was also the case with respect to damages, particularly non-pecuniary loss. The plaintiff has already suffered some significant financial consequences in proceeding to trial. The amount of damages I awarded is approximately $10,000 less than what he would have received had he accepted the Formal Offer, without taking costs into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Both the plaintiff and defendants' costs are to be assessed pursuant to Rule 15-1.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 ABRIOUX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5" style="position:absolute;z-index:2518640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34"/>
          <w:headerReference w:type="default" r:id="rId135"/>
          <w:footerReference w:type="even" r:id="rId136"/>
          <w:footerReference w:type="default" r:id="rId137"/>
          <w:headerReference w:type="first" r:id="rId138"/>
          <w:footerReference w:type="first" r:id="rId13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40" w:history="1">
        <w:r>
          <w:rPr>
            <w:rFonts w:ascii="arial" w:eastAsia="arial" w:hAnsi="arial" w:cs="arial"/>
            <w:b/>
            <w:bCs/>
            <w:i/>
            <w:color w:val="0077CC"/>
            <w:kern w:val="32"/>
            <w:sz w:val="28"/>
            <w:szCs w:val="32"/>
            <w:u w:val="single"/>
            <w:shd w:val="clear" w:color="auto" w:fill="FFFFFF"/>
            <w:lang w:val="en-US" w:eastAsia="en-US" w:bidi="ar-SA"/>
          </w:rPr>
          <w:t>Boehmke v. Grant, [2010] B.C.J. No. 892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Nelson,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J.S. Harvey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22-24, April 27-May 1, July 20-24 and September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8-10,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13,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9280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Nelson</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892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682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188 A.C.W.S. (3d) 913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1220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Sherrill Boehmke, Plaintiff, and Howard Stewart Grant, Ronald James Brock and the Corporation of the City of Nelson,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(186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6" style="position:absolute;z-index:251662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 w:name="Keywords_3"/>
      <w:bookmarkEnd w:id="28"/>
      <w:r>
        <w:rPr>
          <w:rFonts w:ascii="arial" w:eastAsia="arial" w:hAnsi="arial" w:cs="arial"/>
          <w:b/>
          <w:color w:val="000000"/>
          <w:sz w:val="20"/>
          <w:lang w:val="en-US" w:eastAsia="en-US" w:bidi="ar-SA"/>
        </w:rPr>
        <w:t>Damages — For torts — Affecting the person — Defamation — Method of publication — Miscellaneous — Action by court employee for damages for defamation resulting from statements made by chief constable and police sergeant allowed — After plaintiff reported information to police about incident of vandalism, defendants spoke with plaintiff's supervisor and alleged plaintiff withheld information related to investigation — Communications made by defendants referred to plaintiff, were published by being communicated to plaintiff's supervisor and had effect of lowering opinion of plaintiff and plaintiff's reputation — Communications motivated by malice and not protected by qualified privilege — Appropriate award of damages was $9,000 — As individual defendants acted in course of employment, city vicariously liable.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Defamation — Defamatory statements — Defences — Qualified privilege — Privilege — Qualified privilege — When qualified privilege arises — Complaint's to plaintiff's employer — Malice — Publication — What constitutes publication — Action by court employee for damages for defamation resulting from statements made by chief constable and police sergeant allowed — After plaintiff reported information to police about incident of vandalism, defendants spoke with plaintiff's supervisor and alleged plaintiff withheld information related to investigation — Communications made by defendants referred to plaintiff, were published by being communicated to plaintiff's supervisor and had effect of lowering opinion of plaintiff and plaintiff's reputation — Communications motivated by malice and not protected by qualified privilege — Appropriate award of damages was $9,000 — As individual defendants acted in course of employment, city vicariously liable.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9" w:name="Case Summary_3"/>
            <w:bookmarkEnd w:id="2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a court employee for damages for defamation resulting from statements made by the defendants, a police sergeant and the chief constable, to the plaintiff's employer. The plaintiff was a court clerk and justice of the peace employed by the defendant city. She received information from her daughter's boyfriend relating to an incident of vandalism in a city park and reported what she knew about the incident to police. The defendant HSG, who was the investigating officer, returned the plaintiff's telephone call and sought clarification of the information that the plaintiff had earlier relayed. The plaintiff advised HSG of the identity of the suspected perpetrator, who was an individual visiting from Germany, and what she knew of his whereabouts. Following the phone call with HSG, the plaintiff unsuccessfully attempted to have both her daughter's boyfriend and the family with whom the suspected perpetrator had been staying contact that police to provide them with further information. The officer made two follow-up calls to the plaintiff, during which she provided him with whatever further information she had. In addition, between the follow-up calls, the plaintiff saw the alleged perpetrator twice. She did not report the sightings to police and instead on one occasion encouraged the individual to turn himself in. HSG did not act on the information he received from the plaintiff until almost three weeks after the plaintiff first contacted police, by which time the suspected perpetrator had returned to Germany. Shortly thereafter, HSG began to suspect that the plaintiff had been withholding information regarding the investigation. He spoke to the defendant RJB, his superior officer, about his concerns, and they contacted the plaintiff's supervisor and relayed their concerns to her about the plaintiff's behaviour throughout the course of the investigation. The plaintiff was then confronted by her supervisor with the allegations levied by the defendants. The plaintiff, who was upset by the allegations, made a complaint to the city and the Office of the Police Complaints Commissioner. However, neither the complaints nor the follow-up investigations resolved the plaintiff's issue as to whether she had actually withheld information from the investigation and she ultimately commenced an action for defamation. As the individual defendants acted in the course of their employment, the plaintiff also claimed that the City was vicariously liable for the actions of the two personal defendants. Between the time of the plaintiff's first contact with police and the time she commenced the action, a number of events occurred, which exasperated the plaintiff. Although the plaintiff expected to advance at her place of employment, she did not advance and her justice of the peace designation was removed, although for reasons unrelated to the allegations. As the plaintiff believed that city residents were aware of the allegations against her, she sought, and ultimately obtained a position with another court office outside of the city.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0" w:name="Holdings of Court_3"/>
            <w:bookmarkEnd w:id="30"/>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requirements of defamation were made out as the communications made by the individual defendants to the plaintiff's supervisor referred to the plaintiff, were published in the sense that they were communicated to the plaintiff's supervisor and were false and had the effect of lowering the opinion of the plaintiff and the plaintiff's reputation in the minds of right-thinking people. As the alleged misconduct had nothing to do with the performance of the plaintiff's duties as a court employee or justice of the peace, there was nothing about the utterances that the defendant had a legitimate interest to report or the plaintiff's supervisor had a legitimate interest to receive and, consequently, they were not protected by the defence of qualified privilege. Furthermore as the defendant HSG knew the allegations were untrue or was recklessly indifference as to their truth, he was motivated by malice which defeated the defence of qualified privilege. As the statements were made about the plaintiff as a court employee and justice of the peace, the defamatory statements were actionable per se and the plaintiff was not required to prove special damages. Given the effect the words had on the plaintiff and that no retraction or apology was forthcoming after the statements were made, the appropriate award of damages was $9,000. As the statements were made during the course of employment of the individuals, the city was vicariously liable.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1" w:name="Legislation Cited_3"/>
      <w:bookmarkEnd w:id="3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7" style="position:absolute;z-index:2517135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Police Act, </w:t>
      </w:r>
      <w:hyperlink r:id="rId141" w:history="1">
        <w:r>
          <w:rPr>
            <w:rFonts w:ascii="arial" w:eastAsia="arial" w:hAnsi="arial" w:cs="arial"/>
            <w:i/>
            <w:color w:val="0077CC"/>
            <w:sz w:val="20"/>
            <w:u w:val="single"/>
            <w:shd w:val="clear" w:color="auto" w:fill="FFFFFF"/>
            <w:lang w:val="en-US" w:eastAsia="en-US" w:bidi="ar-SA"/>
          </w:rPr>
          <w:t>RSBC 1996, CHAPTER 367, s. 20</w:t>
        </w:r>
      </w:hyperlink>
      <w:r>
        <w:rPr>
          <w:rFonts w:ascii="arial" w:eastAsia="arial" w:hAnsi="arial" w:cs="arial"/>
          <w:color w:val="000000"/>
          <w:sz w:val="20"/>
          <w:lang w:val="en-US" w:eastAsia="en-US" w:bidi="ar-SA"/>
        </w:rPr>
        <w:t>(1), s. 21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2" w:name="Counsel_3"/>
      <w:bookmarkEnd w:id="3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8" style="position:absolute;z-index:2517647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Sherrill Boehmke.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all Defendants: David Butcher.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3" w:name="Judgment_3"/>
      <w:bookmarkEnd w:id="33"/>
      <w:r>
        <w:pict>
          <v:line id="_x0000_s1049" style="position:absolute;z-index:25181593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7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4" w:name="J.S. HARVEY J."/>
            <w:bookmarkEnd w:id="34"/>
            <w:r>
              <w:rPr>
                <w:rFonts w:ascii="arial" w:eastAsia="arial" w:hAnsi="arial" w:cs="arial"/>
                <w:b/>
                <w:color w:val="000000"/>
                <w:sz w:val="30"/>
                <w:lang w:val="en-US" w:eastAsia="en-US" w:bidi="ar-SA"/>
              </w:rPr>
              <w:t>J.S. HARVEY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Sherrill Boehmke, claims damages for defamation as a result of statements made by the defendants, Howard Grant, a sergeant in the Nelson Police, and Ronald Brock, who at the time was Nelson's Chief Constable. Both personal defendants acted throughout in their capacity as employees of the defendant, the Corporation of the City of Nelson. The plaintiff claims that the Corporation of the City of Nelson is vicariously liable for the actions of the two personal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claim arises from alleged defamatory statements made by the defendants to the plaintiff's employer stemming from her perceived lack of cooperation with the police in the course of an investigation into vandalism in Nelson, British Columbia in May 2000. At the time of the incident, the plaintiff was employed in the Nelson Court Registry as a clerk and a Justice of the Peace.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plaintiff also made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conspiracy, but these claims were largely abandoned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Vandalism at Lion's Park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the early hours of May 16, 2000, a person or persons unknown vandalized Lion's Park in Nelson by spray painting it with graffiti. The graffiti was the latest in a string of vandalism incidents which had occurred. The Mayor of Nelson, Gary Exner, and Chief Constable Brock attended the scene of the crime and denounced the actions to the local press. The damage to park was estimated in the thousands of dollars. A reward was offered for information leading to the arrest of the perpetrator.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Following the "photo op" at the park, neither the Mayor nor Chief Constable Brock seemed to have any further dealing with the investigation. After an initial flurry of activity on the day of the incident, the investigation fell to Sgt. Grant. At the time, he was in charge of the afternoon shift, working four days on and four days off from 4 p.m. to 4 a.m. The incident occurred on his watch, making him the primary investigator into its happening.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learned of the vandalism when she read the Nelson newspaper the following day. The incident was front page news and the Mayor and Chief Constable were quoted as to their abhorrence of what had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When the plaintiff returned to her home that evening, she learned from her daughter's boyfriend, Robbie Campbell, that he believed that a young man visiting from Germany, known to him only as Phillip, was responsible for the vandalism. Phillip had apparently confessed to the crime. Mr. Campbell also advised the plaintiff that Phillip had, until recently, lived with Mr. Campbell. Mr. Campbell, upon hearing of Phillip's involvement with the graffiti, asked him to leave and did not know his current whereabouts.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Wanting to demonstrate her commitment to civic responsibility and fearing that unless she came forward, local youth would be blamed for the mischief, the plaintiff phoned the Nelson police to report what she knew. What followed was a series of unfortunate events culminating in this lawsuit.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At the time of the incident, the plaintiff was a single mother of two young adults. She had worked for many years in court services and held a Justice of the Peace designation. Her principal duties were acting in the capacity of a clerk in family court in the Nelson Registry, but she was also qualified to issue warrants and conduct bail hearings.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She became a Justice of the Peace as a result of a promotion she received to be the assistant District Registrar of the Castlegar Registry in 1989, a position she held until 1994. During those years, she lived in Nelson, where she owned a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Her return to the Nelson Registry in 1994 came about as a result of her desire to eventually become the Deputy Registrar of the Nelson Registry. The move from Castlegar to Nelson necessitated a reduction in pay and her credential as a Justice of the Peace was made redundant by virtue of the fact there were others in the Nelson Registry who held the qualification and did the bulk of the work requiring that credential. However, both the Registrar, Elaine Beaulac, and the Deputy Registrar lived outside of the City of Nelson, which resulted in the plaintiff using her Justice of the Peace powers to attend to bail hearings or to approve warrants when there were call-outs during off-hours.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It would appear that of the plaintiff's duties, acting as a Justice of the Peace occupied less than 10% of her time. However, her supervisor, Ms. Beaulac, acknowledged the convenience of having an extra registry employee with Justice of the Peace powers and no steps were taken to have her appointment rescinded when she returned to the Nelson Registry in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During her years of living in Nelson prior to the incident in question, the plaintiff had several negative experiences with both the Nelson police and the RCMP who exercised jurisdiction over the areas surrounding Nelson. These instances involved both herself and her son Mike. The plaintiff felt she was treated unfairly by the police and, as a result, would appear to harbour some apprehension in dealing with the police. The particulars of her previous involvement are of no significance to the matters in question, but are an underpinning of the extent to which the plaintiff felt victimized by the events that are at issue in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Sgt. Grant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other major participant in the events in question, Sgt. Grant, also has relevant background experiences which played a significant role in the discussions with the plaintiff which led to the alleged defamatory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Sgt. Grant was one of the lead investigators in a local investigation into drug dealing in a local shop called the "Holy Smoke". Sgt. Grant and a fellow Nelson police officer testified at a trial in provincial court. On a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xml:space="preserve"> regarding the admissibility of evidence garnered at the raid on the Holy Smoke, the provincial court judge made some damning findings about the credibility of Sgt. Grant's testimony as to the happening of events leading to the seizure of the evidence on which the prosecution was founded. As a result, the case was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publicity surrounding the dismissal and the findings of the provincial court judge were front page news in Nelson. Editorials and letters to the editor were written and, eventually, the other defendant, Chief Constable Brock, wrote a letter to the editor supporting Sgt. Grant and the actions of the other officer.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effect on Sgt. Grant was devastating. Not surprisingly, he was upset by both the criticism and the attendant publicity. It is clear that the admonishment dealt to him in what came to be called the Holy Smoke trial played a significant role in the incident in question.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First Phone Call - May 17,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felt compelled to share the information that Mr. Campbell had provided with the Nelson police. Despite his disapproval of Phillip's actions, Mr. Campbell did not want to become involved, or to be considered a "rat". Adding to his concern was the fact that he was a street artist whose drawing style bore a certain resemblance to the graffiti applied at Lion's Park. As well, Mr. Campbell had, by coincidence, been a witness for the defence at the Holy Smoke trial, as he had been present in the store during the search.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Over the protestations of both her daughter and Mr. Campbell, the plaintiff called the Nelson police with the information she had learned. In addition to learning the name of the suspect, she had learned that he was a visitor from Germany who had been a home stay student with a local family prior to living with Mr. Campbell and he had been working with Mr. Campbell preparing sets for a local theatre production.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first called the Nelson police station and spoke with a dispatcher, Steve Donald. She was leery of giving information to the dispatcher as she wanted to speak to an officer and relay the information she had concerning the suspect.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 did not believe she was being taken seriously by the dispatcher. She identified herself as a court worker and thought she had mentioned her status as a Justice of the Peace. She assured the dispatcher that she had valuable information, but she was unwilling to share the source of the information with him. She mentioned that she was not interested in collecting the reward that had been offered in hopes of being taken seriously. The Occurrence Report prepared, in part, by the dispatcher references the plaintiff's name, address and telephone and also notes a reference to Robbie Campbell of "Delbruck Street". Under phone number, it notes "N/P". The note of the conversation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Boehmke rpts her daughter's boyfriend was told by an acquaintance that (the acquaintance) was the one who did the graffiti at Lions Park. The suspect is a home stay student from Germany who was kicked out of his home stay house. His first name is apparently "Phillip". He is apparently a graffiti artist.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dispatcher subsequently reported the incident, that same evening, to Sgt. Grant. The dispatcher apparently complained that he was not given sufficient information and felt the caller had been evasive. Sgt. Grant knew that many civilians called the police station believing they would be put through to a constable if they had information relating to the commission of a crime and told the dispatcher he knew the plaintiff and would call her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Sgt. Grant called the plaintiff that night, May 17, 2000. Unbeknownst to the plaintiff, all conversations, save those made from certain telephones within the building, were recorded and the recordings were saved for 90 days. The recordings and the failure of the Nelson police department to preserve them once the factual dispute between she and Sgt. Grant became known was a source of ongoing concern to the plaintiff once she learned of their existence.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evidence of the plaintiff and Sgt. Grant as to the content of the first conversation does not differ in any material fashion. Sgt. Grant sought clarification on the information earlier relayed to the dispatcher and the plaintiff, with little or no encouragement, relayed the following information:</w:t>
      </w:r>
      <w:r>
        <w:rPr>
          <w:rFonts w:ascii="arial" w:eastAsia="arial" w:hAnsi="arial" w:cs="arial"/>
          <w:sz w:val="20"/>
          <w:lang w:val="en-US" w:eastAsia="en-US" w:bidi="ar-SA"/>
        </w:rPr>
        <w:cr/>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suspected perpetrator was a young man named Phillip who was a visitor from Germany;</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Phillip had, until recently, being staying with her daughter's boyfriend, Mr. Campbell, who lived at the top of Delbruck Street in a brown house;</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Campbell did not have a telephone;</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Phillip told Mr. Campbell he was responsible for the graffiti, Mr. Campbell kicked him out;</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Phillip had previously stayed with a family in Harrop, an outlying area, whose name she did not know, but that her daughter would know the name of the family;</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Phillip and Mr. Campbell had been working on sets for the upcoming local theatre production;</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Campbell was reluctant to come forward because he did not want to be thought of as a rat;</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Campbell and her daughter were upset with her for calling police with the information they had given her; and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Phillip was only temporarily in the Nelson area and would be leaving around the end of May to return to Germany.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Sgt. Grant entered some of the information he received into the Occurrence Report. He was responsible for the entry that detailed Mr. Campbell's name and the information, incomplete as it was, regarding his residence and the fact he did not have a telephone number.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When it became clear that the plaintiff's source of knowledge was Mr. Campbell, Sgt. Grant wanted to interview him. The plaintiff made it clear that he was reluctant to come forward. She made reference to the fact that Sgt. Grant knew Mr. Campbell from the Holy Smoke trial and said that if he did interview Mr. Campbell, he should be "fair" with him and treat him with respect.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What was intended by coupling the reference to the Holy Smoke trial and the request to be "fair" is unknown. It was taken by Sgt. Grant as an attack on his integrity. Rightly or wrongly, he assumed that the plaintiff was relating a concern she had from the findings made in the trial to the manner in which he might conduct an interview of Mr. Campbell. The plaintiff steadfastly denied any such intention, but it is clear that the remark coloured the ongoing dealings between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testified the only reason she referenced the Holy Smoke was for the purpose of identifying Mr. Campbell to Sgt. Grant. Indeed, after the connection was made, Sgt. Grant recalled seeing Mr. Campbell in the presence of another young man, who was introduced as a friend from Germany, carrying pieces of a set down the street early one morning several weeks before the vandalism occurred. Sgt. Grant held no animosity towards Mr. Campbell, who was not a subject of the Holy Smoke investigation, but rather happened to be in the store at the time the arrest took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response to the reference to the Holy Smoke trial, Sgt. Grant advised the plaintiff that "the Holy Smoke is my problem". The conversation carried on and Sgt. Grant made two requests of the plaintiff: first, to speak to Mr. Campbell to see whether he would speak to Sgt. Grant about the information he had relayed to the plaintiff and, second, to obtain from her daughter the name of the family Phillip had lived with in Harrop.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Both parties agreed the conversation ended cordially. Sgt. Grant acknowledged that he had no concerns about the plaintiff's candour during their conversation that evening. After completing the Occurrence Report, Sgt. Grant notified Sgt. Haddow that the plaintiff would call the department if Mr. Campbell changed his mind about coming forward. At the conclusion of the first call, there is no foundation in the evidence for a conclusion other than that the plaintiff had detailed all she knew to the police. Sgt. Grant acknowledged in his evidence that he did not think the plaintiff was withholding any meaningful information about the incident by the end of the call.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After the First 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Following the evening of the first call, Sgt. Grant was off-shift for four days. There is no evidence he left the investigation in the hands of any of the other members of the Nelson police or required anyone to follow up with the plaintiff on the matters she was to get back to him on. Sgt. Grant testified he left a note for Sgt. Haddow, the next non-commissioned officer on shift, about the information still to be received from the plaintiff. Sgt. Haddow did not give evidence. There is no reference to any entries in the Occurrence Report which demonstrate that anything happened in furtherance of the investigation following the first 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followed up by speaking further to Mr. Campbell, who steadfastly refused to get involved. She also spoke to her daughter and learned that the last name of the family from Harrop was Gray. She placed a call to Mr. Gray the following day and eventually spoke to him at some length about the incident and about Phillip. Matters were left that Mr. Gray was to give Sgt. Grant a call and provide the same information to him. The plaintiff reasonably assumed that Mr. Gray would follow through and make the call, so she did not report the conversation to Sgt. Grant. As a result of these steps, as far as she knew, the plaintiff had done all that was asked of her by Sgt. Grant.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Second Phone 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May 23, 2000, Sgt. Grant returned to work. In the intervening period between the first phone call and his return to work, no steps had been taken to further the investigation. Sgt. Grant called the plaintiff seeking an update. He specifically acknowledged that the call had a dual purpose: to determine whether Mr. Campbell would speak to him and to learn the name of the family Phillip had lived with. The log in the Occurrence Report respecting the call records the date as May 24, 2000, although there is no time entry accompanying it. All of the other recorded information in the Occurrence Report had a time entry as well as a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Sgt. Grant called and left a message with the plaintiff both on her work and home telephones. The plaintiff was taking some time off to attend the spring festival and make arrangements for her daughter's birthday party. Upon receiving Sgt. Grant's message on her home telephone, she called him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Sgt. Grant, as he was bound to do, entered notes of investigative steps into the case log. They were to be referenced by date and time of the action that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On May 24, 2000, Sgt. Grant entered into the case log the notes of his conversation with the plaintiff. Sgt. Grant testified that the lack of a time entry for the call is a curiosity, nothing more. The plaintiff questioned the timing of the call because not only was the time not entered, but the entry itself seems out of chronological order in the file. Sgt. Grant explained the log was a series of entries often made by different authors who had single pieces of paper and thus, when amalgamated, they might appear out of sequence.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Regardless of when, a second call did take place. After receiving Sgt. Grant's message, the plaintiff promptly called him back. This second conversation, although admittedly short, raised two areas where the evidence is materially divergent.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says she told Sgt. Grant the name of the Harrop family, the Grays, where Phillip resided prior to living with Mr. Campbell. Sgt. Grant denies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other discrepancy relates to the advice given the plaintiff as to what to do if she saw Phillip. The plaintiff says she was ultimately advised to tell Phillip to turn himself in if she saw him. Sgt. Grant maintains she was told to advise the Nelson police and to "let us do our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notation made by Grant referencing the second call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Boehmke returned call, saying Campbell does not want to get involved. She knows the susp to see him and will try to talk him into coming into NCP. Apparently susp is aware Boehmke has called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distinctions are important because the major basis of the alleged defamation, Sgt. Grant's complaint regarding the plaintiff's behaviour, related to her failure to identify the Grays during this second call her failure to call the Nelson police when she saw Phillip on two separate following occasions.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prefer the evidence of the plaintiff in regard to what was said in the second phone call for the following reasons:</w:t>
      </w:r>
      <w:r>
        <w:rPr>
          <w:rFonts w:ascii="arial" w:eastAsia="arial" w:hAnsi="arial" w:cs="arial"/>
          <w:sz w:val="20"/>
          <w:lang w:val="en-US" w:eastAsia="en-US" w:bidi="ar-SA"/>
        </w:rPr>
        <w:cr/>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readily admitted where her memory failed her, such as the later meeting in Elaine Beaulac's office in June, 2000;</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Her evidence was generally consistent with the whole of the evidence and written records of events made closer in time to the happening of these events; and</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Her recall of the advice given by Sgt. Grant concerning what to do if she saw Phillip on the street conforms with Sgt. Grant's own notation in the Occurrence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rejecting the evidence of Sgt. Grant as unreliable on this point, I note the following:</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agreed he had two purposes in making the second call to the plaintiff: to see if Mr. Campbell would make a statement and to obtain the name of the family in Harrop. Sgt. Grant was a professional police officer conducting an investigation; it seems improbable that he would have forgotten to follow up on these issues during the call.</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offered no explanation as to why he did not ask the plaintiff for the name of the family and, given it was clear that Mr. Campbell would not speak to him, the Harrop family was the last opportunity to further investigate Phillip's whereabouts; and</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 did not recall, but did not deny, that he advised the plaintiff nothing much would happen to Phillip.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Accordingly, I conclude that by the end of the second telephone conversation between the plaintiff and Sgt. Grant, on whatever date it occurred, Sgt. Grant was advised of the Gray's name and told the plaintiff that little, if anything, would come of the complaint and she should advise Phillip to attend the Nelson police department if she were to see him. I do not accept Sgt's Grant's evidence that the conversation between he and the plaintiff ended with her being told to "let us do our job" and "call us if you see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Both Sgt. Grant and the plaintiff agree that Sgt. Grant was told that Mr. Campbell would not cooperate in the investigation in the second call.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After the Second Phone 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Whatever the date of the second call between Sgt. Grant and the plaintiff, no steps were taken by Sgt. Grant until June 9, 2000 when he again phoned the plaintiff. Sgt. Grant, in his evidence, says he attended at the local theatre to speak to the manager about Phillip's whereabouts but, by the time he interviewed her, the play's run had ended. There is no notation in the Occurrence Report regarding the interview with the theatre manager. When questioned by the plaintiff about mention of the play during the conversation between them on May 17, 2000, he responded: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And you're saying that I never mentioned anything about a play when you said they were doing a board?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 don't recall you mentioning anything about a play.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You don't recall me telling you that he was involved in a play at the Capitol?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On May 17th when we talked.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 Mm-hmm.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I'm sorry, My Lord, No I don't.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It is common ground between the plaintiff and Sgt. Grant that the second phone call made no reference to the theatrical production. Sgt. Grant offered no detail as to when his interview of the theatre manager took place or what information respecting Phillip was forthcoming. Instead, he testified the play was over and "it was too late".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Given Sgt. Grant's denial of knowledge as to the involvement of both Mr. Campbell and Phillip on the production at the Capitol Theatre and the absence of any notation referencing the interview with the theatre manager, it is difficult to give credence to the notion that Sgt. Grant took any steps in furtherance of the investigation between the date of first and third call between himself and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plaintiff testified that between the second and third call, which occurred June 9, 2000, she saw Phillip twice on the streets of Nelson. The dates are not clear, but I reject the notion that the plaintiff had seen Phillip on the streets on Nelson in advance of the second call to Sgt. Grant. Having observed the plaintiff, both as a witness, and as her own counsel, I find it improbable in the extreme that the plaintiff would not have volunteered to Sgt. Grant that she had seen Phillip if it had occurred prior to the second call between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On the first occasion, the plaintiff was having coffee in a local cafe. She did not then have a cell phone. She saw Phillip across the street and she did not approach him or call Sgt. Grant afterwards to report the sighting.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between this sighting and the second time she saw Phillip, she attended at the Nelson police department in a professional capacity. Sgt. Grant was not on duty but other constables were present in the station. She made no report of seeing Phillip.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second sighting occurred while the plaintiff was shopping in the company of a friend. She saw Phillip walking on the road and had her friend stop the car to allow her to get out and speak to Phillip. They had a conversation and the plaintiff advised him to attend at the Nelson police department and speak to the police. She testified that Phillip told her that he had bought paint to go back to Lion's Park to repair the damage he had caused, but he was too late and the graffiti had already been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Again, despite the fact her companion had a cell phone, the plaintiff made no report of the incident to either Sgt. Grant or any member of the Nelson police. Phillip did not follow the plaintiff's advice to attend the station and he apparently returned to Germany sometime around the end of May 2000 as planned.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Sgt. Grant and the plaintiff next spoke June 9, 2000. Between May 24, 2000 and June 9, 2000, a period of 16 days, there were no entries in the log evidencing any activity on the file. The damage to the park turned out to be approximately $300, as opposed to the earlier estimate of $5,000.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Third Phone 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On June 9, 2000, Sgt. Grant again contacted the plaintiff. Both agree that the conversation was relatively short. The plaintiff advised Sgt. Grant of her sightings of Phillip. Sgt. Grant says he learned, for the first time, the identity of the family in Harrop that Phillip had lived with. The plaintiff says that she reminded Sgt. Grant that she had told him that information when they spoke weeks before. The plaintiff advised Sgt. Grant that she thought Phillip had returned to Germany.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By the end of the conversation, relations had soured between the two of them. Both agree the other was frustrated. Sgt. Grant says he believed that the plaintiff had not been forthcoming. The plaintiff was frustrated that the information she provided had not been acted on and her involvement had caused difficulties between she, Mr. Campbell and her daughter.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After the Third Phone 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What followed was a flurry of activity by Sgt. Grant. He left a message with Mr. Gray within ten minutes of his call to the plaintiff. When Mr. Gray returned his call several hours later, he told Sgt. Grant that Phillip had, indeed, returned to Germany. Mr. Gray provided the name of a Lions Club member, Mr. Barth, who had arranged for Phillip's stay in the Nelson area. Sgt. Grant called Mr. Barth and learned that he was fluent in German. He enlisted Mr. Barth to prepare a letter to Phillip and made an appointment to meet Mr. Barth on June 15, 2000. When Mr. Barth eventually attended the Nelson police department on June 25, 2000, he was given photos of the graffiti to include in the letter to Phillip's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Sgt. Grant denied that his concerted efforts towards the investigation commencing June 9, 2000 with his call to the plaintiff was occasioned by any outside pressure being exerted upon him. Specifically, he denied being prompted by either Chief Constable Brock or Mayor Exner. Nonetheless, he offered no explanation as to this sudden change of course. In the three weeks preceding his call to the plaintiff, apart from his two calls to the plaintiff, there is no credible evidence of any follow up to the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plaintiff and Sgt. Grant did not speak again until June 20, 2000.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Sgt. Grant Reports to Chief Constable Brock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On June 14, 2000, while reviewing the graffiti file after being called in for an unrelated arson investigation, Sgt. Grant testified that he began to wonder why the plaintiff had failed to contact him when she saw Phillip. He recalled the remark she originally made concerning his involvement in the Holy Smoke trial and began to wonder whether the "withholding of information" regarding the investigation was a symptom of an underlying problem. He testified that he had not been given meaningful information on which he could act in a timely fashion. His specific complaints related to the failures to provide the identity of the Grays and report the sightings of Phillip.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Sgt. Grant recalled the plaintiff's remark about the Holy Smoke and "to be fair" from the first conversation on May 17, 2000 and wondered whether the plaintiff "had a problem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At the end of the day, he spoke to Chief Constable Brock about his concerns and reviewed his perceptions of what had happened during the investigation. He relayed the concerns he had about the plaintiff's withholding information relevant to the investigation. He denied the suggestion that he was being pressured regarding the progress of the investigation and saw the plaintiff as a scapegoat for his lack of success in locating the suspect.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Chief Constable Brock recalled that the meeting with Sgt. Grant lasted for approximately 30 minutes. He stated that Sgt. Grant was "very upset" about the perceived criticism implicit in the plaintiff's reference to the Holy Smoke and the request to be fair. He supported Sgt. Grant after the incident and testified that he accepted Sgt. Grant at his word that the events he reported were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Chief Constable Brock had written a letter of support for Sgt. Grant and Sgt. Haddow following the publication of the ruling on the </w:t>
      </w:r>
      <w:r>
        <w:rPr>
          <w:rFonts w:ascii="arial" w:eastAsia="arial" w:hAnsi="arial" w:cs="arial"/>
          <w:i/>
          <w:color w:val="000000"/>
          <w:sz w:val="20"/>
          <w:lang w:val="en-US" w:eastAsia="en-US" w:bidi="ar-SA"/>
        </w:rPr>
        <w:t>voir dire</w:t>
      </w:r>
      <w:r>
        <w:rPr>
          <w:rFonts w:ascii="arial" w:eastAsia="arial" w:hAnsi="arial" w:cs="arial"/>
          <w:color w:val="000000"/>
          <w:sz w:val="20"/>
          <w:lang w:val="en-US" w:eastAsia="en-US" w:bidi="ar-SA"/>
        </w:rPr>
        <w:t>. He testified that he was not sure if he had ever actually read the ruling, but he supported his officers and had done so publicly in a rare letter to the editor he wrote following the controversy and editorials in the local press.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Sgt. Grant never suggested what he intended to accomplish by referring his complaints to Chief Constable Brock. He did not suggest a course of action, but simply relayed the concerns about the plaintiff's lack of cooperation and the remark she made which he took to be a slight on his integrity.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Sgt. Grant also failed to suggest there might be a different interpretation as to what had occurred between him and the plaintiff. From the whole of the evidence, I can only conclude he stated as fact the following:</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Steven Donald felt the plaintiff had not been "forthcoming" when she originally called dispatch on May 17, 2000;</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plaintiff was initially reluctant to name Mr. Campbell as her source;</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she had not provided the name of the Harrop family, the Grays, in a timely fashion such that Sgt. Grant could act upon the information before Phillips's departure;</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in spite of advice to "call us and let us do our job", the plaintiff failed to notify Sgt. Grant of Phillip's location when she sighted him on two occasions;</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plaintiff had questioned his integrity by bringing up the matter of his involvement in the Holy Smoke trial.</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"an accountability" that had not been met because the plaintiff was a Justice of the Peace; and</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had been less than forthcoming and had deliberately withheld information, which if produced in a timely fashion, would probably have led to Phillip's apprehension.</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Phone Call to Ms. Beaulac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Chief Constable Brock, on his own initiative, decided to call Ms. Beaulac, the plaintiff's supervisor. Chief Constable Brock and Ms. Beaulac had a personal relationship which went back to his early days with the police. Ms. Beaulac was an institution in the Nelson courthouse and had been an employee of Court Services for many years. Ms. Beaulac and Sgt. Grant also had a personal relationship, as they were both on the executive of the Rotary Club. Sgt. Grant acknowledged he agreed with the decision to phone Ms. Beaulac.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Chief Constable Brock's stated purpose in making the call was to deal with the issues raised by Sgt. Grant before they spilled over into the working relationship between Sgt. Grant and the plaintiff. The evidence, however, is clear that there had been no sign of any tension in the professional working relationship between Sgt. Grant and the plaintiff since publication of the reasons the Holy Smoke trial. The first and only mention of the Holy Smoke incident came in the first conversation between Sgt. Grant and the plaintiff on May 17, 2000. Until June 14, 2000, almost a month later, Sgt. Grant had neither reported the perceived slight to Chief Constable Brock nor had he raised it with the plaintiff to ascertain her intent.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Chief Constable Brock introduced the call to Ms. Beaulac by stating he was with Sgt. Grant, on speaker phone, and then introduced Sgt. Grant who relayed his "concerns" about the plaintiff and her behaviour throughout the course of the investigation. The phone line in the Chief Constable's office was one of the few in the building which was not automatically recorded.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What follows is a cautionary tale about the weakness and frailties of the human memory when left for almost nine years. It would be charitable to say Ms. Beaulac's recall of the words spoken was spartan. Fortunately, she made notes of the concerns raised. It is acknowledged by the defendants that while Sgt. Grant did the majority of the talking, Chief Constable Brock, both implicitly and explicitly, adopted the content of Sgt. Grant's words. The call from the station was a joint enterprise between the two personal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Ms. Beaulac's printed notes, acknowledged to be a true copy of her handwritten notes, were admitted into evidence on the basis they formed the only basis of her past memory recorded. Ms. Beaulac had little, if any, recollection of the content of the conversation, even when prompted by her notes.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She recalled that she "did not know what they wanted me to do" with the information that was being conveyed to her. It was common ground that the plaintiff was a Justice of the Peace and the call was being made because she was an employee of Court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notes of the conversation are set forth below: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June 14, 2000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 Brock H. Grant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Sherrill reported to NCP her daughter was told by acquaintance that he had done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Reluctant to say Robbie Campbell is artist also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Treat him fairly, as he was involved with Holy Smoke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Not very cooperative. 24 May June 9th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Sherrill knew and didn't come forward - owes it to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two defendants, for their part, acknowledged that the following was relayed to Ms. Beaulac:</w:t>
      </w:r>
      <w:r>
        <w:rPr>
          <w:rFonts w:ascii="arial" w:eastAsia="arial" w:hAnsi="arial" w:cs="arial"/>
          <w:sz w:val="20"/>
          <w:lang w:val="en-US" w:eastAsia="en-US" w:bidi="ar-SA"/>
        </w:rPr>
        <w:cr/>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owed it to society to come forward;</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had not come forward with as much information as she could have;</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Sgt. Grant would have expected a greater degree of cooperation from the plaintiff, given her status as a Justice of the Peace;</w:t>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initially reluctant to divulge Mr. Campbell's name;</w:t>
      </w:r>
    </w:p>
    <w:p>
      <w:pPr>
        <w:numPr>
          <w:numId w:val="2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saw Phillip on May 24, 2000, but Sgt. Grant received no information from the plaintiff about that until June 9, 2000;</w:t>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investigation was frustrated by the plaintiff's lack of cooperation;</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information Sgt. Grant received from the plaintiff on June 9, 2000 was after the fact and made it too late to complete the investigation, as Phillip had returned to Germany; and</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referring to Mr. Campbell, told Sgt. Grant to "treat him fairly".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There was no suggestion the plaintiff had committed a criminal act as is alleged by the plaintiff in the further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Ms. Beaulac was left with no specific instructions with what was expected of her as a result of the call. Chief Constable Brock testified that he simply left matters with her "because she would know what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Sometime after the call, and before her conversation with the plaintiff on June 20, 2000, she reported to her supervisor, Keith Burton, who advised her to get the plaintiff's side of the 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Ms. Beaulac has no recall of the specifics of what she relayed of the original conversation to Mr. Burton. She required some prompting from the plaintiff to recall that she had made the call at all. Nonetheless, it is probable Ms. Beaulac relayed the essence of the concerns to her superior to have his guidance as to how to pursue the matter.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Ms. Beaulac Meets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On June 20, 2000, the plaintiff was called into Ms. Beaulac's office in the Nelson Court Registry to deal with the allegations levied by the defendants. The meeting took place behind closed doors without anyone else being present and lasted close to one hour. Again, Ms. Beaulac took notes of the highpoints of the conversation and those notes were her singular point of reference for recalling both what she said and the plaintiff's response; her limited notes of that meeting were admitted into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plaintiff was devastated by the information she received and the fact of the complaint. She freely admitted that her recall of what was said is almost nonexistent as a result of the emotional upset of being called into her supervisor's office in a closed door meeting to provide an explanation as to her out of office dealings with the Nelson police. She was in tears for much of the meeting. She relayed to Ms. Beaulac the personal dealings she had earlier with police and wanted to call the defendants from Ms. Beaulac's office to confront them with her version of what had transpired. Ms. Beaulac, wisely, told her to have lunch and think about it. No call was initiated by either Ms. Beaulac or the plaintiff back to the Nelson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Ms. Beaulac reported the plaintiff's emotional response back to Chief Constable Brock that same day. She told him that the plaintiff was very upset and that the meeting did not go well. The extent to which Ms. Beaulac explained the plaintiff's position is unclear. Chief Constable Brock expressed surprise at the plaintiff's reaction and advised Ms. Beaulac to step away from the situation and let Sgt. Grant and the plaintiff work it out. Sound advice, but perhaps a week too late.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Subsequent Developments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Chief Constable Brock told Sgt. Grant about the plaintiff's response and told him, in effect, to deal with it and smooth things over. Sgt. Grant was concerned about the plaintiff's reaction and, when he saw Ms. Beaulac at a Rotary lunch that same day, he asked whether he should call the plaintiff. Ms. Beaulac counselled patience, observing that the plaintiff still seemed upset about the meeting. In spite of that advice, Sgt. Grant forged ahead and placed a call to the plaintiff that afternoon and left a message on her home phone.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plaintiff called back later in the day from her sister's residence. Her sister was present during the call and was attempting to use the answering machine to record the conversation. The plaintiff wanted to know, from Sgt. Grant, the nature of the complaint that had been made to her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Matters started badly and proceeded to go downhill. Both acknowledged that the conversation started with the plaintiff in a highly charged emotional state. She was crying and shouting at Sgt. Grant. The recording device was not started until the plaintiff had settled enough to begin asking Sgt. Grant specific questions about the chronology of events leading to the call to Ms. Beaulac and the contents of the specific conversations between the two of them between May 17, 2000 and June 9, 2000. Not surprisingly, the plaintiff wanted to know the substance of the allegations made to her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recording device made an audible noise that alerted Sgt. Grant to the fact that the conversation was being recorded. He took umbrage at one point and the plaintiff assured him the device had been turned off. Unbeknownst to her, her sister had simply turned the tape over and began to record the conversation on the other side of the tape. When Sgt. Grant realized the conversation was still being recorded, he admonished the plaintiff and hung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recording was played and various transcripts, prepared by each of the parties, were put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Neither Ms. Beaulac nor Chief Constable Brock had any meaningful involvement with the matter after the conversation they had following Ms. Beaulac's meeting with the plaintiff. Chief Constable Brock essentially left Sgt. Grant to follow up with the plaintiff and, upon hearing of the disastrous results of the initial conversation, basically told Sgt. Grant to forget about it. Sgt. Grant might have liked to, but the plaintiff was not content to leave the matter as it stood.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July 2000, at the instigation of the plaintiff, she met with Sgt. Grant in the courthouse. The plaintiff was still irate about the call to her supervisor and what she perceived as the falsity of the allegations made. Sgt. Grant was resolute in his view that she had not been forthcoming.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Still unsatisfied by Sgt. Grant's response, the plaintiff wrote to the Corporation of the City of Nelson in early August 2000. The letter stated that damages had occurred on behalf of an employee of the municipality in their official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Damages occurred as a result of a phone call made to L. Elaine Beaulac, Manager of Court Services and my employer by Detective Howard Grant and Police Chief Ron Brock of the Nelson City Police on the above noted date.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nature of the damages is damage to my reputation as an individual and as a judicial officer as a result of a complaint that was made to Mrs. Beaulac by the above said officers.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plaintiff continued to be unhappy with the situation and contacted the Office of the Police Complaints Commissioner ("OPCC") to initiate a complaint in October 2000. Because the complaint involved Chief Constable Brock, who would otherwise have been the disciplinary authority under the legislation, the matter was referred to the then chief of the West Vancouver police, Grant Churchill. An investigator, Sgt. David Bingham, was dispatched to Nelson to interview the parties involved. Statements were taken from the plaintiff, Ms. Beaulac and the defendants. In his statement, Sgt. Grant said that he had met bank robbers more forthcoming than the plaintiff. Inquiries were made of the plaintiff regarding the taped telephone call between she and Sgt. Grant, but no requests were made of the Nelson police department for the tapes of the original conversations involving the plaintiff. In any event, by this time, they had been destroyed or recorded over. The plaintiff did not learn that recordings of her original calls and those to Sgt. Grant had ever existed until she tried to unsuccessfully initiate a Public Inquiry into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Both her complaint to Sgt. Grant the evening of their heated call, the meeting in the courthouse and her letter to the department should have alerted the department, says the plaintiff, of the need to retrieve the tapes to determine her level of cooperation and what she had told Sgt. Grant and been told by him concerning the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investigation by the OPCC did not resolve the issue in the plaintiff's mind. Their report did not find any wrong doing by Chief Constable Brock other than a mild rebuke for failing to follow through on the issue with Ms. Beaulac after she had responded to the initial call. There was no mention of the role of Sgt. Grant and, more importantly from the plaintiff's standpoint, no resolution of the key issue, in her mind, of whether she had actually withheld information from the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plaintiff's request for a Public Inquiry was not acted upon. She obtained, through Freedom of Information access, copies of the various statements given in the investigation by the OPCC. She was appalled to see the remarks of Sgt. Grant comparing her level of cooperation unfavourably to a bank robber.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Ultimately this action was commenced.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After the Action was Commenced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 between the date of the conversation which gives rise to this action and the date of its commencement, a number of events occurred, which no doubt exacerbated the upset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Her expectation of advancement within the Nelson Court Registry did not come to fruition. Instead, in 2001 her Justice of the Peace qualification was removed. Ostensibly, this occurred because of the general centralization of Court Services. Many search warrants were being issued from a central location, thus reducing the need for Justices of the Peace in areas throughout the province. As the accreditation as a Justice of the Peace was no longer a requirement of the position held by the plaintiff, her designation was revoked.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Another relevant event was the closing of many of the regional courthouses throughout the province. The result was the need for placement of many court workers whose positions were eliminated, many of whom had greater seniority than the plaintiff. As a result, when the Deputy District Registrar in the Nelson courthouse retired, opening the position that the plaintiff had aspired to, the position was given instead to another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plaintiff, of her own volition, stopped interacting with the Nelson police department when issues of warrants and/or bail were involved. It should be noted that the Nelson Court Registry served the RCMP detachments for surrounding areas and there were more RCMP officers working within the Nelson Registry jurisdiction than there were officers of the Nelson police. She continued to interact professionally with the RCMP officers when they attended the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Despite assurances that the conversation had gone no further than Chief Constables Brock and Ms. Beaulac, the plaintiff remained convinced that what she perceived as an assault on her integrity was on the minds of many of the citizens of Nelson. She did know that Ms. Beaulac had relayed the concerns to Mr. Burton. There was also an email, admitted by consent, indicating that Greg Veale, another Court Services employee, was generally aware of the allegations that were levied against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Ultimately, the plaintiff began seeking positions both outside Court Services in Nelson and within Court Services outside of the Nelson Registry. Eventually, she was awarded the position of Deputy District Registrar in the Terrace Registry. The position was a promotion for the plaintiff and came with an attendant increase in responsibility and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plaintiff remained in Terrace until recently. For reasons not made clear in the evidence, she left the position in 2008 and, at trial, was not employed.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the intervening time, Chief Constable Brock retired, Mayor Exner moved to Fort McMurray and Sgt. Grant remained a sergeant with the Nelson police department at the time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In the Further Amended Statement of Claim, the plaintiff alleged that the two defendants uttered the discussed defamatory remarks to Ms. Beaulac in the telephone communication of June 14, 2000 and that the defamatory statements were republished by Elaine Beaulac to others. The plaintiff alleged that the natural and ordinary meaning of the words meant and were understand to mean that the plaintiff was dishonest; that the plaintiff broke the law; that the plaintiff intentionally and deliberately obstructed a criminal investigation; that the plaintiff protected an individual and assisted him to escape criminal liability; and that the plaintiff was not a fit person to occupy the position of Justice of the Peace.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plaintiff says that if the communication between the two defendants and Ms. Beaulac were on an occasion protected by qualified privilege then the privilege was lost as a result of malice.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Later, the plaintiff brought a further application before the Court to add Gary Exner, the former mayor, and Dan Maluta, the current Chief Constable, as defendants to the action, but that application was denied.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The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conspiracy were not addressed in submission. The focus of the plaintiff's claim is on the words uttered to Ms. Beaulac on June 14, 2000 and her republication of them to Mr. Burton and later to Mr. Veale.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Position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defendants deny uttering the words attributed to them in the Further Amended Statement of Claim. They say the words actually spoken by the two personal defendants, when given their reasonable meaning, are not defamatory.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Alternatively, if the words are found to be defamatory, the defendants submit that they are protected by qualified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 and Findings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Defamation - What the Plaintiff Must Prove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The law of defamation in Canada was recently reviewed by the Supreme Court of Canada in </w:t>
      </w:r>
      <w:r>
        <w:rPr>
          <w:rFonts w:ascii="arial" w:eastAsia="arial" w:hAnsi="arial" w:cs="arial"/>
          <w:i/>
          <w:color w:val="000000"/>
          <w:sz w:val="20"/>
          <w:lang w:val="en-US" w:eastAsia="en-US" w:bidi="ar-SA"/>
        </w:rPr>
        <w:t>Grant v. Torstar Corp.</w:t>
      </w:r>
      <w:r>
        <w:rPr>
          <w:rFonts w:ascii="arial" w:eastAsia="arial" w:hAnsi="arial" w:cs="arial"/>
          <w:color w:val="000000"/>
          <w:sz w:val="20"/>
          <w:lang w:val="en-US" w:eastAsia="en-US" w:bidi="ar-SA"/>
        </w:rPr>
        <w:t xml:space="preserve">, </w:t>
      </w:r>
      <w:hyperlink r:id="rId142" w:history="1">
        <w:r>
          <w:rPr>
            <w:rFonts w:ascii="arial" w:eastAsia="arial" w:hAnsi="arial" w:cs="arial"/>
            <w:i/>
            <w:color w:val="0077CC"/>
            <w:sz w:val="20"/>
            <w:u w:val="single"/>
            <w:shd w:val="clear" w:color="auto" w:fill="FFFFFF"/>
            <w:lang w:val="en-US" w:eastAsia="en-US" w:bidi="ar-SA"/>
          </w:rPr>
          <w:t>2009 SCC 61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Torstar</w:t>
      </w:r>
      <w:r>
        <w:rPr>
          <w:rFonts w:ascii="arial" w:eastAsia="arial" w:hAnsi="arial" w:cs="arial"/>
          <w:color w:val="000000"/>
          <w:sz w:val="20"/>
          <w:lang w:val="en-US" w:eastAsia="en-US" w:bidi="ar-SA"/>
        </w:rPr>
        <w:t>]. McLachlan C.J., writing for the Court, at para. 28, discussed the three things the plaintiff must prove in order to obtain an award of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plaintiff in a defamation action is required to prove three things to obtain judgment and an award of damages: (1) that the impugned words were defamatory, in the sense that they would tend to lower the plaintiff's reputation in the eyes of a reasonable person; (2) that the words in fact referred to the plaintiff; and (3) that the words were published, meaning that they were communicated to at least one person other than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In the case at bar, there is no question that the second and third requirements have been met. The words spoken by Sgt. Grant and Chief Constable Brock definitely referred to the plaintiff, and the words were published in the sense that they were communicated to Ms. Beaulac. This leaves only the issue of whether the words spoken were defamatory to be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There is some disagreement as to what exactly was said by the defendants to Ms. Beaulac. Obviously, this is a case of spoken publication, and given the amount of time that has passed, the memories of the people involved are understandably far from perfect.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Owing to her emotional turmoil at the time of her discussion with Ms. Beaulac on June 20, 2000, the plaintiff is unable to offer details of what Ms. Beaulac recounted to her. She was simply too upset to absorb the details.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Ms. Beaulac cannot remember the conversation with any degree of precision and her notes are of limited assistance. Her evidence certainly indicates that she interpreted the call being in the nature of a complaint with regard to a lack of respect demonstrated by the reference to the Holy Smoke trial and the plaintiff's withholding of information regarding the vandalism investigation. Ms. Beaulac repeatedly indicated in her evidence that she was not sure what she was expected to do about the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Chief Constable Brock's evidence confirmed that the conversation was in the nature of a complaint and that he believed that Ms. Beaulac would act appropriately upon the information. He also confirmed his belief that the acts complained of were deliberate on the plaintiff's part, stating at trial, in response to the plaintiff's question as to whether he understood her actions to be deliberate: "I don't recall the word deliberate but that was the only way to take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Assimilating the evidence of all of the participants of the phone call, I conclude that the plaintiff has demonstrated, on a balance of probabilities, the following as being the substance of the June 14, 2000 telephone call:</w:t>
      </w:r>
      <w:r>
        <w:rPr>
          <w:rFonts w:ascii="arial" w:eastAsia="arial" w:hAnsi="arial" w:cs="arial"/>
          <w:sz w:val="20"/>
          <w:lang w:val="en-US" w:eastAsia="en-US" w:bidi="ar-SA"/>
        </w:rPr>
        <w:cr/>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deliberately not cooperative with respect to the investigation and, as a Justice of the Peace, she owed a higher duty to society;</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Had the plaintiff been more forthcoming, the Nelson police would have been able to apprehend Phillip;</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had seen Phillip and could have called the police to apprehend him, but she did not;</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did not do everything she could do to lead the Nelson police to Phillip;</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gave only a vague description of where Mr. Campbell lived, would not provide his phone number, and was reluctant to have him go to the police station;</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had further information that she did not come forward with during the first phone call; and</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had reminded Sgt. Grant of his involvement in the Holy Smoke trial and asked him to be fair to Mr. Campbell when he interviewed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All of the participants of the phone call agreed that there was a higher expectation of the plaintiff because she was a Justice of the Peace at the time. Whether this was explicitly stated is not critical, as all of the participants agreed that it was the context in which they were discussing the actions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With the exception of the references to the Holy Smoke, the remaining allegations are either outright false or present an unfair picture given they do not tell the whole of the 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It is not true that the plaintiff gave vague information regarding Mr. Campbell's whereabouts and she was not reluctant to have him interview the police; it was Mr. Campbell who wanted nothing to do with the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While it is true that the plaintiff saw Phillip on two occasions without calling Sgt. Grant, this statement is incomplete without referencing the advice given by Sgt. Grant to her in the second call they had, which I find was to tell Phillip to attend the police station if she saw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Nonetheless, the defendants have not pleaded justification. They say the words spoken are incapable, either by their ordinary meaning or by way of innuendo, of having a defamatory meaning. I disagree.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Given the backdrop of the conversation, the plaintiff's employment as a court worker and Justice of the Peace, and the fact of the call to her employer in an official capacity, I find these words would have the effect of lowering the opinion of the plaintiff and the plaintiff's reputation in the minds of right-thinking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As a result of this finding, I conclude that the plaintiff has demonstrated the three requirements necessary to support a claim in defamation.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Defences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Having found that the plaintiff has proved the elements necessary to found a claim in defamation does not end the matter. In </w:t>
      </w:r>
      <w:r>
        <w:rPr>
          <w:rFonts w:ascii="arial" w:eastAsia="arial" w:hAnsi="arial" w:cs="arial"/>
          <w:i/>
          <w:color w:val="000000"/>
          <w:sz w:val="20"/>
          <w:lang w:val="en-US" w:eastAsia="en-US" w:bidi="ar-SA"/>
        </w:rPr>
        <w:t>Torstar</w:t>
      </w:r>
      <w:r>
        <w:rPr>
          <w:rFonts w:ascii="arial" w:eastAsia="arial" w:hAnsi="arial" w:cs="arial"/>
          <w:color w:val="000000"/>
          <w:sz w:val="20"/>
          <w:lang w:val="en-US" w:eastAsia="en-US" w:bidi="ar-SA"/>
        </w:rPr>
        <w:t>, at para. 29, McLachlin C.J. held that once the plaintiff has proven the required elements, "the onus then shifts to the defendant to advance a defence in order to escape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There are a number of defences available to defamation generally, but in the case at bar the defendants advanced only qualified privilege as a potential defence. McLachlin C.J. described the reasoning behind both absolute privilege and qualified privilege in </w:t>
      </w:r>
      <w:r>
        <w:rPr>
          <w:rFonts w:ascii="arial" w:eastAsia="arial" w:hAnsi="arial" w:cs="arial"/>
          <w:i/>
          <w:color w:val="000000"/>
          <w:sz w:val="20"/>
          <w:lang w:val="en-US" w:eastAsia="en-US" w:bidi="ar-SA"/>
        </w:rPr>
        <w:t>Torstar</w:t>
      </w:r>
      <w:r>
        <w:rPr>
          <w:rFonts w:ascii="arial" w:eastAsia="arial" w:hAnsi="arial" w:cs="arial"/>
          <w:color w:val="000000"/>
          <w:sz w:val="20"/>
          <w:lang w:val="en-US" w:eastAsia="en-US" w:bidi="ar-SA"/>
        </w:rPr>
        <w:t>, at para. 30,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defences of absolute and qualified privilege reflect the fact that "common convenience and welfare of society" sometimes requires untrammelled communications ... The law acknowledges through recognition of privileged occasions that false and defamatory expression may sometimes contribute to desirable social 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Qualified privilege is a defence to defamation that arises from the occasion upon which the communication is made, rather than from the words themselves.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Torstar</w:t>
      </w:r>
      <w:r>
        <w:rPr>
          <w:rFonts w:ascii="arial" w:eastAsia="arial" w:hAnsi="arial" w:cs="arial"/>
          <w:color w:val="000000"/>
          <w:sz w:val="20"/>
          <w:lang w:val="en-US" w:eastAsia="en-US" w:bidi="ar-SA"/>
        </w:rPr>
        <w:t>, the Supreme Court of Canada formulated a new defence to an action in defamation, the defence of responsible communication. There was some belief that this defence was to be an expansion of qualified privilege, but McLachlin C.J. explained why this was not the case at paras. 94-95: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traditional duty/interest framework works well in its established settings of qualified privilege. These familiar categories should not be compromised or obscured by the addition of a broad new privilege based on public interest. Further, qualified privilege as developed in the cases is grounded not in free expression values but in the social utility of protecting particular communicative occasions from civil 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therefore conclude that the proposed change to the law should be viewed as a new defence, leaving the traditional defence of qualified privilege intact.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As a result, the previous case law on qualified privilege remains good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Hill v. Church of Scientology of Toronto</w:t>
      </w:r>
      <w:r>
        <w:rPr>
          <w:rFonts w:ascii="arial" w:eastAsia="arial" w:hAnsi="arial" w:cs="arial"/>
          <w:color w:val="000000"/>
          <w:sz w:val="20"/>
          <w:lang w:val="en-US" w:eastAsia="en-US" w:bidi="ar-SA"/>
        </w:rPr>
        <w:t xml:space="preserve">, </w:t>
      </w:r>
      <w:hyperlink r:id="rId143" w:history="1">
        <w:r>
          <w:rPr>
            <w:rFonts w:ascii="arial" w:eastAsia="arial" w:hAnsi="arial" w:cs="arial"/>
            <w:i/>
            <w:color w:val="0077CC"/>
            <w:sz w:val="20"/>
            <w:u w:val="single"/>
            <w:shd w:val="clear" w:color="auto" w:fill="FFFFFF"/>
            <w:lang w:val="en-US" w:eastAsia="en-US" w:bidi="ar-SA"/>
          </w:rPr>
          <w:t>[1995] 2 S.C.R. 1130</w:t>
        </w:r>
      </w:hyperlink>
      <w:r>
        <w:rPr>
          <w:rFonts w:ascii="arial" w:eastAsia="arial" w:hAnsi="arial" w:cs="arial"/>
          <w:color w:val="000000"/>
          <w:sz w:val="20"/>
          <w:lang w:val="en-US" w:eastAsia="en-US" w:bidi="ar-SA"/>
        </w:rPr>
        <w:t xml:space="preserve"> at para. 143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Cory J. held that "qualified privilege attaches to the occasion upon which the communication is made, and not to the communication itself." He went on to adopt the explanation of Lord Atkinson in </w:t>
      </w:r>
      <w:r>
        <w:rPr>
          <w:rFonts w:ascii="arial" w:eastAsia="arial" w:hAnsi="arial" w:cs="arial"/>
          <w:i/>
          <w:color w:val="000000"/>
          <w:sz w:val="20"/>
          <w:lang w:val="en-US" w:eastAsia="en-US" w:bidi="ar-SA"/>
        </w:rPr>
        <w:t>Adam v. Ward</w:t>
      </w:r>
      <w:r>
        <w:rPr>
          <w:rFonts w:ascii="arial" w:eastAsia="arial" w:hAnsi="arial" w:cs="arial"/>
          <w:color w:val="000000"/>
          <w:sz w:val="20"/>
          <w:lang w:val="en-US" w:eastAsia="en-US" w:bidi="ar-SA"/>
        </w:rPr>
        <w:t>, [1917] A.C. 309 at 334 (H.L.):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privileged occasion is ... an occasion where the person who makes a communication has an interest or a duty, legal, social, or moral, to make it to the person to whom it is made, and the person to whom it is so made has a corresponding interest or duty to receive it. This reciprocity is essential.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defendants assert that the telephone conversation between Ms. Beaulac and themselves was an occasion of qualified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Counsel for the defendants submits that the relationship between Sgt. Grant and Chief Constable Brock was one of superior-subordinate officer in the same organization, and that Sgt. Grant had an interest or duty in communicating his concerns about the plaintiff to Chief Constable Brock, who had a corresponding interest or duty to receive it. I accept this argument and find that the initial publication by Sgt. Grant to Chief Constable Brock is protected by qualified privilege. The defendants also relied on English case authority for the proposition that the comments may have been protected by absolute privilege. Having found that qualified privilege protects the remarks, I do not need to decide if they were protected by absolute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more pertinent question is whether qualified privilege protects the subsequent publication by the defendants to Ms. Beaulac. Counsel for the defendant submits that the relationship between police chief and manager of Court Services is "an inter-agency, peer relationship between two managers in two closely related government agencies." Further, counsel for the defendants submits that the call was necessary for the interests of the administration of justice in the community because it was crucial to keep a strong working relationship between the police and courthouse staff.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Counsel for the defendants relies on a number of cases that he submits contain analogous relationships that were found to be protected by qualified privilege, including </w:t>
      </w:r>
      <w:r>
        <w:rPr>
          <w:rFonts w:ascii="arial" w:eastAsia="arial" w:hAnsi="arial" w:cs="arial"/>
          <w:i/>
          <w:color w:val="000000"/>
          <w:sz w:val="20"/>
          <w:lang w:val="en-US" w:eastAsia="en-US" w:bidi="ar-SA"/>
        </w:rPr>
        <w:t>Kelsie v. Attorney-General</w:t>
      </w:r>
      <w:r>
        <w:rPr>
          <w:rFonts w:ascii="arial" w:eastAsia="arial" w:hAnsi="arial" w:cs="arial"/>
          <w:color w:val="000000"/>
          <w:sz w:val="20"/>
          <w:lang w:val="en-US" w:eastAsia="en-US" w:bidi="ar-SA"/>
        </w:rPr>
        <w:t xml:space="preserve">, </w:t>
      </w:r>
      <w:hyperlink r:id="rId144" w:history="1">
        <w:r>
          <w:rPr>
            <w:rFonts w:ascii="arial" w:eastAsia="arial" w:hAnsi="arial" w:cs="arial"/>
            <w:i/>
            <w:color w:val="0077CC"/>
            <w:sz w:val="20"/>
            <w:u w:val="single"/>
            <w:shd w:val="clear" w:color="auto" w:fill="FFFFFF"/>
            <w:lang w:val="en-US" w:eastAsia="en-US" w:bidi="ar-SA"/>
          </w:rPr>
          <w:t>2003 NLSCTD 139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Kelsie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Kelsie</w:t>
      </w:r>
      <w:r>
        <w:rPr>
          <w:rFonts w:ascii="arial" w:eastAsia="arial" w:hAnsi="arial" w:cs="arial"/>
          <w:color w:val="000000"/>
          <w:sz w:val="20"/>
          <w:lang w:val="en-US" w:eastAsia="en-US" w:bidi="ar-SA"/>
        </w:rPr>
        <w:t>, the plaintiff was a legal aid lawyer who local RCMP believed was acting in a manner that was causing undue delay within the system. The local RCMP officer forwarded his concerns to his immediate supervisor, who forwarded them to his supervisor. Barry J. found, at para. 32, that both officers had a duty to report to their supervisors if they observed conduct that was impeding the proper performance of their duties and the administration of justice, and as a result qualified privilege attached. This case is easily distinguished from the case at bar, as it was not proven that the information was republished to the Legal Aid Society, or that qualified privilege existed in that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In the case at bar, I am not convinced that the necessary reciprocity existed for a finding of qualified privilege. Ms. Beaulac testified about previous situations in which she had spoken to supervising officers about the conduct of the constables under their charge. In particular, she recalled a situation where an RCMP officer was issuing traffic citations which included duplicitous charges. Disputes arising from the citations were causing the Registry problems and delays in dealing with the charges. That is the type of situation where Ms. Beaulac had communicated with Nelson police officials in the interests of the administration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Ms. Beaulac agreed with the suggestion of defence counsel that she had an interest in receiving the information from the two defendants about her employee, the plaintiff. With respect, I disagree. The distinguishing factor between </w:t>
      </w:r>
      <w:r>
        <w:rPr>
          <w:rFonts w:ascii="arial" w:eastAsia="arial" w:hAnsi="arial" w:cs="arial"/>
          <w:i/>
          <w:color w:val="000000"/>
          <w:sz w:val="20"/>
          <w:lang w:val="en-US" w:eastAsia="en-US" w:bidi="ar-SA"/>
        </w:rPr>
        <w:t>Kelsie,</w:t>
      </w:r>
      <w:r>
        <w:rPr>
          <w:rFonts w:ascii="arial" w:eastAsia="arial" w:hAnsi="arial" w:cs="arial"/>
          <w:color w:val="000000"/>
          <w:sz w:val="20"/>
          <w:lang w:val="en-US" w:eastAsia="en-US" w:bidi="ar-SA"/>
        </w:rPr>
        <w:t xml:space="preserve"> the situation Ms. Beaulac referenced and the case at bar is that the alleged misconduct by the plaintiff had nothing to do with the performance of her duties as a court employee or Justice of the Peace. The utterances I have concluded were defamatory had nothing to do with the role of the plaintiff in which the defendants might have had a legitimate interest to report, or Ms. Beaulac might have had a legitimate interest to receive.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Had the conversation only been in respect of the comment by the plaintiff regarding the Holy Smoke, coupled with Sgt. Grant's reaction, there might well have the reciprocity of interest required to find the occasion was one of qualified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However, I find the major thrust of the conversation involving the defendants was in relation to the plaintiff's perceived shortcomings as they related to the information she was providing the Nelson police on a matter wholly unrelated to her employment within Court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Chief Constable Brock testified that he decided to initiate the call to avoid future problems between Sgt. Grant and the plaintiff. However, there is nothing in the evidence to suggest any problem had occurred in the parties' professional relationship to the date of the phone call. As a result, I am unable to find any interest or duty that required the publication of the defamatory remarks.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In the circumstances, I am not persuaded that the communication was protected by the defence of qualified privilege.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Malice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If I am wrong concluding that the communication was not protected by qualified privilege, I go on to the manner in which qualified privilege can be lost.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The protection of the defence of qualified privilege can be lost in two ways, as explained by Cory J. in </w:t>
      </w:r>
      <w:r>
        <w:rPr>
          <w:rFonts w:ascii="arial" w:eastAsia="arial" w:hAnsi="arial" w:cs="arial"/>
          <w:i/>
          <w:color w:val="000000"/>
          <w:sz w:val="20"/>
          <w:lang w:val="en-US" w:eastAsia="en-US" w:bidi="ar-SA"/>
        </w:rPr>
        <w:t>Botiuk v. Toronto Free Press Publications Ltd.</w:t>
      </w:r>
      <w:r>
        <w:rPr>
          <w:rFonts w:ascii="arial" w:eastAsia="arial" w:hAnsi="arial" w:cs="arial"/>
          <w:color w:val="000000"/>
          <w:sz w:val="20"/>
          <w:lang w:val="en-US" w:eastAsia="en-US" w:bidi="ar-SA"/>
        </w:rPr>
        <w:t xml:space="preserve">, </w:t>
      </w:r>
      <w:hyperlink r:id="rId145" w:history="1">
        <w:r>
          <w:rPr>
            <w:rFonts w:ascii="arial" w:eastAsia="arial" w:hAnsi="arial" w:cs="arial"/>
            <w:i/>
            <w:color w:val="0077CC"/>
            <w:sz w:val="20"/>
            <w:u w:val="single"/>
            <w:shd w:val="clear" w:color="auto" w:fill="FFFFFF"/>
            <w:lang w:val="en-US" w:eastAsia="en-US" w:bidi="ar-SA"/>
          </w:rPr>
          <w:t>[1995] 3 S.C.R. 3</w:t>
        </w:r>
      </w:hyperlink>
      <w:r>
        <w:rPr>
          <w:rFonts w:ascii="arial" w:eastAsia="arial" w:hAnsi="arial" w:cs="arial"/>
          <w:color w:val="000000"/>
          <w:sz w:val="20"/>
          <w:lang w:val="en-US" w:eastAsia="en-US" w:bidi="ar-SA"/>
        </w:rPr>
        <w:t xml:space="preserve"> at paras. 79-80: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an occasion is shown to be privileged, the bona fides of the defendant is presumed and the defendant is free to publish remarks which may be defamatory and untrue about the plaintiff. However, the privilege is not absolute. It may be defeated in two ways. The first arises if the dominant motive for publishing is actual or express malice. Malice is commonly understood as ill will toward someone, but it also relates to any indirect motive which conflicts with the sense of duty created by the occasion. Malice may be established by showing that the defendant either knew that he was not telling the truth, or was reckless in that regard.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Second, qualified privilege may be defeated if the limits of the duty or interest have been exceeded. In other words, if the information communicated was not reasonably appropriate to the legitimate purposes of the occasion, the qualified privilege will be defeated. This was discussed at some length in Hill, supra, and there is no need to repeat it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The onus of proving malice to defeat the defence of qualified privilege rests on the plaintiff: </w:t>
      </w:r>
      <w:r>
        <w:rPr>
          <w:rFonts w:ascii="arial" w:eastAsia="arial" w:hAnsi="arial" w:cs="arial"/>
          <w:i/>
          <w:color w:val="000000"/>
          <w:sz w:val="20"/>
          <w:lang w:val="en-US" w:eastAsia="en-US" w:bidi="ar-SA"/>
        </w:rPr>
        <w:t>Neptusky v. Craig</w:t>
      </w:r>
      <w:r>
        <w:rPr>
          <w:rFonts w:ascii="arial" w:eastAsia="arial" w:hAnsi="arial" w:cs="arial"/>
          <w:color w:val="000000"/>
          <w:sz w:val="20"/>
          <w:lang w:val="en-US" w:eastAsia="en-US" w:bidi="ar-SA"/>
        </w:rPr>
        <w:t xml:space="preserve">, </w:t>
      </w:r>
      <w:hyperlink r:id="rId146" w:history="1">
        <w:r>
          <w:rPr>
            <w:rFonts w:ascii="arial" w:eastAsia="arial" w:hAnsi="arial" w:cs="arial"/>
            <w:i/>
            <w:color w:val="0077CC"/>
            <w:sz w:val="20"/>
            <w:u w:val="single"/>
            <w:shd w:val="clear" w:color="auto" w:fill="FFFFFF"/>
            <w:lang w:val="en-US" w:eastAsia="en-US" w:bidi="ar-SA"/>
          </w:rPr>
          <w:t>[1973] S.C.R. 55</w:t>
        </w:r>
      </w:hyperlink>
      <w:r>
        <w:rPr>
          <w:rFonts w:ascii="arial" w:eastAsia="arial" w:hAnsi="arial" w:cs="arial"/>
          <w:color w:val="000000"/>
          <w:sz w:val="20"/>
          <w:lang w:val="en-US" w:eastAsia="en-US" w:bidi="ar-SA"/>
        </w:rPr>
        <w:t xml:space="preserve"> at 60-63.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Smith v. Cross</w:t>
      </w:r>
      <w:r>
        <w:rPr>
          <w:rFonts w:ascii="arial" w:eastAsia="arial" w:hAnsi="arial" w:cs="arial"/>
          <w:color w:val="000000"/>
          <w:sz w:val="20"/>
          <w:lang w:val="en-US" w:eastAsia="en-US" w:bidi="ar-SA"/>
        </w:rPr>
        <w:t xml:space="preserve">, </w:t>
      </w:r>
      <w:hyperlink r:id="rId147" w:history="1">
        <w:r>
          <w:rPr>
            <w:rFonts w:ascii="arial" w:eastAsia="arial" w:hAnsi="arial" w:cs="arial"/>
            <w:i/>
            <w:color w:val="0077CC"/>
            <w:sz w:val="20"/>
            <w:u w:val="single"/>
            <w:shd w:val="clear" w:color="auto" w:fill="FFFFFF"/>
            <w:lang w:val="en-US" w:eastAsia="en-US" w:bidi="ar-SA"/>
          </w:rPr>
          <w:t>2009 BCCA 529</w:t>
        </w:r>
      </w:hyperlink>
      <w:r>
        <w:rPr>
          <w:rFonts w:ascii="arial" w:eastAsia="arial" w:hAnsi="arial" w:cs="arial"/>
          <w:color w:val="000000"/>
          <w:sz w:val="20"/>
          <w:lang w:val="en-US" w:eastAsia="en-US" w:bidi="ar-SA"/>
        </w:rPr>
        <w:t xml:space="preserve"> at paras. 30-33, the British Columbia Court of Appeal discussed the elements of malice in some detail, noting that it can include "bad faith", "ill will", or "any indirect motive or ulterior purpose." Kirkpatrick J.A. adopted the following framework at para. 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defendant is actuated by malice if he or she publishes the comment:</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Knowing it was false; or</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reckless indifference whether it is true or false; or</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dominant purpose of injuring the plaintiff because of spite or animosity; or</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some other dominant purpose which is improper or indirect, or also, if the occasion is privileged, for a dominant purpose not related to the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In order to find malice, I do not need to determine what Sgt. Grant's motivation was in relaying the information he did to Chief Constable Brock on June 14, 2000; instead, it is only necessary that Sgt. Grant knew his words to be false, or was reckless in his indifference to whether they were true or false.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plaintiff's suspicion that Sgt. Grant had been reprimanded for his incomplete investigation into the vandalism may have been the reason for his comments. Alternatively, the simmering resentment over the plaintiff's reference to the Holy Smoke trial, despite Sgt. Grant's acknowledgement that he was not upset by it at the end of the first phone call, could have also played a role.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Whatever the motivation, the words were untrue and, more importantly, I find that the allegations made by Sgt. Grant to Chief Constable Brock and subsequently to Ms. Beaulac, regarding the plaintiff's failure to tell him the name of the family Phillip lived with and her failure to phone the police when she saw him, were either known to Sgt. Grant to be untrue or, at the very least, Sgt. Grant employed reckless indifference to the truth of his words.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All of Sgt. Grant's dealings with the plaintiff, leading to his complaint to Chief Constable Brock and then Ms. Beaulac, arose from the three telephone calls made in May and June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Sgt. Grant acknowledged that he understood the plaintiff's initial concerns about providing Mr. Campbell's name and that by the end of the initial conversation he had received all information available to the plaintiff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Upon request, the plaintiff went from tip provider to investigator by ascertaining Mr. Gray's identity and phoning him, as well as speaking to Mr. Campbell to determine whether he was willing to provide information to the police. She dutifully performed all that was asked of her and reported back to Sgt. Grant in a timely fashion.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Given those findings, I cannot conclude that within three weeks, Sgt. Grant simply forgot the thrust of the discussions between them, including his ultimate direction to the plaintiff to tell Phillip to speak to him if the plaintiff saw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As a result, I conclude that Sgt. Grant was motivated by malice, in the legal sense, and that if the situation was one of qualified privilege, that privilege is defeated by malice.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Having found that the plaintiff has made out the elements necessary to prove defamation and the defences offered by the defendants have failed, I now turn to the issue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Torstar</w:t>
      </w:r>
      <w:r>
        <w:rPr>
          <w:rFonts w:ascii="arial" w:eastAsia="arial" w:hAnsi="arial" w:cs="arial"/>
          <w:color w:val="000000"/>
          <w:sz w:val="20"/>
          <w:lang w:val="en-US" w:eastAsia="en-US" w:bidi="ar-SA"/>
        </w:rPr>
        <w:t xml:space="preserve">, McLachlin C.J. held, at para. 28, that once the elements of defamation are proved, as I have found them to be, falsity and damage are presumed. However, she notes that "the only exception is that slander requires proof of special damages, unless the impugned words were slanderous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Slander is defamation that is made orally. It is clear that the alleged defamatory statements in the case at bar should be classified as slander. As a result, the plaintiff must either prove special damages or demonstrate that the impugned statements were slanderous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There are four categories of slander that are generally considered to be slanderous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The only relevant category in the case at bar is an imputation of unfitness to practice one's trade or profession. In </w:t>
      </w:r>
      <w:r>
        <w:rPr>
          <w:rFonts w:ascii="arial" w:eastAsia="arial" w:hAnsi="arial" w:cs="arial"/>
          <w:i/>
          <w:color w:val="000000"/>
          <w:sz w:val="20"/>
          <w:lang w:val="en-US" w:eastAsia="en-US" w:bidi="ar-SA"/>
        </w:rPr>
        <w:t>Ross v. Lamport</w:t>
      </w:r>
      <w:r>
        <w:rPr>
          <w:rFonts w:ascii="arial" w:eastAsia="arial" w:hAnsi="arial" w:cs="arial"/>
          <w:color w:val="000000"/>
          <w:sz w:val="20"/>
          <w:lang w:val="en-US" w:eastAsia="en-US" w:bidi="ar-SA"/>
        </w:rPr>
        <w:t xml:space="preserve">, </w:t>
      </w:r>
      <w:hyperlink r:id="rId148" w:history="1">
        <w:r>
          <w:rPr>
            <w:rFonts w:ascii="arial" w:eastAsia="arial" w:hAnsi="arial" w:cs="arial"/>
            <w:i/>
            <w:color w:val="0077CC"/>
            <w:sz w:val="20"/>
            <w:u w:val="single"/>
            <w:shd w:val="clear" w:color="auto" w:fill="FFFFFF"/>
            <w:lang w:val="en-US" w:eastAsia="en-US" w:bidi="ar-SA"/>
          </w:rPr>
          <w:t>[1956] S.C.R. 366</w:t>
        </w:r>
      </w:hyperlink>
      <w:r>
        <w:rPr>
          <w:rFonts w:ascii="arial" w:eastAsia="arial" w:hAnsi="arial" w:cs="arial"/>
          <w:color w:val="000000"/>
          <w:sz w:val="20"/>
          <w:lang w:val="en-US" w:eastAsia="en-US" w:bidi="ar-SA"/>
        </w:rPr>
        <w:t xml:space="preserve"> at 374, Rand J. reviewed the law and stated that "words spoken of a person following a calling, imputing lack of fitness for or misconduct in the calling, are per se actionable." This type of defamation has been found more recently in </w:t>
      </w:r>
      <w:r>
        <w:rPr>
          <w:rFonts w:ascii="arial" w:eastAsia="arial" w:hAnsi="arial" w:cs="arial"/>
          <w:i/>
          <w:color w:val="000000"/>
          <w:sz w:val="20"/>
          <w:lang w:val="en-US" w:eastAsia="en-US" w:bidi="ar-SA"/>
        </w:rPr>
        <w:t>Viex Events Ltd. v. Abela</w:t>
      </w:r>
      <w:r>
        <w:rPr>
          <w:rFonts w:ascii="arial" w:eastAsia="arial" w:hAnsi="arial" w:cs="arial"/>
          <w:color w:val="000000"/>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[1997] B.C.J. No. 3114</w:t>
        </w:r>
      </w:hyperlink>
      <w:r>
        <w:rPr>
          <w:rFonts w:ascii="arial" w:eastAsia="arial" w:hAnsi="arial" w:cs="arial"/>
          <w:color w:val="000000"/>
          <w:sz w:val="20"/>
          <w:lang w:val="en-US" w:eastAsia="en-US" w:bidi="ar-SA"/>
        </w:rPr>
        <w:t xml:space="preserve"> (S.C.), and </w:t>
      </w:r>
      <w:r>
        <w:rPr>
          <w:rFonts w:ascii="arial" w:eastAsia="arial" w:hAnsi="arial" w:cs="arial"/>
          <w:i/>
          <w:color w:val="000000"/>
          <w:sz w:val="20"/>
          <w:lang w:val="en-US" w:eastAsia="en-US" w:bidi="ar-SA"/>
        </w:rPr>
        <w:t>Viscount v. Atamanik</w:t>
      </w:r>
      <w:r>
        <w:rPr>
          <w:rFonts w:ascii="arial" w:eastAsia="arial" w:hAnsi="arial" w:cs="arial"/>
          <w:color w:val="000000"/>
          <w:sz w:val="20"/>
          <w:lang w:val="en-US" w:eastAsia="en-US" w:bidi="ar-SA"/>
        </w:rPr>
        <w:t xml:space="preserve">, </w:t>
      </w:r>
      <w:hyperlink r:id="rId150" w:history="1">
        <w:r>
          <w:rPr>
            <w:rFonts w:ascii="arial" w:eastAsia="arial" w:hAnsi="arial" w:cs="arial"/>
            <w:i/>
            <w:color w:val="0077CC"/>
            <w:sz w:val="20"/>
            <w:u w:val="single"/>
            <w:shd w:val="clear" w:color="auto" w:fill="FFFFFF"/>
            <w:lang w:val="en-US" w:eastAsia="en-US" w:bidi="ar-SA"/>
          </w:rPr>
          <w:t>[1998] B.C.J. No. 2530</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Lawson v. Thompson</w:t>
      </w:r>
      <w:r>
        <w:rPr>
          <w:rFonts w:ascii="arial" w:eastAsia="arial" w:hAnsi="arial" w:cs="arial"/>
          <w:color w:val="000000"/>
          <w:sz w:val="20"/>
          <w:lang w:val="en-US" w:eastAsia="en-US" w:bidi="ar-SA"/>
        </w:rPr>
        <w:t xml:space="preserve"> </w:t>
      </w:r>
      <w:hyperlink r:id="rId151" w:history="1">
        <w:r>
          <w:rPr>
            <w:rFonts w:ascii="arial" w:eastAsia="arial" w:hAnsi="arial" w:cs="arial"/>
            <w:i/>
            <w:color w:val="0077CC"/>
            <w:sz w:val="20"/>
            <w:u w:val="single"/>
            <w:shd w:val="clear" w:color="auto" w:fill="FFFFFF"/>
            <w:lang w:val="en-US" w:eastAsia="en-US" w:bidi="ar-SA"/>
          </w:rPr>
          <w:t>(1968), 1 D.L.R. (3d) 270</w:t>
        </w:r>
      </w:hyperlink>
      <w:r>
        <w:rPr>
          <w:rFonts w:ascii="arial" w:eastAsia="arial" w:hAnsi="arial" w:cs="arial"/>
          <w:color w:val="000000"/>
          <w:sz w:val="20"/>
          <w:lang w:val="en-US" w:eastAsia="en-US" w:bidi="ar-SA"/>
        </w:rPr>
        <w:t xml:space="preserve"> (B.C.S.C.), aff'd </w:t>
      </w:r>
      <w:hyperlink r:id="rId152" w:history="1">
        <w:r>
          <w:rPr>
            <w:rFonts w:ascii="arial" w:eastAsia="arial" w:hAnsi="arial" w:cs="arial"/>
            <w:i/>
            <w:color w:val="0077CC"/>
            <w:sz w:val="20"/>
            <w:u w:val="single"/>
            <w:shd w:val="clear" w:color="auto" w:fill="FFFFFF"/>
            <w:lang w:val="en-US" w:eastAsia="en-US" w:bidi="ar-SA"/>
          </w:rPr>
          <w:t>(1969), 5 D.L.R. (3d) 550</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Lawson</w:t>
      </w:r>
      <w:r>
        <w:rPr>
          <w:rFonts w:ascii="arial" w:eastAsia="arial" w:hAnsi="arial" w:cs="arial"/>
          <w:color w:val="000000"/>
          <w:sz w:val="20"/>
          <w:lang w:val="en-US" w:eastAsia="en-US" w:bidi="ar-SA"/>
        </w:rPr>
        <w:t>], the plaintiff was a union president who had been slandered at a meeting by the plaintiff, who called him a "labour faker" and suggested that he was taking money fraudulently by being paid by the union. Seaton J. held that "it is quite impossible to conclude that the words used are not capable of injuring or prejudicing the plaintiff in his office or calling." He went on to describe the manner of the slander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slander was upon the man as a trade union organizer and joint council president, not upon the trade union organizer and joint council president as a 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In the case at bar, it is clear that the complaints made by the defendants to Ms. Beaulac imputed an unfitness to practice her trade as a Justice of the Peace. This conclusion is made obvious by the fact that the statements were made to the plaintiff's supervisor in the guise of concern about her working relationship with the Nelson police, as opposed to an unrelated third party. Following the holding in </w:t>
      </w:r>
      <w:r>
        <w:rPr>
          <w:rFonts w:ascii="arial" w:eastAsia="arial" w:hAnsi="arial" w:cs="arial"/>
          <w:i/>
          <w:color w:val="000000"/>
          <w:sz w:val="20"/>
          <w:lang w:val="en-US" w:eastAsia="en-US" w:bidi="ar-SA"/>
        </w:rPr>
        <w:t>Lawson</w:t>
      </w:r>
      <w:r>
        <w:rPr>
          <w:rFonts w:ascii="arial" w:eastAsia="arial" w:hAnsi="arial" w:cs="arial"/>
          <w:color w:val="000000"/>
          <w:sz w:val="20"/>
          <w:lang w:val="en-US" w:eastAsia="en-US" w:bidi="ar-SA"/>
        </w:rPr>
        <w:t>, it is clear that the statements were made about the plaintiff as a Justice of the Peace, not about the Justice of the Peace as a person. All participants to the impugned conversation acknowledge that it was front and center in their minds that more was expected of the plaintiff because of her position as a Justice of the Peace and a court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As a result, I find that the defamatory statements made by the defendants are actionable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and the plaintiff need not prove special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Quantum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While damages in libel or slander actionable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are presumed, there is no presumption that the damages should be substantial: </w:t>
      </w:r>
      <w:r>
        <w:rPr>
          <w:rFonts w:ascii="arial" w:eastAsia="arial" w:hAnsi="arial" w:cs="arial"/>
          <w:i/>
          <w:color w:val="000000"/>
          <w:sz w:val="20"/>
          <w:lang w:val="en-US" w:eastAsia="en-US" w:bidi="ar-SA"/>
        </w:rPr>
        <w:t>Brown v. Cole</w:t>
      </w:r>
      <w:r>
        <w:rPr>
          <w:rFonts w:ascii="arial" w:eastAsia="arial" w:hAnsi="arial" w:cs="arial"/>
          <w:color w:val="000000"/>
          <w:sz w:val="20"/>
          <w:lang w:val="en-US" w:eastAsia="en-US" w:bidi="ar-SA"/>
        </w:rPr>
        <w:t xml:space="preserve"> </w:t>
      </w:r>
      <w:hyperlink r:id="rId153" w:history="1">
        <w:r>
          <w:rPr>
            <w:rFonts w:ascii="arial" w:eastAsia="arial" w:hAnsi="arial" w:cs="arial"/>
            <w:i/>
            <w:color w:val="0077CC"/>
            <w:sz w:val="20"/>
            <w:u w:val="single"/>
            <w:shd w:val="clear" w:color="auto" w:fill="FFFFFF"/>
            <w:lang w:val="en-US" w:eastAsia="en-US" w:bidi="ar-SA"/>
          </w:rPr>
          <w:t>(1998), 61 B.C.L.R. (3d) 1</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the British Columbia Court of Appeal found that compensatory damages in actions for defamation have many aspects, at para. 107:</w:t>
      </w:r>
      <w:r>
        <w:rPr>
          <w:rFonts w:ascii="arial" w:eastAsia="arial" w:hAnsi="arial" w:cs="arial"/>
          <w:sz w:val="20"/>
          <w:lang w:val="en-US" w:eastAsia="en-US" w:bidi="ar-SA"/>
        </w:rPr>
        <w:cr/>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compensation for "insult offered and pain given", to borrow the words of Lord Devlin in Rookes v. Barnard, [1964] 1 All E.R. 367 at 413;</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vindication of reputation;</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injury to pride and self-confidence - this may just be another way of saying "insult offered and pain given";</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social damage and possible economic damage which may result but which cannot be expressly proven - this is particularly important, in my opinion, in defamation in the mass media.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After explaining those aspects, Southin J.A. also held, at para. 108, that "a particular defendant must only pay for the damage he did, not for the damage done by others for which he is not responsible in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at para. 182, the Supreme Court of Canada noted a number of factors which should be taken into account in assessing general damages, including the conduct of the plaintiff; the plaintiff's position and standing; the nature of the libel; the modes and extent of the publication; the absence or refusal of any retraction or apology; and the conduct of the defendant from the time of the defamation to the time of trial, including litigation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plaintiff has not proven any specific damages. Her career prospects were clearly not affected, as she subsequently obtained promotion within British Columbia Court Services. Additionally, no medical evidence correlating any increase in the plaintiff's pre-existing medical situation, specifically depression, was forthcoming to accurately determine the extent to which the slander affected her personally.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While I consider limited scope of the publication of the slanderous comments and the "relative sting" of the words uttered, I also take into account the significant demonstrable impact the words had upon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the British Columbia Court of Appeal made it clear that compensation for harm to reputation is only one of four intangible harms addressed by general damages. The other harms, such as mental distress and hurt feelings, are equally intangible but presumed to result from the publication of defamatory words. Similarly, the aspect of social damage and possible economic damage may not be expressly proven, but it is appropriate to consider the breadth and mode of publication in awarding damages for that aspect. The Court distinguished between mass media defamation cases and slander, at paras. 56-59, concluding that slanderous comments published to a limited group should not attract the same award as widely published libel.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In assessing general damages, none other having been proven, I take into account the obvious and significant effect of the words upon this particular plaintiff, and the fact that no retraction or apology was forthcoming at any time following publication of the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I also take into account the statements made by Sgt. Grant following June 2000. Specifically, I take into account his statement to the Sgt. Bingham that he "had dealt with bank robbers more forthcoming than the plaintiff" and the fact that he maintained that position at trial. Although this statement is not the subject matter of the action, I am entitled to take into account the pre and post litigation conduct of the defendant in assessing the measure of damages in accordance with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and find that this statement demonstrates the attitude Sgt. Grant had about the plaintiff, which I find to be wholly inaccurate.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 conclude that the sum of $9,000 is an appropriate award of general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Aggravated and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In addition to general damages, the plaintiff also seeks both aggravated and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xml:space="preserve">  Aggravated damages are awarded to compensate the plaintiff for unusual or increased harm suffered, for which compensation provided by general damages is insufficient. Aggravated damages can only be awarded if there "is a finding that the defendant was motivated by actual malice, which increased the injury to the plaintiff":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at para. 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Punitive damages, in contrast, are awarded to punish the defendant for conduct that is so outrageous as to require monetary censure from the court. That the plaintiff receives a windfall is not legally relevant, although punitive damages can only be awarded if the combined general and aggravated damages are insufficient to deter the defendant: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at para. 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The facts of this case, as I have found them, do not support an award of either aggravated or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With regard to aggravated damages, I do not find that either Sgt. Grant or Chief Constable Brock acted with actual malice toward the plaintiff which increased the injury she suffered. While I found that Sgt. Grant was reckless and therefore acted with malice in the legal sense, that is not the same as acting with actual malice in order to attract aggravated damages. Additionally, the erasing of the tapes of the phone calls in accordance with standard procedure of the Nelson police is not indicative of any malice. It is just as likely that the tapes would have aided the defence, and I find their destruction to be a completely neutral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As to punitive damages, there is no basis on which I can find the behaviour of either personal defendant such as to consider an award of punitive damages. I do not accede to the plaintiff's submission that Sgt. Grant set out to retaliate against her because of the perceived slight regarding the Holy Smoke.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Although not pursued during argument, in the pleadings the plaintiff raised an allegation of conspiracy. I will deal with this issue very briefly.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The underlying purpose of the alleged conspiracy alleged mirrors the particulars of the substantive tort, defamation, for which liability has been imposed.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Bank of Montreal v. Tortora</w:t>
      </w:r>
      <w:r>
        <w:rPr>
          <w:rFonts w:ascii="arial" w:eastAsia="arial" w:hAnsi="arial" w:cs="arial"/>
          <w:color w:val="000000"/>
          <w:sz w:val="20"/>
          <w:lang w:val="en-US" w:eastAsia="en-US" w:bidi="ar-SA"/>
        </w:rPr>
        <w:t xml:space="preserve">, </w:t>
      </w:r>
      <w:hyperlink r:id="rId154" w:history="1">
        <w:r>
          <w:rPr>
            <w:rFonts w:ascii="arial" w:eastAsia="arial" w:hAnsi="arial" w:cs="arial"/>
            <w:i/>
            <w:color w:val="0077CC"/>
            <w:sz w:val="20"/>
            <w:u w:val="single"/>
            <w:shd w:val="clear" w:color="auto" w:fill="FFFFFF"/>
            <w:lang w:val="en-US" w:eastAsia="en-US" w:bidi="ar-SA"/>
          </w:rPr>
          <w:t>2009 BCSC 1140</w:t>
        </w:r>
      </w:hyperlink>
      <w:r>
        <w:rPr>
          <w:rFonts w:ascii="arial" w:eastAsia="arial" w:hAnsi="arial" w:cs="arial"/>
          <w:color w:val="000000"/>
          <w:sz w:val="20"/>
          <w:lang w:val="en-US" w:eastAsia="en-US" w:bidi="ar-SA"/>
        </w:rPr>
        <w:t xml:space="preserve">, aff'd </w:t>
      </w:r>
      <w:hyperlink r:id="rId155" w:history="1">
        <w:r>
          <w:rPr>
            <w:rFonts w:ascii="arial" w:eastAsia="arial" w:hAnsi="arial" w:cs="arial"/>
            <w:i/>
            <w:color w:val="0077CC"/>
            <w:sz w:val="20"/>
            <w:u w:val="single"/>
            <w:shd w:val="clear" w:color="auto" w:fill="FFFFFF"/>
            <w:lang w:val="en-US" w:eastAsia="en-US" w:bidi="ar-SA"/>
          </w:rPr>
          <w:t>2010 BCCA 139</w:t>
        </w:r>
      </w:hyperlink>
      <w:r>
        <w:rPr>
          <w:rFonts w:ascii="arial" w:eastAsia="arial" w:hAnsi="arial" w:cs="arial"/>
          <w:color w:val="000000"/>
          <w:sz w:val="20"/>
          <w:lang w:val="en-US" w:eastAsia="en-US" w:bidi="ar-SA"/>
        </w:rPr>
        <w:t>, Butler J. dealt with the duplicity of such allegations as follows at para. 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find that the merger principle applies in these circumstances. The allegation of conspiracy adds nothing to the allegations against Ms. Tortora and Ms. Poonja. The breaches of contract and fiduciary duties have, allegedly, been committed. This is not a case like Hunt where the conspiracy claim was permitted to stand because the wrongful acts alleged in the conspiracy claim were different from the wrongful acts that were alleged to be the basis of the tort. Here, the wrongful acts, breach of contract and breach of fiduciary duty, are the same as those that give rise to the conspiracy allegation. Accordingly, it is plain and obvious that the statement of claim does not disclose a reasonable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Accordingly, I dismiss the claim for damages for conspiracy.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xml:space="preserve">  The plaintiff also pleaded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but did not pursue that claim in argument. The facts giving rise to the plea are the same which give rise to the action in defamation.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Given the result, I need not decide whether actions in both defamation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sustainable from the same set of facts. Accordingly, I dismiss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Liability of the Corporation of the City of Nelson ("Nelson")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It is conceded by the defendant, Nelson, that it is jointly and severally liable, together with the two personal defendants so long as the tortuous conduct of the personal defendants arose during the performance of their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Here, I find that the two personal defendants made the defamatory statements in furtherance of their duties as police officers.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xml:space="preserve">  Section 20(1) of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367</w:t>
      </w:r>
      <w:r>
        <w:rPr>
          <w:rFonts w:ascii="arial" w:eastAsia="arial" w:hAnsi="arial" w:cs="arial"/>
          <w:color w:val="000000"/>
          <w:sz w:val="20"/>
          <w:lang w:val="en-US" w:eastAsia="en-US" w:bidi="ar-SA"/>
        </w:rPr>
        <w:t>, describes the liability for torts committed by constables: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(1) Subject to an agreement under section 18 (1) or 23 (2),</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municipality is jointly and severally liable for a tort that is committed by any of its municipal constables, special municipal constables, designated constables, enforcement officers, by law enforcement officers or employees of its municipal police board, if any, if the tort is committed in the performance of that person's duties, and</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regional district, government corporation or other prescribed entity is jointly and severally liable for a tort that is committed by any of its designated constables or enforcement officers, if the tort is committed in the performance of that person's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xml:space="preserve">  Section 21 of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xml:space="preserve"> states as follows:</w:t>
      </w:r>
      <w:r>
        <w:rPr>
          <w:rFonts w:ascii="arial" w:eastAsia="arial" w:hAnsi="arial" w:cs="arial"/>
          <w:sz w:val="20"/>
          <w:lang w:val="en-US" w:eastAsia="en-US" w:bidi="ar-SA"/>
        </w:rPr>
        <w:cr/>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section, "police officer" means a person holding an appointment as a constable under this Act.</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action for damages lies against a police officer or any other person appointed under this Act for anything said or done or omitted to be said or done by him or her in the performance or intended performance of his or her duty or in the exercise of his or her power or for any alleged neglect or default in the performance or intended performance of his or her duty or exercise of his or her power.</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(2) does not provide a defence if</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police officer or other person appointed under this Act has, in relation to the conduct that is the subject matter of action, been guilty of dishonesty,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malicious or wilful misconduct, or</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cause of action is libel or slander.</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(2) does not absolve any of the following, if they would have been liable had this section not been in force, from vicarious liability arising out of a tort committed by the police officer or other person referred to in that subsection:</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municipality, in the case of a tort committed by any of its municipal constables, special municipal constables, designated constables, enforcement officers, bylaw enforcement officers or an employee of its municipal police board, if any;</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regional district, government corporation or prescribed entity, in the case of a tort committed by any of its designated constables or enforcement officers;</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minister, in a case to which section 11 applies.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xml:space="preserve">  As a result of my finding that the defendants acted in the furtherance of their duties, and ss. 20-21 of the </w:t>
      </w:r>
      <w:r>
        <w:rPr>
          <w:rFonts w:ascii="arial" w:eastAsia="arial" w:hAnsi="arial" w:cs="arial"/>
          <w:i/>
          <w:color w:val="000000"/>
          <w:sz w:val="20"/>
          <w:lang w:val="en-US" w:eastAsia="en-US" w:bidi="ar-SA"/>
        </w:rPr>
        <w:t>Police Act</w:t>
      </w:r>
      <w:r>
        <w:rPr>
          <w:rFonts w:ascii="arial" w:eastAsia="arial" w:hAnsi="arial" w:cs="arial"/>
          <w:color w:val="000000"/>
          <w:sz w:val="20"/>
          <w:lang w:val="en-US" w:eastAsia="en-US" w:bidi="ar-SA"/>
        </w:rPr>
        <w:t>, the defendant Nelson is jointly and severally liable, along with both Sgt. Grant and Chief Constable Brock, for the damages awarded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Absent any offer to settle which might bear on the question of costs, the plaintiff, subject to the following, shall be entitled to costs of the action at Scale B. However, the time consume at trial was significantly extended by virtue of the plaintiff's lack of organization and the laborious presentation of evidence which, at the end, was of little significance to the overall conduct of the case. As a result, the plaintiff's recovery of costs shall only include the original nine days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If either the plaintiff or the defendants wish to make submissions regarding costs, they should notify the Registry within 30 days from the date of judgment and, thereafter, set the matter down for hearing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J.S. HARVEY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0" style="position:absolute;z-index:2518650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56"/>
          <w:headerReference w:type="default" r:id="rId157"/>
          <w:footerReference w:type="even" r:id="rId158"/>
          <w:footerReference w:type="default" r:id="rId159"/>
          <w:headerReference w:type="first" r:id="rId160"/>
          <w:footerReference w:type="first" r:id="rId16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62" w:history="1">
        <w:r>
          <w:rPr>
            <w:rFonts w:ascii="arial" w:eastAsia="arial" w:hAnsi="arial" w:cs="arial"/>
            <w:b/>
            <w:bCs/>
            <w:i/>
            <w:color w:val="0077CC"/>
            <w:kern w:val="32"/>
            <w:sz w:val="28"/>
            <w:szCs w:val="32"/>
            <w:u w:val="single"/>
            <w:shd w:val="clear" w:color="auto" w:fill="FFFFFF"/>
            <w:lang w:val="en-US" w:eastAsia="en-US" w:bidi="ar-SA"/>
          </w:rPr>
          <w:t>Bradley v. Bath, [2008] B.C.J. No. 1485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L.D. Russell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9-13, 16 and 19,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5,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M055109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1485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63" w:history="1">
        <w:r>
          <w:rPr>
            <w:rFonts w:ascii="arial" w:eastAsia="arial" w:hAnsi="arial" w:cs="arial"/>
            <w:i/>
            <w:color w:val="0077CC"/>
            <w:sz w:val="20"/>
            <w:u w:val="single"/>
            <w:shd w:val="clear" w:color="auto" w:fill="FFFFFF"/>
            <w:lang w:val="en-US" w:eastAsia="en-US" w:bidi="ar-SA"/>
          </w:rPr>
          <w:t>2008 BCSC 1056</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63" w:history="1">
        <w:r>
          <w:rPr>
            <w:rFonts w:ascii="arial" w:eastAsia="arial" w:hAnsi="arial" w:cs="arial"/>
            <w:i/>
            <w:color w:val="0077CC"/>
            <w:sz w:val="20"/>
            <w:u w:val="single"/>
            <w:shd w:val="clear" w:color="auto" w:fill="FFFFFF"/>
            <w:lang w:val="en-US" w:eastAsia="en-US" w:bidi="ar-SA"/>
          </w:rPr>
          <w:t>171 A.C.W.S. (3d) 614</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David Ryan Bradley, Plaintiff, and Dilbahaar Bath and DaimlerChrysler Services Canada Inc./Services DaimlerChrysler Canada Inc.,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(160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1" style="position:absolute;z-index:251663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5" w:name="Keywords_4"/>
      <w:bookmarkEnd w:id="35"/>
      <w:r>
        <w:rPr>
          <w:rFonts w:ascii="arial" w:eastAsia="arial" w:hAnsi="arial" w:cs="arial"/>
          <w:b/>
          <w:color w:val="000000"/>
          <w:sz w:val="20"/>
          <w:lang w:val="en-US" w:eastAsia="en-US" w:bidi="ar-SA"/>
        </w:rPr>
        <w:t>Damages — General damages — For personal injuries — Cost of future care — Loss of earning capacity — Non-pecuniary damages, including pain and suffering — Defendant driver found to be 100 per cent liable for the accident in which the plaintiff's bicycle was struck — Although the plaintiff was riding illegally in the sidewalk there was no causal link — The defendant ought to have seen him had he been taking ordinary care — The plaintiff was awarded damages, including $75,000 in non-pecuniary damages, $72,526 in future lost wages, $73,078 in costs of future care, and $185,684 less moneys actually earned for past wage loss.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Physical injuries — Leg injuries — Ankle — Non-pecuniary award — $60,001 to $80,000 — Defendant driver found to be 100 per cent liable for the accident in which the plaintiff's bicycle was struck — Although the plaintiff was riding illegally in the sidewalk there was no causal link — The defendant ought to have seen him had he been taking ordinary care — The plaintiff was awarded damages, including $75,000 in non-pecuniary damages, $72,526 in future lost wages, $73,078 in costs of future care, and $185,684 less moneys actually earned for past wage loss.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driver — Defendant driver found to be 100 per cent liable for the accident in which the plaintiff's bicycle was struck — Although the plaintiff was riding illegally in the sidewalk there was no causal link — The defendant ought to have seen him had he been taking ordinary care — The plaintiff was awarded damages, including $75,000 in non-pecuniary damages, $72,526 in future lost wages, $73,078 in costs of future care, and $185,684 less moneys actually earned for past wage loss.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6" w:name="Case Summary_4"/>
            <w:bookmarkEnd w:id="3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plaintiff cyclist for damages sustained in a motor vehicle accident. Both liability and damages were contested. The corporate defendant was the legal owner of the vehicle leased to the defendant driver, Bath. Bath had struck the plaintiff's bicycle while exiting a gas station. He argued the plaintiff was the author of his own misfortune as he was illegally riding his bike on the sidewalk in contravention of the Motor Vehicle Act. The plaintiff had sustained injuries to his leg and ankle, and complained of resulting psychological harm, including depression, change of personality, loss of ambition, libido, etc.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7" w:name="Holdings of Court_4"/>
            <w:bookmarkEnd w:id="37"/>
            <w:r>
              <w:rPr>
                <w:rFonts w:ascii="arial" w:eastAsia="arial" w:hAnsi="arial" w:cs="arial"/>
                <w:color w:val="000000"/>
                <w:sz w:val="20"/>
                <w:lang w:val="en-US" w:eastAsia="en-US" w:bidi="ar-SA"/>
              </w:rPr>
              <w:t>HELD: Defendant driver 100 per cent liable for accident.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While the plaintiff was in breach of the Act by riding on the sidewalk, there was no causal link between his breach and the accident. He could just as easily have been a jogger or regular pedestrian. Bath failed to see him as he failed to stop his vehicle before crossing the sidewalk to take account of people who might be travelling on it, breaching the standard of an ordinarily prudent person. Based on the evidence, the car struck the bike, not the other way around. Bath bore full liability for the accident. The plaintiff was a credible witness. He was awarded $73,078 in costs of future care, including psychological counselling, family and vocational counselling, vocational retraining, occupational therapy, physiotherapy, a fitness membership, kinesiologist, and special shoes and memory aids. On the day of the accident he was going to his first day at a new job paying $22 per hour plus bonuses and overtime. He would have earned $185,684 to the date of trial, and was awarded that amount less what he had actually earned. He was awarded $72,526 in future lost wages. He was awarded $80,000 for loss of earning capacity due to his physical limitations. He was awarded $75,000 in non-pecuniary damages, due to a number of serious non-monetary losses, including loss of an occupation he loved, changes to his personality, a greatly reduced level of physical activity, etc. He was awarded $2,811 in special damages. An in-trust claim of $14,040 was awarded for work done by his girlfriend.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8" w:name="Legislation Cited_4"/>
      <w:bookmarkEnd w:id="3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52" style="position:absolute;z-index:2517145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164" w:history="1">
        <w:r>
          <w:rPr>
            <w:rFonts w:ascii="arial" w:eastAsia="arial" w:hAnsi="arial" w:cs="arial"/>
            <w:i/>
            <w:color w:val="0077CC"/>
            <w:sz w:val="20"/>
            <w:u w:val="single"/>
            <w:shd w:val="clear" w:color="auto" w:fill="FFFFFF"/>
            <w:lang w:val="en-US" w:eastAsia="en-US" w:bidi="ar-SA"/>
          </w:rPr>
          <w:t>RSBC 1996, CHAPTER 318, s. 176</w:t>
        </w:r>
      </w:hyperlink>
      <w:r>
        <w:rPr>
          <w:rFonts w:ascii="arial" w:eastAsia="arial" w:hAnsi="arial" w:cs="arial"/>
          <w:color w:val="000000"/>
          <w:sz w:val="20"/>
          <w:lang w:val="en-US" w:eastAsia="en-US" w:bidi="ar-SA"/>
        </w:rPr>
        <w:t>(1), s. 183(2) (a)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9" w:name="Counsel_4"/>
      <w:bookmarkEnd w:id="3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3" style="position:absolute;z-index:2517657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D.B. Hanna.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C. Thiessen.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0" w:name="Judgment_4"/>
      <w:bookmarkEnd w:id="40"/>
      <w:r>
        <w:pict>
          <v:line id="_x0000_s1054" style="position:absolute;z-index:25181696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1" w:name="L.D. RUSSELL J."/>
            <w:bookmarkEnd w:id="41"/>
            <w:r>
              <w:rPr>
                <w:rFonts w:ascii="arial" w:eastAsia="arial" w:hAnsi="arial" w:cs="arial"/>
                <w:b/>
                <w:color w:val="000000"/>
                <w:sz w:val="30"/>
                <w:lang w:val="en-US" w:eastAsia="en-US" w:bidi="ar-SA"/>
              </w:rPr>
              <w:t>L.D. RUSSELL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the morning of December 3, 2003, the plaintiff Ryan Bradley was cycling to his first day at a new job and the defendant Dilbahaar Bath was leaving a gas station after filling up his Mercedes. Unfortunately, a collision between the two ensued. In this personal injury action brought by Mr. Bradley, Mr. Bath disputes both his liability for the accident and the quantum of damages claimed by the plaintiff. The corporate defendant Daimler Chrysler Services Canada Inc. is the legal owner of the vehicle which was leased to Mr. Bath.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Bradley was born and raised in Milton, Ontario where his father is a teacher and clock maker, and his mother is a radiologist. He graduated from high school in 1998. From May 2000 until March 2003, he worked with his father making clocks. In March 2003, he moved to Vancouver with his long-time girlfriend. Two weeks after the move, he found a job as a carpenter at West Isle Design, where he earned $16 per hour. He was 23 years old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Bradley was active and fit, and participated in a variety of sports. He played basketball, rode his bicycle over long distances, and was an avid skier. Together with his girlfriend, he often enjoyed long hikes in the forests and walks around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Wednesday, December 3, 2003, Mr. Bradley was set to begin a new job at Skookum Space Rentals. Compared to his previous job at West Isle Design, the new job offered a significant earnings advancement at $22 per hour, and, as he hoped, new career opportunities.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the morning of December 3, 2003, Mr. Bradley was riding his mountain bike to his first day at the new job. He was cycling in the easterly direction, towards Cambie St., on the northern sidewalk of SW Marine Drive. He was not wearing a helmet. As he was crossing the exit (western) driveway of the Petro Canada gas station located on the north-west corner of the intersection of SW Marine Dr. and Cambie St., he was struck on the left leg by the front of Mr. Bath's Mercedes as it was exiting from the gas station onto SW Marine Drive. He was knocked off his bicycle and was thrown approximately 15 feet into the centre lane of SW Marine Drive. The force of the impact was such that Mr. Bradley's shin tore the licence plate off Mr. Bath's Mercedes. He landed on his right hip and struck his head against the pavement. He did not lose consciousness.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Although Mr. Bradley suffered significant visually apparent injuries, neither the police nor an ambulance was called. Mr. Bradley staggered to his feet and returned the licence plate to Mr. Bath. After talking to Mr. Bath and receiving his offer of first aid, Mr. Bradley walked away from the accident. His bicycle was not rideable. After several unsuccessful attempts to find a working payphone, Mr. Bradley borrowed a cell phone from a patron at a nearby fast food restaurant and called his boss, who came and picked him up in a truck. At the worksite, an ambulance was called and Mr. Bradley was taken to the Emergency Room at the Richmond General Hospital, where he was tended to. He received sutures in his head and shin. An X-ray of his left tibia was taken, but did not reveal any significant bony injuries. The ER report noted that there was soft tissue injury over the anterior leg and ankle.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Bradley attended Dr. Tung on December 8, 2003. He had a scalp wound which was "healing nicely", but his left shin appeared macerated and swollen, and had sutures. He was given a note for two weeks off work and advised to use Tylenol for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When Mr. Bradley returned on December 15, 2003, for suture removal, he was examined by Dr. Kelly at the same clinic. He had stopped using crutches two days prior, but complained of pain in the left ankle. The examination revealed some tenderness, although the lacerations appeared to be healing well. He was diagnosed with ankle sprain and advised to stretch, apply heat, use over-the-counter anti-inflammatory pills, and consider attending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January 28, 2004, Mr. Bradley saw Dr. Lipkowitz at the same clinic. He complained of pain and stiffness in the left ankle. Examination again showed tenderness and he was advised to attend physiotherapy and come back for a follow-up.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February 27, 2004, Mr. Bradley attended Dr. Davidson at the same clinic. The other physicians that he had previously seen were Dr. Davidson's locums. He still had tenderness of his left shin and ankle. He has not come back to work because of pain in the leg and ankle. In the report to ICBC that Dr. Davidson completed at that time, she noted that Mr. Bradley was unable to work as a carpenter due to the ongoing ankle pain. However, she felt that if there were no stairs or heavy lifting, he could work. Dr. Davidson ordered X-rays, which were taken on March 31, 2004, and did not show any problems with the ankle.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From April 2 to June 24, 2004, Mr. Bradley attended eight physiotherapy sessions. He returned to Dr. Davidson on June 8, 2004, complaining of left leg pain. He reported that he attempted to go for a hike, but was unable to do so due to extreme left leg pain. He also reported cramping in his left leg with driving, which he said did not occur prior to the accident. Examination revealed tenderness along his tibia and he was referred to UBC Sports Medicine Clinic and a bone scan was ordered to look for a fracture. The bone scan was done on June 22, 2004 and diagnosed a possible healing fracture in the distal end of the left tibia.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Bradley returned to Dr. Davidson on July 16, 2004, again complaining of leg pain. She informed him that he might have a small fracture and advised him to follow up with the sports medicine physician who he was scheduled to see in a few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At that point, Mr. Bradley had not been able to return to his job as a carpenter because of leg pain. However, from July 10 to August 25, 2004, he worked as a security guard at the Sylvia Hotel, patrolling the parking lot. He worked a total of 210 hours at $10 per hour. He earned $2,289.15 net of taxes.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July 19, 2004, Mr. Bradley was examined at the UBC Sports Medicine Clinic by Dr. Mackenzie, who noted tenderness and mild swelling of the left ankle, and a leg length discrepancy. A CT scan was ordered and performed on July 31, 2004. The scan revealed that a small flake of bone had pulled away from the tibia, but was healing. Mr. Bradley was instructed to perform a series of strengthening exercises and a follow-up appointment was scheduled for October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August 17, 2004, Mr. Bradley returned to Dr. Davidson for a follow up. He still felt pain in the left leg and examination again revealed tenderness of the ankle. Dr. Davidson recommended a walking splint and referred him to an orthopaedic surgeon. He reported that he was having troubles in his security guard job because he found it very painful to stand and walk. Dr. Davidson agreed that it would be best if he quit the security job, but advised him that it would be fine to do a non-weight bearing job until his ankle healed. On this recommendation, Mr. Bradley resigned from the security guard job on August 25,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Bradley returned to Dr. Davidson on September 21, 2004, still complaining of leg pain and soreness along the shin and ankle. Dr. Davidson diagnosed traumatic periostitis, a condition of inflammation of the covering of the bone along the shin. He was advised to follow up with Dr. MacKenzie, along with rest, stretching, and anti-inflammatory pills.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October 5, 2004, Mr. Bradley returned complaining of upset stomach from the anti-inflammatory pills and was advised to supplement them with a stomach-protecting prescription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October 21, 2004, Mr. Bradley came back for a follow-up appointment with Dr. Mackenzie. He was using an ankle brace. An MRI scan was arranged for November 2. The scan showed a possible partial tear of the anterior tibiofibular ligament in the ankle. This ligament is one of the lateral structures of the ankle responsible for stability. A possible inflammation of the bursa (a sack of fluid that cushions the ankle joint) was also diagnosed.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Bradley also saw Dr. Mackenzie on November 2, 2004. He was still using the brace and reported that he was continuing with the stretching and strengthening program. He was encouraged to continue with this rehabilitative program at home and was given a prescription for a topical anti-inflammatory cream.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From November 2004 to April 2005, Mr. Bradley worked for Snowbus, a 54-seater bus that travels between Vancouver and Whistler. He was the on-board host and also did some marketing. Mr. Bradley testified that his earnings from this job were negligible.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January 28, 2005, Mr. Bradley returned to Dr. Davidson complaining of the same pain, which he reported was worsened by walking, standing, and generally weight bearing. The anterior side of his ankle and the ankle joint were tender. There was also some tenderness in the foot.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March 3, 2005, Mr. Bradley had another appointment with Dr. Mackenzie. Mr. Bradley continued to report daily stiffness in his foot and ankle. Although he cycled to and from work, he reported discomfort even during this ten minute journey. At that time, Mr. Bradley estimated that he could only do 25-30% of his pre-accident physical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From mid-May to mid-November 2005, Mr. Bradley worked at his old job at West Isle Design. He worked as a carpenter doing stair and railing production part-time and quit when the company wanted him to work full time. He found that he could not work full time because of pain in his leg and foot. Mr. Bradley's uncontradicted evidence was that he earned approximately $4,500 gross.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June 9, 2005, Dr. Davidson completed another report to ICBC on Mr. Bradley's injuries. She summarized the previous CT and MRI scan results and diagnoses and noted that Mr. Bradley continued to experience stiffness and pain while walking and was not able to work as a carpenter. Her "objective findings" were that Mr. Bradley had tenderness in his ankle, Achilles and leg tendons, and the anterior tibia. She indicated that Mr. Bradley had difficulty with prolonged walking or climbing stairs, and could not ski, run, rock climb, or hike.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From July to the end of September 2005, Mr. Bradley also worked three days per week as a lift tower painter in Whistler. He lived in Whistler on those three days and in Vancouver for the remainder of the week. Mr. Bradley's uncontradicted evidence was that he earned approximately $2,700 gross.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Bradley returned to Dr. Davidson on September 19, 2005. In addition to complaints of pain in the left leg and ankle, he also reported that the right knee pain that he was experiencing immediately after the accident had come back approximately six months ago. He walked with a limp. On examination, the right knee was not tender, but the leg and ankle were tender and muscles in the left calf atrophied. Mr. Bradley reported that he found it difficult to play sports.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next visit was on January 16, 2006, at which point Dr. Davidson noted that Mr. Bradley was still symptomatic, but she could find nothing for which surgery would assist. She noted that he was working as a carpenter two days per week because more than that hurt his legs/feet. She referred Mr. Bradley to Dr. Unger, another family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Dr. Unger saw Mr. Bradley on January 19, 2006. He found tenderness in the shin, decreased range of motion at the left ankle, and some calf muscle atrophy. His diagnosis was periostitis, a chronic condition caused by inflammation of the layer of connective tissue that surrounds bone. Dr. Unger recommended physiotherapy to "evaluate his whole lower chain as he now has R[ight] compensatory pain in his knee". He also noted that Mr. Bradley "really needs some reassurance that he can increase his activity and that he may always have this pain to some degree but that it won't impact his life significantly". Dr. Unger ordered additional x-rays and a bone scan, which were done on January 31 and came back negative.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Bradley came back to Dr. Unger on February 9, 2006. The focus of that visit was Mr. Bradley's mental health. Dr. Unger diagnosed Mr. Bradley with chronic depression and made the following notes: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we had a very long talk today about his mental health -- he has recognized destructive patterns in his life that have prohibited him from really progressing and self actualizing -- he has missed business opportunities etc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his mood is often down and often he is sad -- not always eating well and often not sleeping well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he has not had any formal counselling or any meds etc in the past but did ask tonight about some psychological intervention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also tried to draw the parallel b/t his leg and his behavior surrounding that and his mentall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health issues in general -- he seems open to this kind of talk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Dr. Unger provided Mr. Bradley with a list of resources for mental health help and Mr. Bradley indicated that he would pursue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Bradley returned to physiotherapy on March 21, 2006, and attended 30 sessions until January 22,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April 2006, Mr. Bradley obtained a job as a high-rise window cleaner and worked in this capacity until September 2006. His uncontradicted evidence is that he earned $7,123.00 net of taxes. He then became a contractor for the same company until December 2006, and his uncontradicted evidence is that he earned $3,000 net of taxes and operating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Dr. Unger saw Mr. Bradley again on April 6, 2006. Mr. Bradley reported that he was getting physiotherapy and exercising and his condition was improving. Mr. Bradley reported that he tried to go back to manual labour but felt too tired after a couple of weeks and thought that he had to give up this kind of work. He also indicated that he tried to get an appointment for some counselling and would continue to do so. Dr. Unger reported that Mr. Bradley had a very positive outlook at that time. However, Dr. Unger's diagnosis was still of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Dr. Manchanda, a specialist in musculoskeletal pain, examined Mr. Bradley on May 6, 2006, for the purpose of preparing a medicolegal opinion. The contents of that report are discussed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Bradley returned to see Dr. Unger on June 15, 2006, still complaining of pain in his left shin and ankle, and his right knee. Dr. Unger provided a note for more physiotherapy and again discussed chronic pain and disability management with Mr. Bradley.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Kiraly, a psychiatrist, saw Mr. Bradley on June 16, 2006, for a "mental status examination" requested by Mr. Bradley's counsel. The contents of his report are discussed below. Three days after he prepared his medicolegal report, on July 13, 2006, Dr. Kiraly sent a note to Dr. Davidson in which he indicated that Mr. Bradley had been "psychologically devastated by the resultant [from the accident] lifestyle changes" and opined that Mr. Bradley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suffering from a post concussion syndrome, which appears to be persistent. He still has headaches, sleep disorder, nightmares and depression,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Judging from collateral informants and Mr. Bradley himself, it appears that there have been some residual cognitive effects.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Dr. Kiraly felt that Mr. Bradley "should have a more detailed assessment and treatment of his neuropsychiatric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On June 29, 2006, Mr. Bradley was examined by Dr. McGraw, an orthopaedic specialist engaged by Mr. Bath's counsel. The contents of Dr. McGraw's report are discussed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February and March 2007, Mr. Bradley worked about 10 hours per week doing building maintenance work at the apartment building where his girlfriend was the assistant manager. He was paid $12.50 per hour and earned $775.00 gross.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Since November 2007, Mr. Bradley and his girlfriend have together worked as residential building managers/caretakers in a residential building in East Vancouver. His duties include ensuring the upkeep of the building, looking after the tenants' concerns, helping with minor electrical, plumbing, and carpentry jobs and other tasks around the building. He earns $14,023 per year net of taxes. This means that to the date of the trial in June 2008, he has earned approximately $8,180 net of taxes at this job. His girlfriend testified that she does approximately 75% of their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Manchanda, examined Mr. Bradley once again on April 2, 2008, for the limited purpose of preparing a medicolegal opinion. The contents of that report are discussed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Expert Reports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Davidson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Davidson has been Mr. Bradley's family doctor since the accident. However, her medicolegal report is quite dated as it was prepared on January 25, 2005. She reported Mr. Bradley's post-accident history in some detail and summarized that he sustained the following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fracture of the distal tibia, laceration of his scalp, laceration of his left shin, post-traumatic periostitis of the left shin, a partial tear of his anterior tibiofubular ligament (an ankle ligament) and retrocalcaneal bursitis (a bursa in the ankle/heel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She concluded that Mr. Bradley's injuries did not require surgical intervention and would improve with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She reported Mr. Bradley's personal and vocational status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Prior to the accident, he was an avid cyclist and skier, on a high level of skill. Dave worked as a carpenter and built/designed his own furniture. This accident has completely changed his social and occupational life. He earned approximately $16/hour with high expectations to make much more with his in the next few years. Now he is struggling to find employment for minimum age, as he is unable to work in his field, as a carpenter.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has had significant impact on his ability to work as a carpenter. He might never continue to perform strenuous weight bearing activities, such as hiking, skiing, or working as a carpenter.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Given that he had been in pain for over a year, she gave a guarded prognosis and suggested that in the future he might develop post-traumatic arthritis of the ankle.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Mackenzie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Mackenzie practices sports and musculoskeletal injury medicine at the UBC Sports Medicine Clinic. Dr. Mackenzie saw Mr. Bradley in July, October and November 2004, and in March 2005. His report was prepared on May 4, 2005. He concluded that Mr. Bradley "had reached a plateau with no change in his symptoms for the last five months." He noted that this was a "significant limitation both on his lifestyle as well as his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He provided the following opinion on Mr. Bradley's injuries and prognosis: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professional opinion that his injuries are a direct result of the trauma sustained in this motor vehicle accident. Certainly this incident has had an impact on his ability to work and he has had to change his profession. His symptoms have plateaued for the last five to six months in spite of his ongoing attempts at rehabilitation. There is the possibility that he will require further physiotherapy in the future to help him with his rehabilitation. I understand that he is still on a waiting list to see an orthopaedic specialist, although I doubt whether this ankle injury would be something that would require surgery in the future. He has been at this level of discomfort for six months and I suspect that this will continue for an indeterminate length of time. As there has not been any damage to the ankle joint itself, I don't believe that he will suffer from degenerative arthritis in the future. Certainly the injuries that he has sustained have had a significant impact on his recreational activities, and this is a significant limitation in an active twenty-four year old male. He also, as I have noted, has limitations and discomfort related to activities of daily living. His ankle is painful by the end of the day and this limits him somewhat in his ability to do activities such as grocery shopping and general household activities.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Manchanda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Manchanda's practice is focused on patients with chronic musculoskeletal pain. He examined Mr. Bradley on May 6, 2006 for the purpose of preparing a medicolegal opinion. He was not Mr. Bradley's treating physician. He noted the symptoms reported by Mr. Bradley, including: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Bradley says the most painful area is his left lower leg/ankle. ... He says this left lower leg/ankle pain is not constant, but is certainly felt on a daily basis. This pain is worse with activity and improved with rest. He feels this pain after about 10 minutes of walking. Walking on uneven surfaces brings it on earlier. On days when he is on his feet for several hours, his left ankle/lower leg pain can reach 5 out of 10 ... On days when he is resting and not doing much, he says this pain is about 3 out of 10. His left ankle/lower leg does not swell. There is no tingling or paresthesia.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describes his right knee pain as "achy stiffness". He has this pain daily, but not constantly. He says his right knee pain is brought on with activity such as walking greater than 30 minutes.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Bradley describes his sleep, memory, concentration, appetite, and interests as normal. He has a good relationship with his girlfriend.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Bradley says that since the MVA his ambition and drive to succeed have reduced; he attributes this to financial hardship that he has suffered since the MVA. As a result, Mr Bradley says he could not pursue some business and work opportunities that were available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Manchanda did not observe any exaggerated pain behaviour. Physical examination revealed the following:</w:t>
      </w:r>
      <w:r>
        <w:rPr>
          <w:rFonts w:ascii="arial" w:eastAsia="arial" w:hAnsi="arial" w:cs="arial"/>
          <w:sz w:val="20"/>
          <w:lang w:val="en-US" w:eastAsia="en-US" w:bidi="ar-SA"/>
        </w:rPr>
        <w:cr/>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muscle bulk in the left calf and lower leg;</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both knees looked normal and range of motion was full and pain free;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possible patellofemoral syndrome, although internal structures of the right knee, including the meniscus and ligaments were stable;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range of motion of the left ankle was full and essentially pain free, although there was "tenderness over the left anterior ankle joint line, particularly medially around the medial malleolus", as well as tenderness at the ligament.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Manchanda summarized the injuries that Mr. Bradley sustained in the accident, including:</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Post traumatic patellar-femoral irritation of the right knee, detected on physical exam. This problem has not resolved yet, in my opinion.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Musculo-ligamentous injuries in the lower left leg/left ankle region that, in my opinion, are ongoing and have not resolved. These cause pain with activity.</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Bradley has also mild right hip area and very mild low back soft tissue injuries that, in my opinion, are yet unresolved and ongoing. These cause a lesser degree of symptoms compared to the left ankle.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Bradley has developed atrophy (muscle wasting) of his left calf and left lower leg. I am concerned about his muscle wasting. I recommend nerve conduction studies/electromyography (NCSIEMG) to rule out a radiculopathy (spinal nerve root damage) or peripheral nerve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Manchanda did not find Mr. Bradley clinically depressed or unhappy.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With respect to the degree of Mr. Bradley's symptoms, he concluded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Mr Bradley has improved significantly from the MVA, he continues to experience ongoing symptoms (pain), particularly with activity such as walking greater than 10 minutes. Currently, these symptoms, when present, do not prevent him from completing his duties and daily living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Manchanda opined that "Mr. Bradley will likely continue to have some degree of ongoing pain and symptoms into the foreseeable future" and "will likely never fully heal from his MVA injuries at the right knee and left lower extremity." However, on the subject of Mr. Bradley's vocation, he opined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Bradley is able to work as a carpenter. Such work generally requires upper extremity/upper body strength and dexterity. Mr. Bradley has not voiced any significant pain or disability in his upper limbs, nor have I found any obvious pathology here. He is currently working full time as a high rise building window cleaner, with no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regards to other occupations, Dr. Manchanda opined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Bradley will likely not be able to participate in work that requires him to be on his feet for several hours (e.g. security guard) or jobs that need left leg strength (e.g. pushing a shovel with his left foot, using vibration tools that need left leg support, etc).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Manchanda recommended that Mr. Bradley continue with his "usual activities", including sports and full time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Manchanda assessed Mr. Bradley for the second time on April 2, 2008. On the same date he prepared his second medicolegal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Bradley again denied feeling depressed and reported his mood as normal. He did report that he was low or depressed in 2004 and 2005, but not currently. Dr. Manchanda did not detect any signs of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However, Mr. Bradley reported the left ankle and lower leg pain as "fatigue or dull ache" after activity or walking longer than 45 minutes. He also reported right lateral knee pain after prolonged walking or activities, and right shoulder stiffness, which started in 2005 from the carpentry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Dr. Manchanda's examination showed no ligament damage or tenderness in the right knee; mild tenderness over the right distil, lateral quadriceps; and significant tenderness over the left distil, medial lower leg. There was only slight atrophy of the left leg as compared to the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Manchanda made the following diagnoses: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power in his lower limbs remains normal (5 out of 5). Neurological exam of his lower limbs is normal. He continues to have significant tenderness over the distal and medial aspect of his left tibia (lower leg). He sustained a fracture in the region of his left ankle during the MVA of December 03, 2003 as seen on CT scan and bone scan. Given his current pain and tenderness, there is probably an unresolved soft tissue injury in the distal left lower leg and left ankle region. In my opinion, this residual soft tissue injury at the left ankle/lower leg has not healed since the MVA, and at the current time, I would classify this as a mild-to-low moderate soft tissue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Furthermore, in my opinion, he probably has some very mild residual soft tissue injury around the right lateral knee/distal quadriceps.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On Mr. Bradley's vocational capacity, Dr. Manchanda revised his earlier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respect to his functional capacity, in my opinion, Mr. Bradley is fully capable of completing activities of daily living (i.e. dressing, cooking, cleaning, routine household chores, carrying groceries, vacuuming, etc.). In my opinion, Mr. Bradley is able to work full time at his current job (building manager or caretaker) or a job of similar physical demands. Mr. Bradley says that the job of a carpenter often requires carrying heavy loads and holding heavy loads in steady positions for several minutes. </w:t>
      </w:r>
      <w:r>
        <w:rPr>
          <w:rFonts w:ascii="arial" w:eastAsia="arial" w:hAnsi="arial" w:cs="arial"/>
          <w:color w:val="000000"/>
          <w:sz w:val="20"/>
          <w:u w:val="single"/>
          <w:lang w:val="en-US" w:eastAsia="en-US" w:bidi="ar-SA"/>
        </w:rPr>
        <w:t>If this is the case, then given his residual left lower leg/ankle soft tissue injury, he will probably not be able to sustain such heavy physical work (i.e. carpentry work) at a full time level but may be able to sustain such work at a recreational (or part time) level</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Again, in my opinion, Mr. Bradley is able to complete his household chores and is able to work full time at his current job or job of similar physical demands. Because of his left lower leg injuries, </w:t>
      </w:r>
      <w:r>
        <w:rPr>
          <w:rFonts w:ascii="arial" w:eastAsia="arial" w:hAnsi="arial" w:cs="arial"/>
          <w:color w:val="000000"/>
          <w:sz w:val="20"/>
          <w:u w:val="single"/>
          <w:lang w:val="en-US" w:eastAsia="en-US" w:bidi="ar-SA"/>
        </w:rPr>
        <w:t>Mr. Bradley will likely not be able to work full time as a carpenter given his description of heavier duties involved in carpentry.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Dr. Manchanda further opined that Mr. Bradley's symptoms would likely remain the same and he may be subject to additional risks: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expect Mr. Bradley to deteriorate from his current condition. In my opinion, at this stage over 4 years post-MVA, his soft tissue injuries will likely not heal significantly more, and therefore he will continue to have some degree of ongoing symptoms (pain, dull ache, easy fatigue, etc) in the region of his left lower leg/ankle, and possibly also right lateral knee area. Given that there was a fracture in the left ankle area and there are ongoing symptoms, he may be at risk for post traumatic arthritis. This remains to be determined. Repeat X-rays and CT scan of the distal left tibio-fibular joint and left ankle may reveal post-traumatic arthritic changes now or in the future. In any case, I do not think his left lower leg pain is going to improve significantly or return to its pre-MVA health.</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Kiraly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Dr. Kiraly is a psychiatrist. He examined Mr. Bradley on June 16, 2006, for the purpose of preparing a medicolegal opinion. His report was prepared on July 10, 2006. In addition to a personal interview and assessment of Mr. Bradley, in the preparation of his report, Dr. Kiraly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relied on telephone interviews with Mr. Bradley's father, on June 28, 2006, and girlfriend, on June 26, 2006. In describing the assumptions and evidence underlying his report, Dr. Kiraly noted that Dr. Unger had recommended Cognitive Behaviour Therapy at a Post Traumatic Stress Disorder (PTSD) 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note that Dr. Kiraly stated that "[t]here is documentation of the present head injury". No such documentation appears to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From the interview with Mr. Bradley's father, Dr. Kiraly reported that Mr. Bradley was "diagnosed" as a gifted child and was full of intelligent ideas and ambitions. He read books and wrote, and even won an essay competition. His hobbies always involved creativity and he built clocks with his father, as well as designed and built furniture. He was an excellent athlete -- skier, hiker, biker, and skateboarder. Apparently, the accident brought about "horrendous changes". It was as if Mr. Bradley had "fallen asleep", become dull, neglectful, absent-minded, and emotionally withdrawn: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After the accident, during the summer of 2004 [July] his father visited him. "I could not get his imagination to spark", said his father. "Prior to this he could have run a business. I even offered to help him set up a business but he just had no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Similar facts were also reported by Mr. Bradley's girlfriend. She reported that since the accident Mr. Bradley had become depressed and stopped sports and almost all physical activities. She reported that they cannot even go camping because Mr. Bradley is unable to hike on uneven surfaces. Their intimacy has also suffered: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 the accident she has noted that his ability to enjoy sexual activity has been impaired. She felt that a major factor in her own inability to enjoy their sexual life stemmed from the fact that she could no longer "snuggle up to him" because of his physical pains and discomforts and she always had to be careful. This detracted a great deal from being able to enjoy spontaneous affectionate behavior. The couple always enjoyed physical activity together. They would walk for long periods every day. Now Leah has to do this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She also reported that Mr. Bradley had developed a sleep disorder and headaches. He became disorganized, "scattered" and less sociable, reads less, "lost ambition and tends to just talk about various ideas".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Dr. Kiraly's personal conclusion was that prior to the accident, Mr. Bradley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generally successful at everything he tried. He had no difficulty landing a job and his performance was always excellent. He comes from a family of high achievers.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Overall, he was happy, without feelings of depression or hopelessness and he had confidence in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Based on the evidence before him, Dr. Kiraly assessed Mr. Bradley's mental state immediately following the accident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Severe symptoms</w:t>
      </w:r>
      <w:r>
        <w:rPr>
          <w:rFonts w:ascii="arial" w:eastAsia="arial" w:hAnsi="arial" w:cs="arial"/>
          <w:color w:val="000000"/>
          <w:sz w:val="20"/>
          <w:lang w:val="en-US" w:eastAsia="en-US" w:bidi="ar-SA"/>
        </w:rPr>
        <w:t>: headache, subjective sensation of "pressure in the head", difficulty with balance and dizziness, subjective sensation of "not feeling right", feeling of being "dinged" or "dazed", feeling of being slowed down, feeling of being "in a fog", fatigue and low energy and difficulty concentrating.</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Moderate symptoms</w:t>
      </w:r>
      <w:r>
        <w:rPr>
          <w:rFonts w:ascii="arial" w:eastAsia="arial" w:hAnsi="arial" w:cs="arial"/>
          <w:color w:val="000000"/>
          <w:sz w:val="20"/>
          <w:lang w:val="en-US" w:eastAsia="en-US" w:bidi="ar-SA"/>
        </w:rPr>
        <w:t>: neck pain, nausea or vomiting, hearing problems, auditory disturbances, visual disturbances, irritability, confusion, drowsiness, fatigue and low energy and difficulty remembering.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At the time of the assessment, Mr. Bradley's mental state was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Severe symptoms</w:t>
      </w:r>
      <w:r>
        <w:rPr>
          <w:rFonts w:ascii="arial" w:eastAsia="arial" w:hAnsi="arial" w:cs="arial"/>
          <w:color w:val="000000"/>
          <w:sz w:val="20"/>
          <w:lang w:val="en-US" w:eastAsia="en-US" w:bidi="ar-SA"/>
        </w:rPr>
        <w:t>: trouble falling asleep, sleep disorder.</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Moderate symptoms</w:t>
      </w:r>
      <w:r>
        <w:rPr>
          <w:rFonts w:ascii="arial" w:eastAsia="arial" w:hAnsi="arial" w:cs="arial"/>
          <w:color w:val="000000"/>
          <w:sz w:val="20"/>
          <w:lang w:val="en-US" w:eastAsia="en-US" w:bidi="ar-SA"/>
        </w:rPr>
        <w:t>: sadness, nervousness and anxiety, and sleeping more than usual.</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Absent Symptoms</w:t>
      </w:r>
      <w:r>
        <w:rPr>
          <w:rFonts w:ascii="arial" w:eastAsia="arial" w:hAnsi="arial" w:cs="arial"/>
          <w:color w:val="000000"/>
          <w:sz w:val="20"/>
          <w:lang w:val="en-US" w:eastAsia="en-US" w:bidi="ar-SA"/>
        </w:rPr>
        <w:t>: sensitivity to light and sensitivity to noise.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Noting that Mr. Bradley was diagnosed with a head injury at the time of the accident, Dr. Kiraly's assessment of Mr. Bradley's current condition included the following points: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he now feels that he cannot concentrate well on whatever he was doing. He has sleep problems because of worry. He seldom feels that he is playing an important part in things and he has difficulty making decisions.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Overall, he is unhappy and feels depression or hopelessness much of the time. He has no confidence in himself.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above findings show a definite and severe shift away from a previously healthy state towards illness.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Bradley's mental status examination showed some impact on his mental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THOUGHT PROCESS: fluid, no dyscontrol. Mostly logical, able to make plans but gets derailed. Some tangentiality. Some intrusions of images. Some obsessional repetitions. THOUGHT CONTENT: mostly of distress about already mentioned complaints. Symptoms. Autochtonous events: sad feelings images come over him without control. He has awareness of this and finds it distressing. No suicidal intent or plans. No hallucinations. MOOD: irritable, pessimistic, negative, sad (tearful), angry, ... ATTENTION &amp; CONCENTRATION: mildly impaired judging from flow of thought and discourse. MEMORY: Working memory (STM) not impaired.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depressed mood ... at least in the "moderately severe" range. Anxiety, tension, hostility and blunted affect were in the "mild" range. Other aspects were essentially negative confirming that there was no underlying psychotic process.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Hamilton Anxiety Rating Scale</w:t>
      </w:r>
      <w:r>
        <w:rPr>
          <w:rFonts w:ascii="arial" w:eastAsia="arial" w:hAnsi="arial" w:cs="arial"/>
          <w:color w:val="000000"/>
          <w:sz w:val="20"/>
          <w:lang w:val="en-US" w:eastAsia="en-US" w:bidi="ar-SA"/>
        </w:rPr>
        <w:t xml:space="preserve"> score was 28 (cutoff for moderate anxiety is 18; for severe anxiety cutoff is 28). Anxiety symptoms most heavily endorsed included insomnia cognitive difficulties and signs of strain/distress.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Fatigue Impact Scale</w:t>
      </w:r>
      <w:r>
        <w:rPr>
          <w:rFonts w:ascii="arial" w:eastAsia="arial" w:hAnsi="arial" w:cs="arial"/>
          <w:color w:val="000000"/>
          <w:sz w:val="20"/>
          <w:lang w:val="en-US" w:eastAsia="en-US" w:bidi="ar-SA"/>
        </w:rPr>
        <w:t>: 104/160 ... This score means that fatigue is a very significant problem impacting on daily living and ability to tolerate effort. Impact is mostly on Mr. Bradley's ability to meet vocational family and social expectations, exercise and carry an appropriate occupation and earn income.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he has never been naturally lazy, he now seems that way and he procrastinates. He has always been warm, friendly and good-natured and very patient towards others and now he is more irritable and aloof.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Dr. Kiraly concluded that Mr. Bradley suffered a mild traumatic brain injury (MTBI), which is the same as a complex concussion, and a Post Concussion Syndrome. He also diagnosed Mr. Bradley as suffering from PTSD symptoms such as a sleep disorder and thought intrusions about the accident. While noting improvement since the accident, Dr. Kiraly concluded that Mr. Bradley is "moderately 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Dr. Kiraly provided the following extensive summary of Mr. Bradley's deficits, residual symptoms, and problems: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following residual deficits appear to be a direct result of the injuries acquired. These deficits are consistent with what one would expect after a G-force impact (as he experienced after the MVA) being thrown from the bicycle, traveling through the air and hitting the head on hard pavement resulting in the above diagnoses: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Chronic anxiety and PTSD symptoms: Mr. Bradley has severe anxiety.</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Physical limitations: Cannot walk on uneven ground. Cannot sustain walking or related activities such as carrying heavy objects. Since the accident he cannot exercise adequately.</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has low stress tolerance. He has become avoidant and negligent with friends and loved ones.</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Sleep disorder: Insomnia and nightmares. Chronic sleep disorder with loss of normal sleep architecture is dangerous on the long-run. With loss of Stage IV (slow wave) deep sleep immune system becomes depressed. This increases the risks for cancer and other illnesses. Lack of Stage II, REM (rapid eye movement) sleep is associated with cognitive problems. Mr. Bradley exhibits cognitive dysfunction typical of the sleep deprived: he has poor recall for events on the day before but has better recall for recent events. His sleep debt is associated with poor concentration and memory and unstable emotional functioning and daytime sleepiness.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has lost appetite and weight.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Personality changes: as noted above.</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Cognitive impairment: Problems with attention, concentration and recall. He has lost confidence in reliable intellectual performance.</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Depression and concomitant psychological changes: Relationships with family and friends have deteriorated and he feels guilt around this issue. He is self-defeating because he has a very naïve and negative attitude about psychiatric illness and, for personal and cultural biases, he has remained stoic and avoidant. Also, he was hopeful that he would improve dramatically.</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Social dysfunction: lost interest in socializing and is generally less ambitious. Family and his partner have considered this peculiar.</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Musculoskeletal pain: He continues to have physical pain (foot, shin, headache).</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Chronic medication use: this remains problematic. Although he needs analgesics he has poor tolerance for drugs.</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Increased risk of repeat head injury.</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Accumulation of risk factors: Concussion itself increases the risk for presenile dementia like Alzheimer's disease. One traumatic brain injury (TBI) increases the risk of having another one. Chronic stress of pain, sleep disorder, lack of exercise and the stress associated with difficulties with optimal interpersonal functioning will increase risk of developing diabetes, obesity and a number of other conditions which are known to be independent risk factors for dementia.</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Inability to enjoy exercise and inability to maintain healthy exercise levels. Lost former recreation activities.</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Sexual dysfunction: loss of libido.</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Lack of neuropsychiatric diagnosis and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the short form of his opinion about Mr. Bradley's future, he thought that Mr. Bradley "will have suffered serious limitations in physical activity, working capacity, mobility and stress tolerance."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prognosis provided by Dr. Kiraly was generally not favourable: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is not likely that -- complete recovery will take place but hopefully with treatment of depressive and anxiety symptoms and ongoing supportive therapy, physical and psychiatric therapies, the risk of neurodegenerative changes can be slowed.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Kiraly opined that Mr. Bradley's disabilities may be permanent, including: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His ankle and bony injuries will likely develop painful arthritic changes.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many lines of work it would be impossible to function adequately with such [cognitive] symptoms.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Regulation of stress, which means time off work, is to be an integral part of his treatment; therefore, being off may have to be a medical decision -- at least from time-to-time.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mobility (walking, running, carrying loads) will severely limit choice of occupations and vocational pursuits.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Life expectancy will be shortened -- 65 more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Dr. Kiraly recommended: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short, Mr. M. Bradley will require a full neuropsychiatry workup because, in addition to his headaches and foot problems, he has complex issues consisting of anxiety, PTSD, depression and sleep disorder and some cognitive impairment. It is impossible to assess at this time how complex this process may become because these problems are all inter-related.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He recommended a thorough neuropsychological and neuropsychiatric assessment and regular follow-up appointments, as well as "counselling/psychotherapy to help him to understand and follow through with treatments and preventive practices."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McGraw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Dr. McGraw is an orthopaedic surgeon. He examined Mr. Bradley on June 29, 2006, at the request of Mr. Bath's counsel, and prepared his report on August 17,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 Bradley complained of aching pain in the right knee, which improved with physiotherapy; discomfort from the left knee down to the ankle; and tender and hypersensitive left shin. He also had low back pain which has resolved. Mr. Bradley reported that since the accident his leisure activities have been severely limited, and he is no longer skiing, playing baseball or basketball, or cycling. Dr. McGraw noted that Mr. Bradley "did not exhibit any non-organic activity or pain magnification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With respect to Mr. Bradley's left shin, Dr. McGraw opined that there will be no long term consequences, particularly no future development of post-traumatic degenerative arthritis even though "[t]he activity-related symptoms may be due to a small muscle herniation in the anterior compartment" of the shin.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With respect to the left ankle, Dr. McGraw opined that the "soft tissue injuries [in the ankle] will probably have no long-term consequences."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Both of the above opinions seem to have been focused on whether there was a need for future surgical intervention.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Dr. McGraw recommended a "supervised exercise program preferably conducted by a personal trainer or a kinesiologist familiar with post injury recovery." He (somewhat cynically) agreed with Mr. Bradley that an earlier and a more aggressive physiotherapy program might have helped.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Dr. McGraw also provided a follow-up opinion on May 15, 2008. In this opinion, he took into account the June 6, 2006 and April 2, 2008 reports of Dr. Manchanda (discussed above) and the January 18, 2008 reports of Lila Quastel (discussed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He agreed with Dr. Manchanda's initial comment that Mr. Bradley was able to work as a carpenter. He disagreed with Dr. Manchanda's subsequent conclusion that Mr. Bradley will be unable to work in this occupation as unsupported: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writer's view, this change of opinion is not based on any new assumption or fact. In the writer's view, Dr. Manchanda's physical examination on April 2, 2008 does not reveal any physical abnormality which would cause an orthopaedic surgeon to conclude that Mr. David Bradley was not fit to work as a carpenter.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Otherwise, he noted that Dr. Manchanda's findings "closely parallel" his own.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Vocational/Rehabilitation Report by Lila Quastel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Ms. Quastel is an occupational therapist. She is not a medical doctor. She conducted an evaluation "to assess Mr. Bradley's functional capacities, acquired work limitations and vocational potential" on November 16 and 17, 2007. At the outset, I note that in her report and her evidence at the trial, Ms. Quastel occasionally strayed beyond her expertise as an occupational therapist and provided opinions on medical matters such as Mr. Bradley's injuries and recommended medical treatment. I have not given any weight to those opinions, and, furthermore, they have also affected the overall weight that I gave to 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To Ms. Quastel, Mr. Bradley reported that he has been helping his girlfriend manage a residential building and he would like to become a building inspector in the future. He also reported that his leisure activities remain limited as he is unable to ski (which he tried in 2005), has not tried basketball, and although he cycles, it causes him a lot of pain. Mr. Bradley reported problems with his daily activities, such as problems with falling and staying asleep; difficulty cleaning the house; and difficulty using a computer because of discomfort caused by prolonged sitting. Mr. Bradley complained of pain in his ankle and heel, as well as his shin. Ms. Quastel reported that he was sensitive to the touch at those areas. She did not find any indication that Mr. Bradley was trying to exaggerate his pain or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Ms. Quastel found Mr. Bradley to be at an "above average level of aerobic fitness." However, after a battery of physical tolerance tests, she opined that Mr. Bradley is not able to work as a carpenter: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work and physical tolerance test results indicate that Mr. Bradley is physically capable of working at occupations in the limited and light strength categories, with limitations for sustained sitting and standing, working in body dextrous positions and sustained reaching above shoulder and head level with the right hand. Carpenters are listed in the NOC #7271, and described as having medium (3) strength demands with requirements for working in all body positions (4). Cabinet Makers are listed in the NOC # 7272, and also described as having medium (3) strength demands with requirements for working in all body positions (4). Test results indicate that Mr. Bradley does not meet the physical demands related to carpentry or to cabinet making. He has been doing odd jobs, often on a part-time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She did extensive testing on Mr. Bradley's vocational capacity, and concluded that Mr. Bradley is quite bright and capable, and is well disposed towards creative work: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His reading rate is at the 99th percentile compared to 1st year college students. On the vocabulary part of the test his score places him at grade 16.1. On the comprehension part of the test he scored at the equivalent of grade 16.6. He reads at a level well beyond his educational development.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Bradley's test results indicate above average general learning and high average verbal and numerical ability. He has high above average form and clerical perception and superior spatial perception. His motor coordination and manual dexterity are in the superior range, and his finger dexterity is solidly average.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Bradley has an above average aptitude profile. He would do well in any occupation that allows him to make use of his excellent perceptual and psychomotor skills. His scores on intellectual functioning predict success at a 2 year college program and possible success at a 4 year college or university program, provided he works hard and there are no additional stressors in his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Bradley's profile on the Canadian Occupational Interest Inventory (COIl) indicates that he has a strong preference for creative activities which involve the artistic manipulation of objects and/or ideas, and a strong preference for working alone as opposed to working with others. He has a very mild preference for activities which would permit gaining the esteem of others and/or a leadership position. He has a mild preference for scientific/technical activities as opposed to activities in the business world. His interest profile indicates that carpentry was a good occupational choice for him.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Bradley was found on testing to be capable of working at occupations in the limited and light categories, with further limitations as described above. He is limited for sustained sitting, sustained standing and distance walking. Depending on the occupation that he chooses, it is possible that he will only be able to work half time. He reads at a university level, he has an above average aptitude profile, and fairly wide ranging vocational interests. If he does improve with further treatment, then his potential for vocational rehabilitation should be fairly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She reported that Mr. Bradley's self-reported cognitive difficulties were "not demonstrated during the two days of assessment", but qualified that opinion with the observation that the testing was in "a highly structured and controlled environment".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With respect to the building inspector occupation suggested by Mr. Bradley, Ms. Quastel reported that the cost of obtaining this certification is $6,000 over two years, and average earnings are $45,000 per year. She was not sure that this was the best occupation for Mr. Bradley.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Ms. Quastel also identified two occupations that she felt would be a good match for Mr. Bradley:</w:t>
      </w:r>
      <w:r>
        <w:rPr>
          <w:rFonts w:ascii="arial" w:eastAsia="arial" w:hAnsi="arial" w:cs="arial"/>
          <w:sz w:val="20"/>
          <w:lang w:val="en-US" w:eastAsia="en-US" w:bidi="ar-SA"/>
        </w:rPr>
        <w:cr/>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Drafting Technologist, requiring $20-24,000 for training over two years, with average earnings of $20-35,000 per year.</w:t>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Graphic Designer/Illustrating Artist, a "particularly good match", requiring $20,000 for training over two years, with average earnings of $22,000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Ms. Quastel opined that if Mr. Bradley's emotional problems do not improve, he may be left with near-minimum wage jobs that require no college or university training: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Mr. Bradley's cognitive/emotional problems do not improve with treatment, he may not be able to retrain for an occupation requiring 2 years of study. He may be left with direct entry jobs or those with on-the-job training. Such jobs in the limited and light categories usually pay minimum wage or a little better, with small pay raises over time. He could expect to earn $8.00 to $10.00 per hour. Examples of such jobs include the type of apartment building management Mr. Bradley is currently working at, parking lot attendant, theatre ticket seller and ticket-taker, counter person, cashier, etc. The job he had as host on the Snowbus and working in the Snowbus company office is an example of a direct entry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 note that her conclusions with respect to Mr. Bradley's emotional problems were based on Dr. Kiraly's report, and were not necessarily confirmed by other physicians, to whom Mr. Bradley reported that he was not depressed.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 note the following portions of her conclusions: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now 4 years since Mr. Bradley was injured. His residual physical problems include constant left ankle pain with occasional sharp pain, sensitivity over the left shin, right knee ache, and right iliotibial band tightness. He landed on the road on his right shoulder at the time of the accident and that shoulder remains stiff and achy. He continues to report memory and concentration problems, reduced initiative and motivation, reduced libido, and he feels less sociable and less family oriented than he was pre-accident. His injuries have interfered with his sleep, his sexual functioning, and his home care and maintenance tasks. He has not been able to enjoy the active sports he participated in pre-accident. His injuries have particularly interfered with his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Because of his injuries Mr. Bradley has suffered the loss of an occupation he loved. He has suffered a significant loss of employment opportunities along with a loss of income. I make the assumption that pre-accident he was capable of working at all occupations, for which he suitably qualified, in the medium strength category and possibly some in the heavy strength range. He has suffered a loss of occupational choice as well as employment opportunity. It is highly likely that his future earnings will be less than had the December 2003 accident not occurred. He has experienced a significant alteration in his lifestyle with a diminished quality of life. Mr. Bradley has present and future care needs which will be presented in a separate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Causation and Liability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Scene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To place the assessment of liability in the proper context, I will describe the scene of the accident based on the provided photographic and topographic evidence. The Petro Canada gas station is located on the north-west corner of the intersection of SW Marine Dr. and Cambie Street. The SW Marine Dr. roadway adjacent to the gas station runs from north-east to south-west. The next street in the westerly direction, which also intersects with SW Marine Drive, is Lord St, separated from Cambie St. by approximately 268 feet of sidewalk.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Petro Canada gas station takes up slightly more than half of the block between Cambie St. and Lord Street. The remainder is taken up by a low-rise commercial building which exits on SW Marine Drive as well as onto Lord Street. The two properties (gas station and the commercial building) are separated by a 5.5 foot-tall wooden fence. It extends almost to the paved sidewalk, ending approximately 10 feet from the curb of SW Marine Drive. There is approximately 1.25 feet between the inner edge of the sidewalk and the wooden 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gas station has two driveways exiting onto SW Marine Drive. The eastern driveway is indicated as the entrance by a large red sign with a white arrow pointing towards from the roadway to the gas station. However, I note that the photographs were taken relatively recently and I do not know if the sign was also there at the time of the accident five years ago. In any case, nothing turns on this. The two driveways are separated by a bus stop. The western driveway, where the accident occurred, "points" outwards from the gas station as its eastern edge tapers in the south-westerly direction towards SW Marine Drive to accommodate the bus stop. As it crosses the sidewalk, the width of the driveway is approximately 41.5 feet at the gas station side and 36 feet at the curb. Between the western edge of the driveway and the fence, there is an approximately 5.5 foot-wide strip of grass, which includes a phone booth somewhat recessed from the sidewalk, and a narrow flagpole. The fence obstructs the south-westerly view from the driveway onto the sidewalk. Naturally, the line of the sight and the area of visible sidewalk is controlled by the location of the observer on the driveway, namely, the distance from the sidewalk and from the fence.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Parties'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Mr. Bradley claims that he saw Mr. Bath's vehicle 2-2.5 car lengths in front of him before he entered the driveway to cross it. He saw Mr. Bath waiting to turn right onto SW Marine Drive and for that purpose moving slowly through the driveway. Mr. Bradley says that he thought it was safe to proceed because Mr. Bath's vehicle was moving slowly and there was a significant distance between himself and Mr. Bath's vehicle. He did not expect Mr. Bath to suddenly accelerate without looking. As he was approximately in the middle of the driveway, he was suddenly hit by the front of Mr. Bath's Mercedes.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plaintiff relies on the testimony of an eyewitness, Ms. Point, to support his position. Ms. Point testified that her Ford Explorer SUV was stopped facing westbound in the curb lane of SW Marine Drive at the intersection with Cambie Street. Because her vehicle is fairly high, she could see the Petro Canada gas station clearly over the vehicle in front of her. She testified that she saw Mr. Bath's vehicle moving fast to exit the gas station and saw a bicyclist moving slowly across the driveway. She saw Mr. Bath's vehicle drive through the bicyclist as he was in the middle of the driveway. She did not see Mr. Bath's vehicle stop before the collision, which threw the bicyclist into the middle lane of the westbound lanes of SW Marine Drive. When Mr. Bath's vehicle stopped after the collision, its front end was in the curb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Mr. Bradley argues that Mr. Bath has not established any causal connection between Mr. Bradley's riding on the sidewalk in breach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and the collision. Thus, he argues that Mr. Bath is 100% liable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Mr. Bath says that he wanted to exit the gas station and was stopped approximately seven feet from the edge of the driveway waiting to make a right turn, with his vehicle facing south. He says that looked to his right, did not see anyone on the sidewalk, then looked to his left "for at least five seconds", and then proceeded to exit onto SW Marine Drive. The next thing he knew, "couple of seconds later", the plaintiff was walking to his car after the impact. Mr. Bath says that Mr. Bradley is the author of his own misfortune as he was illegally riding his bicycle on the sidewalk in contravention of s. 183(2)(a)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which reads:</w:t>
      </w:r>
      <w:r>
        <w:rPr>
          <w:rFonts w:ascii="arial" w:eastAsia="arial" w:hAnsi="arial" w:cs="arial"/>
          <w:sz w:val="20"/>
          <w:lang w:val="en-US" w:eastAsia="en-US" w:bidi="ar-SA"/>
        </w:rPr>
        <w:cr/>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operating a cycle</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must not ride on a sidewalk unless authorized by a bylaw made under section 124 or unless otherwise directed by a 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There is no dispute that Mr. Bradley was not authorized to ride on the sidewalk by a bylaw or a 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Mr. Bath relies on several cases which discuss the heightened duty of care on a person violating a traffic law: </w:t>
      </w:r>
      <w:r>
        <w:rPr>
          <w:rFonts w:ascii="arial" w:eastAsia="arial" w:hAnsi="arial" w:cs="arial"/>
          <w:b/>
          <w:i/>
          <w:color w:val="000000"/>
          <w:sz w:val="20"/>
          <w:lang w:val="en-US" w:eastAsia="en-US" w:bidi="ar-SA"/>
        </w:rPr>
        <w:t>Ivanoff v. Besnmiller</w:t>
      </w:r>
      <w:r>
        <w:rPr>
          <w:rFonts w:ascii="arial" w:eastAsia="arial" w:hAnsi="arial" w:cs="arial"/>
          <w:color w:val="000000"/>
          <w:sz w:val="20"/>
          <w:lang w:val="en-US" w:eastAsia="en-US" w:bidi="ar-SA"/>
        </w:rPr>
        <w:t xml:space="preserve">, </w:t>
      </w:r>
      <w:hyperlink r:id="rId165" w:history="1">
        <w:r>
          <w:rPr>
            <w:rFonts w:ascii="arial" w:eastAsia="arial" w:hAnsi="arial" w:cs="arial"/>
            <w:i/>
            <w:color w:val="0077CC"/>
            <w:sz w:val="20"/>
            <w:u w:val="single"/>
            <w:shd w:val="clear" w:color="auto" w:fill="FFFFFF"/>
            <w:lang w:val="en-US" w:eastAsia="en-US" w:bidi="ar-SA"/>
          </w:rPr>
          <w:t>2002 BCCA 173</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Hadden v. Lynch</w:t>
      </w:r>
      <w:r>
        <w:rPr>
          <w:rFonts w:ascii="arial" w:eastAsia="arial" w:hAnsi="arial" w:cs="arial"/>
          <w:color w:val="000000"/>
          <w:sz w:val="20"/>
          <w:lang w:val="en-US" w:eastAsia="en-US" w:bidi="ar-SA"/>
        </w:rPr>
        <w:t xml:space="preserve">, </w:t>
      </w:r>
      <w:hyperlink r:id="rId166" w:history="1">
        <w:r>
          <w:rPr>
            <w:rFonts w:ascii="arial" w:eastAsia="arial" w:hAnsi="arial" w:cs="arial"/>
            <w:i/>
            <w:color w:val="0077CC"/>
            <w:sz w:val="20"/>
            <w:u w:val="single"/>
            <w:shd w:val="clear" w:color="auto" w:fill="FFFFFF"/>
            <w:lang w:val="en-US" w:eastAsia="en-US" w:bidi="ar-SA"/>
          </w:rPr>
          <w:t>2008 BCSC 295</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Kerr v. Creighton</w:t>
      </w:r>
      <w:r>
        <w:rPr>
          <w:rFonts w:ascii="arial" w:eastAsia="arial" w:hAnsi="arial" w:cs="arial"/>
          <w:color w:val="000000"/>
          <w:sz w:val="20"/>
          <w:lang w:val="en-US" w:eastAsia="en-US" w:bidi="ar-SA"/>
        </w:rPr>
        <w:t xml:space="preserve">, </w:t>
      </w:r>
      <w:hyperlink r:id="rId167" w:history="1">
        <w:r>
          <w:rPr>
            <w:rFonts w:ascii="arial" w:eastAsia="arial" w:hAnsi="arial" w:cs="arial"/>
            <w:i/>
            <w:color w:val="0077CC"/>
            <w:sz w:val="20"/>
            <w:u w:val="single"/>
            <w:shd w:val="clear" w:color="auto" w:fill="FFFFFF"/>
            <w:lang w:val="en-US" w:eastAsia="en-US" w:bidi="ar-SA"/>
          </w:rPr>
          <w:t>2008 BCCA 75</w:t>
        </w:r>
      </w:hyperlink>
      <w:r>
        <w:rPr>
          <w:rFonts w:ascii="arial" w:eastAsia="arial" w:hAnsi="arial" w:cs="arial"/>
          <w:color w:val="000000"/>
          <w:sz w:val="20"/>
          <w:lang w:val="en-US" w:eastAsia="en-US" w:bidi="ar-SA"/>
        </w:rPr>
        <w:t>. Mr. Bath ultimately argues that Mr. Bradley has failed to prove that he "could have taken some action to prevent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Liability and Contributory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From the evidence of Mr. Bradley and Mr. Bath, as well as of Ms. Point, there are two ways in which the collision could have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first scenario is as told by Mr. Bradley and Ms. Point. In accordance with their evidence, Mr. Bradley was hit by Mr. Bath's vehicle as he was slowly (5.3 mph) riding his bicycle across the driveway. At the time of the collision, Mr. Bradley was approximately in the middle of the 36 foot driveway. Mr. Bath's vehicle was first moving slowly, but then suddenly accelerated and did not come to a stop until after the collision. Judging from the fact that the force of the impact threw Mr. Bradley 15 feet into the middle lane of SW Marine Drive, Mr. Bath's car must have been moving quite quickly.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Section 176(1)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provides that a motorist emerging from a driveway must stop before driving onto a sidewalk: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176(1) The driver of a vehicle in a business or residence district and emerging from an alley, driveway, building or private road must stop the vehicle immediately before driving onto the sidewalk or the sidewalk area extending across an alleyway or private driveway, and must yield the right of way to a pedestrian on the sidewalk or sidewalk area.</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about to enter or cross a highway from an alley, lane, driveway, building or private road must yield the right of way to traffic approaching on the highway so closely that it constitutes an immediate hazard.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If the accident happened as Mr. Bradley and Ms. Point described, then Mr. Bath clearly breached s. 176(1)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Moreover, there is a clear causal link between the breach and the accident. Had Mr. Bath stopped before driving onto the sidewalk, he would have seen Mr. Bradley riding his bicycle, and would have waited until Mr. Bradley had cleared the driveway before proceeding. While Mr. Bradley was also in breach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by riding on the sidewalk, there is no causal link between his breach and the accident. Mr. Bradley could have just as easily been a jogger (moving at approximately the same speed as Mr. Bradley was travelling at the time), a rollerblader, or a regular pedestrian. Mr. Bath failed to see Mr. Bradley not because he was riding a bicycle on the sidewalk, but because he failed to stop his vehicle before crossing the sidewalk to take account of people who may be travelling on the sidewalk. Thus, Mr. Bath's actions fell below the standard of an ordinarily prudent person: </w:t>
      </w:r>
      <w:r>
        <w:rPr>
          <w:rFonts w:ascii="arial" w:eastAsia="arial" w:hAnsi="arial" w:cs="arial"/>
          <w:b/>
          <w:i/>
          <w:color w:val="000000"/>
          <w:sz w:val="20"/>
          <w:lang w:val="en-US" w:eastAsia="en-US" w:bidi="ar-SA"/>
        </w:rPr>
        <w:t>Hadden</w:t>
      </w:r>
      <w:r>
        <w:rPr>
          <w:rFonts w:ascii="arial" w:eastAsia="arial" w:hAnsi="arial" w:cs="arial"/>
          <w:color w:val="000000"/>
          <w:sz w:val="20"/>
          <w:lang w:val="en-US" w:eastAsia="en-US" w:bidi="ar-SA"/>
        </w:rPr>
        <w:t>, at para. 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The second scenario is as described by Mr. Bath. According to him, he stopped his vehicle before he crossed the sidewalk, looked to his right and did not see anyone on the sidewalk, then looked to his left for </w:t>
      </w:r>
      <w:r>
        <w:rPr>
          <w:rFonts w:ascii="arial" w:eastAsia="arial" w:hAnsi="arial" w:cs="arial"/>
          <w:color w:val="000000"/>
          <w:sz w:val="20"/>
          <w:u w:val="single"/>
          <w:lang w:val="en-US" w:eastAsia="en-US" w:bidi="ar-SA"/>
        </w:rPr>
        <w:t>at least</w:t>
      </w:r>
      <w:r>
        <w:rPr>
          <w:rFonts w:ascii="arial" w:eastAsia="arial" w:hAnsi="arial" w:cs="arial"/>
          <w:color w:val="000000"/>
          <w:sz w:val="20"/>
          <w:lang w:val="en-US" w:eastAsia="en-US" w:bidi="ar-SA"/>
        </w:rPr>
        <w:t xml:space="preserve"> five seconds until the traffic coming from the east cleared, and only then proceeded across the sidewalk, at which point "Mr. Bradley collided with the front of my vehicle". Given that Mr. Bradley was thrown into the middle lane of SW Marine Drive, the more accurate description would be that the front of Mr. Bath's car collided with Mr. Bradley, rather than the other way around, denoting the fact that it was really Mr. Bath who hit Mr. Bradley, and not the other way around.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The problem with Mr. Bath's scenario is that many things could have happened on the sidewalk to his right in the "at least five seconds" that he was only looking to the left before proceeding. A pedestrian could have come down the sidewalk from the westerly direction, walking from Lord St. or perhaps entering the sidewalk to the commercial building immediately next to the gas station. At an average walking speed of 3.125 mph (5 km/h), a pedestrian would have walked approximately 23 feet during that time. A jogger, moving at an average jogging speed of 5.3 mph (8 km/h), could also have come down the sidewalk, and would have travelled at least 36 feet during that time. A rollerblader would have travelled an even greater distance. Any of those people could have travelled on the sidewalk to end up just in front or to the right of Mr. Bath's vehicle as he started to move after looking to the left for at least five seconds. The inescapable conclusion is that Mr. Bath would not have been aware of any of these things that could have occurred during the time he looked only to the left because he did not look to the right </w:t>
      </w:r>
      <w:r>
        <w:rPr>
          <w:rFonts w:ascii="arial" w:eastAsia="arial" w:hAnsi="arial" w:cs="arial"/>
          <w:color w:val="000000"/>
          <w:sz w:val="20"/>
          <w:u w:val="single"/>
          <w:lang w:val="en-US" w:eastAsia="en-US" w:bidi="ar-SA"/>
        </w:rPr>
        <w:t>before</w:t>
      </w:r>
      <w:r>
        <w:rPr>
          <w:rFonts w:ascii="arial" w:eastAsia="arial" w:hAnsi="arial" w:cs="arial"/>
          <w:color w:val="000000"/>
          <w:sz w:val="20"/>
          <w:lang w:val="en-US" w:eastAsia="en-US" w:bidi="ar-SA"/>
        </w:rPr>
        <w:t xml:space="preserve"> he started moving. Mr. Bath, as the driver, did not act in a manner in which an ordinarily prudent person would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I note that if Mr. Bath's story is true, and he did stop, look to the right and to the left, and then proceeded forward, then what he saw on the right hand side would have been limited by the fence and depended on where exactly he stopped. Assuming a scenario most favourable to Mr. Bath, that he stopped in accordance with s. 176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before his vehicle drove onto the sidewalk, then his line of sight would start at approximately 13 feet away from the curb of SW Marine Drive. In accordance with the photographic evidence, the plan of the area, and some very basic geometry, of which I can surely take judicial notice, Mr. Bath's line of sight would extend approximately 73 feet from the edge of the fence. This is the approximate distance to the driveway of the next business. If Mr. Bath stopped with his vehicle on the sidewalk rather than before it, his line of sight would have been much greater, and, in accordance with the photographic evidence, he would be able to see the sidewalk west of Lord 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However, if either one of these scenarios is true, then it is a mystery how Mr. Bath did not see Mr. Bradley riding on the sidewalk. The point 73 feet away from the edge of the fence is approximately 95 feet away from the centre of the driveway where the collision occurred. Thus, for Mr. Bath's best case scenario to work, that "Mr. Bradley was in fact five seconds away from Mr. Bath's vehicle at the time he first saw it", Mr. Bradley would have had to travel these 95 feet at the speed of 13 mph (20.9 km/h). This is significantly different from the 5.3 mph (8 km/h) that Mr. Bradley testified he was traveling; an assertion which was supported by Ms. Point's evidence that the cyclist she saw was moving slowly, and was not contradicted by Mr. Bath. Moreover, the closer to the sidewalk (or on the sidewalk) Mr. Bath stopped his vehicle, the greater would be his line of sight and thus the faster Mr. Bradley would have had to have been traveling in order to cross that distance in the five seconds that Mr. Bath was looking away. Of course, another conclusion that could be drawn from this is that Mr. Bath did in fact see Mr. Bradley when he first looked to the right, but either forgot about him or hoped that he had not traveled the distance to the driveway in the five seconds that Mr. Bath did not look in his direction. I do not see how this would be any less negligent than failing to look to the right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If Mr. Bath was stopped very close to the fence such that it was obstructing his view, then he had an even higher onus to proceed with caution in the light of his limited view to the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Either scenario leads to the conclusion that Mr. Bath bears full liability for this accident. While Mr. Bradley was under a duty to take greater care because he was in breach of the law by riding on the sidewalk, I cannot find that his breach was causally related to the accident. As I indicated above, the accident was not caused by Mr. Bradley riding his bicycle on the sidewalk: a pedestrian, jogger or a rollerblader could have been in his place. Rather, the accident was caused by Mr. Bath either failing to stop his vehicle before driving across the sidewalk in accordance with s. 176(1)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or by failing to look to his right before starting motion after looking away for a period of time during which a person could have appeared to the right of his vehicle. Thus, I cannot find that Mr. Bradley was contributorily negligent in this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In summary, I find Mr. Bath fully liable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First, I must say several words about credibility. Generally, I found the plaintiff to be a credible witness. He has not shown a tendency to exaggerate his symptoms, although, understandably, he is feeling somewhat sorry for himself. I also found his girlfriend to be a candid and honest witness. Neither was discredited in cross-examination. I have no reason to distrust their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 was somewhat concerned about the evidence of Ms. Quastel, who appeared partisan towards Mr. Bradley; the evidence of Dr. McGraw who seemed to be partisan to the defence, particularly in minimizing Mr. Bradley's symptoms; and the evidence of Dr. Kiraly, who appears to have relied on some erroneous or unproven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The second item of importance is the fact that Mr. Bradley was not wearing a helmet at the time of the collision, another breach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Intuitively, I believe that this fact may have exacerbated Mr. Bradley's head trauma. However, Mr. Bath adduced no evidence on this issue. Accordingly, in the evidentiary vacuum, and given that the most painful and life-affecting injuries have been to Mr. Bradley's leg and ankle, there will be no discount for Mr. Bradley's failure to wear a helmet.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Ms. Quastel has provided her opinion on the cost of future care. She assessed this based on two scenarios: positive outcome -- where Mr. Bradley is able to retrain into a new profession; and poor outcome -- where Mr. Bradley is limited to direct entry jobs.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These scenarios are summarized in the following two tables.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Good outcome: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INITIAL OR ONE-TIME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601"/>
        <w:gridCol w:w="2718"/>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Lumbosacral Spine MRI</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875.00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018"/>
        <w:gridCol w:w="2301"/>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91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Neuropsychological Assessment</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5,000.00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286"/>
        <w:gridCol w:w="3033"/>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Family Counselling</w:t>
            </w:r>
          </w:p>
        </w:tc>
        <w:tc>
          <w:tcPr>
            <w:tcW w:w="297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4,800.00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541"/>
        <w:gridCol w:w="1778"/>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42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Vocational Counselling (10 Sessions)</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1,450.00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286"/>
        <w:gridCol w:w="3033"/>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 ONE-TIME COSTS</w:t>
            </w:r>
          </w:p>
        </w:tc>
        <w:tc>
          <w:tcPr>
            <w:tcW w:w="297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$12,125.00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ANNUAL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659"/>
        <w:gridCol w:w="3660"/>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Medication</w:t>
            </w:r>
          </w:p>
        </w:tc>
        <w:tc>
          <w:tcPr>
            <w:tcW w:w="358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$1,000.00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018"/>
        <w:gridCol w:w="2301"/>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Psychological Counselling for</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Mr. Bradley, year 1</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8,320.00</w:t>
            </w:r>
          </w:p>
        </w:tc>
        <w:tc>
          <w:tcPr>
            <w:tcW w:w="307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018"/>
        <w:gridCol w:w="2301"/>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Psychological Counselling for</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Mr. Bradley, year 2</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4,160.00</w:t>
            </w:r>
          </w:p>
        </w:tc>
        <w:tc>
          <w:tcPr>
            <w:tcW w:w="307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018"/>
        <w:gridCol w:w="2301"/>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Psychological Counselling for</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Mr. Bradley, year 3 onward</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1,920.00</w:t>
            </w:r>
          </w:p>
        </w:tc>
        <w:tc>
          <w:tcPr>
            <w:tcW w:w="307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124"/>
        <w:gridCol w:w="2195"/>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Occupational Therapist, year 1</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7,040.00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496"/>
        <w:gridCol w:w="2823"/>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Physiotherapy, year 1</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2,340.00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124"/>
        <w:gridCol w:w="2195"/>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Physiotherapy, year 2 onward</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810.00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705"/>
        <w:gridCol w:w="2614"/>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Case Manager, years 1 &amp; 2</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2,640.00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332"/>
        <w:gridCol w:w="1987"/>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2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Fitness/Aquatic Centre Membership</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28"/>
        <w:gridCol w:w="2091"/>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Kinesiologist or Fitness Trainer,</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year 1</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1,560.00</w:t>
            </w:r>
          </w:p>
        </w:tc>
        <w:tc>
          <w:tcPr>
            <w:tcW w:w="307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332"/>
        <w:gridCol w:w="1987"/>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2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Kinesiologist or Fitness Trainer,</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2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year 2 onward</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240.00</w:t>
            </w:r>
          </w:p>
        </w:tc>
        <w:tc>
          <w:tcPr>
            <w:tcW w:w="307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496"/>
        <w:gridCol w:w="2823"/>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Janitorial Assistance</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3,120.00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705"/>
        <w:gridCol w:w="2614"/>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Home Maintenance Service,</w:t>
            </w:r>
          </w:p>
        </w:tc>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year 4 onward</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2,190.00</w:t>
            </w:r>
          </w:p>
        </w:tc>
        <w:tc>
          <w:tcPr>
            <w:tcW w:w="307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018"/>
        <w:gridCol w:w="2301"/>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Heavy Gardening Assistance,</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year 4 onward</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750.00</w:t>
            </w:r>
          </w:p>
        </w:tc>
        <w:tc>
          <w:tcPr>
            <w:tcW w:w="307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541"/>
        <w:gridCol w:w="1778"/>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42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Vocational Rehabilitation Personnel,</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42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year 2</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4,500.00</w:t>
            </w:r>
          </w:p>
        </w:tc>
        <w:tc>
          <w:tcPr>
            <w:tcW w:w="307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541"/>
        <w:gridCol w:w="1778"/>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42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Vocational Rehabilitation Personnel,</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42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year 3 onward</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1,875.00</w:t>
            </w:r>
          </w:p>
        </w:tc>
        <w:tc>
          <w:tcPr>
            <w:tcW w:w="307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332"/>
        <w:gridCol w:w="1987"/>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2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Supportive and Well-Padded Shoes</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496"/>
        <w:gridCol w:w="2823"/>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Memory Aids, year 1</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751"/>
        <w:gridCol w:w="1568"/>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63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Memory Aids Replacement, year 2 onward</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809"/>
        <w:gridCol w:w="2510"/>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 Annual Costs, Year One</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$26,920.00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705"/>
        <w:gridCol w:w="2614"/>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 ANNUAL COSTS, YEAR 2</w:t>
            </w:r>
          </w:p>
        </w:tc>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$17,270.00</w:t>
            </w:r>
          </w:p>
        </w:tc>
        <w:tc>
          <w:tcPr>
            <w:tcW w:w="3072"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 ANNUAL COSTS, YEAR 3</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$12,405.00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124"/>
        <w:gridCol w:w="2195"/>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 ANNUAL COSTS, YEAR 4 ONWARD</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$15,345.00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Provisional Additional Annual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809"/>
        <w:gridCol w:w="2510"/>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Libido Enhancing Medication</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$1,560.00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Poor outcome: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INITIAL OR ONE-TIME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601"/>
        <w:gridCol w:w="2718"/>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Lumbosacral Spine MRI</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875.00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018"/>
        <w:gridCol w:w="2301"/>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91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Neuropsychological Assessment</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5,000.00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286"/>
        <w:gridCol w:w="3033"/>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Family Counselling</w:t>
            </w:r>
          </w:p>
        </w:tc>
        <w:tc>
          <w:tcPr>
            <w:tcW w:w="297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4,800.00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541"/>
        <w:gridCol w:w="1778"/>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42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Vocational Counselling (10 Sessions)</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1,450.00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496"/>
        <w:gridCol w:w="2823"/>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40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Vocational Retraining,</w:t>
            </w:r>
          </w:p>
        </w:tc>
        <w:tc>
          <w:tcPr>
            <w:tcW w:w="276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Two Year College Program</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20-22,000.00</w:t>
            </w:r>
          </w:p>
        </w:tc>
        <w:tc>
          <w:tcPr>
            <w:tcW w:w="307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960"/>
        <w:gridCol w:w="28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83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or</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28"/>
        <w:gridCol w:w="2091"/>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Building Inspector Certification</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Program</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6,000.00</w:t>
            </w:r>
          </w:p>
        </w:tc>
        <w:tc>
          <w:tcPr>
            <w:tcW w:w="307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078"/>
        <w:gridCol w:w="3764"/>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 ONE-TIME COSTS</w:t>
            </w:r>
          </w:p>
        </w:tc>
        <w:tc>
          <w:tcPr>
            <w:tcW w:w="368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$32-$34,125.00, or</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319"/>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16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$18,125.00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ANNUAL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659"/>
        <w:gridCol w:w="3660"/>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Medication</w:t>
            </w:r>
          </w:p>
        </w:tc>
        <w:tc>
          <w:tcPr>
            <w:tcW w:w="358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$1,000.00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705"/>
        <w:gridCol w:w="2614"/>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Psychological Counselling</w:t>
            </w:r>
          </w:p>
        </w:tc>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for Mr. Bradley, year 1</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8,320.00</w:t>
            </w:r>
          </w:p>
        </w:tc>
        <w:tc>
          <w:tcPr>
            <w:tcW w:w="307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705"/>
        <w:gridCol w:w="2614"/>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Psychological Counselling</w:t>
            </w:r>
          </w:p>
        </w:tc>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for Mr. Bradley, year 2</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4,160.00</w:t>
            </w:r>
          </w:p>
        </w:tc>
        <w:tc>
          <w:tcPr>
            <w:tcW w:w="307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124"/>
        <w:gridCol w:w="2195"/>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Psychological Counselling</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for Mr. Bradley, year 3 onward</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1,920.00</w:t>
            </w:r>
          </w:p>
        </w:tc>
        <w:tc>
          <w:tcPr>
            <w:tcW w:w="307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124"/>
        <w:gridCol w:w="2195"/>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Occupational Therapist, year 1</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7,040.00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496"/>
        <w:gridCol w:w="2823"/>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Physiotherapy, year 1</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2,340.00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124"/>
        <w:gridCol w:w="2195"/>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Physiotherapy, year 2 onward</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810.00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705"/>
        <w:gridCol w:w="2614"/>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Case Manager, years 1 &amp; 2</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2,640.00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332"/>
        <w:gridCol w:w="1987"/>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2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Fitness/Aquatic Centre Membership</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28"/>
        <w:gridCol w:w="2091"/>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Kinesiologist or Fitness Trainer,</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year 1</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1,560.00</w:t>
            </w:r>
          </w:p>
        </w:tc>
        <w:tc>
          <w:tcPr>
            <w:tcW w:w="307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332"/>
        <w:gridCol w:w="1987"/>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2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Kinesiologist or Fitness Trainer,</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2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year 2 onward</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240.00</w:t>
            </w:r>
          </w:p>
        </w:tc>
        <w:tc>
          <w:tcPr>
            <w:tcW w:w="307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496"/>
        <w:gridCol w:w="2823"/>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Janitorial Assistance</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3,120.00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705"/>
        <w:gridCol w:w="2614"/>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Home Maintenance Service,</w:t>
            </w:r>
          </w:p>
        </w:tc>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year 4 onward</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2,190.00</w:t>
            </w:r>
          </w:p>
        </w:tc>
        <w:tc>
          <w:tcPr>
            <w:tcW w:w="307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018"/>
        <w:gridCol w:w="2301"/>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Heavy Gardening Assistance,</w:t>
            </w:r>
          </w:p>
        </w:tc>
        <w:tc>
          <w:tcPr>
            <w:tcW w:w="225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91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year 4 onward</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750.00</w:t>
            </w:r>
          </w:p>
        </w:tc>
        <w:tc>
          <w:tcPr>
            <w:tcW w:w="307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332"/>
        <w:gridCol w:w="1987"/>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2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Supportive and Well-Padded Shoes</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496"/>
        <w:gridCol w:w="2823"/>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Memory Aids, year 1</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809"/>
        <w:gridCol w:w="2510"/>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Memory Aids Replacement,</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year 2 onward</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100.00</w:t>
            </w:r>
          </w:p>
        </w:tc>
        <w:tc>
          <w:tcPr>
            <w:tcW w:w="307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809"/>
        <w:gridCol w:w="2510"/>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 Annual Costs, Year One</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$26,920.00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705"/>
        <w:gridCol w:w="2614"/>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 ANNUAL COSTS, YEAR 2</w:t>
            </w:r>
          </w:p>
        </w:tc>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$12,770.00</w:t>
            </w:r>
          </w:p>
        </w:tc>
        <w:tc>
          <w:tcPr>
            <w:tcW w:w="3072"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 ANNUAL COSTS, YEAR 3</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$7,890.00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124"/>
        <w:gridCol w:w="2195"/>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 ANNUAL COSTS, YEAR 4 ONWARD</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$10,830.00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Provisional Additional Annual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809"/>
        <w:gridCol w:w="2510"/>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Libido Enhancing Medication</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$1,560.00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 note that the primary difference between the two scenarios is the cost of retraining. On the evidence before me, I find that the positive outcome scenario is much more likely than the poor outcome scenario. Specifically, I see no reason why Mr. Bradley will not be able to retrain into a new position. The evidence shows that he is a bright and capable young man, with an above average vocational capacity, and I believe that he will be successful in a job that will not tax his physical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There are a number of items in the "positive outcome" list which I find to be unnecessary, redundant, or excessive.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First, as I mentioned previously, Ms. Quastel is not a physician, and does not have the expertise to recommend medical treatment. Thus, I cannot give much weight to her recommendation for a "neuropsychological assessment", medications, or psychological counselling. However, I do note that a neuropsychological assessment was recommended by Dr. Kiraly in his July 10, 2006 report, and counselling was recommended by both Dr. Unger and Dr. Kiraly. Both of these recommendations were made some time ago. Mr. Bradley has not provided any recent evidence regarding these recommendations, and has not indicated that the neuropsychological assessment is not covered by the provincial Medical Services Plan ("MSP"). However, based on all of the evidence, and particularly the reports of Dr. Kiraly and Dr. Unger, and the evidence of the plaintiff, I believe that Mr. Bradley will benefit from psychological counselling. The sum of $5,000 should be sufficient for this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cost of a neuropsychological assessment, and medications will not be included in the award for costs of future care. The costs of the assessment would be covered by MSP if recommended by a psychiatrist should Mr. Bradley's family doctor decide it is necessary to refer him. I am not satisfied there is medical evidence supporting Mr. Bradley's need to have libido enhancing medication or medical evidence to support that it would assist in addressing the issues in his intimate relationship with his partner.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An MRI examination is generally covered by MSP, and an MRI examination has previously been performed on Mr. Bradley's ankle. If another MRI is required, it will also be paid for by MSP. I see no reason why an MRI examination at a private clinic is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Given the changes that Mr. Bradley has experienced, and the difficulties in his relationship with his girlfriend, it is reasonable for Mr. Bradley and his girlfriend to receive family counselling. His parents are not parties to this action, and Mr. Bradley has not made an in-trust claim on their behalf. Thus, I find no reason why family counselling for his parents should be included in an award for cost of future care in this action. However, I recognize the difficulties that the accident may have caused in Mr. Bradley's relationship with his parents and find that </w:t>
      </w:r>
      <w:r>
        <w:rPr>
          <w:rFonts w:ascii="arial" w:eastAsia="arial" w:hAnsi="arial" w:cs="arial"/>
          <w:color w:val="000000"/>
          <w:sz w:val="20"/>
          <w:u w:val="single"/>
          <w:lang w:val="en-US" w:eastAsia="en-US" w:bidi="ar-SA"/>
        </w:rPr>
        <w:t>he</w:t>
      </w:r>
      <w:r>
        <w:rPr>
          <w:rFonts w:ascii="arial" w:eastAsia="arial" w:hAnsi="arial" w:cs="arial"/>
          <w:color w:val="000000"/>
          <w:sz w:val="20"/>
          <w:lang w:val="en-US" w:eastAsia="en-US" w:bidi="ar-SA"/>
        </w:rPr>
        <w:t xml:space="preserve"> should have some family counselling to deal with this subject. I find that a total of 20 sessions at $160 per session (down from 30 sessions suggested by Ms. Quastel)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 also reject Ms. Quastel's recommendation that Mr. Bradley will need vocational counselling at a sum of $1,450. However, I recognize that Mr. Bradley does need to retrain and enter a new career, something which he would not have had to do but for the accident. I believe that an amount of $500 is reasonable to cover vocational counselling and/or résumé writing assistance. Similarly, I see no need for future vocational rehabilitation. Despite his injuries, Mr. Bradley has been able to find a number of jobs since the accident. I believe that once he successfully retrains for a new career, this pattern will continue.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evidence has not shown that Mr. Bradley is in need of extensive in-home occupational therapy recommended by Ms. Quastel. While Mr. Bradley has become somewhat scattered and less attentive, his cognitive deficits appear to be quite minimal. An amount of $500 for occupational therapy is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Mr. Bradley is not disabled and will only require a limited amount of future care. Thus, he will not need a case manager.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evidence has shown that physiotherapy has greatly helped Mr. Bradley manage the pain in his leg and ankle and that further physiotherapy will assist him. One session per week for the first year and 18 sessions per year for the subsequent years is reasonable. This amounts to $2,340 for the first year and a present value of $18,206 for subsequent years, to a total of $20,546.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Given that Mr. Bradley's outdoor fitness activities have been restricted by the injuries he has suffered in the accident, he will need to maintain his fitness in a gym setting. The amount of $500 per year for a fitness/aquatic centre membership is reasonable, with a present value of $11,730 according to the economic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Mr. Bradley will also need to develop a fitness routine that will recognize his injuries and will safeguard against further injury. He will need the assistance of a professional, such as a kinesiologist, to develop and maintain such a programme. The cost of this professional assistance amounts to $1,560 for the first year and a present value of $5,394 for subsequent years, to a total of $6,954.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Mr. Bradley is a young man in a generally good state of fitness. While he is not able to be employed full time in a manual labour job such as carpentry, he has been able to work in this occupation part time despite his injuries. Thus, I see no need for janitorial or home maintenance assistance for Mr. Bradley.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Both well-padded shoes and some memory aids are reasonable on the evidence. The amounts suggested by Ms. Quastel are reasonable: $200 for shoes, $200 initially for memory aids (e.g. electronic organizer), and $2,248 as present value for future replacement costs, to a total of $2,648.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In summary, I make the following award for the costs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705"/>
        <w:gridCol w:w="2614"/>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Psychological Counselling</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$5,000.00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286"/>
        <w:gridCol w:w="3033"/>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Family Counselling</w:t>
            </w:r>
          </w:p>
        </w:tc>
        <w:tc>
          <w:tcPr>
            <w:tcW w:w="297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3,200.00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705"/>
        <w:gridCol w:w="2614"/>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Vocational Counselling</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705"/>
        <w:gridCol w:w="2614"/>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Vocational Retraining</w:t>
            </w:r>
          </w:p>
        </w:tc>
        <w:tc>
          <w:tcPr>
            <w:tcW w:w="256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Two Year College Program</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22,000.00</w:t>
            </w:r>
          </w:p>
        </w:tc>
        <w:tc>
          <w:tcPr>
            <w:tcW w:w="307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601"/>
        <w:gridCol w:w="2718"/>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Occupational Therapy</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973"/>
        <w:gridCol w:w="3346"/>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Physiotherapy</w:t>
            </w:r>
          </w:p>
        </w:tc>
        <w:tc>
          <w:tcPr>
            <w:tcW w:w="327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20,546.00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228"/>
        <w:gridCol w:w="2091"/>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Fitness/aquatic centre membership</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11,730.00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973"/>
        <w:gridCol w:w="3346"/>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Kinesiologist</w:t>
            </w:r>
          </w:p>
        </w:tc>
        <w:tc>
          <w:tcPr>
            <w:tcW w:w="327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6,954.00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809"/>
        <w:gridCol w:w="2510"/>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Shoes, memory aids</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2,648.00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241"/>
        <w:gridCol w:w="4078"/>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399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$73,078.00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I note that in determining the award for the cost of future care, the courts have found such an award to be notional and imprecise in nature. I have considered what care is likely in Mr. Bradley's best interests and have relied on expert evidence in calculating its present cost. I have also determined that the items I have awarded are medically required, and would represent expenses the plaintiff would likely incur. Those items that I have not considered necessary or justifiable or would not likely be used by the plaintiff, I have not allowed. In basing my decision on these determinations, I have relied on </w:t>
      </w:r>
      <w:r>
        <w:rPr>
          <w:rFonts w:ascii="arial" w:eastAsia="arial" w:hAnsi="arial" w:cs="arial"/>
          <w:b/>
          <w:i/>
          <w:color w:val="000000"/>
          <w:sz w:val="20"/>
          <w:lang w:val="en-US" w:eastAsia="en-US" w:bidi="ar-SA"/>
        </w:rPr>
        <w:t>Strachan (Guardian ad Litem of) v. Reynolds</w:t>
      </w:r>
      <w:r>
        <w:rPr>
          <w:rFonts w:ascii="arial" w:eastAsia="arial" w:hAnsi="arial" w:cs="arial"/>
          <w:color w:val="000000"/>
          <w:sz w:val="20"/>
          <w:lang w:val="en-US" w:eastAsia="en-US" w:bidi="ar-SA"/>
        </w:rPr>
        <w:t xml:space="preserve">, </w:t>
      </w:r>
      <w:hyperlink r:id="rId168" w:history="1">
        <w:r>
          <w:rPr>
            <w:rFonts w:ascii="arial" w:eastAsia="arial" w:hAnsi="arial" w:cs="arial"/>
            <w:i/>
            <w:color w:val="0077CC"/>
            <w:sz w:val="20"/>
            <w:u w:val="single"/>
            <w:shd w:val="clear" w:color="auto" w:fill="FFFFFF"/>
            <w:lang w:val="en-US" w:eastAsia="en-US" w:bidi="ar-SA"/>
          </w:rPr>
          <w:t>2006 BCSC 362</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Courdin v. Meyers</w:t>
      </w:r>
      <w:r>
        <w:rPr>
          <w:rFonts w:ascii="arial" w:eastAsia="arial" w:hAnsi="arial" w:cs="arial"/>
          <w:color w:val="000000"/>
          <w:sz w:val="20"/>
          <w:lang w:val="en-US" w:eastAsia="en-US" w:bidi="ar-SA"/>
        </w:rPr>
        <w:t xml:space="preserve">, </w:t>
      </w:r>
      <w:hyperlink r:id="rId169" w:history="1">
        <w:r>
          <w:rPr>
            <w:rFonts w:ascii="arial" w:eastAsia="arial" w:hAnsi="arial" w:cs="arial"/>
            <w:i/>
            <w:color w:val="0077CC"/>
            <w:sz w:val="20"/>
            <w:u w:val="single"/>
            <w:shd w:val="clear" w:color="auto" w:fill="FFFFFF"/>
            <w:lang w:val="en-US" w:eastAsia="en-US" w:bidi="ar-SA"/>
          </w:rPr>
          <w:t>2005 BCCA 91</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 find that on December 3, 2003, Mr. Bradley was going to start a full-time job at Skookum Space Rentals at a salary of $22 per hour, which is equivalent to $45,914 gross, or $37,512 net of taxes, annually plus bonuses and overtime. I agree with the plaintiff's submissions that while this salary may seem high for someone of Mr. Bradley's age at the time of the accident, he has been doing carpentry and similar work since he was a child and did have much more carpentry experience than an average 23 year old. The plaintiff submits that Mr. Bradley would have earned $168,804.00 in net wages at this job to the date of the trial. I add to that amount 10% for bonuses and overtime, to a total of $185,684.40.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After the accident, Mr. Bradley worked at a number of positions:</w:t>
      </w:r>
      <w:r>
        <w:rPr>
          <w:rFonts w:ascii="arial" w:eastAsia="arial" w:hAnsi="arial" w:cs="arial"/>
          <w:sz w:val="20"/>
          <w:lang w:val="en-US" w:eastAsia="en-US" w:bidi="ar-SA"/>
        </w:rPr>
        <w:cr/>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July 10 to August 25, 2004: security guard at the Sylvia Hotel, $2,289.15 net.</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November 2004 to April 2005: host for Snowbus, no evidence of earnings.</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Mid-May to mid-November 2005: part-time carpenter at West Isle Design, $4,500 gross.</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July to the end of September 2005: ski-lift painter, $2,700 gross.</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April 2006 - December 2006: window-cleaner, $10,123 net.</w:t>
      </w:r>
    </w:p>
    <w:p>
      <w:pPr>
        <w:numPr>
          <w:numId w:val="3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February - March 2007: odd jobs for a residential building, $775.00 gross.</w:t>
      </w:r>
    </w:p>
    <w:p>
      <w:pPr>
        <w:numPr>
          <w:numId w:val="3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November 2007 - present: manager/caretaker, $8,180 net.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It is difficult to calculate the total amount Mr. Bradley earned because he has not provided sufficient evidence of how much he earned at some jobs, and has only indicated the gross or the net amount for others. However, for loss of past wages, I award Mr. Bradley's $185,684.40 less the amount that he actually earned from December 3, 2003 to the trial. Counsel will no doubt be able to reach agreement as to the correct number to be deducted as well as the tax consequences of this award. If they are unable to agree, they are at liberty to apply.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Future Wages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 found that as a result of the accident Mr. Bradley will have to retrain for a new career. This will be a full time pursuit. However, but for the accident, Mr. Bradley would not have needed retraining and thus would not need to take two years off work. As found above, he would have continued working, earning at least $41,263.20 per year net of taxes ($37,512 net plus 10% for bonuses and overtime). Thus, over the two years of schooling, he will have lost $82,526.40. I must deduct from that amount a reasonable amount for such contingencies as the shutdown of a business, layoffs, a decision to move back to Ontario. I therefore deduct the amount of $10,000.00.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 award Mr. Bradley $72,526.40 for future lost wages.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 find that there are two fundamental and interrelated problems with estimating Mr. Bradley's loss of earning capacity. First, the economic reports provided by the plaintiff focus on the amounts Mr. Bradley would have earned solely based on his age. As I have found, he was earning higher wages because of his experience and capacity. This is supported by the fact that sometime in 2005/2006, Mr. Bradley successfully attended Langara College in Vancouver for a course in small business entrepreneurship and also successfully challenged a "joinery" examination. This militates towards a higher award as Mr. Bradley would have likely earned more than projected but for the accident. Second, Mr. Bradley is an industrious and bright young man. He has held many jobs and I have confidence will succeed in a new career that he chooses, with proper retraining and counselling. Thus, he will likely earn more than the average in his chosen field. This militates towards a lower award as his future earnings will also likely be higher than projected.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On the subject of assessment of loss of future earning capacity, I adopt the concise words of Madam Justice Dickson in </w:t>
      </w:r>
      <w:r>
        <w:rPr>
          <w:rFonts w:ascii="arial" w:eastAsia="arial" w:hAnsi="arial" w:cs="arial"/>
          <w:b/>
          <w:i/>
          <w:color w:val="000000"/>
          <w:sz w:val="20"/>
          <w:lang w:val="en-US" w:eastAsia="en-US" w:bidi="ar-SA"/>
        </w:rPr>
        <w:t>Kuskis v. Hon Tin</w:t>
      </w:r>
      <w:r>
        <w:rPr>
          <w:rFonts w:ascii="arial" w:eastAsia="arial" w:hAnsi="arial" w:cs="arial"/>
          <w:color w:val="000000"/>
          <w:sz w:val="20"/>
          <w:lang w:val="en-US" w:eastAsia="en-US" w:bidi="ar-SA"/>
        </w:rPr>
        <w:t xml:space="preserve">, </w:t>
      </w:r>
      <w:hyperlink r:id="rId170" w:history="1">
        <w:r>
          <w:rPr>
            <w:rFonts w:ascii="arial" w:eastAsia="arial" w:hAnsi="arial" w:cs="arial"/>
            <w:i/>
            <w:color w:val="0077CC"/>
            <w:sz w:val="20"/>
            <w:u w:val="single"/>
            <w:shd w:val="clear" w:color="auto" w:fill="FFFFFF"/>
            <w:lang w:val="en-US" w:eastAsia="en-US" w:bidi="ar-SA"/>
          </w:rPr>
          <w:t>2008 BCSC 862</w:t>
        </w:r>
      </w:hyperlink>
      <w:r>
        <w:rPr>
          <w:rFonts w:ascii="arial" w:eastAsia="arial" w:hAnsi="arial" w:cs="arial"/>
          <w:color w:val="000000"/>
          <w:sz w:val="20"/>
          <w:lang w:val="en-US" w:eastAsia="en-US" w:bidi="ar-SA"/>
        </w:rPr>
        <w:t xml:space="preserve"> at 151-155: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[151] A claim for loss of future earning capacity raises two issues: (1) has the plaintiff's earning capacity been impaired to any degree by her injuries and, if so, (2) what amount should be awarded: </w:t>
      </w:r>
      <w:r>
        <w:rPr>
          <w:rFonts w:ascii="arial" w:eastAsia="arial" w:hAnsi="arial" w:cs="arial"/>
          <w:b/>
          <w:i/>
          <w:color w:val="000000"/>
          <w:sz w:val="20"/>
          <w:lang w:val="en-US" w:eastAsia="en-US" w:bidi="ar-SA"/>
        </w:rPr>
        <w:t>Fox</w:t>
      </w:r>
      <w:r>
        <w:rPr>
          <w:rFonts w:ascii="arial" w:eastAsia="arial" w:hAnsi="arial" w:cs="arial"/>
          <w:color w:val="000000"/>
          <w:sz w:val="20"/>
          <w:lang w:val="en-US" w:eastAsia="en-US" w:bidi="ar-SA"/>
        </w:rPr>
        <w:t xml:space="preserve">, </w:t>
      </w:r>
      <w:hyperlink r:id="rId171" w:history="1">
        <w:r>
          <w:rPr>
            <w:rFonts w:ascii="arial" w:eastAsia="arial" w:hAnsi="arial" w:cs="arial"/>
            <w:i/>
            <w:color w:val="0077CC"/>
            <w:sz w:val="20"/>
            <w:u w:val="single"/>
            <w:shd w:val="clear" w:color="auto" w:fill="FFFFFF"/>
            <w:lang w:val="en-US" w:eastAsia="en-US" w:bidi="ar-SA"/>
          </w:rPr>
          <w:t>[2005] B.C.J. No. 137</w:t>
        </w:r>
      </w:hyperlink>
      <w:r>
        <w:rPr>
          <w:rFonts w:ascii="arial" w:eastAsia="arial" w:hAnsi="arial" w:cs="arial"/>
          <w:color w:val="000000"/>
          <w:sz w:val="20"/>
          <w:lang w:val="en-US" w:eastAsia="en-US" w:bidi="ar-SA"/>
        </w:rPr>
        <w:t xml:space="preserve"> at para. 91.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[152] To determine the question of impaired capacity the court considers factors such as whether the plaintiff has been rendered less capable overall of earning income from all types of employment; is less marketable or attractive as a potential employee; has lost the ability to take advantage of all job opportunities that might otherwise have been open; and is less valuable to herself as a person capable of earning income in a competitive labour market: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172"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[153] To quantify a loss of earning capacity the court conducts an assessment, based on the evidence, rather than applying a purely mathematical calculation: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173" w:history="1">
        <w:r>
          <w:rPr>
            <w:rFonts w:ascii="arial" w:eastAsia="arial" w:hAnsi="arial" w:cs="arial"/>
            <w:i/>
            <w:color w:val="0077CC"/>
            <w:sz w:val="20"/>
            <w:u w:val="single"/>
            <w:shd w:val="clear" w:color="auto" w:fill="FFFFFF"/>
            <w:lang w:val="en-US" w:eastAsia="en-US" w:bidi="ar-SA"/>
          </w:rPr>
          <w:t>(2002), 84 B.C.L.R. (3d) 158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Durand v. Bolt</w:t>
      </w:r>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2007 BCSC 480</w:t>
        </w:r>
      </w:hyperlink>
      <w:r>
        <w:rPr>
          <w:rFonts w:ascii="arial" w:eastAsia="arial" w:hAnsi="arial" w:cs="arial"/>
          <w:color w:val="000000"/>
          <w:sz w:val="20"/>
          <w:lang w:val="en-US" w:eastAsia="en-US" w:bidi="ar-SA"/>
        </w:rPr>
        <w:t xml:space="preserve">. For assessment purposes, income earning capacity is viewed as a capital asset and all relevant positive and negative contingencies must be considered: </w:t>
      </w:r>
      <w:r>
        <w:rPr>
          <w:rFonts w:ascii="arial" w:eastAsia="arial" w:hAnsi="arial" w:cs="arial"/>
          <w:i/>
          <w:color w:val="000000"/>
          <w:sz w:val="20"/>
          <w:lang w:val="en-US" w:eastAsia="en-US" w:bidi="ar-SA"/>
        </w:rPr>
        <w:t>Fox</w:t>
      </w:r>
      <w:r>
        <w:rPr>
          <w:rFonts w:ascii="arial" w:eastAsia="arial" w:hAnsi="arial" w:cs="arial"/>
          <w:color w:val="000000"/>
          <w:sz w:val="20"/>
          <w:lang w:val="en-US" w:eastAsia="en-US" w:bidi="ar-SA"/>
        </w:rPr>
        <w:t xml:space="preserve"> at para. 92 and 102-103;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175" w:history="1">
        <w:r>
          <w:rPr>
            <w:rFonts w:ascii="arial" w:eastAsia="arial" w:hAnsi="arial" w:cs="arial"/>
            <w:i/>
            <w:color w:val="0077CC"/>
            <w:sz w:val="20"/>
            <w:u w:val="single"/>
            <w:shd w:val="clear" w:color="auto" w:fill="FFFFFF"/>
            <w:lang w:val="en-US" w:eastAsia="en-US" w:bidi="ar-SA"/>
          </w:rPr>
          <w:t>[1999] B.C.J. No. 270</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[154] One method of assessing loss of future earning capacity is to compare the likely future income of the plaintiff if the accident had not occurred with the likely future income of the plaintiff now that it has occurred. In addition, the overall fairness and reasonableness of the award must be taken into account: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xml:space="preserve"> at para. 11.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[155] Relevant contingencies for consideration may be general or specific in nature. Such contingencies include, for example, the potential for improvement in health, opportunities for advancement, and the usual chances and hazards of life: </w:t>
      </w:r>
      <w:r>
        <w:rPr>
          <w:rFonts w:ascii="arial" w:eastAsia="arial" w:hAnsi="arial" w:cs="arial"/>
          <w:i/>
          <w:color w:val="000000"/>
          <w:sz w:val="20"/>
          <w:lang w:val="en-US" w:eastAsia="en-US" w:bidi="ar-SA"/>
        </w:rPr>
        <w:t>Djukic</w:t>
      </w:r>
      <w:r>
        <w:rPr>
          <w:rFonts w:ascii="arial" w:eastAsia="arial" w:hAnsi="arial" w:cs="arial"/>
          <w:color w:val="000000"/>
          <w:sz w:val="20"/>
          <w:lang w:val="en-US" w:eastAsia="en-US" w:bidi="ar-SA"/>
        </w:rPr>
        <w:t xml:space="preserve">, </w:t>
      </w:r>
      <w:hyperlink r:id="rId176" w:history="1">
        <w:r>
          <w:rPr>
            <w:rFonts w:ascii="arial" w:eastAsia="arial" w:hAnsi="arial" w:cs="arial"/>
            <w:i/>
            <w:color w:val="0077CC"/>
            <w:sz w:val="20"/>
            <w:u w:val="single"/>
            <w:shd w:val="clear" w:color="auto" w:fill="FFFFFF"/>
            <w:lang w:val="en-US" w:eastAsia="en-US" w:bidi="ar-SA"/>
          </w:rPr>
          <w:t>[2006] B.C.J. No. 199</w:t>
        </w:r>
      </w:hyperlink>
      <w:r>
        <w:rPr>
          <w:rFonts w:ascii="arial" w:eastAsia="arial" w:hAnsi="arial" w:cs="arial"/>
          <w:color w:val="000000"/>
          <w:sz w:val="20"/>
          <w:lang w:val="en-US" w:eastAsia="en-US" w:bidi="ar-SA"/>
        </w:rPr>
        <w:t xml:space="preserve"> at para. 105.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It is clear that no mathematical formula is appropriate in making this determination and I must make an assessment based on the evidence. I note that even if Mr. Bradley succeeds in completing his diploma in building inspection, he may suffer some income limitation from not being able to work long hours due to his leg/ankle pain and may find it problematic to climb ladders to perform inspections. As well, because of his physical limitations, he may well be viewed as a less attractive employee than one who is fully able to perform without difficulty all the physical tasks of an occupation such as a building inspector.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Given that Mr. Bradley will be compensated for the amount of wages lost during retraining by an award for future lost wages, and taking into account Mr. Bradley's vocational capacity, I award him $80,000.00 for loss of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Mr. Bradley submits that an award of $120,000 for non-pecuniary damages is appropriate. He focuses on his reduced potential which is a "shadow of what it was" and permanent injuries which have "adversely impacted all aspects of his life from his personal relationships to his vocational potential". Although in his submissions Mr. Bradley extensively quotes from the report of Dr. Kiraly and refers to the evidence of his father and girlfriend, he does not cite any authorities to support his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Mr. Bath cites several cases: </w:t>
      </w:r>
      <w:r>
        <w:rPr>
          <w:rFonts w:ascii="arial" w:eastAsia="arial" w:hAnsi="arial" w:cs="arial"/>
          <w:b/>
          <w:i/>
          <w:color w:val="000000"/>
          <w:sz w:val="20"/>
          <w:lang w:val="en-US" w:eastAsia="en-US" w:bidi="ar-SA"/>
        </w:rPr>
        <w:t>Sandhu v. Hamade</w:t>
      </w:r>
      <w:r>
        <w:rPr>
          <w:rFonts w:ascii="arial" w:eastAsia="arial" w:hAnsi="arial" w:cs="arial"/>
          <w:color w:val="000000"/>
          <w:sz w:val="20"/>
          <w:lang w:val="en-US" w:eastAsia="en-US" w:bidi="ar-SA"/>
        </w:rPr>
        <w:t xml:space="preserve">, </w:t>
      </w:r>
      <w:hyperlink r:id="rId177" w:history="1">
        <w:r>
          <w:rPr>
            <w:rFonts w:ascii="arial" w:eastAsia="arial" w:hAnsi="arial" w:cs="arial"/>
            <w:i/>
            <w:color w:val="0077CC"/>
            <w:sz w:val="20"/>
            <w:u w:val="single"/>
            <w:shd w:val="clear" w:color="auto" w:fill="FFFFFF"/>
            <w:lang w:val="en-US" w:eastAsia="en-US" w:bidi="ar-SA"/>
          </w:rPr>
          <w:t>[1997] B.C.J. No. 1017</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Biggar v. Felker</w:t>
      </w:r>
      <w:r>
        <w:rPr>
          <w:rFonts w:ascii="arial" w:eastAsia="arial" w:hAnsi="arial" w:cs="arial"/>
          <w:color w:val="000000"/>
          <w:sz w:val="20"/>
          <w:lang w:val="en-US" w:eastAsia="en-US" w:bidi="ar-SA"/>
        </w:rPr>
        <w:t xml:space="preserve">, </w:t>
      </w:r>
      <w:hyperlink r:id="rId178" w:history="1">
        <w:r>
          <w:rPr>
            <w:rFonts w:ascii="arial" w:eastAsia="arial" w:hAnsi="arial" w:cs="arial"/>
            <w:i/>
            <w:color w:val="0077CC"/>
            <w:sz w:val="20"/>
            <w:u w:val="single"/>
            <w:shd w:val="clear" w:color="auto" w:fill="FFFFFF"/>
            <w:lang w:val="en-US" w:eastAsia="en-US" w:bidi="ar-SA"/>
          </w:rPr>
          <w:t>2002 BCSC 998</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Dias v. Hardcastle</w:t>
      </w:r>
      <w:r>
        <w:rPr>
          <w:rFonts w:ascii="arial" w:eastAsia="arial" w:hAnsi="arial" w:cs="arial"/>
          <w:color w:val="000000"/>
          <w:sz w:val="20"/>
          <w:lang w:val="en-US" w:eastAsia="en-US" w:bidi="ar-SA"/>
        </w:rPr>
        <w:t xml:space="preserve">, </w:t>
      </w:r>
      <w:hyperlink r:id="rId179" w:history="1">
        <w:r>
          <w:rPr>
            <w:rFonts w:ascii="arial" w:eastAsia="arial" w:hAnsi="arial" w:cs="arial"/>
            <w:i/>
            <w:color w:val="0077CC"/>
            <w:sz w:val="20"/>
            <w:u w:val="single"/>
            <w:shd w:val="clear" w:color="auto" w:fill="FFFFFF"/>
            <w:lang w:val="en-US" w:eastAsia="en-US" w:bidi="ar-SA"/>
          </w:rPr>
          <w:t>2003 BCSC 1834</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Chang v. Feng</w:t>
      </w:r>
      <w:r>
        <w:rPr>
          <w:rFonts w:ascii="arial" w:eastAsia="arial" w:hAnsi="arial" w:cs="arial"/>
          <w:color w:val="000000"/>
          <w:sz w:val="20"/>
          <w:lang w:val="en-US" w:eastAsia="en-US" w:bidi="ar-SA"/>
        </w:rPr>
        <w:t xml:space="preserve">, </w:t>
      </w:r>
      <w:hyperlink r:id="rId180" w:history="1">
        <w:r>
          <w:rPr>
            <w:rFonts w:ascii="arial" w:eastAsia="arial" w:hAnsi="arial" w:cs="arial"/>
            <w:i/>
            <w:color w:val="0077CC"/>
            <w:sz w:val="20"/>
            <w:u w:val="single"/>
            <w:shd w:val="clear" w:color="auto" w:fill="FFFFFF"/>
            <w:lang w:val="en-US" w:eastAsia="en-US" w:bidi="ar-SA"/>
          </w:rPr>
          <w:t>2008 BCSC 49</w:t>
        </w:r>
      </w:hyperlink>
      <w:r>
        <w:rPr>
          <w:rFonts w:ascii="arial" w:eastAsia="arial" w:hAnsi="arial" w:cs="arial"/>
          <w:color w:val="000000"/>
          <w:sz w:val="20"/>
          <w:lang w:val="en-US" w:eastAsia="en-US" w:bidi="ar-SA"/>
        </w:rPr>
        <w:t>. In his submission, Mr. Bradley's non-pecuniary losses are not worth more than $35-45,000.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However, the cases cited by the defendant are distinguishable. The evidence in this case has shown a number of serious non-monetary losses suffered by Mr. Bradley, such as the loss of an occupation he loved, changes to his personality with a resulting loss of friendships, greatly reduced level of physical activity and enjoyment of sports, a reduced ability to enjoy intimacy with his girlfriend, and of course, the continuing pain from his ankle/leg injuries which he must learn to live with. These losses, in the context of the authorities, establish a range of approximately $50-100,000. However, also on the evidence, I believe that with proper care Mr. Bradley's circumstances will greatly improve in the next several years. He will retrain for a new profession and will receive physiotherapy for his ankle/leg pain, and counselling for his personal problems. Accordingly, I award Mr. Bradley $75,000 for non-pecuniary losses.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Mr. Bradley has provided an itemized list for his claim for special damages. The total amount claimed is $2,922.50, comprising: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646"/>
        <w:gridCol w:w="1673"/>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53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Bus fares to/from medical appointments</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53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and physiotherapy</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$293.50</w:t>
            </w:r>
          </w:p>
        </w:tc>
        <w:tc>
          <w:tcPr>
            <w:tcW w:w="307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332"/>
        <w:gridCol w:w="1987"/>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52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Taxi from Richmond Hospital after</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52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accident</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$27.50</w:t>
            </w:r>
          </w:p>
        </w:tc>
        <w:tc>
          <w:tcPr>
            <w:tcW w:w="3072"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5018"/>
        <w:gridCol w:w="2301"/>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91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Physiotherapy (paid and owed)</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$2,578.50</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I accept Mr. Bath's submission that evidence has shown that Mr. Bradley has not always taken the bus to his appointments, but has sometimes walked or even run. For that reason, I reduce the claim for bus fares by 30%, to a total of $205.45.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 award Mr. Bradley $2,811.45 as special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In Trust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Mr. Bradley submits that an in-trust award for the work done by his girlfriend is appropriate. He calculates it at two hours per week at $30 per hour, for a total of $14,040.00 to the date of trial. I find that amount reasonable on the evidence. The defendant did not attempt to rebut this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xml:space="preserve">  I found Mr. Bath to be 100% liable for the accident. I find no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Mr. Bradley as Mr. Bath has not demonstrated a causal link between Mr. Bradley's breach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by riding his bicycle on the sidewalk and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 award Mr. Bradley the following damages:</w:t>
      </w:r>
      <w:r>
        <w:rPr>
          <w:rFonts w:ascii="arial" w:eastAsia="arial" w:hAnsi="arial" w:cs="arial"/>
          <w:sz w:val="20"/>
          <w:lang w:val="en-US" w:eastAsia="en-US" w:bidi="ar-SA"/>
        </w:rPr>
        <w:cr/>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 $73,078.00</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Lost wages: $185,684.40 less the amount actually earned by the Plaintiff from December 3, 2003 to the date of trial;</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future wages: $72,526.40.</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earning capacity: $80,000.00</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$75,000.00</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$2,811.45.</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In-trust claim: $14,040.00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Mr. Bradley will have his costs of the action at Scale B. If counsel wish to speak to costs, they may contact the Registry.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L.D. RUSSELL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5" style="position:absolute;z-index:2518661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87" w:history="1">
        <w:r>
          <w:rPr>
            <w:rFonts w:ascii="arial" w:eastAsia="arial" w:hAnsi="arial" w:cs="arial"/>
            <w:b/>
            <w:bCs/>
            <w:i/>
            <w:color w:val="0077CC"/>
            <w:kern w:val="32"/>
            <w:sz w:val="28"/>
            <w:szCs w:val="32"/>
            <w:u w:val="single"/>
            <w:shd w:val="clear" w:color="auto" w:fill="FFFFFF"/>
            <w:lang w:val="en-US" w:eastAsia="en-US" w:bidi="ar-SA"/>
          </w:rPr>
          <w:t>D2 Contracting Ltd. v. Bank of Nova Scotia, [2015] B.C.J. No. 1946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D.J. Dardi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8, 9, February 12 and May 26,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11,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S120147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1946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1634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D2 Contracting Ltd., Plaintiff, and The Bank of Nova Scotia,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(162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6" style="position:absolute;z-index:251664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42" w:name="Keywords_5"/>
      <w:bookmarkEnd w:id="42"/>
      <w:r>
        <w:rPr>
          <w:rFonts w:ascii="arial" w:eastAsia="arial" w:hAnsi="arial" w:cs="arial"/>
          <w:b/>
          <w:color w:val="000000"/>
          <w:sz w:val="20"/>
          <w:lang w:val="en-US" w:eastAsia="en-US" w:bidi="ar-SA"/>
        </w:rPr>
        <w:t>Banking and finance law — Banking — Accounts — Obligations of bank — Repayment of deposits — Obligations of customer — Agreements — Verification — Unauthorized transactions — Negligent acts (duty of care) — Application by defendant bank for summary dismissal allowed — Plaintiff held business account with defendant and sought return of $1,289,600 withdrawn from account on cheques forged by one of plaintiff's signatories — Defendant's evidence that parties entered standard form agreement was accepted, and agreement obligated plaintiff to review statements, verify entries and report any errors or omissions within 30 days or else it would have no claim for reimbursement — Defendant was under no obligation to inform plaintiff it did not manually verify signatures on all cheques and made no misrepresentations — Plaintiff breached verification clause.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Banking and finance law — Negotiable instruments and bills of exchange — Bills, cheques and notes — Capacity and authority of parties — Forged or unauthorized endorsements — Recovery of funds — Notice requirements — Application by defendant bank for summary dismissal allowed — Plaintiff held business account with defendant and sought return of $1,289,600 withdrawn from account on cheques forged by one of plaintiff's signatories — Defendant's evidence that parties entered standard form agreement was accepted, and agreement obligated plaintiff to review statements, verify entries and report any errors or omissions within 30 days or else it would have no claim for reimbursement — Defendant was under no obligation to inform plaintiff it did not manually verify signatures on all cheques and made no misrepresentations — Plaintiff breached verification clause.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litigation — Civil procedure — Judgments and orders — Summary judgments — To dismiss action — Application by defendant bank for summary dismissal allowed — Plaintiff held business account with defendant and sought return of $1,289,600 withdrawn from account on cheques forged by one of plaintiff's signatories — Defendant's evidence that parties entered standard form agreement was accepted, and agreement obligated plaintiff to review statements, verify entries and report any errors or omissions within 30 days or else it would have no claim for reimbursement — Defendant was under no obligation to inform plaintiff it did not manually verify signatures on all cheques and made no misrepresentations — Plaintiff breached verification clause.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43" w:name="Case Summary_5"/>
            <w:bookmarkEnd w:id="4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bank for summary dismissal of the plaintiff's claim. The plaintiff held a business account with the defendant, and sought the return of $1,289,600 withdrawn on cheques forged by one of the plaintiff's signatories. It was undisputed that the plaintiff's two officers and signatories attended the defendant to open the account and executed a signature card, but the defendant had lost the original documents. The defendant sought to rely on its standard form account agreement, which the plaintiff argued it had not proven they had signed. One of the plaintiff's signatories maintained the account and received the monthly statements to his home. The plaintiff alleged he fraudulently obtained the funds through 594 cheques in which he forged the other signatory's signature. He had since been removed as a director and the plaintiff had obtained a $1,289,600 judgment against him in fraud and fraudulent breach of trust. The defendant argued the plaintiff's claim was completely answered by its failure to abide by the requirements of the verification agreement, the other signatory's knowledge of the forgery, and failure to bring the matter to the defendant's attention. The plaintiff argued the matter was not suitable for summary judgment and argued the defendant was strictly liable through its failure to advise the plaintiff that it did not authenticate signatures on cheques in most circumstances.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44" w:name="Holdings of Court_5"/>
            <w:bookmarkEnd w:id="44"/>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There was an extensive evidentiary record in which material facts could be found, and the application had the potential to resolve the entire litigation, so the matter was suitable for summary judgment. The defendant's evidence that employees had to adhere to strict protocol in opening business accounts was accepted, and the manager who opened the plaintiff's account gave credible evidence the procedure was followed. The defendant's evidence accorded with sound commercial practice and was accepted, and it undertook diligent efforts to find the lost documents. The plaintiff's evidence on the other hand was less detailed, inconsistent, and the plaintiff's director acknowledged other business accounts he had opened throughout his life always required him to sign some form of governing agreement. The standard form agreement was binding, and the defendant told the plaintiff to read it carefully, and had no obligation to point specific terms to their attention. While s. 48 of the Bills of Exchange Act, in general terms, operated so that the defendant was obligated to account for funds debited on forged cheques, this was not a strict liability provision. There was no suggestion the defendant made any misrepresentations to the plaintiff and, crucially, did not represent it would manually verify signatures on cheques. The plaintiff's mistaken subjective belief that this would occur did not render the agreement unenforceable. The plaintiff's director could not have reasonably believed the dual signature requirement would protect the plaintiff from forgery, given he had observed the other director had forged his signature as early as 2006, but did not investigate or advise the defendant. The verification clause of the agreement unambiguously imposed a duty on the account holder to review statements, verify entries, and report any errors or omissions within 30 days or else they would have no claim to reimbursement, even in the event of forgery or fraud. The plaintiff's director candidly acknowledged he never reviewed the statements or cheques prior to April 2009, and gave the other director unsupervised control. The defendant had no knowledge of any irregularities until the plaintiff reported the forgeries to it in 2009, and the defendant then froze the account and advised it would only be liable for activity in the preceding 30 days. The plaintiff breached the verification clause of the agreement, so the defendant had no liability for its losses. The agreement provided a complete defence to the claim. If the parties could not agree on the defendant's liability for the 30 days preceding the plaintiff's report of the fraud, they were at liberty to reapply. The claim was otherwise dismissed.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5" w:name="Legislation Cited_5"/>
      <w:bookmarkEnd w:id="4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57" style="position:absolute;z-index:2517155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Bills of Exchange Act, </w:t>
      </w:r>
      <w:hyperlink r:id="rId188" w:history="1">
        <w:r>
          <w:rPr>
            <w:rFonts w:ascii="arial" w:eastAsia="arial" w:hAnsi="arial" w:cs="arial"/>
            <w:i/>
            <w:color w:val="0077CC"/>
            <w:sz w:val="20"/>
            <w:u w:val="single"/>
            <w:shd w:val="clear" w:color="auto" w:fill="FFFFFF"/>
            <w:lang w:val="en-US" w:eastAsia="en-US" w:bidi="ar-SA"/>
          </w:rPr>
          <w:t>R.S.C. 1985, c. B-4, s. 48</w:t>
        </w:r>
      </w:hyperlink>
      <w:r>
        <w:rPr>
          <w:rFonts w:ascii="arial" w:eastAsia="arial" w:hAnsi="arial" w:cs="arial"/>
          <w:color w:val="000000"/>
          <w:sz w:val="20"/>
          <w:lang w:val="en-US" w:eastAsia="en-US" w:bidi="ar-SA"/>
        </w:rPr>
        <w:t>(1)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9-7</w:t>
      </w:r>
      <w:r>
        <w:rPr>
          <w:rFonts w:ascii="arial" w:eastAsia="arial" w:hAnsi="arial" w:cs="arial"/>
          <w:color w:val="000000"/>
          <w:sz w:val="20"/>
          <w:lang w:val="en-US" w:eastAsia="en-US" w:bidi="ar-SA"/>
        </w:rPr>
        <w:t>, Rule 9-7(11), Rule 9-7(15)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6" w:name="Counsel_5"/>
      <w:bookmarkEnd w:id="4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8" style="position:absolute;z-index:2517667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D2 Contracting Ltd.: D. LeDressay.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Bank of Nova Scotia: R. McGowan, H. Parsons.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7" w:name="Judgment_5"/>
      <w:bookmarkEnd w:id="47"/>
      <w:r>
        <w:pict>
          <v:line id="_x0000_s1059" style="position:absolute;z-index:25181798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8" w:name="D.J. DARDI J."/>
            <w:bookmarkEnd w:id="48"/>
            <w:r>
              <w:rPr>
                <w:rFonts w:ascii="arial" w:eastAsia="arial" w:hAnsi="arial" w:cs="arial"/>
                <w:b/>
                <w:color w:val="000000"/>
                <w:sz w:val="30"/>
                <w:lang w:val="en-US" w:eastAsia="en-US" w:bidi="ar-SA"/>
              </w:rPr>
              <w:t>D.J. DARDI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proceeding raises consideration of a bank's liability for debiting a series of forged cheques against the account of one of its corporate customers.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D2 Contracting Ltd. ("D2"), held a business bank account with the defendant, the Bank of Nova Scotia ("Scotiabank"), from which numerous cheques were issued that D2 alleges were not authorized. D2 claims for the return of the funds in the amount of $1,289,600.90 it says were wrongfully withdrawn from its account. Notably, Mr. Copeman, one of the two authorized signatories of D2's account, forged the signature of Mr. Cooper, D2's other authorized signatory, on the cheques 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Scotiabank has brought a summary trial application seeking dismissal of the claim against it pursuant to Rule 9-7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broad terms, Scotiabank asserts that D2's claim is completely answered by its failure to abide by the requirements of a verification agreement in respect of the account. Further, Scotiabank argues that, even in the absence of an enforceable account agreement, it can avail itself of non-contractual defences because of Mr. Cooper's actual knowledge of Mr. Copeman's forgeries and Mr. Cooper's failure to provide timely notice of those forgeries to Scotiabank.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D2's overarching submission is that it would be unjust to adjudicate its claim summarily. It contends that Scotiabank cannot establish that the parties' relationship was governed by an account agreement. It further contends that Scotiabank is strictly liable for negotiating the forged cheques because it did not advise D2 that, in most circumstances, the authenticity of the signatures on cheques is not verified in the cheque-clearing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trial of this matter is scheduled to proceed for five days commencing on October 26,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Before turning to the analysis, it is necessary to summarize the pertinent facts and chronology, and to outline the issues to be determined by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OVERVIEW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Business of D2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D2 was incorporated in 2005. It operated as a construction business servicing Vancouver Island. D2 was owned and controlled by Lindsay Cooper and David Copeman. They were each directors and 50% shareholders. Currently, Mr. Cooper is the sole shareholder and director of D2.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During the material time, Mr. Cooper was responsible for field work and the procurement of contracts. Mr. Copeman operated and managed the company office and was responsible for the day-to-day operations and financial administration of the company. In this capacity he was responsible for the bookkeeping, accounts payable, accounts receivable, and payroll.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Opening of the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January 2006, D2 opened a business bank account (the "Account") at a Scotiabank branch located 1644 Hillside Avenue in Victoria, British Columbia (the "Branch").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Copeman and Mr. Cooper attended at the Branch for a meeting with Thereasa Shemilt, a representative of Scotiabank and a manager of the Branch. At the material time, Ms. Shemilt had an excess of 25 years of experience opening business accounts. She retired on December 31, 2010. Upon her retirement, she had been an employee of Scotiabank for some 37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It is uncontroversial that in January 2006, Mr. Cooper and Mr. Copeman executed some form of Scotiabank documentation including a signature card, in order to implement the opening of the Account. Unfortunately, by the time Scotiabank was served with this claim, it could not locate the original Account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Shemilt deposes that after a meeting with Mr. Cooper in 2009, she preserved and retained a file with copies of the original documents in her office. On her last day of work at the Branch, Ms. Shemilt cleaned out her office. Her file may have been misplaced or inadvertently thrown out during the process. Sometime after the Account was closed in 2010, and before the commencement of this proceeding in 2012, the Branch also underwent a substantial renovation.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Scotiabank has conducted an extensive search for the documents related to the Account and has been unable to locate them. The efforts of Scotiabank representatives to locate the documents were described in the affidavit of Shelly Cooper, a manager at the Branch. The only original document which has been located and produced is the "Business Account Service Request" generated in April of 2009, after Mr. Cooper requested all statements and cheques drawn on the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totality of the evidence supports a finding on a balance of probabilities that at some point after the Account was closed in April 2010 and before these proceedings were commenced in 2012, the Account documents were inadvertently lost. I find that Scotiabank has made reasonably diligent efforts to search for the documents and despite those efforts, the documents cannot be located.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Shemilt deposes that in 2006, it was her invariable practice to present each client with a file folder of customer documents, which included the standard form account agreement. Scotiabank seeks to rely on the version of the account agreement which was in effect in 2006. It says that it is this agreement which governs the operation of the Account and the rights and obligations of Scotiabank and D2.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D2 counters with the submission that the evidence falls short of establishing that Mr. Cooper and Mr. Copeman, in fact, signed such an agreement. I will address this contractual controversy as part of the analysis of the substantive issues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any event, the Account was successfully opened. It is common ground that Mr. Cooper and Mr. Copeman were joint authorized signatories on the Account. Mr. Copeman and Mr. Cooper agreed that the Account statements were to be mailed to Mr. Copeman's residential address, which was also D2's corporate records address.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Forgeries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evidence supports a finding that it was Mr. Copeman who maintained the Account and received the monthly Account statements from Scotiabank.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the period between March 2006 and April 2009, D2 claims that Mr. Copeman fraudulently obtained funds from the Account through 594 forged cheques (the "Impugned Cheques"). Mr. Cooper alleges that he had not authorized any of the Impugned Cheques.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will address the extent of Mr. Cooper's knowledge of this state of affairs during the material time period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April 2009, Mr. Cooper attended at the Branch to inform them about the Impugned Cheques. Mr. Cooper was able to identify at least three returned cheques on which his signature had been forged. Ms. Shemilt took immediate steps to freeze the Account. In addition, Ms. Shemilt provided Mr. Cooper with some documentation regarding the Account statements and the Impugned Cheques.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Cooper attended at the Branch several more times in the months that followed and requested cheques, statements, and other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April 2010, Mr. Cooper took steps to close the Account with Scotiabank.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Cooper's Lawsuit against Mr. Copeman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2009, Mr. Cooper became aware that Mr. Copeman had taken steps to remove Mr. Cooper as a director and officer of D2. It also emerged that Mr. Copeman, without Mr. Cooper's knowledge, had taken steps to open an account for D2 with the Toronto Dominion Bank. Mr. Cooper reported the fraud perpetrated by Mr. Copeman to the Victoria Police Department.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Cooper and D2 launched various proceedings against Mr. Copeman and other individuals and companies. Eventually, D2 also brought an action against the Toronto Dominion Bank (the "TD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May 31, 2010, at an undefended hearing in Action No. S09821, Mr. Justice Pitfield declared that Mr. Copeman was liable for fraud and fraudulent breach of trust. D2 obtained a judgment against Mr. Copeman in the amount of $1,289,600.90, the full amount of the Impugned Cheques.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Abuse of Process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Scotiabank advances a claim that this proceeding is an abuse of process. In essence, Scotiabank maintains that this action is "a second kick at the can" and constitutes an abuse of process because it exposes the judicial process to potentially inconsistent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Scotiabank argues that D2, in seeking to hold it responsible for its alleged loss arising from the Impugned Cheques, is seeking double recovery in relation to the Impugned Cheques. Scotiabank also asserts that at least some sizeable portion of the Impugned Cheques was paid to persons and parties with whom D2 did business and were, in all probability, legitimate D2 expenses. Scotiabank argues that this creates the potential for a result which is embarrassing to the judicial process because Mr. Justice Pitfield granted judgment in favour of D2 against Mr. Copeman for the full amount of the Impugned Cheques.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For the reasons that follow, I have concluded that the claim against Scotiabank can be decided on other grounds. Accordingly, it is not necessary for me to address the abuse of process claim and I decline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SUITABILITY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threshold issue arising on this application is whether or not it is appropriate to adjudicate D2's claim against Scotiabank pursuant to Rule 9-7.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Rule 9-7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confers the court with jurisdiction to determine matters by way of summary trial. Rule 9-7(11) provides that on hearing a summary trial application, the court may dismiss the summary trial application on the grounds that the issues raised by the application are not suitable for disposition under the rule, or because the application will not assist the efficient resolution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Pursuant to Rule 9-7(15), the court may grant judgment on a summary trial application, provided the matter is suitable. This provision frames the analysis of suitability as an assessment of two key factors:</w:t>
      </w:r>
      <w:r>
        <w:rPr>
          <w:rFonts w:ascii="arial" w:eastAsia="arial" w:hAnsi="arial" w:cs="arial"/>
          <w:sz w:val="20"/>
          <w:lang w:val="en-US" w:eastAsia="en-US" w:bidi="ar-SA"/>
        </w:rPr>
        <w:cr/>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evidentiary record sufficient for the court to find the facts necessary to decide the issues; and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it unjust to decide the issues by way of summary trial: </w:t>
      </w:r>
      <w:r>
        <w:rPr>
          <w:rFonts w:ascii="arial" w:eastAsia="arial" w:hAnsi="arial" w:cs="arial"/>
          <w:i/>
          <w:color w:val="000000"/>
          <w:sz w:val="20"/>
          <w:lang w:val="en-US" w:eastAsia="en-US" w:bidi="ar-SA"/>
        </w:rPr>
        <w:t>McVeigh v. Boeriu</w:t>
      </w:r>
      <w:r>
        <w:rPr>
          <w:rFonts w:ascii="arial" w:eastAsia="arial" w:hAnsi="arial" w:cs="arial"/>
          <w:color w:val="000000"/>
          <w:sz w:val="20"/>
          <w:lang w:val="en-US" w:eastAsia="en-US" w:bidi="ar-SA"/>
        </w:rPr>
        <w:t xml:space="preserve">, </w:t>
      </w:r>
      <w:hyperlink r:id="rId189" w:history="1">
        <w:r>
          <w:rPr>
            <w:rFonts w:ascii="arial" w:eastAsia="arial" w:hAnsi="arial" w:cs="arial"/>
            <w:i/>
            <w:color w:val="0077CC"/>
            <w:sz w:val="20"/>
            <w:u w:val="single"/>
            <w:shd w:val="clear" w:color="auto" w:fill="FFFFFF"/>
            <w:lang w:val="en-US" w:eastAsia="en-US" w:bidi="ar-SA"/>
          </w:rPr>
          <w:t>2011 BCSC 400</w:t>
        </w:r>
      </w:hyperlink>
      <w:r>
        <w:rPr>
          <w:rFonts w:ascii="arial" w:eastAsia="arial" w:hAnsi="arial" w:cs="arial"/>
          <w:color w:val="000000"/>
          <w:sz w:val="20"/>
          <w:lang w:val="en-US" w:eastAsia="en-US" w:bidi="ar-SA"/>
        </w:rPr>
        <w:t xml:space="preserve"> at para. 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seminal decision of the British Columbia Court of Appeal in </w:t>
      </w:r>
      <w:r>
        <w:rPr>
          <w:rFonts w:ascii="arial" w:eastAsia="arial" w:hAnsi="arial" w:cs="arial"/>
          <w:i/>
          <w:color w:val="000000"/>
          <w:sz w:val="20"/>
          <w:lang w:val="en-US" w:eastAsia="en-US" w:bidi="ar-SA"/>
        </w:rPr>
        <w:t>Inspiration Management Ltd. v. McDermid St. Lawrence Ltd</w:t>
      </w:r>
      <w:r>
        <w:rPr>
          <w:rFonts w:ascii="arial" w:eastAsia="arial" w:hAnsi="arial" w:cs="arial"/>
          <w:color w:val="000000"/>
          <w:sz w:val="20"/>
          <w:lang w:val="en-US" w:eastAsia="en-US" w:bidi="ar-SA"/>
        </w:rPr>
        <w:t xml:space="preserve">. </w:t>
      </w:r>
      <w:hyperlink r:id="rId190"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 identified a number of factors the court ought to consider in determining whether it would be unjust to proceed summarily in a particular case. These factors include: the amount involved, the complexity of the matter, its urgency, any prejudice likely to arise by reason of delay, the cost of taking the case forward to a conventional trial in relation to the amount involved, and the course of the proceedings. These factors remain relevant in the current jurisprudence.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Since </w:t>
      </w:r>
      <w:r>
        <w:rPr>
          <w:rFonts w:ascii="arial" w:eastAsia="arial" w:hAnsi="arial" w:cs="arial"/>
          <w:i/>
          <w:color w:val="000000"/>
          <w:sz w:val="20"/>
          <w:lang w:val="en-US" w:eastAsia="en-US" w:bidi="ar-SA"/>
        </w:rPr>
        <w:t>Inspiration Management</w:t>
      </w:r>
      <w:r>
        <w:rPr>
          <w:rFonts w:ascii="arial" w:eastAsia="arial" w:hAnsi="arial" w:cs="arial"/>
          <w:color w:val="000000"/>
          <w:sz w:val="20"/>
          <w:lang w:val="en-US" w:eastAsia="en-US" w:bidi="ar-SA"/>
        </w:rPr>
        <w:t xml:space="preserve">, the issue of the appropriateness of the summary trial procedure has garnered considerable judicial attention. The modern judicial approach in this province endorses the consideration of additional factors when evaluating suitability. These factors were helpfully summarized by Madam Justice Gerow in </w:t>
      </w:r>
      <w:r>
        <w:rPr>
          <w:rFonts w:ascii="arial" w:eastAsia="arial" w:hAnsi="arial" w:cs="arial"/>
          <w:i/>
          <w:color w:val="000000"/>
          <w:sz w:val="20"/>
          <w:lang w:val="en-US" w:eastAsia="en-US" w:bidi="ar-SA"/>
        </w:rPr>
        <w:t>Dahl et al. v. Royal Bank of Canada et al</w:t>
      </w:r>
      <w:r>
        <w:rPr>
          <w:rFonts w:ascii="arial" w:eastAsia="arial" w:hAnsi="arial" w:cs="arial"/>
          <w:color w:val="000000"/>
          <w:sz w:val="20"/>
          <w:lang w:val="en-US" w:eastAsia="en-US" w:bidi="ar-SA"/>
        </w:rPr>
        <w:t xml:space="preserve">., </w:t>
      </w:r>
      <w:hyperlink r:id="rId191" w:history="1">
        <w:r>
          <w:rPr>
            <w:rFonts w:ascii="arial" w:eastAsia="arial" w:hAnsi="arial" w:cs="arial"/>
            <w:i/>
            <w:color w:val="0077CC"/>
            <w:sz w:val="20"/>
            <w:u w:val="single"/>
            <w:shd w:val="clear" w:color="auto" w:fill="FFFFFF"/>
            <w:lang w:val="en-US" w:eastAsia="en-US" w:bidi="ar-SA"/>
          </w:rPr>
          <w:t>2005 BCSC 1263</w:t>
        </w:r>
      </w:hyperlink>
      <w:r>
        <w:rPr>
          <w:rFonts w:ascii="arial" w:eastAsia="arial" w:hAnsi="arial" w:cs="arial"/>
          <w:color w:val="000000"/>
          <w:sz w:val="20"/>
          <w:lang w:val="en-US" w:eastAsia="en-US" w:bidi="ar-SA"/>
        </w:rPr>
        <w:t xml:space="preserve">, aff'd </w:t>
      </w:r>
      <w:hyperlink r:id="rId192" w:history="1">
        <w:r>
          <w:rPr>
            <w:rFonts w:ascii="arial" w:eastAsia="arial" w:hAnsi="arial" w:cs="arial"/>
            <w:i/>
            <w:color w:val="0077CC"/>
            <w:sz w:val="20"/>
            <w:u w:val="single"/>
            <w:shd w:val="clear" w:color="auto" w:fill="FFFFFF"/>
            <w:lang w:val="en-US" w:eastAsia="en-US" w:bidi="ar-SA"/>
          </w:rPr>
          <w:t>2006 BCCA 369</w:t>
        </w:r>
      </w:hyperlink>
      <w:r>
        <w:rPr>
          <w:rFonts w:ascii="arial" w:eastAsia="arial" w:hAnsi="arial" w:cs="arial"/>
          <w:color w:val="000000"/>
          <w:sz w:val="20"/>
          <w:lang w:val="en-US" w:eastAsia="en-US" w:bidi="ar-SA"/>
        </w:rPr>
        <w:t>, at para. 12:</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litigation extensive and will the summary trial take considerable time;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credibility a crucial factor -- and have the deponents of the conflicting affidavits been cross examined;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will the summary trial involve a substantial risk of wasting time and effort, and producing unnecessary complexity; 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application result in litigating in slices.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Novin v. Novin</w:t>
      </w:r>
      <w:r>
        <w:rPr>
          <w:rFonts w:ascii="arial" w:eastAsia="arial" w:hAnsi="arial" w:cs="arial"/>
          <w:color w:val="000000"/>
          <w:sz w:val="20"/>
          <w:lang w:val="en-US" w:eastAsia="en-US" w:bidi="ar-SA"/>
        </w:rPr>
        <w:t xml:space="preserve">, </w:t>
      </w:r>
      <w:hyperlink r:id="rId193" w:history="1">
        <w:r>
          <w:rPr>
            <w:rFonts w:ascii="arial" w:eastAsia="arial" w:hAnsi="arial" w:cs="arial"/>
            <w:i/>
            <w:color w:val="0077CC"/>
            <w:sz w:val="20"/>
            <w:u w:val="single"/>
            <w:shd w:val="clear" w:color="auto" w:fill="FFFFFF"/>
            <w:lang w:val="en-US" w:eastAsia="en-US" w:bidi="ar-SA"/>
          </w:rPr>
          <w:t>[2004] B.C.J. No. 2092</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Bacchus Agents (1981) Ltd. v. Philippe Dandurand Wines Limited</w:t>
      </w:r>
      <w:r>
        <w:rPr>
          <w:rFonts w:ascii="arial" w:eastAsia="arial" w:hAnsi="arial" w:cs="arial"/>
          <w:color w:val="000000"/>
          <w:sz w:val="20"/>
          <w:lang w:val="en-US" w:eastAsia="en-US" w:bidi="ar-SA"/>
        </w:rPr>
        <w:t xml:space="preserve">, </w:t>
      </w:r>
      <w:hyperlink r:id="rId194" w:history="1">
        <w:r>
          <w:rPr>
            <w:rFonts w:ascii="arial" w:eastAsia="arial" w:hAnsi="arial" w:cs="arial"/>
            <w:i/>
            <w:color w:val="0077CC"/>
            <w:sz w:val="20"/>
            <w:u w:val="single"/>
            <w:shd w:val="clear" w:color="auto" w:fill="FFFFFF"/>
            <w:lang w:val="en-US" w:eastAsia="en-US" w:bidi="ar-SA"/>
          </w:rPr>
          <w:t>2002 BCCA 138</w:t>
        </w:r>
      </w:hyperlink>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considering the suitability analysis, I am mindful of the recent decision of the Supreme Court of Canada in </w:t>
      </w:r>
      <w:r>
        <w:rPr>
          <w:rFonts w:ascii="arial" w:eastAsia="arial" w:hAnsi="arial" w:cs="arial"/>
          <w:i/>
          <w:color w:val="000000"/>
          <w:sz w:val="20"/>
          <w:lang w:val="en-US" w:eastAsia="en-US" w:bidi="ar-SA"/>
        </w:rPr>
        <w:t>Hryniak v. Mauldin</w:t>
      </w:r>
      <w:r>
        <w:rPr>
          <w:rFonts w:ascii="arial" w:eastAsia="arial" w:hAnsi="arial" w:cs="arial"/>
          <w:color w:val="000000"/>
          <w:sz w:val="20"/>
          <w:lang w:val="en-US" w:eastAsia="en-US" w:bidi="ar-SA"/>
        </w:rPr>
        <w:t xml:space="preserve">, </w:t>
      </w:r>
      <w:hyperlink r:id="rId195" w:history="1">
        <w:r>
          <w:rPr>
            <w:rFonts w:ascii="arial" w:eastAsia="arial" w:hAnsi="arial" w:cs="arial"/>
            <w:i/>
            <w:color w:val="0077CC"/>
            <w:sz w:val="20"/>
            <w:u w:val="single"/>
            <w:shd w:val="clear" w:color="auto" w:fill="FFFFFF"/>
            <w:lang w:val="en-US" w:eastAsia="en-US" w:bidi="ar-SA"/>
          </w:rPr>
          <w:t>2014 SCC 7</w:t>
        </w:r>
      </w:hyperlink>
      <w:r>
        <w:rPr>
          <w:rFonts w:ascii="arial" w:eastAsia="arial" w:hAnsi="arial" w:cs="arial"/>
          <w:color w:val="000000"/>
          <w:sz w:val="20"/>
          <w:lang w:val="en-US" w:eastAsia="en-US" w:bidi="ar-SA"/>
        </w:rPr>
        <w:t xml:space="preserve">, in which the Court endorsed the notion that in the Canadian legal landscape, summary disposition mechanisms are an integral and necessary element of ensuring access to justice. Notably, the decision addressed the summary judgment rules of Ontario, which are differently worded than the material rules in British Columbia. In </w:t>
      </w:r>
      <w:r>
        <w:rPr>
          <w:rFonts w:ascii="arial" w:eastAsia="arial" w:hAnsi="arial" w:cs="arial"/>
          <w:i/>
          <w:color w:val="000000"/>
          <w:sz w:val="20"/>
          <w:lang w:val="en-US" w:eastAsia="en-US" w:bidi="ar-SA"/>
        </w:rPr>
        <w:t>N.J. v. Aitken Estate</w:t>
      </w:r>
      <w:r>
        <w:rPr>
          <w:rFonts w:ascii="arial" w:eastAsia="arial" w:hAnsi="arial" w:cs="arial"/>
          <w:color w:val="000000"/>
          <w:sz w:val="20"/>
          <w:lang w:val="en-US" w:eastAsia="en-US" w:bidi="ar-SA"/>
        </w:rPr>
        <w:t xml:space="preserve">, </w:t>
      </w:r>
      <w:hyperlink r:id="rId196" w:history="1">
        <w:r>
          <w:rPr>
            <w:rFonts w:ascii="arial" w:eastAsia="arial" w:hAnsi="arial" w:cs="arial"/>
            <w:i/>
            <w:color w:val="0077CC"/>
            <w:sz w:val="20"/>
            <w:u w:val="single"/>
            <w:shd w:val="clear" w:color="auto" w:fill="FFFFFF"/>
            <w:lang w:val="en-US" w:eastAsia="en-US" w:bidi="ar-SA"/>
          </w:rPr>
          <w:t>2014 BCSC 419</w:t>
        </w:r>
      </w:hyperlink>
      <w:r>
        <w:rPr>
          <w:rFonts w:ascii="arial" w:eastAsia="arial" w:hAnsi="arial" w:cs="arial"/>
          <w:color w:val="000000"/>
          <w:sz w:val="20"/>
          <w:lang w:val="en-US" w:eastAsia="en-US" w:bidi="ar-SA"/>
        </w:rPr>
        <w:t xml:space="preserve">, Mr. Justice Ehrcke concluded that </w:t>
      </w:r>
      <w:r>
        <w:rPr>
          <w:rFonts w:ascii="arial" w:eastAsia="arial" w:hAnsi="arial" w:cs="arial"/>
          <w:i/>
          <w:color w:val="000000"/>
          <w:sz w:val="20"/>
          <w:lang w:val="en-US" w:eastAsia="en-US" w:bidi="ar-SA"/>
        </w:rPr>
        <w:t>Hryniak</w:t>
      </w:r>
      <w:r>
        <w:rPr>
          <w:rFonts w:ascii="arial" w:eastAsia="arial" w:hAnsi="arial" w:cs="arial"/>
          <w:color w:val="000000"/>
          <w:sz w:val="20"/>
          <w:lang w:val="en-US" w:eastAsia="en-US" w:bidi="ar-SA"/>
        </w:rPr>
        <w:t xml:space="preserve"> does not change the approach to the suitability analysis in British Columbia and that trial judges should continue to be guided by the jurisprudence from the Court of Appeal: </w:t>
      </w:r>
      <w:r>
        <w:rPr>
          <w:rFonts w:ascii="arial" w:eastAsia="arial" w:hAnsi="arial" w:cs="arial"/>
          <w:i/>
          <w:color w:val="000000"/>
          <w:sz w:val="20"/>
          <w:lang w:val="en-US" w:eastAsia="en-US" w:bidi="ar-SA"/>
        </w:rPr>
        <w:t>N.J.</w:t>
      </w:r>
      <w:r>
        <w:rPr>
          <w:rFonts w:ascii="arial" w:eastAsia="arial" w:hAnsi="arial" w:cs="arial"/>
          <w:color w:val="000000"/>
          <w:sz w:val="20"/>
          <w:lang w:val="en-US" w:eastAsia="en-US" w:bidi="ar-SA"/>
        </w:rPr>
        <w:t xml:space="preserve"> at para.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crucial question with regards to suitability is always whether the court can find the facts necessary to fairly and justly adjudicate the matter. It is well-settled in this province that where the court is able to find the necessary facts to decide the issues in a summary trial application and it "is not otherwise unjust to decide the matter summarily, the court should give judgment": </w:t>
      </w:r>
      <w:r>
        <w:rPr>
          <w:rFonts w:ascii="arial" w:eastAsia="arial" w:hAnsi="arial" w:cs="arial"/>
          <w:i/>
          <w:color w:val="000000"/>
          <w:sz w:val="20"/>
          <w:lang w:val="en-US" w:eastAsia="en-US" w:bidi="ar-SA"/>
        </w:rPr>
        <w:t>McVeigh</w:t>
      </w:r>
      <w:r>
        <w:rPr>
          <w:rFonts w:ascii="arial" w:eastAsia="arial" w:hAnsi="arial" w:cs="arial"/>
          <w:color w:val="000000"/>
          <w:sz w:val="20"/>
          <w:lang w:val="en-US" w:eastAsia="en-US" w:bidi="ar-SA"/>
        </w:rPr>
        <w:t xml:space="preserve"> at para. 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As Madam Justice Ballance observed in </w:t>
      </w:r>
      <w:r>
        <w:rPr>
          <w:rFonts w:ascii="arial" w:eastAsia="arial" w:hAnsi="arial" w:cs="arial"/>
          <w:i/>
          <w:color w:val="000000"/>
          <w:sz w:val="20"/>
          <w:lang w:val="en-US" w:eastAsia="en-US" w:bidi="ar-SA"/>
        </w:rPr>
        <w:t>Bank of Montreal v. Fraser</w:t>
      </w:r>
      <w:r>
        <w:rPr>
          <w:rFonts w:ascii="arial" w:eastAsia="arial" w:hAnsi="arial" w:cs="arial"/>
          <w:color w:val="000000"/>
          <w:sz w:val="20"/>
          <w:lang w:val="en-US" w:eastAsia="en-US" w:bidi="ar-SA"/>
        </w:rPr>
        <w:t xml:space="preserve">, </w:t>
      </w:r>
      <w:hyperlink r:id="rId197" w:history="1">
        <w:r>
          <w:rPr>
            <w:rFonts w:ascii="arial" w:eastAsia="arial" w:hAnsi="arial" w:cs="arial"/>
            <w:i/>
            <w:color w:val="0077CC"/>
            <w:sz w:val="20"/>
            <w:u w:val="single"/>
            <w:shd w:val="clear" w:color="auto" w:fill="FFFFFF"/>
            <w:lang w:val="en-US" w:eastAsia="en-US" w:bidi="ar-SA"/>
          </w:rPr>
          <w:t>2013 BCSC 2328</w:t>
        </w:r>
      </w:hyperlink>
      <w:r>
        <w:rPr>
          <w:rFonts w:ascii="arial" w:eastAsia="arial" w:hAnsi="arial" w:cs="arial"/>
          <w:color w:val="000000"/>
          <w:sz w:val="20"/>
          <w:lang w:val="en-US" w:eastAsia="en-US" w:bidi="ar-SA"/>
        </w:rPr>
        <w:t xml:space="preserve"> at para. 28, litigation, being what it is, will almost invariably involve disputed facts. The existence of conflicting material evidence, in itself, is not determinative of the suitability issue. The matter may be nonetheless suitable for summary determination, as long as the court is able to find the facts necessary "to render judgment by reference to other evidence": </w:t>
      </w:r>
      <w:r>
        <w:rPr>
          <w:rFonts w:ascii="arial" w:eastAsia="arial" w:hAnsi="arial" w:cs="arial"/>
          <w:i/>
          <w:color w:val="000000"/>
          <w:sz w:val="20"/>
          <w:lang w:val="en-US" w:eastAsia="en-US" w:bidi="ar-SA"/>
        </w:rPr>
        <w:t>Bank of Montreal</w:t>
      </w:r>
      <w:r>
        <w:rPr>
          <w:rFonts w:ascii="arial" w:eastAsia="arial" w:hAnsi="arial" w:cs="arial"/>
          <w:color w:val="000000"/>
          <w:sz w:val="20"/>
          <w:lang w:val="en-US" w:eastAsia="en-US" w:bidi="ar-SA"/>
        </w:rPr>
        <w:t xml:space="preserve"> at para. 30. In </w:t>
      </w:r>
      <w:r>
        <w:rPr>
          <w:rFonts w:ascii="arial" w:eastAsia="arial" w:hAnsi="arial" w:cs="arial"/>
          <w:i/>
          <w:color w:val="000000"/>
          <w:sz w:val="20"/>
          <w:lang w:val="en-US" w:eastAsia="en-US" w:bidi="ar-SA"/>
        </w:rPr>
        <w:t>Ahlwat v. Green</w:t>
      </w:r>
      <w:r>
        <w:rPr>
          <w:rFonts w:ascii="arial" w:eastAsia="arial" w:hAnsi="arial" w:cs="arial"/>
          <w:color w:val="000000"/>
          <w:sz w:val="20"/>
          <w:lang w:val="en-US" w:eastAsia="en-US" w:bidi="ar-SA"/>
        </w:rPr>
        <w:t xml:space="preserve">, </w:t>
      </w:r>
      <w:hyperlink r:id="rId198" w:history="1">
        <w:r>
          <w:rPr>
            <w:rFonts w:ascii="arial" w:eastAsia="arial" w:hAnsi="arial" w:cs="arial"/>
            <w:i/>
            <w:color w:val="0077CC"/>
            <w:sz w:val="20"/>
            <w:u w:val="single"/>
            <w:shd w:val="clear" w:color="auto" w:fill="FFFFFF"/>
            <w:lang w:val="en-US" w:eastAsia="en-US" w:bidi="ar-SA"/>
          </w:rPr>
          <w:t>2014 BCSC 1865</w:t>
        </w:r>
      </w:hyperlink>
      <w:r>
        <w:rPr>
          <w:rFonts w:ascii="arial" w:eastAsia="arial" w:hAnsi="arial" w:cs="arial"/>
          <w:color w:val="000000"/>
          <w:sz w:val="20"/>
          <w:lang w:val="en-US" w:eastAsia="en-US" w:bidi="ar-SA"/>
        </w:rPr>
        <w:t xml:space="preserve"> at para. 21, Madam Justice Sharma aptly observed that conflicts may be resolved by "weighing the evidence or giving it different value based on collateral evidence, the contents of the documents or the conduct of the parties": </w:t>
      </w:r>
      <w:r>
        <w:rPr>
          <w:rFonts w:ascii="arial" w:eastAsia="arial" w:hAnsi="arial" w:cs="arial"/>
          <w:i/>
          <w:color w:val="000000"/>
          <w:sz w:val="20"/>
          <w:lang w:val="en-US" w:eastAsia="en-US" w:bidi="ar-SA"/>
        </w:rPr>
        <w:t>Ahlwat</w:t>
      </w:r>
      <w:r>
        <w:rPr>
          <w:rFonts w:ascii="arial" w:eastAsia="arial" w:hAnsi="arial" w:cs="arial"/>
          <w:color w:val="000000"/>
          <w:sz w:val="20"/>
          <w:lang w:val="en-US" w:eastAsia="en-US" w:bidi="ar-SA"/>
        </w:rPr>
        <w:t xml:space="preserve"> at para.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authorities establish that parties to a summary trial application, if provided with adequate notice, are obliged to take every reasonable step to put themselves in the best position possible to adduce all evidence they determine is necessary for judgment. It is incumbent on a party to complete the pre-trial procedures necessary to achieve the best mastery of the facts as is reasonably possible before the summary trial procedure. If the court can find the facts necessary to decide the issues, the court should not decline to grant judgment on the possibility that conceivably something additional and more favourable "may turn up" at a full trial: </w:t>
      </w:r>
      <w:r>
        <w:rPr>
          <w:rFonts w:ascii="arial" w:eastAsia="arial" w:hAnsi="arial" w:cs="arial"/>
          <w:i/>
          <w:color w:val="000000"/>
          <w:sz w:val="20"/>
          <w:lang w:val="en-US" w:eastAsia="en-US" w:bidi="ar-SA"/>
        </w:rPr>
        <w:t>Everest Canadian Properties Ltd. v. Mallmann</w:t>
      </w:r>
      <w:r>
        <w:rPr>
          <w:rFonts w:ascii="arial" w:eastAsia="arial" w:hAnsi="arial" w:cs="arial"/>
          <w:color w:val="000000"/>
          <w:sz w:val="20"/>
          <w:lang w:val="en-US" w:eastAsia="en-US" w:bidi="ar-SA"/>
        </w:rPr>
        <w:t xml:space="preserve">, </w:t>
      </w:r>
      <w:hyperlink r:id="rId199" w:history="1">
        <w:r>
          <w:rPr>
            <w:rFonts w:ascii="arial" w:eastAsia="arial" w:hAnsi="arial" w:cs="arial"/>
            <w:i/>
            <w:color w:val="0077CC"/>
            <w:sz w:val="20"/>
            <w:u w:val="single"/>
            <w:shd w:val="clear" w:color="auto" w:fill="FFFFFF"/>
            <w:lang w:val="en-US" w:eastAsia="en-US" w:bidi="ar-SA"/>
          </w:rPr>
          <w:t>2008 BCCA 275</w:t>
        </w:r>
      </w:hyperlink>
      <w:r>
        <w:rPr>
          <w:rFonts w:ascii="arial" w:eastAsia="arial" w:hAnsi="arial" w:cs="arial"/>
          <w:color w:val="000000"/>
          <w:sz w:val="20"/>
          <w:lang w:val="en-US" w:eastAsia="en-US" w:bidi="ar-SA"/>
        </w:rPr>
        <w:t xml:space="preserve"> at para. 34; </w:t>
      </w:r>
      <w:r>
        <w:rPr>
          <w:rFonts w:ascii="arial" w:eastAsia="arial" w:hAnsi="arial" w:cs="arial"/>
          <w:i/>
          <w:color w:val="000000"/>
          <w:sz w:val="20"/>
          <w:lang w:val="en-US" w:eastAsia="en-US" w:bidi="ar-SA"/>
        </w:rPr>
        <w:t>Kemp v. Vancouver Coastal Health Authority</w:t>
      </w:r>
      <w:r>
        <w:rPr>
          <w:rFonts w:ascii="arial" w:eastAsia="arial" w:hAnsi="arial" w:cs="arial"/>
          <w:color w:val="000000"/>
          <w:sz w:val="20"/>
          <w:lang w:val="en-US" w:eastAsia="en-US" w:bidi="ar-SA"/>
        </w:rPr>
        <w:t xml:space="preserve">, </w:t>
      </w:r>
      <w:hyperlink r:id="rId200" w:history="1">
        <w:r>
          <w:rPr>
            <w:rFonts w:ascii="arial" w:eastAsia="arial" w:hAnsi="arial" w:cs="arial"/>
            <w:i/>
            <w:color w:val="0077CC"/>
            <w:sz w:val="20"/>
            <w:u w:val="single"/>
            <w:shd w:val="clear" w:color="auto" w:fill="FFFFFF"/>
            <w:lang w:val="en-US" w:eastAsia="en-US" w:bidi="ar-SA"/>
          </w:rPr>
          <w:t>2015 BCSC 1319</w:t>
        </w:r>
      </w:hyperlink>
      <w:r>
        <w:rPr>
          <w:rFonts w:ascii="arial" w:eastAsia="arial" w:hAnsi="arial" w:cs="arial"/>
          <w:color w:val="000000"/>
          <w:sz w:val="20"/>
          <w:lang w:val="en-US" w:eastAsia="en-US" w:bidi="ar-SA"/>
        </w:rPr>
        <w:t xml:space="preserve"> at para. 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In the final analysis, the suitability question is a matter of discretion for the trial judge, provided that that discretion is exercised judiciously: </w:t>
      </w:r>
      <w:r>
        <w:rPr>
          <w:rFonts w:ascii="arial" w:eastAsia="arial" w:hAnsi="arial" w:cs="arial"/>
          <w:i/>
          <w:color w:val="000000"/>
          <w:sz w:val="20"/>
          <w:lang w:val="en-US" w:eastAsia="en-US" w:bidi="ar-SA"/>
        </w:rPr>
        <w:t>N.J.</w:t>
      </w:r>
      <w:r>
        <w:rPr>
          <w:rFonts w:ascii="arial" w:eastAsia="arial" w:hAnsi="arial" w:cs="arial"/>
          <w:color w:val="000000"/>
          <w:sz w:val="20"/>
          <w:lang w:val="en-US" w:eastAsia="en-US" w:bidi="ar-SA"/>
        </w:rPr>
        <w:t xml:space="preserve"> at para. 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Scotiabank submits that this claim is appropriate for resolution by way of summary trial. Scotiabank argues that, at its core, this matter involves the interpretation and application of a commercial agreement. It says that many of the material facts are not in dispute. The central controversy between the parties -- whether the verification and limitation of the liability provisions are enforceable in the circumstances of this case -- is amenable to summary 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D2 counters with the submission that the evidentiary record is insufficient for the court to justly adjudicate the issues. Its primary contention is that this matter is too factually and legally complex to be fairly and justly disposed of by way of summary trial. D2 points to the circumstances in </w:t>
      </w:r>
      <w:r>
        <w:rPr>
          <w:rFonts w:ascii="arial" w:eastAsia="arial" w:hAnsi="arial" w:cs="arial"/>
          <w:i/>
          <w:color w:val="000000"/>
          <w:sz w:val="20"/>
          <w:lang w:val="en-US" w:eastAsia="en-US" w:bidi="ar-SA"/>
        </w:rPr>
        <w:t>Oakdale Kitchens Inc. v. The Bank of Nova Scotia</w:t>
      </w:r>
      <w:r>
        <w:rPr>
          <w:rFonts w:ascii="arial" w:eastAsia="arial" w:hAnsi="arial" w:cs="arial"/>
          <w:color w:val="000000"/>
          <w:sz w:val="20"/>
          <w:lang w:val="en-US" w:eastAsia="en-US" w:bidi="ar-SA"/>
        </w:rPr>
        <w:t xml:space="preserve">, </w:t>
      </w:r>
      <w:hyperlink r:id="rId201" w:history="1">
        <w:r>
          <w:rPr>
            <w:rFonts w:ascii="arial" w:eastAsia="arial" w:hAnsi="arial" w:cs="arial"/>
            <w:i/>
            <w:color w:val="0077CC"/>
            <w:sz w:val="20"/>
            <w:u w:val="single"/>
            <w:shd w:val="clear" w:color="auto" w:fill="FFFFFF"/>
            <w:lang w:val="en-US" w:eastAsia="en-US" w:bidi="ar-SA"/>
          </w:rPr>
          <w:t>2012 ONSC 2844</w:t>
        </w:r>
      </w:hyperlink>
      <w:r>
        <w:rPr>
          <w:rFonts w:ascii="arial" w:eastAsia="arial" w:hAnsi="arial" w:cs="arial"/>
          <w:color w:val="000000"/>
          <w:sz w:val="20"/>
          <w:lang w:val="en-US" w:eastAsia="en-US" w:bidi="ar-SA"/>
        </w:rPr>
        <w:t>, in which Scotiabank's application for summary judgment was denied, as analogous to the facts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Firstly, it is important to observe that </w:t>
      </w:r>
      <w:r>
        <w:rPr>
          <w:rFonts w:ascii="arial" w:eastAsia="arial" w:hAnsi="arial" w:cs="arial"/>
          <w:i/>
          <w:color w:val="000000"/>
          <w:sz w:val="20"/>
          <w:lang w:val="en-US" w:eastAsia="en-US" w:bidi="ar-SA"/>
        </w:rPr>
        <w:t>Oakdale</w:t>
      </w:r>
      <w:r>
        <w:rPr>
          <w:rFonts w:ascii="arial" w:eastAsia="arial" w:hAnsi="arial" w:cs="arial"/>
          <w:color w:val="000000"/>
          <w:sz w:val="20"/>
          <w:lang w:val="en-US" w:eastAsia="en-US" w:bidi="ar-SA"/>
        </w:rPr>
        <w:t xml:space="preserve"> concerned a motion for summary judgment, under the applicable Ontario rules, which would require the court to conclude there was no genuine issue requiring a trial. The bank sought leave to appeal. Although leave was ultimately denied, in reasons indexed as </w:t>
      </w:r>
      <w:r>
        <w:rPr>
          <w:rFonts w:ascii="arial" w:eastAsia="arial" w:hAnsi="arial" w:cs="arial"/>
          <w:i/>
          <w:color w:val="000000"/>
          <w:sz w:val="20"/>
          <w:lang w:val="en-US" w:eastAsia="en-US" w:bidi="ar-SA"/>
        </w:rPr>
        <w:t>Oakdale Kitchens Inc. v. Bank of Nova Scotia</w:t>
      </w:r>
      <w:r>
        <w:rPr>
          <w:rFonts w:ascii="arial" w:eastAsia="arial" w:hAnsi="arial" w:cs="arial"/>
          <w:color w:val="000000"/>
          <w:sz w:val="20"/>
          <w:lang w:val="en-US" w:eastAsia="en-US" w:bidi="ar-SA"/>
        </w:rPr>
        <w:t xml:space="preserve">, </w:t>
      </w:r>
      <w:hyperlink r:id="rId202" w:history="1">
        <w:r>
          <w:rPr>
            <w:rFonts w:ascii="arial" w:eastAsia="arial" w:hAnsi="arial" w:cs="arial"/>
            <w:i/>
            <w:color w:val="0077CC"/>
            <w:sz w:val="20"/>
            <w:u w:val="single"/>
            <w:shd w:val="clear" w:color="auto" w:fill="FFFFFF"/>
            <w:lang w:val="en-US" w:eastAsia="en-US" w:bidi="ar-SA"/>
          </w:rPr>
          <w:t>2012 ONSC 5479</w:t>
        </w:r>
      </w:hyperlink>
      <w:r>
        <w:rPr>
          <w:rFonts w:ascii="arial" w:eastAsia="arial" w:hAnsi="arial" w:cs="arial"/>
          <w:color w:val="000000"/>
          <w:sz w:val="20"/>
          <w:lang w:val="en-US" w:eastAsia="en-US" w:bidi="ar-SA"/>
        </w:rPr>
        <w:t>, Pardu J. of the Ontario Superior Court of Justice Divisional Court commented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Secondly, the motion judge referred to the issue of whether the plaintiff customer complied with its contractual duty to diligently examine bank statements and cancelled cheques. The contract excludes liability, whether or not the customer was diligent, where no complaint is made to the Bank within thirty days of sending of the statements. Whether or not the contract excluded 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Bank could have been determined on the summary judgment motion as this was purely a matter of construction of the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However, in the final analysis, the Ontario Divisional Court determined that the dispute did not raise issues of sufficient public importance to satisfy the applicable test for leave to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any case, the threshold test in Ontario's summary judgment rule is distinct from the judicial test for suitability for summary trial under Rule 9-7 in this province. Moreover, the factual matrix in </w:t>
      </w:r>
      <w:r>
        <w:rPr>
          <w:rFonts w:ascii="arial" w:eastAsia="arial" w:hAnsi="arial" w:cs="arial"/>
          <w:i/>
          <w:color w:val="000000"/>
          <w:sz w:val="20"/>
          <w:lang w:val="en-US" w:eastAsia="en-US" w:bidi="ar-SA"/>
        </w:rPr>
        <w:t>Oakdale</w:t>
      </w:r>
      <w:r>
        <w:rPr>
          <w:rFonts w:ascii="arial" w:eastAsia="arial" w:hAnsi="arial" w:cs="arial"/>
          <w:color w:val="000000"/>
          <w:sz w:val="20"/>
          <w:lang w:val="en-US" w:eastAsia="en-US" w:bidi="ar-SA"/>
        </w:rPr>
        <w:t xml:space="preserve"> involved allegations of representations made by bank officials. The plaintiff also alleged that there were suspicious circumstances that should have alerted the bank to a problem. In this case, there is no allegation that Scotiabank made any misrepresentations to Mr. Cooper or that there were suspicious circumstances that should have alerted Scotiabank to a problem with the Account. As a result, the analysis of suitability in </w:t>
      </w:r>
      <w:r>
        <w:rPr>
          <w:rFonts w:ascii="arial" w:eastAsia="arial" w:hAnsi="arial" w:cs="arial"/>
          <w:i/>
          <w:color w:val="000000"/>
          <w:sz w:val="20"/>
          <w:lang w:val="en-US" w:eastAsia="en-US" w:bidi="ar-SA"/>
        </w:rPr>
        <w:t>Oakdale</w:t>
      </w:r>
      <w:r>
        <w:rPr>
          <w:rFonts w:ascii="arial" w:eastAsia="arial" w:hAnsi="arial" w:cs="arial"/>
          <w:color w:val="000000"/>
          <w:sz w:val="20"/>
          <w:lang w:val="en-US" w:eastAsia="en-US" w:bidi="ar-SA"/>
        </w:rPr>
        <w:t xml:space="preserve"> is distinguishable.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turn to consider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There is an extensive evidentiary record before me. There were some ten affidavits filed and extensive documentary evidence tendered. Scotiabank conducted an examination for discovery of Mr. Copeman in April 2013, and D2 conducted an examination for discovery of a Scotiabank representative in May 2013. In January 2015, Mr. Cooper and Ms. Shemilt were each cross-examined on their respective affidavits in anticipation of this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my view, the preponderance of the material facts can be found on the uncontroverted evidence. While there are some conflicts in the affidavits, some of the conflicts do not need to be resolved in order to decide the matters at issue on this application. Where there are any conflicts on material facts, the other evidence is sufficiently reliable for me to draw the necessary inferences to decide the case. In this case, there are no "head on" conflicts in the evidence of the type that constitute an impediment to a summary disposition. In short, I have concluded that I am able to fairly and justly find the facts necessary to adjudicate this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Further, this application has the potential to resolve the entire litigation, which would avoid a more lengthy and costly trial, and would be a more expedient and cost-effective resolution of the issues between the parties. In my view, a conventional trial is not necessary to provide a just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the end, having regard to the totality of the circumstances, I conclude that proceeding by way of summary trial is in the interests of justice and that a summary determination achieves a fair process and just adjudication of 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Having determined this matter is suitable for disposition by way of summary trial, four substantive issues arise on the application:</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parties bound by the terms of an account agreement?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yes, is the account agreement ambiguous and therefore not enforceable against D2?</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D2 breach the terms of the account agreement by:</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review and verify the account statements and report to Scotiabank as prescribed by the agreement?</w:t>
      </w:r>
    </w:p>
    <w:p>
      <w:pPr>
        <w:numPr>
          <w:numId w:val="1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maintain controls to prevent and detect fraud, forgeries, or theft as prescribed by the agreement?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D2 precluded from seeking relief under s. 48 of the </w:t>
      </w:r>
      <w:r>
        <w:rPr>
          <w:rFonts w:ascii="arial" w:eastAsia="arial" w:hAnsi="arial" w:cs="arial"/>
          <w:i/>
          <w:color w:val="000000"/>
          <w:sz w:val="20"/>
          <w:lang w:val="en-US" w:eastAsia="en-US" w:bidi="ar-SA"/>
        </w:rPr>
        <w:t>Bills of Exchange Act</w:t>
      </w:r>
      <w:r>
        <w:rPr>
          <w:rFonts w:ascii="arial" w:eastAsia="arial" w:hAnsi="arial" w:cs="arial"/>
          <w:color w:val="000000"/>
          <w:sz w:val="20"/>
          <w:lang w:val="en-US" w:eastAsia="en-US" w:bidi="ar-SA"/>
        </w:rPr>
        <w:t xml:space="preserve"> because of Mr. Cooper's and therefore D2's actual knowledge of the forgery?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 Are the parties bound by the terms of an account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 central dispute between the parties concerns whether or not Scotiabank has proved on a balance of probabilities that D2 and Scotiabank entered into a binding account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summarize below the evidence pertinent to this issue.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support of its contention that D2 executed the standard form account agreement in 2006, Scotiabank relies on the affidavits of Ms. Shemilt who, as I mentioned, was a Branch manager at the material time, and Ms. Cooper, a 22-year employee of Scotiabank who has served as the Manager of Customer Services at the Branch since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Cooper's evidence, which I accept, is that as of January 2006, Scotiabank staff members were required to adhere to strict procedures and policies when opening an account for a business client. Scotiabank's policies required that the Scotiabank representative obtain personal information from each business client, conduct a credit bureau search, and explain the options and services associated with the business account. A "Welcome Kit" was provided to the business banking client which included the following documents:</w:t>
      </w:r>
      <w:r>
        <w:rPr>
          <w:rFonts w:ascii="arial" w:eastAsia="arial" w:hAnsi="arial" w:cs="arial"/>
          <w:sz w:val="20"/>
          <w:lang w:val="en-US" w:eastAsia="en-US" w:bidi="ar-SA"/>
        </w:rPr>
        <w:cr/>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application for Business Banking Services;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Business Banking Services Agreement;</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Scotiabank Financial Services Agreement ;</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Scotiabank Financial Services Agreement Signature Form</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certificate for the signing authority of the directors and officers; and</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Business Account Signature Card (the "Signature Card").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(Collectively, the "Customer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Ms. Shemilt deposes that:</w:t>
      </w:r>
      <w:r>
        <w:rPr>
          <w:rFonts w:ascii="arial" w:eastAsia="arial" w:hAnsi="arial" w:cs="arial"/>
          <w:sz w:val="20"/>
          <w:lang w:val="en-US" w:eastAsia="en-US" w:bidi="ar-SA"/>
        </w:rPr>
        <w:cr/>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She recalls meeting with Mr. Cooper and Mr. Copeman in January 2006 for the purpose of opening a business bank account for D2;</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followed the appropriate procedures when opening the Account. It was Ms. Shemilt's "invariable standard practice" to use the Application for Business Banking Services as part of her account opening process. Ms. Shemilt is certain that Mr. Copeman and Mr. Cooper filled out this form and that they each executed it because the authorized signing officers must complete this form in order for a credit bureau search to be conducted;</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She obtained identification from both Mr. Cooper and Mr. Copeman and conducted the requisite credit bureau searches. Mr. Copeman's credit history caused her concern. Accordingly, she required that Mr. Copeman and Mr. Cooper serve as joint signing officers for the Account. She explained that her rationale for doing so would be to allow both of them to "have the ability to monitor and be responsible for transactions on the Account";</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Ms. Shemilt provided Ms. Copeman and Mr. Cooper with the Customer Documents and specifically recalls explaining to them that the Customer Documents form the terms and conditions that govern the Account, and that they should take the time to read and understand them;</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the Account was opened, a Business Banking Services Agreement Signature Form ('the Signature Form") was in place, which was similar to the current "Scotiabank Financial Services Agreement Signature Form" which came into effect in February 2007. At the time the Account was opened, the Signature Form was mandatory for opening a business account and comprised two principle components. First, by signing it, the customer confirmed they agreed to be bound by the terms and conditions the Business Banking Services Agreement. Second, the form included a blank space, in which the specific instructions, including those pertaining to cheque signing authorities and requirements, could be recorded;</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Ms. Shemilt's invariable practice to ensure the Signature Form was signed by the authorized signatory of each commercial customer at the time a business account was opened. Because the Account could not have been opened without it, Ms. Shemilt is confident that Mr. Cooper and Mr. Copeman signed the Signature Form;</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Likewise, Ms. Shemilt is confident that Mr. Copeman and Mr. Cooper signed the mandatory Business Account Signature Card at the time of the initial opening of the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Cooper's account of this meeting is set out in his affidavits sworn June 13, 2012, December 2, 2014, and January 5, 2015. In his first affidavit sworn in 2012, he recalls attending at the Branch to open a business bank account and signing "several documents". He deposes that he distinctly recalls signing the Signature Card but has a "less distinct memory of signing a banking agreement". However, on cross-examination on his affidavit in 2015, he resiled from this evidence and he denied that he had been provided with a Scotiabank account agreement in January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At various another points in his cross-examination, Mr. Cooper stated that he did not ask Ms. Shemilt any questions about the account agreement because he expected "that to be in any literature that [Scotiabank] provided". Further, he stated that he "typically" would have read all the documents he received when he opened the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Cooper also acknowledged in cross-examination that throughout his lifetime he had opened other corporate bank accounts, all of which required some form of agreement governing the operation of the account. He acknowledged that he had reviewed monthly statements of his other bank accounts if it was required by the account agreement with that particular bank, and that he understood the purpose of this was to see if there were errors, or non-sufficient funds "NSF" cheques.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Notably, Mr. Copeman was examined for discovery on April 29, 2013, while he was still a director of D2. He testified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understood at the time of opening up the bank account that there would be a bank business agreement between you and -- between D2 and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We signed something. There was some kind of contract I think we signed with the bank</w:t>
            </w:r>
            <w:r>
              <w:rPr>
                <w:rFonts w:ascii="arial" w:eastAsia="arial" w:hAnsi="arial" w:cs="arial"/>
                <w:color w:val="000000"/>
                <w:sz w:val="18"/>
                <w:lang w:val="en-US" w:eastAsia="en-US" w:bidi="ar-SA"/>
              </w:rPr>
              <w:t>. I don't recall exactly what it was called.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Before turning to the analysis, it is important to comment on the documents adduced in evidence. Scotiabank has tendered the Business Banking Services Agreement, which was in effect in 2006. The key provisions in that document are contained in a specific section entitled "Scotiabank Financial Services Agreement" ("the Key Provisions"). The pertinent Key Provisions are set out at paragraph 88 of these reasons. Sometime after 2006, the updated Business Banking Services Agreement was renamed the Financial Services Agreement. The current Financial Services Agreement contains provisions identical to the Key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pivotal issue is whether D2 was bound by the terms and conditions set out in the Key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developing its primary contention that D2 was bound by an account agreement, Scotiabank asserts that Mr. Copeman and Mr. Cooper were provided with the Welcome Kit, which contained the Customer Documents, and that they signed the required documents in order to open the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D2 counters with the submission that the evidence of Ms. Cooper and Ms. Shemilt regarding the standard procedure and the contents of the "Welcome Kit" in 2006, falls short of establishing that Mr. Cooper and Mr. Copeman, on behalf of D2, entered into a banking agreement with Scotiabank.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As a starting point in the analysis, I note that it is common ground that the Account was in fact opened and that it was through this account that D2 transacted its business over a three-year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Ms. Shemilt and Ms. Cooper provided extensive evidence of the standard procedure by which Scotiabank opens business accounts. As I have outlined above, Ms. Shemilt provided Mr. Cooper and Mr. Copeman with the standard documentation she asserts must have been signed in order to open the Account. She specifically recalls explaining to both of them that the Customer Documents would form the terms and conditions of the Account, and that they should take the time to read and understand them. I accept Ms. Shemilt's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Cooper, who by his own admission is sophisticated in business matters, having been employed as a project manager for major contractors, testified that he has reviewed and signed "many multimillion dollar contracts" and that his practice is to maintain his contracts "very carefully to find out what the rights and responsibilities are for both parties". He admits that he was generally knowledgeable of bank accounts and he understood in 2006 that D2 would be governed by "some form of contractual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Cooper's testimony at his cross-examination regarding whether he signed an account agreement, was obfuscatory and replete with internal inconsistencies. As I mentioned, in his first affidavit sworn in 2012, Mr. Cooper deposed that he recalled attending at Scotiabank to open a business bank account and that he and Mr. Copeman "signed several documents". He went on to explain that while he specifically recalls "signing a signature card", he has "a less distinct memory" of signing a banking agreement. However, on his cross-examination, he maintained that in January 2006, he only signed a signature card and that he was not referred to any banking agreements. In my view, he did not satisfactorily explain the inconsistencies in his evidence. Considering the totality of his evidence in context, I found his testimony on his cross-examination implausible. It is more likely than not that his evidence in his affidavit sworn in June 2012 is accurate, and that he in fact signed several documents when the Account was opened. His admission at the conclusion of his cross-examination that, in accordance with his established practice, he scrutinized "the contract" between D2 and Scotiabank, fortifies my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Although the original documents have not been produced, as I found earlier in these reasons, I accept the evidence of the Scotiabank employees that diligent efforts were undertaken to recover these documents and that the documents were lost inadvertently after Ms. Shemilt's retirement.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It accords with sound commercial practice that the Account could not have been opened without Mr. Cooper and Mr. Copeman having first signed a number of standard form documents integral to the account opening process. Overall, I find the evidence of the Scotiabank representatives accords with the preponderance of probabilities a reasonable person would recognize in the circumstances of this case. In my assessment, I have relied on the totality of the evidence, taking into account the inherent probabilities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The decision in </w:t>
      </w:r>
      <w:r>
        <w:rPr>
          <w:rFonts w:ascii="arial" w:eastAsia="arial" w:hAnsi="arial" w:cs="arial"/>
          <w:i/>
          <w:color w:val="000000"/>
          <w:sz w:val="20"/>
          <w:lang w:val="en-US" w:eastAsia="en-US" w:bidi="ar-SA"/>
        </w:rPr>
        <w:t>Bunan v. Toronto-Dominion Bank</w:t>
      </w:r>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2013 ONSC 7928</w:t>
        </w:r>
      </w:hyperlink>
      <w:r>
        <w:rPr>
          <w:rFonts w:ascii="arial" w:eastAsia="arial" w:hAnsi="arial" w:cs="arial"/>
          <w:color w:val="000000"/>
          <w:sz w:val="20"/>
          <w:lang w:val="en-US" w:eastAsia="en-US" w:bidi="ar-SA"/>
        </w:rPr>
        <w:t xml:space="preserve">, aff'd </w:t>
      </w:r>
      <w:hyperlink r:id="rId204" w:history="1">
        <w:r>
          <w:rPr>
            <w:rFonts w:ascii="arial" w:eastAsia="arial" w:hAnsi="arial" w:cs="arial"/>
            <w:i/>
            <w:color w:val="0077CC"/>
            <w:sz w:val="20"/>
            <w:u w:val="single"/>
            <w:shd w:val="clear" w:color="auto" w:fill="FFFFFF"/>
            <w:lang w:val="en-US" w:eastAsia="en-US" w:bidi="ar-SA"/>
          </w:rPr>
          <w:t>2015 ONCA 226</w:t>
        </w:r>
      </w:hyperlink>
      <w:r>
        <w:rPr>
          <w:rFonts w:ascii="arial" w:eastAsia="arial" w:hAnsi="arial" w:cs="arial"/>
          <w:color w:val="000000"/>
          <w:sz w:val="20"/>
          <w:lang w:val="en-US" w:eastAsia="en-US" w:bidi="ar-SA"/>
        </w:rPr>
        <w:t xml:space="preserve">, fortifies my conclusion. In </w:t>
      </w:r>
      <w:r>
        <w:rPr>
          <w:rFonts w:ascii="arial" w:eastAsia="arial" w:hAnsi="arial" w:cs="arial"/>
          <w:i/>
          <w:color w:val="000000"/>
          <w:sz w:val="20"/>
          <w:lang w:val="en-US" w:eastAsia="en-US" w:bidi="ar-SA"/>
        </w:rPr>
        <w:t>Bunan</w:t>
      </w:r>
      <w:r>
        <w:rPr>
          <w:rFonts w:ascii="arial" w:eastAsia="arial" w:hAnsi="arial" w:cs="arial"/>
          <w:color w:val="000000"/>
          <w:sz w:val="20"/>
          <w:lang w:val="en-US" w:eastAsia="en-US" w:bidi="ar-SA"/>
        </w:rPr>
        <w:t xml:space="preserve"> the bank was unable to produce the account agreement signed by the customer, but the court, relying on the evidence of the bank representatives, found that the customer had executed the bank's standard form account agreement.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What documents constitute the account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next question for consideration is what documents constitute the account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accept that the Business Banking Services Agreement tendered in evidence was the form of agreement executed by Mr. Copeman and Mr. Cooper. I find that the balance of the Customer Documents tendered in evidence are substantially the same as those utilized in 2006, and are those that were produced to and were executed by Mr. Cooper and Mr. Copeman. Further, I accept that Ms. Shemilt followed all standard Scotiabank procedures in opening the Account and that the standard form agreemnt was not varied or altered.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have not overlooked D2's submission that Ms. Cooper referred to the Signature Card as the document that states the banking customer is bound to the terms and conditions in the Business Banking Services Agreement. This, clearly, was an inadvertent error. In reviewing both documents, it is manifestly clear that it is the Signature Form and not the Signature Card that creates a binding contract with Scotiabank. In my view, this oversight does not detract from the overall reliability of Scotiabank's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To be clear, Ms. Shemilt's evidence supports a finding on a balance of probabilities that when the Account was opened, Mr. Cooper and Mr. Copeman signed a Signature Form document which pre-dated the signature form adduced in evidence. I accept that it included substantially the same language as the following provision: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By signing this form, you understand and agree that you are bound by the terms and conditions of the </w:t>
      </w:r>
      <w:r>
        <w:rPr>
          <w:rFonts w:ascii="arial" w:eastAsia="arial" w:hAnsi="arial" w:cs="arial"/>
          <w:i/>
          <w:color w:val="000000"/>
          <w:sz w:val="20"/>
          <w:lang w:val="en-US" w:eastAsia="en-US" w:bidi="ar-SA"/>
        </w:rPr>
        <w:t>Scotiabank Financial Services Agreement</w:t>
      </w:r>
      <w:r>
        <w:rPr>
          <w:rFonts w:ascii="arial" w:eastAsia="arial" w:hAnsi="arial" w:cs="arial"/>
          <w:color w:val="000000"/>
          <w:sz w:val="20"/>
          <w:lang w:val="en-US" w:eastAsia="en-US" w:bidi="ar-SA"/>
        </w:rPr>
        <w:t xml:space="preserve"> and agree they will apply to your accounts with us, and any of the financial services listed in the </w:t>
      </w:r>
      <w:r>
        <w:rPr>
          <w:rFonts w:ascii="arial" w:eastAsia="arial" w:hAnsi="arial" w:cs="arial"/>
          <w:i/>
          <w:color w:val="000000"/>
          <w:sz w:val="20"/>
          <w:lang w:val="en-US" w:eastAsia="en-US" w:bidi="ar-SA"/>
        </w:rPr>
        <w:t>Published list of "Scotiabank Financial Services"</w:t>
      </w:r>
      <w:r>
        <w:rPr>
          <w:rFonts w:ascii="arial" w:eastAsia="arial" w:hAnsi="arial" w:cs="arial"/>
          <w:color w:val="000000"/>
          <w:sz w:val="20"/>
          <w:lang w:val="en-US" w:eastAsia="en-US" w:bidi="ar-SA"/>
        </w:rPr>
        <w:t xml:space="preserve"> for which you may apply now and in the future. You acknowledge you have been given and read a copy of the </w:t>
      </w:r>
      <w:r>
        <w:rPr>
          <w:rFonts w:ascii="arial" w:eastAsia="arial" w:hAnsi="arial" w:cs="arial"/>
          <w:i/>
          <w:color w:val="000000"/>
          <w:sz w:val="20"/>
          <w:lang w:val="en-US" w:eastAsia="en-US" w:bidi="ar-SA"/>
        </w:rPr>
        <w:t>Scotiabank Financial Services Agreement</w:t>
      </w:r>
      <w:r>
        <w:rPr>
          <w:rFonts w:ascii="arial" w:eastAsia="arial" w:hAnsi="arial" w:cs="arial"/>
          <w:color w:val="000000"/>
          <w:sz w:val="20"/>
          <w:lang w:val="en-US" w:eastAsia="en-US" w:bidi="ar-SA"/>
        </w:rPr>
        <w:t xml:space="preserve"> and had the opportunity to ask any questions which you had about the agreement. You have signed this Signature Form for valuable consideration and knowing you are agreeing to the obligations of the </w:t>
      </w:r>
      <w:r>
        <w:rPr>
          <w:rFonts w:ascii="arial" w:eastAsia="arial" w:hAnsi="arial" w:cs="arial"/>
          <w:i/>
          <w:color w:val="000000"/>
          <w:sz w:val="20"/>
          <w:lang w:val="en-US" w:eastAsia="en-US" w:bidi="ar-SA"/>
        </w:rPr>
        <w:t>Scotiabank Financial Services Agreement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These provisions also accord with Ms. Shemilt's evidence as to the wording that comprised the Signature Form in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conclude that by signing the Signature Form in effect in January 2006, Mr. Cooper and Mr. Copeman agreed that D2 would be bound by the provisions of the Business Banking Services Agreement, which included the Key Provisions. For ease of reference throughout these reasons, I will refer to the entirety of the Business Banking Services Agreement that comprises the contract between the parties as the "Agreement".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Is D2 bound by the provisions of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Cooper, in particular, is clearly experienced in business and banking and familiar with standard form agreements. He understood that by signing an account agreement he was binding D2 to the terms of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Ms. Shemilt explained to both Mr. Cooper and Mr. Copeman that they should take the time to read the account opening documents. Those documents contained the terms and conditions that governed the Account and D2's commercial relationship with Scotiabank. She had no obligation to bring the specific terms of the account agreement to their attention: </w:t>
      </w:r>
      <w:r>
        <w:rPr>
          <w:rFonts w:ascii="arial" w:eastAsia="arial" w:hAnsi="arial" w:cs="arial"/>
          <w:i/>
          <w:color w:val="000000"/>
          <w:sz w:val="20"/>
          <w:lang w:val="en-US" w:eastAsia="en-US" w:bidi="ar-SA"/>
        </w:rPr>
        <w:t>Manor Windsor v. Bank of Nova Scotia</w:t>
      </w:r>
      <w:r>
        <w:rPr>
          <w:rFonts w:ascii="arial" w:eastAsia="arial" w:hAnsi="arial" w:cs="arial"/>
          <w:color w:val="000000"/>
          <w:sz w:val="20"/>
          <w:lang w:val="en-US" w:eastAsia="en-US" w:bidi="ar-SA"/>
        </w:rPr>
        <w:t xml:space="preserve">, </w:t>
      </w:r>
      <w:hyperlink r:id="rId205" w:history="1">
        <w:r>
          <w:rPr>
            <w:rFonts w:ascii="arial" w:eastAsia="arial" w:hAnsi="arial" w:cs="arial"/>
            <w:i/>
            <w:color w:val="0077CC"/>
            <w:sz w:val="20"/>
            <w:u w:val="single"/>
            <w:shd w:val="clear" w:color="auto" w:fill="FFFFFF"/>
            <w:lang w:val="en-US" w:eastAsia="en-US" w:bidi="ar-SA"/>
          </w:rPr>
          <w:t>2011 ONSC 4515</w:t>
        </w:r>
      </w:hyperlink>
      <w:r>
        <w:rPr>
          <w:rFonts w:ascii="arial" w:eastAsia="arial" w:hAnsi="arial" w:cs="arial"/>
          <w:color w:val="000000"/>
          <w:sz w:val="20"/>
          <w:lang w:val="en-US" w:eastAsia="en-US" w:bidi="ar-SA"/>
        </w:rPr>
        <w:t xml:space="preserve"> at para.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For completeness, I observe that failure to read a contract before signing it is not determinative of whether a businessman is bound by its terms. It is well-settled that in the absence of fraud or misrepresentation, a businessman is bound by an agreement to which he has put his signature, whether or not he has read its contents or has chosen to leave them unread. In </w:t>
      </w:r>
      <w:r>
        <w:rPr>
          <w:rFonts w:ascii="arial" w:eastAsia="arial" w:hAnsi="arial" w:cs="arial"/>
          <w:i/>
          <w:color w:val="000000"/>
          <w:sz w:val="20"/>
          <w:lang w:val="en-US" w:eastAsia="en-US" w:bidi="ar-SA"/>
        </w:rPr>
        <w:t>Fraser Jewellers (1982) Ltd. v. Dominion Electric Protection Co. et al.</w:t>
      </w:r>
      <w:r>
        <w:rPr>
          <w:rFonts w:ascii="arial" w:eastAsia="arial" w:hAnsi="arial" w:cs="arial"/>
          <w:color w:val="000000"/>
          <w:sz w:val="20"/>
          <w:lang w:val="en-US" w:eastAsia="en-US" w:bidi="ar-SA"/>
        </w:rPr>
        <w:t xml:space="preserve">, </w:t>
      </w:r>
      <w:hyperlink r:id="rId206" w:history="1">
        <w:r>
          <w:rPr>
            <w:rFonts w:ascii="arial" w:eastAsia="arial" w:hAnsi="arial" w:cs="arial"/>
            <w:i/>
            <w:color w:val="0077CC"/>
            <w:sz w:val="20"/>
            <w:u w:val="single"/>
            <w:shd w:val="clear" w:color="auto" w:fill="FFFFFF"/>
            <w:lang w:val="en-US" w:eastAsia="en-US" w:bidi="ar-SA"/>
          </w:rPr>
          <w:t>148 D.L.R. (4th) 496</w:t>
        </w:r>
      </w:hyperlink>
      <w:r>
        <w:rPr>
          <w:rFonts w:ascii="arial" w:eastAsia="arial" w:hAnsi="arial" w:cs="arial"/>
          <w:color w:val="000000"/>
          <w:sz w:val="20"/>
          <w:lang w:val="en-US" w:eastAsia="en-US" w:bidi="ar-SA"/>
        </w:rPr>
        <w:t xml:space="preserve"> (Ont. C.A.) at para. 30, the court summarized the governing legal principles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Failure to read a contract before signing it is not a legally acceptable basis for refusing to abide by it. A businessman executing an agreement on behalf of a company must be presumed to be aware of its terms and to have intended that the company would be bound by them. The fact that Mr. Gordon chose not to read the contract can place him in no better position than a person who has. Nor is the fact that the clause is in a standard pre-printed form and was not a subject of negotiations sufficient in itself to vitiate the clause. </w:t>
      </w:r>
      <w:r>
        <w:rPr>
          <w:rFonts w:ascii="arial" w:eastAsia="arial" w:hAnsi="arial" w:cs="arial"/>
          <w:i/>
          <w:color w:val="000000"/>
          <w:sz w:val="20"/>
          <w:lang w:val="en-US" w:eastAsia="en-US" w:bidi="ar-SA"/>
        </w:rPr>
        <w:t>L'Estrange v. F. Graucob Ltd.,</w:t>
      </w:r>
      <w:r>
        <w:rPr>
          <w:rFonts w:ascii="arial" w:eastAsia="arial" w:hAnsi="arial" w:cs="arial"/>
          <w:color w:val="000000"/>
          <w:sz w:val="20"/>
          <w:lang w:val="en-US" w:eastAsia="en-US" w:bidi="ar-SA"/>
        </w:rPr>
        <w:t xml:space="preserve"> [1934] 2 K.B. 394 at 403; </w:t>
      </w:r>
      <w:r>
        <w:rPr>
          <w:rFonts w:ascii="arial" w:eastAsia="arial" w:hAnsi="arial" w:cs="arial"/>
          <w:i/>
          <w:color w:val="000000"/>
          <w:sz w:val="20"/>
          <w:lang w:val="en-US" w:eastAsia="en-US" w:bidi="ar-SA"/>
        </w:rPr>
        <w:t>Craven v. Strand Holidays (Canada) Ltd</w:t>
      </w:r>
      <w:r>
        <w:rPr>
          <w:rFonts w:ascii="arial" w:eastAsia="arial" w:hAnsi="arial" w:cs="arial"/>
          <w:color w:val="000000"/>
          <w:sz w:val="20"/>
          <w:lang w:val="en-US" w:eastAsia="en-US" w:bidi="ar-SA"/>
        </w:rPr>
        <w:t xml:space="preserve">. </w:t>
      </w:r>
      <w:hyperlink r:id="rId207" w:history="1">
        <w:r>
          <w:rPr>
            <w:rFonts w:ascii="arial" w:eastAsia="arial" w:hAnsi="arial" w:cs="arial"/>
            <w:i/>
            <w:color w:val="0077CC"/>
            <w:sz w:val="20"/>
            <w:u w:val="single"/>
            <w:shd w:val="clear" w:color="auto" w:fill="FFFFFF"/>
            <w:lang w:val="en-US" w:eastAsia="en-US" w:bidi="ar-SA"/>
          </w:rPr>
          <w:t>(1982), 40 O.R. (2d) 186</w:t>
        </w:r>
      </w:hyperlink>
      <w:r>
        <w:rPr>
          <w:rFonts w:ascii="arial" w:eastAsia="arial" w:hAnsi="arial" w:cs="arial"/>
          <w:color w:val="000000"/>
          <w:sz w:val="20"/>
          <w:lang w:val="en-US" w:eastAsia="en-US" w:bidi="ar-SA"/>
        </w:rPr>
        <w:t xml:space="preserve"> at 194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summary on this issue, I find on balance of probabilities that Mr. Cooper and Mr. Copeman executed the Signature Form in the Customer Documents. In so doing, they bound D2 to the terms contained therein. Accordingly, I conclude the operation of the Account and the rights and obligations of the parties in respect of the Account are governed by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Having concluded that the Agreement is binding on the parties, the next step in the analysis is to consider the enforceability of the Agreement.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 If yes, is the account agreement ambiguous and therefore not enforceable against D2?</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D2's claim is rooted in the application of the </w:t>
      </w:r>
      <w:r>
        <w:rPr>
          <w:rFonts w:ascii="arial" w:eastAsia="arial" w:hAnsi="arial" w:cs="arial"/>
          <w:i/>
          <w:color w:val="000000"/>
          <w:sz w:val="20"/>
          <w:lang w:val="en-US" w:eastAsia="en-US" w:bidi="ar-SA"/>
        </w:rPr>
        <w:t>Bills of Exchange Act</w:t>
      </w:r>
      <w:r>
        <w:rPr>
          <w:rFonts w:ascii="arial" w:eastAsia="arial" w:hAnsi="arial" w:cs="arial"/>
          <w:color w:val="000000"/>
          <w:sz w:val="20"/>
          <w:lang w:val="en-US" w:eastAsia="en-US" w:bidi="ar-SA"/>
        </w:rPr>
        <w:t>, R.S.C., 1995, c. B-4. Section 48(1) concerns circumstances in which items, purporting to be cheques, are drawn on an account, bearing forged or unauthorized signatures. It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Forgery</w:t>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(1) Subject to this Act, where a signature on a bill is forged, or placed thereon without the authority of the person whose signature it purports to be, the forged or unauthorized signature is wholly inoperative, and no right to retain the bill or to give a discharge therefor or to enforce payment thereof against any party thereto can be acquired through or under that signature, unless the party against whom it is sought to retain or enforce payment of the bill is precluded from setting up the forgery or want of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At the core of D2's claim is the assertion that because Scotiabank honoured the Impugned Cheques, despite the forgeries or absence of an authorized second signature, it breached the </w:t>
      </w:r>
      <w:r>
        <w:rPr>
          <w:rFonts w:ascii="arial" w:eastAsia="arial" w:hAnsi="arial" w:cs="arial"/>
          <w:i/>
          <w:color w:val="000000"/>
          <w:sz w:val="20"/>
          <w:lang w:val="en-US" w:eastAsia="en-US" w:bidi="ar-SA"/>
        </w:rPr>
        <w:t>Bills of Exchange Act</w:t>
      </w:r>
      <w:r>
        <w:rPr>
          <w:rFonts w:ascii="arial" w:eastAsia="arial" w:hAnsi="arial" w:cs="arial"/>
          <w:color w:val="000000"/>
          <w:sz w:val="20"/>
          <w:lang w:val="en-US" w:eastAsia="en-US" w:bidi="ar-SA"/>
        </w:rPr>
        <w:t xml:space="preserve"> and, therefore, it is liable for D2's losses. The essence of the plaintiff's claim against Scotiabank was distilled in its written submissions as follows:</w:t>
      </w:r>
      <w:r>
        <w:rPr>
          <w:rFonts w:ascii="arial" w:eastAsia="arial" w:hAnsi="arial" w:cs="arial"/>
          <w:sz w:val="20"/>
          <w:lang w:val="en-US" w:eastAsia="en-US" w:bidi="ar-SA"/>
        </w:rPr>
        <w:cr/>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pleads that section 48 of the </w:t>
      </w:r>
      <w:r>
        <w:rPr>
          <w:rFonts w:ascii="arial" w:eastAsia="arial" w:hAnsi="arial" w:cs="arial"/>
          <w:i/>
          <w:color w:val="000000"/>
          <w:sz w:val="20"/>
          <w:lang w:val="en-US" w:eastAsia="en-US" w:bidi="ar-SA"/>
        </w:rPr>
        <w:t>Bills of Exchange Act</w:t>
      </w:r>
      <w:r>
        <w:rPr>
          <w:rFonts w:ascii="arial" w:eastAsia="arial" w:hAnsi="arial" w:cs="arial"/>
          <w:color w:val="000000"/>
          <w:sz w:val="20"/>
          <w:lang w:val="en-US" w:eastAsia="en-US" w:bidi="ar-SA"/>
        </w:rPr>
        <w:t xml:space="preserve">, and the common law create the tort of conversion, strict liability, without any apportionment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the negotiation by a bank of a cheque with a forged signature.</w:t>
      </w:r>
    </w:p>
    <w:p>
      <w:pPr>
        <w:numPr>
          <w:numId w:val="3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alternative the plaintiff says that if there is a standard form of agreement between the plaintiff and the defendant with a verification, or limitation of liability clause which is enforceable, then that verification clause is not relevant to these circumstances and is not so unambiguous as to exclude liability by the bank for a breach of section 48 of the </w:t>
      </w:r>
      <w:r>
        <w:rPr>
          <w:rFonts w:ascii="arial" w:eastAsia="arial" w:hAnsi="arial" w:cs="arial"/>
          <w:i/>
          <w:color w:val="000000"/>
          <w:sz w:val="20"/>
          <w:lang w:val="en-US" w:eastAsia="en-US" w:bidi="ar-SA"/>
        </w:rPr>
        <w:t>Bills of Exchange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I agree with Scotiabank that the tort of conversion, which is engaged when the endorsement on a cheque is forged, has no application here. Scotiabank, however, acknowledges that, in general terms, s. 48 operates such that a bank is obligated to account for the funds debited in respect of forged cheques. The analytical framework recognizes that forged cheques are legal nullities and, accordingly, a bank is responsible for returning the funds to its customer. However, s. 48 of the </w:t>
      </w:r>
      <w:r>
        <w:rPr>
          <w:rFonts w:ascii="arial" w:eastAsia="arial" w:hAnsi="arial" w:cs="arial"/>
          <w:i/>
          <w:color w:val="000000"/>
          <w:sz w:val="20"/>
          <w:lang w:val="en-US" w:eastAsia="en-US" w:bidi="ar-SA"/>
        </w:rPr>
        <w:t>Bills of Exchange Act</w:t>
      </w:r>
      <w:r>
        <w:rPr>
          <w:rFonts w:ascii="arial" w:eastAsia="arial" w:hAnsi="arial" w:cs="arial"/>
          <w:color w:val="000000"/>
          <w:sz w:val="20"/>
          <w:lang w:val="en-US" w:eastAsia="en-US" w:bidi="ar-SA"/>
        </w:rPr>
        <w:t xml:space="preserve"> is not a strict liability provision and it contemplates circumstances in which the account holder would be "precluded" from recovery. The authorities establish that the risk of loss related to forged signatures can be shifted back to the customer holding the account through the use of verification clauses and other terms in banking account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Scotiabank's essential submission is that the Agreement constitutes a legally binding verification agreement. It asserts that its provisions are unambiguous and therefore legally enforceable and that D2's failure to comply with its obligation is dispositive of its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D2 counters with the submission that the alleged ambiguities in the Agreement render it unenforceable. It asserts that the verification provisions in the Agreement "are not so unambiguous when read in the entire context of the entire Agreement" so as to permit Scotiabank to contract out of s. 48 of the </w:t>
      </w:r>
      <w:r>
        <w:rPr>
          <w:rFonts w:ascii="arial" w:eastAsia="arial" w:hAnsi="arial" w:cs="arial"/>
          <w:i/>
          <w:color w:val="000000"/>
          <w:sz w:val="20"/>
          <w:lang w:val="en-US" w:eastAsia="en-US" w:bidi="ar-SA"/>
        </w:rPr>
        <w:t>Bills of Exchange Act</w:t>
      </w:r>
      <w:r>
        <w:rPr>
          <w:rFonts w:ascii="arial" w:eastAsia="arial" w:hAnsi="arial" w:cs="arial"/>
          <w:color w:val="000000"/>
          <w:sz w:val="20"/>
          <w:lang w:val="en-US" w:eastAsia="en-US" w:bidi="ar-SA"/>
        </w:rPr>
        <w:t>. The central thread of D2's submission is that Scotiabank's lack of disclosure that it does not verify the authenticity of signatures on cheques, unless the cheque is negotiated at the account-holder's home branch, renders the Agreement "confusing" and ambiguous.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Terms of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pertinent Key Provisions in the Agreement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Your contract with 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When you sign the Statement - About the Business, or the Application - Banking Services </w:t>
      </w:r>
      <w:r>
        <w:rPr>
          <w:rFonts w:ascii="arial" w:eastAsia="arial" w:hAnsi="arial" w:cs="arial"/>
          <w:i/>
          <w:color w:val="000000"/>
          <w:sz w:val="20"/>
          <w:lang w:val="en-US" w:eastAsia="en-US" w:bidi="ar-SA"/>
        </w:rPr>
        <w:t>for business</w:t>
      </w:r>
      <w:r>
        <w:rPr>
          <w:rFonts w:ascii="arial" w:eastAsia="arial" w:hAnsi="arial" w:cs="arial"/>
          <w:color w:val="000000"/>
          <w:sz w:val="20"/>
          <w:lang w:val="en-US" w:eastAsia="en-US" w:bidi="ar-SA"/>
        </w:rPr>
        <w:t xml:space="preserve"> or the Business Account - Service Request, you are bound by this agreement. In addition, you are responsible for:</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instruction given on the accounts</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request made for service relating to the accounts, and</w:t>
      </w:r>
    </w:p>
    <w:p>
      <w:pPr>
        <w:numPr>
          <w:numId w:val="3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all your liabilities and obligations to 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Your authorization to us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w:t>
      </w:r>
      <w:r>
        <w:rPr>
          <w:rFonts w:ascii="arial" w:eastAsia="arial" w:hAnsi="arial" w:cs="arial"/>
          <w:color w:val="000000"/>
          <w:sz w:val="20"/>
          <w:u w:val="single"/>
          <w:lang w:val="en-US" w:eastAsia="en-US" w:bidi="ar-SA"/>
        </w:rPr>
        <w:t>An instruction</w:t>
      </w:r>
      <w:r>
        <w:rPr>
          <w:rFonts w:ascii="arial" w:eastAsia="arial" w:hAnsi="arial" w:cs="arial"/>
          <w:color w:val="000000"/>
          <w:sz w:val="20"/>
          <w:lang w:val="en-US" w:eastAsia="en-US" w:bidi="ar-SA"/>
        </w:rPr>
        <w:t xml:space="preserve"> is a request to transfer funds to or from the accounts. </w:t>
      </w:r>
      <w:r>
        <w:rPr>
          <w:rFonts w:ascii="arial" w:eastAsia="arial" w:hAnsi="arial" w:cs="arial"/>
          <w:color w:val="000000"/>
          <w:sz w:val="20"/>
          <w:u w:val="single"/>
          <w:lang w:val="en-US" w:eastAsia="en-US" w:bidi="ar-SA"/>
        </w:rPr>
        <w:t>Examples include cheques</w:t>
      </w:r>
      <w:r>
        <w:rPr>
          <w:rFonts w:ascii="arial" w:eastAsia="arial" w:hAnsi="arial" w:cs="arial"/>
          <w:color w:val="000000"/>
          <w:sz w:val="20"/>
          <w:lang w:val="en-US" w:eastAsia="en-US" w:bidi="ar-SA"/>
        </w:rPr>
        <w:t>, transfers between accounts and any orders for the payment of money. Instructions may be given by electronic or written communication. Instructions may have the signature electronically or mechanically produced or imprinted.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 Your account obligations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You agree to maintain security systems, procedures and controls to prevent and detect:</w:t>
      </w:r>
    </w:p>
    <w:p>
      <w:pPr>
        <w:numPr>
          <w:numId w:val="3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theft of funds</w:t>
      </w:r>
    </w:p>
    <w:p>
      <w:pPr>
        <w:numPr>
          <w:numId w:val="3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forged, fraudulent and unauthorized instructions and electronic transfer of funds</w:t>
      </w:r>
    </w:p>
    <w:p>
      <w:pPr>
        <w:numPr>
          <w:numId w:val="3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losses due to fraud or unauthorized access to the service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 Your payment obligations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4.3 You acknowledge that we must clear instructions using a clearing system and are bound by the rules of any clearing system we use, including rules for endorsement of instructions, identity of payee and the time for final settlement. These rules affect our ability to honour your request to cancel instructions and the procedures we must follow to settle your instructions and clear funds for you. You acknowledge and agree that these rules shall in no way whatsoever operate or be construed to impair or limit any rights or remedies we have against you.</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6 Instructions through third parties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6.1 We may act on your instructions and provide services through third parties or our choice, including payment or clearing services, correspondents and electronic data processing service bureaus. We may choose the method of communication with the third party for the service provided.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7 Verifying your accounts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7.1 We will periodically provide you with statements of your accounts in printed or electronic form.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7.2 </w:t>
      </w:r>
      <w:r>
        <w:rPr>
          <w:rFonts w:ascii="arial" w:eastAsia="arial" w:hAnsi="arial" w:cs="arial"/>
          <w:color w:val="000000"/>
          <w:sz w:val="20"/>
          <w:u w:val="single"/>
          <w:lang w:val="en-US" w:eastAsia="en-US" w:bidi="ar-SA"/>
        </w:rPr>
        <w:t>You must review each statement carefully and check and verify the entries. If you believe there are any errors or omissions, you must tell us in writing within 30 days of our mailing the statement or making it available for pick-up electronically or in person. If you don't tell us of any errors or omissions within that 30 days, you have acknowledged that</w:t>
      </w:r>
      <w:r>
        <w:rPr>
          <w:rFonts w:ascii="arial" w:eastAsia="arial" w:hAnsi="arial" w:cs="arial"/>
          <w:color w:val="000000"/>
          <w:sz w:val="20"/>
          <w:lang w:val="en-US" w:eastAsia="en-US" w:bidi="ar-SA"/>
        </w:rPr>
        <w:t>:</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balance shown in your statement is correct</w:t>
      </w:r>
    </w:p>
    <w:p>
      <w:pPr>
        <w:numPr>
          <w:numId w:val="4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all amounts charged to your account are valid</w:t>
      </w:r>
    </w:p>
    <w:p>
      <w:pPr>
        <w:numPr>
          <w:numId w:val="4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you are not entitled to be credited with any amount not shown on your statement</w:t>
      </w:r>
    </w:p>
    <w:p>
      <w:pPr>
        <w:numPr>
          <w:numId w:val="4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you have verified the validity of the instructions</w:t>
      </w:r>
    </w:p>
    <w:p>
      <w:pPr>
        <w:numPr>
          <w:numId w:val="4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use of any service shown is correct.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7.3 </w:t>
      </w:r>
      <w:r>
        <w:rPr>
          <w:rFonts w:ascii="arial" w:eastAsia="arial" w:hAnsi="arial" w:cs="arial"/>
          <w:color w:val="000000"/>
          <w:sz w:val="20"/>
          <w:u w:val="single"/>
          <w:lang w:val="en-US" w:eastAsia="en-US" w:bidi="ar-SA"/>
        </w:rPr>
        <w:t>After the 30 days, you cannot claim, for any purpose, that any entry on your statement is incorrect and will have no claim against us for reimbursement relating to an entry, even if the instruction charged to your account was forged, unauthorized or fraudulent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7.5 We will mail your statements of account to your latest address on our records or make them available for pick-up at the branch or electronically, as may be agreed in writing from time to time. If you do not receive a statement, or pick it up where this has been agreed, within 10 days after the end of the statement period, you must let us know within 15 days after the end of the statement period. If you do not let us know, you will be deemed to have received the statement 5 days after the mailing date, for all purposes, including the 30 day period to review the statement and advise us of any error.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13 Limits of our 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13.1 We are not liable for any loss or damage you suffer in connection with your accounts or the provision of any service, or refusal to provide any service, except if it was caused by our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You acknowledge this means we are not liable for the following specific matters:</w:t>
      </w:r>
    </w:p>
    <w:p>
      <w:pPr>
        <w:numPr>
          <w:numId w:val="4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honouring, or refusing to honour or cancel, an instruction, for any reason</w:t>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any delay in completing or failing to provide a service for any reason even if this means you are unable to access funds in your account</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matter arising from your actions or your failure to perform your obligations properly under this agreement even if you are not at fault</w:t>
      </w:r>
    </w:p>
    <w:p>
      <w:pPr>
        <w:numPr>
          <w:numId w:val="4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 forged, unauthorized or fraudulent use of services, instruction</w:t>
      </w:r>
      <w:r>
        <w:rPr>
          <w:rFonts w:ascii="arial" w:eastAsia="arial" w:hAnsi="arial" w:cs="arial"/>
          <w:color w:val="000000"/>
          <w:sz w:val="20"/>
          <w:lang w:val="en-US" w:eastAsia="en-US" w:bidi="ar-SA"/>
        </w:rPr>
        <w:t xml:space="preserve">, or material alteration to an instruction, </w:t>
      </w:r>
      <w:r>
        <w:rPr>
          <w:rFonts w:ascii="arial" w:eastAsia="arial" w:hAnsi="arial" w:cs="arial"/>
          <w:color w:val="000000"/>
          <w:sz w:val="20"/>
          <w:u w:val="single"/>
          <w:lang w:val="en-US" w:eastAsia="en-US" w:bidi="ar-SA"/>
        </w:rPr>
        <w:t>even if you or we did or did not verify the signature, instruction</w:t>
      </w:r>
      <w:r>
        <w:rPr>
          <w:rFonts w:ascii="arial" w:eastAsia="arial" w:hAnsi="arial" w:cs="arial"/>
          <w:color w:val="000000"/>
          <w:sz w:val="20"/>
          <w:lang w:val="en-US" w:eastAsia="en-US" w:bidi="ar-SA"/>
        </w:rPr>
        <w:t xml:space="preserve"> or authorization.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17 This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17.1 You acknowledge that we have made no promise, representation, warranty or agreement except as described in this agreement. This agreement, any service request approved by us and any service materials are the only descriptions of the services and what we will do and are responsible for.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Legal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The Supreme Court of Canada in </w:t>
      </w:r>
      <w:r>
        <w:rPr>
          <w:rFonts w:ascii="arial" w:eastAsia="arial" w:hAnsi="arial" w:cs="arial"/>
          <w:i/>
          <w:color w:val="000000"/>
          <w:sz w:val="20"/>
          <w:lang w:val="en-US" w:eastAsia="en-US" w:bidi="ar-SA"/>
        </w:rPr>
        <w:t>Arrow Transfer Company Ltd. v. Royal Bank of Canada et al.</w:t>
      </w:r>
      <w:r>
        <w:rPr>
          <w:rFonts w:ascii="arial" w:eastAsia="arial" w:hAnsi="arial" w:cs="arial"/>
          <w:color w:val="000000"/>
          <w:sz w:val="20"/>
          <w:lang w:val="en-US" w:eastAsia="en-US" w:bidi="ar-SA"/>
        </w:rPr>
        <w:t xml:space="preserve">, </w:t>
      </w:r>
      <w:hyperlink r:id="rId208" w:history="1">
        <w:r>
          <w:rPr>
            <w:rFonts w:ascii="arial" w:eastAsia="arial" w:hAnsi="arial" w:cs="arial"/>
            <w:i/>
            <w:color w:val="0077CC"/>
            <w:sz w:val="20"/>
            <w:u w:val="single"/>
            <w:shd w:val="clear" w:color="auto" w:fill="FFFFFF"/>
            <w:lang w:val="en-US" w:eastAsia="en-US" w:bidi="ar-SA"/>
          </w:rPr>
          <w:t>[1972] S.C.R. 845</w:t>
        </w:r>
      </w:hyperlink>
      <w:r>
        <w:rPr>
          <w:rFonts w:ascii="arial" w:eastAsia="arial" w:hAnsi="arial" w:cs="arial"/>
          <w:color w:val="000000"/>
          <w:sz w:val="20"/>
          <w:lang w:val="en-US" w:eastAsia="en-US" w:bidi="ar-SA"/>
        </w:rPr>
        <w:t xml:space="preserve"> considered the enforceability of verification provisions in a business account agreement. The agreement at issue stipulated that the corporate customer was to verify the accuracy of each statement of account and a 30-day window was provided, within which the customer could report omissions or debits wrongly made to the bank. The Court held that where a valid verification agreement exists between a bank and a customer, the latter is bound by it and must report to the bank within the time prescribed by the agreement. Otherwise, the verification agreement provides the bank with a complete defence to the customer's claim regarding forged cheques: </w:t>
      </w:r>
      <w:r>
        <w:rPr>
          <w:rFonts w:ascii="arial" w:eastAsia="arial" w:hAnsi="arial" w:cs="arial"/>
          <w:i/>
          <w:color w:val="000000"/>
          <w:sz w:val="20"/>
          <w:lang w:val="en-US" w:eastAsia="en-US" w:bidi="ar-SA"/>
        </w:rPr>
        <w:t>Arrow Transfer Co</w:t>
      </w:r>
      <w:r>
        <w:rPr>
          <w:rFonts w:ascii="arial" w:eastAsia="arial" w:hAnsi="arial" w:cs="arial"/>
          <w:color w:val="000000"/>
          <w:sz w:val="20"/>
          <w:lang w:val="en-US" w:eastAsia="en-US" w:bidi="ar-SA"/>
        </w:rPr>
        <w:t>. at 850.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The authorities also establish that in the event of ambiguity, verification clauses are to be strictly construed against the drafter, in accordance with the doctrine of </w:t>
      </w:r>
      <w:r>
        <w:rPr>
          <w:rFonts w:ascii="arial" w:eastAsia="arial" w:hAnsi="arial" w:cs="arial"/>
          <w:i/>
          <w:color w:val="000000"/>
          <w:sz w:val="20"/>
          <w:lang w:val="en-US" w:eastAsia="en-US" w:bidi="ar-SA"/>
        </w:rPr>
        <w:t>contra preferentem</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S.N.S. Industrial Products Limited. v. Bank of Montreal</w:t>
      </w:r>
      <w:r>
        <w:rPr>
          <w:rFonts w:ascii="arial" w:eastAsia="arial" w:hAnsi="arial" w:cs="arial"/>
          <w:color w:val="000000"/>
          <w:sz w:val="20"/>
          <w:lang w:val="en-US" w:eastAsia="en-US" w:bidi="ar-SA"/>
        </w:rPr>
        <w:t xml:space="preserve">, </w:t>
      </w:r>
      <w:hyperlink r:id="rId209" w:history="1">
        <w:r>
          <w:rPr>
            <w:rFonts w:ascii="arial" w:eastAsia="arial" w:hAnsi="arial" w:cs="arial"/>
            <w:i/>
            <w:color w:val="0077CC"/>
            <w:sz w:val="20"/>
            <w:u w:val="single"/>
            <w:shd w:val="clear" w:color="auto" w:fill="FFFFFF"/>
            <w:lang w:val="en-US" w:eastAsia="en-US" w:bidi="ar-SA"/>
          </w:rPr>
          <w:t>2010 ONCA 500</w:t>
        </w:r>
      </w:hyperlink>
      <w:r>
        <w:rPr>
          <w:rFonts w:ascii="arial" w:eastAsia="arial" w:hAnsi="arial" w:cs="arial"/>
          <w:color w:val="000000"/>
          <w:sz w:val="20"/>
          <w:lang w:val="en-US" w:eastAsia="en-US" w:bidi="ar-SA"/>
        </w:rPr>
        <w:t xml:space="preserve"> at para. 14.</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Scotiabank anchors its submissions in </w:t>
      </w:r>
      <w:r>
        <w:rPr>
          <w:rFonts w:ascii="arial" w:eastAsia="arial" w:hAnsi="arial" w:cs="arial"/>
          <w:i/>
          <w:color w:val="000000"/>
          <w:sz w:val="20"/>
          <w:lang w:val="en-US" w:eastAsia="en-US" w:bidi="ar-SA"/>
        </w:rPr>
        <w:t>Manor Windsor</w:t>
      </w:r>
      <w:r>
        <w:rPr>
          <w:rFonts w:ascii="arial" w:eastAsia="arial" w:hAnsi="arial" w:cs="arial"/>
          <w:color w:val="000000"/>
          <w:sz w:val="20"/>
          <w:lang w:val="en-US" w:eastAsia="en-US" w:bidi="ar-SA"/>
        </w:rPr>
        <w:t>, which considered the identical provisions to those at issue in this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plaintiff, Manor Windsor Realty, employed a bookkeeper, Ms. Styles, to manage its financial affairs. That employee managed the account held with Scotiabank which was subject to an account agreement. The company's cheques required two signatures, one of each of its principals, Mr. Mustac and Mr. Girard. However, Mr. Girard was frequently away and it was his practice to sign a number of blank cheques and give them to Mr. Mustac for safekeeping. Mr. Mustac would review invoices and then direct Ms. Styles to pay them. The monthly statements and cancelled cheques were directed to Mr. Mustac's attention, but it was not his practice to review them regularly. As it turns out, over a number of years, Ms. Styles had fraudulently altered several cheques, to show herself as payee. Mr. Mustac and Mr. Girard did not check the bank statements nor did they inform the bank of any issues, until the fraud had been underway for several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plaintiff sought to recover the misappropriated funds from Scotiabank. It argued that Scotiabank was liable to it because it had honoured the cheques in favour of Ms. Styles, despite the fact that a number of them were signed with only a single signature. Scotiabank relied on provisions of its Financial Services Agreement which, as I mentioned, are identical to the Key Provisions in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The central question before the court in </w:t>
      </w:r>
      <w:r>
        <w:rPr>
          <w:rFonts w:ascii="arial" w:eastAsia="arial" w:hAnsi="arial" w:cs="arial"/>
          <w:i/>
          <w:color w:val="000000"/>
          <w:sz w:val="20"/>
          <w:lang w:val="en-US" w:eastAsia="en-US" w:bidi="ar-SA"/>
        </w:rPr>
        <w:t>Manor Windsor</w:t>
      </w:r>
      <w:r>
        <w:rPr>
          <w:rFonts w:ascii="arial" w:eastAsia="arial" w:hAnsi="arial" w:cs="arial"/>
          <w:color w:val="000000"/>
          <w:sz w:val="20"/>
          <w:lang w:val="en-US" w:eastAsia="en-US" w:bidi="ar-SA"/>
        </w:rPr>
        <w:t xml:space="preserve"> was whether the provisions of the Financial Services Agreement were ambiguous and therefore unenforceable. In concluding that the agreement was not ambiguous and legally enforceable, the court noted that the Financial Services Agreement had to be interpreted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D2, in support of its submission that the Agreement is not enforceable, urges the court to consider </w:t>
      </w:r>
      <w:r>
        <w:rPr>
          <w:rFonts w:ascii="arial" w:eastAsia="arial" w:hAnsi="arial" w:cs="arial"/>
          <w:i/>
          <w:color w:val="000000"/>
          <w:sz w:val="20"/>
          <w:lang w:val="en-US" w:eastAsia="en-US" w:bidi="ar-SA"/>
        </w:rPr>
        <w:t>Oakdale v. Bank of Nova Scotia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S.N.S. Industrial Products Limited. v. Bank of Montreal</w:t>
      </w:r>
      <w:r>
        <w:rPr>
          <w:rFonts w:ascii="arial" w:eastAsia="arial" w:hAnsi="arial" w:cs="arial"/>
          <w:color w:val="000000"/>
          <w:sz w:val="20"/>
          <w:lang w:val="en-US" w:eastAsia="en-US" w:bidi="ar-SA"/>
        </w:rPr>
        <w:t xml:space="preserve">. In particular, D2 places considerable emphasis on the decision of the Ontario Superior Court of Justice in </w:t>
      </w:r>
      <w:r>
        <w:rPr>
          <w:rFonts w:ascii="arial" w:eastAsia="arial" w:hAnsi="arial" w:cs="arial"/>
          <w:i/>
          <w:color w:val="000000"/>
          <w:sz w:val="20"/>
          <w:lang w:val="en-US" w:eastAsia="en-US" w:bidi="ar-SA"/>
        </w:rPr>
        <w:t>Oakdale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In my view, </w:t>
      </w:r>
      <w:r>
        <w:rPr>
          <w:rFonts w:ascii="arial" w:eastAsia="arial" w:hAnsi="arial" w:cs="arial"/>
          <w:i/>
          <w:color w:val="000000"/>
          <w:sz w:val="20"/>
          <w:lang w:val="en-US" w:eastAsia="en-US" w:bidi="ar-SA"/>
        </w:rPr>
        <w:t>Oakdale</w:t>
      </w:r>
      <w:r>
        <w:rPr>
          <w:rFonts w:ascii="arial" w:eastAsia="arial" w:hAnsi="arial" w:cs="arial"/>
          <w:color w:val="000000"/>
          <w:sz w:val="20"/>
          <w:lang w:val="en-US" w:eastAsia="en-US" w:bidi="ar-SA"/>
        </w:rPr>
        <w:t xml:space="preserve"> does not assist D2. Notably, the plaintiff in </w:t>
      </w:r>
      <w:r>
        <w:rPr>
          <w:rFonts w:ascii="arial" w:eastAsia="arial" w:hAnsi="arial" w:cs="arial"/>
          <w:i/>
          <w:color w:val="000000"/>
          <w:sz w:val="20"/>
          <w:lang w:val="en-US" w:eastAsia="en-US" w:bidi="ar-SA"/>
        </w:rPr>
        <w:t>Oakdale</w:t>
      </w:r>
      <w:r>
        <w:rPr>
          <w:rFonts w:ascii="arial" w:eastAsia="arial" w:hAnsi="arial" w:cs="arial"/>
          <w:color w:val="000000"/>
          <w:sz w:val="20"/>
          <w:lang w:val="en-US" w:eastAsia="en-US" w:bidi="ar-SA"/>
        </w:rPr>
        <w:t xml:space="preserve"> raised several issues specific to the particular factual matrix of that case, which are not present in this case. The motions judge, in dismissing the summary judgement application, made no determination on the merits. Rather, the court noted that based on the reasoning of </w:t>
      </w:r>
      <w:r>
        <w:rPr>
          <w:rFonts w:ascii="arial" w:eastAsia="arial" w:hAnsi="arial" w:cs="arial"/>
          <w:i/>
          <w:color w:val="000000"/>
          <w:sz w:val="20"/>
          <w:lang w:val="en-US" w:eastAsia="en-US" w:bidi="ar-SA"/>
        </w:rPr>
        <w:t>S.N.S. Industrial Products</w:t>
      </w:r>
      <w:r>
        <w:rPr>
          <w:rFonts w:ascii="arial" w:eastAsia="arial" w:hAnsi="arial" w:cs="arial"/>
          <w:color w:val="000000"/>
          <w:sz w:val="20"/>
          <w:lang w:val="en-US" w:eastAsia="en-US" w:bidi="ar-SA"/>
        </w:rPr>
        <w:t xml:space="preserve">, it could not say that the pleadings did not raise a genuine issue for trial in respect of the question of whether the "agreement contained 'substantive ambiguity'": </w:t>
      </w:r>
      <w:r>
        <w:rPr>
          <w:rFonts w:ascii="arial" w:eastAsia="arial" w:hAnsi="arial" w:cs="arial"/>
          <w:i/>
          <w:color w:val="000000"/>
          <w:sz w:val="20"/>
          <w:lang w:val="en-US" w:eastAsia="en-US" w:bidi="ar-SA"/>
        </w:rPr>
        <w:t>Oakdale</w:t>
      </w:r>
      <w:r>
        <w:rPr>
          <w:rFonts w:ascii="arial" w:eastAsia="arial" w:hAnsi="arial" w:cs="arial"/>
          <w:color w:val="000000"/>
          <w:sz w:val="20"/>
          <w:lang w:val="en-US" w:eastAsia="en-US" w:bidi="ar-SA"/>
        </w:rPr>
        <w:t xml:space="preserve"> at para. 18. Notably, the court referred to </w:t>
      </w:r>
      <w:r>
        <w:rPr>
          <w:rFonts w:ascii="arial" w:eastAsia="arial" w:hAnsi="arial" w:cs="arial"/>
          <w:i/>
          <w:color w:val="000000"/>
          <w:sz w:val="20"/>
          <w:lang w:val="en-US" w:eastAsia="en-US" w:bidi="ar-SA"/>
        </w:rPr>
        <w:t>Manor Windsor</w:t>
      </w:r>
      <w:r>
        <w:rPr>
          <w:rFonts w:ascii="arial" w:eastAsia="arial" w:hAnsi="arial" w:cs="arial"/>
          <w:color w:val="000000"/>
          <w:sz w:val="20"/>
          <w:lang w:val="en-US" w:eastAsia="en-US" w:bidi="ar-SA"/>
        </w:rPr>
        <w:t xml:space="preserve">, but observed that it was decided prior to the </w:t>
      </w:r>
      <w:r>
        <w:rPr>
          <w:rFonts w:ascii="arial" w:eastAsia="arial" w:hAnsi="arial" w:cs="arial"/>
          <w:i/>
          <w:color w:val="000000"/>
          <w:sz w:val="20"/>
          <w:lang w:val="en-US" w:eastAsia="en-US" w:bidi="ar-SA"/>
        </w:rPr>
        <w:t>S.N.S. Industrial Products</w:t>
      </w:r>
      <w:r>
        <w:rPr>
          <w:rFonts w:ascii="arial" w:eastAsia="arial" w:hAnsi="arial" w:cs="arial"/>
          <w:color w:val="000000"/>
          <w:sz w:val="20"/>
          <w:lang w:val="en-US" w:eastAsia="en-US" w:bidi="ar-SA"/>
        </w:rPr>
        <w:t xml:space="preserve"> decision, a case in which a verification provision of a banking agreement, with different wording than the Agreement, was found to be ambiguous.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S.N.S. Industrial Products</w:t>
      </w:r>
      <w:r>
        <w:rPr>
          <w:rFonts w:ascii="arial" w:eastAsia="arial" w:hAnsi="arial" w:cs="arial"/>
          <w:color w:val="000000"/>
          <w:sz w:val="20"/>
          <w:lang w:val="en-US" w:eastAsia="en-US" w:bidi="ar-SA"/>
        </w:rPr>
        <w:t xml:space="preserve"> concerned a banking agreement between the plaintiff and the Bank of Montreal. The trial judge awarded the respondent, S.N.S., in excess of $185,000 for losses arising from forged cheques drawn on its account held with the Bank of Montreal ("BMO"). The sole issue on appeal concerned the interpretation of a verification clause in the banking agreement between S.N.S. and BMO. BMO asserted that the verification clause constituted a full defence. S.N.S. argued that its ambiguity rendered the verification clause unenforceable. The trial judge concluded, in essence, that the verification clause did not apply to forged cheques because honouring a forged cheque was not an "error, irregularity, or omission" as those terms were used in the verification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The Ontario Court of Appeal upheld the decision of the trial judge. The court noted that the verification clause did not refer expressly to forged cheques, or cheques which were otherwise improper, nor were the terms "error", "irregularity", and "omission" defined: </w:t>
      </w:r>
      <w:r>
        <w:rPr>
          <w:rFonts w:ascii="arial" w:eastAsia="arial" w:hAnsi="arial" w:cs="arial"/>
          <w:i/>
          <w:color w:val="000000"/>
          <w:sz w:val="20"/>
          <w:lang w:val="en-US" w:eastAsia="en-US" w:bidi="ar-SA"/>
        </w:rPr>
        <w:t>S.N.S. Industrial Products</w:t>
      </w:r>
      <w:r>
        <w:rPr>
          <w:rFonts w:ascii="arial" w:eastAsia="arial" w:hAnsi="arial" w:cs="arial"/>
          <w:color w:val="000000"/>
          <w:sz w:val="20"/>
          <w:lang w:val="en-US" w:eastAsia="en-US" w:bidi="ar-SA"/>
        </w:rPr>
        <w:t xml:space="preserve"> at para. 9. Thus, the court concluded that the meaning of these terms was not apparent on the face of the verification clause. The Court of Appeal commented that it was open to BMO to include a specific definition or otherwise clarify the terms. Further, the court noted that S.N.S. had approached BMO seeking clarification of the timelines imposed by the verification clause and had received a memorandum by its bank contact which left it with the impression that no timeline applied to the circumstances of forgeries.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In those circumstances, the Court of Appeal concluded that the clause was ambiguous and that it should be strictly construed against BMO. Accordingly, the Court held that BMO was not exempt from liability under s. 48 of the </w:t>
      </w:r>
      <w:r>
        <w:rPr>
          <w:rFonts w:ascii="arial" w:eastAsia="arial" w:hAnsi="arial" w:cs="arial"/>
          <w:i/>
          <w:color w:val="000000"/>
          <w:sz w:val="20"/>
          <w:lang w:val="en-US" w:eastAsia="en-US" w:bidi="ar-SA"/>
        </w:rPr>
        <w:t>Bills of Exchange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In my view, there are critical elements of the factual matrix of </w:t>
      </w:r>
      <w:r>
        <w:rPr>
          <w:rFonts w:ascii="arial" w:eastAsia="arial" w:hAnsi="arial" w:cs="arial"/>
          <w:i/>
          <w:color w:val="000000"/>
          <w:sz w:val="20"/>
          <w:lang w:val="en-US" w:eastAsia="en-US" w:bidi="ar-SA"/>
        </w:rPr>
        <w:t>S.N.S. Industrial Products</w:t>
      </w:r>
      <w:r>
        <w:rPr>
          <w:rFonts w:ascii="arial" w:eastAsia="arial" w:hAnsi="arial" w:cs="arial"/>
          <w:color w:val="000000"/>
          <w:sz w:val="20"/>
          <w:lang w:val="en-US" w:eastAsia="en-US" w:bidi="ar-SA"/>
        </w:rPr>
        <w:t xml:space="preserve"> which are distinguishable from the case at bar. Firstly, Scotiabank did not make subsequent representations by memorandum, which might lead to confusion regarding the timelines imposed by the verification provisions in the Agreement. Second, the wording in the BMO verification clause under consideration was materially different than the wording in the Scotiabank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In developing its primary contention that the Agreement is unenforceable, D2 also relies on two recent Supreme Court of Canada decisions: </w:t>
      </w:r>
      <w:r>
        <w:rPr>
          <w:rFonts w:ascii="arial" w:eastAsia="arial" w:hAnsi="arial" w:cs="arial"/>
          <w:i/>
          <w:color w:val="000000"/>
          <w:sz w:val="20"/>
          <w:lang w:val="en-US" w:eastAsia="en-US" w:bidi="ar-SA"/>
        </w:rPr>
        <w:t>Bhasin v. Hrynew</w:t>
      </w:r>
      <w:r>
        <w:rPr>
          <w:rFonts w:ascii="arial" w:eastAsia="arial" w:hAnsi="arial" w:cs="arial"/>
          <w:color w:val="000000"/>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2014 SCC 71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Sattva Capital Corp. v. Creston Moly Corp.</w:t>
      </w:r>
      <w:r>
        <w:rPr>
          <w:rFonts w:ascii="arial" w:eastAsia="arial" w:hAnsi="arial" w:cs="arial"/>
          <w:color w:val="000000"/>
          <w:sz w:val="20"/>
          <w:lang w:val="en-US" w:eastAsia="en-US" w:bidi="ar-SA"/>
        </w:rPr>
        <w:t xml:space="preserve">, </w:t>
      </w:r>
      <w:hyperlink r:id="rId211" w:history="1">
        <w:r>
          <w:rPr>
            <w:rFonts w:ascii="arial" w:eastAsia="arial" w:hAnsi="arial" w:cs="arial"/>
            <w:i/>
            <w:color w:val="0077CC"/>
            <w:sz w:val="20"/>
            <w:u w:val="single"/>
            <w:shd w:val="clear" w:color="auto" w:fill="FFFFFF"/>
            <w:lang w:val="en-US" w:eastAsia="en-US" w:bidi="ar-SA"/>
          </w:rPr>
          <w:t>2014 SCC 53</w:t>
        </w:r>
      </w:hyperlink>
      <w:r>
        <w:rPr>
          <w:rFonts w:ascii="arial" w:eastAsia="arial" w:hAnsi="arial" w:cs="arial"/>
          <w:color w:val="000000"/>
          <w:sz w:val="20"/>
          <w:lang w:val="en-US" w:eastAsia="en-US" w:bidi="ar-SA"/>
        </w:rPr>
        <w:t>. For the reasons that follow, I am not persuaded that either of these cases assists D2.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There is no suggestion in this case that any Scotiabank official made any misrepresentation to either Mr. Cooper or Mr. Copeman during the currency of their commercial relationship. Accordingly, I find no breach of the general duty of honesty in contractual performance as that doctrine was articulated in </w:t>
      </w:r>
      <w:r>
        <w:rPr>
          <w:rFonts w:ascii="arial" w:eastAsia="arial" w:hAnsi="arial" w:cs="arial"/>
          <w:i/>
          <w:color w:val="000000"/>
          <w:sz w:val="20"/>
          <w:lang w:val="en-US" w:eastAsia="en-US" w:bidi="ar-SA"/>
        </w:rPr>
        <w:t>Bhasin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With respect to </w:t>
      </w:r>
      <w:r>
        <w:rPr>
          <w:rFonts w:ascii="arial" w:eastAsia="arial" w:hAnsi="arial" w:cs="arial"/>
          <w:i/>
          <w:color w:val="000000"/>
          <w:sz w:val="20"/>
          <w:lang w:val="en-US" w:eastAsia="en-US" w:bidi="ar-SA"/>
        </w:rPr>
        <w:t>Sattva</w:t>
      </w:r>
      <w:r>
        <w:rPr>
          <w:rFonts w:ascii="arial" w:eastAsia="arial" w:hAnsi="arial" w:cs="arial"/>
          <w:color w:val="000000"/>
          <w:sz w:val="20"/>
          <w:lang w:val="en-US" w:eastAsia="en-US" w:bidi="ar-SA"/>
        </w:rPr>
        <w:t xml:space="preserve">, the BC Court of Appeal in </w:t>
      </w:r>
      <w:r>
        <w:rPr>
          <w:rFonts w:ascii="arial" w:eastAsia="arial" w:hAnsi="arial" w:cs="arial"/>
          <w:i/>
          <w:color w:val="000000"/>
          <w:sz w:val="20"/>
          <w:lang w:val="en-US" w:eastAsia="en-US" w:bidi="ar-SA"/>
        </w:rPr>
        <w:t>British Columbia (Ministry of Forests) v. Teal Cedar Products Ltd.</w:t>
      </w:r>
      <w:r>
        <w:rPr>
          <w:rFonts w:ascii="arial" w:eastAsia="arial" w:hAnsi="arial" w:cs="arial"/>
          <w:color w:val="000000"/>
          <w:sz w:val="20"/>
          <w:lang w:val="en-US" w:eastAsia="en-US" w:bidi="ar-SA"/>
        </w:rPr>
        <w:t xml:space="preserve">, </w:t>
      </w:r>
      <w:hyperlink r:id="rId212" w:history="1">
        <w:r>
          <w:rPr>
            <w:rFonts w:ascii="arial" w:eastAsia="arial" w:hAnsi="arial" w:cs="arial"/>
            <w:i/>
            <w:color w:val="0077CC"/>
            <w:sz w:val="20"/>
            <w:u w:val="single"/>
            <w:shd w:val="clear" w:color="auto" w:fill="FFFFFF"/>
            <w:lang w:val="en-US" w:eastAsia="en-US" w:bidi="ar-SA"/>
          </w:rPr>
          <w:t>2015 BCCA 263</w:t>
        </w:r>
      </w:hyperlink>
      <w:r>
        <w:rPr>
          <w:rFonts w:ascii="arial" w:eastAsia="arial" w:hAnsi="arial" w:cs="arial"/>
          <w:color w:val="000000"/>
          <w:sz w:val="20"/>
          <w:lang w:val="en-US" w:eastAsia="en-US" w:bidi="ar-SA"/>
        </w:rPr>
        <w:t xml:space="preserve">, recently clarified that the fundamental principle of contractual interpretation, that precludes surrounding circumstances or a contextual analysis from overwhelming or modifying express contractual wording was not in any way diminished in </w:t>
      </w:r>
      <w:r>
        <w:rPr>
          <w:rFonts w:ascii="arial" w:eastAsia="arial" w:hAnsi="arial" w:cs="arial"/>
          <w:i/>
          <w:color w:val="000000"/>
          <w:sz w:val="20"/>
          <w:lang w:val="en-US" w:eastAsia="en-US" w:bidi="ar-SA"/>
        </w:rPr>
        <w:t>Sattva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Teal Cedar Products</w:t>
      </w:r>
      <w:r>
        <w:rPr>
          <w:rFonts w:ascii="arial" w:eastAsia="arial" w:hAnsi="arial" w:cs="arial"/>
          <w:color w:val="000000"/>
          <w:sz w:val="20"/>
          <w:lang w:val="en-US" w:eastAsia="en-US" w:bidi="ar-SA"/>
        </w:rPr>
        <w:t xml:space="preserve"> at para. 53. The Court in </w:t>
      </w:r>
      <w:r>
        <w:rPr>
          <w:rFonts w:ascii="arial" w:eastAsia="arial" w:hAnsi="arial" w:cs="arial"/>
          <w:i/>
          <w:color w:val="000000"/>
          <w:sz w:val="20"/>
          <w:lang w:val="en-US" w:eastAsia="en-US" w:bidi="ar-SA"/>
        </w:rPr>
        <w:t>Sattva</w:t>
      </w:r>
      <w:r>
        <w:rPr>
          <w:rFonts w:ascii="arial" w:eastAsia="arial" w:hAnsi="arial" w:cs="arial"/>
          <w:color w:val="000000"/>
          <w:sz w:val="20"/>
          <w:lang w:val="en-US" w:eastAsia="en-US" w:bidi="ar-SA"/>
        </w:rPr>
        <w:t xml:space="preserve"> affirmed that the role of the court in interpreting a contract is to determine objectively the parties' intention at the time the contract was made. In doing so, courts must seek to determine the plain and ordinary meaning of the words used in the context of the contract as a whole, aided by objective evidence of the factual matrix or surrounding circumstances that existed at the time the contract was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I note that the authorities also establish that a contract should be construed in accordance with sound commercial principles and good business sense: </w:t>
      </w:r>
      <w:r>
        <w:rPr>
          <w:rFonts w:ascii="arial" w:eastAsia="arial" w:hAnsi="arial" w:cs="arial"/>
          <w:i/>
          <w:color w:val="000000"/>
          <w:sz w:val="20"/>
          <w:lang w:val="en-US" w:eastAsia="en-US" w:bidi="ar-SA"/>
        </w:rPr>
        <w:t>Scanlon v. Castlepoint Development Corporation et al.</w:t>
      </w:r>
      <w:r>
        <w:rPr>
          <w:rFonts w:ascii="arial" w:eastAsia="arial" w:hAnsi="arial" w:cs="arial"/>
          <w:color w:val="000000"/>
          <w:sz w:val="20"/>
          <w:lang w:val="en-US" w:eastAsia="en-US" w:bidi="ar-SA"/>
        </w:rPr>
        <w:t xml:space="preserve"> </w:t>
      </w:r>
      <w:hyperlink r:id="rId213" w:history="1">
        <w:r>
          <w:rPr>
            <w:rFonts w:ascii="arial" w:eastAsia="arial" w:hAnsi="arial" w:cs="arial"/>
            <w:i/>
            <w:color w:val="0077CC"/>
            <w:sz w:val="20"/>
            <w:u w:val="single"/>
            <w:shd w:val="clear" w:color="auto" w:fill="FFFFFF"/>
            <w:lang w:val="en-US" w:eastAsia="en-US" w:bidi="ar-SA"/>
          </w:rPr>
          <w:t>(1992), 11 O.R. (3d) 744</w:t>
        </w:r>
      </w:hyperlink>
      <w:r>
        <w:rPr>
          <w:rFonts w:ascii="arial" w:eastAsia="arial" w:hAnsi="arial" w:cs="arial"/>
          <w:color w:val="000000"/>
          <w:sz w:val="20"/>
          <w:lang w:val="en-US" w:eastAsia="en-US" w:bidi="ar-SA"/>
        </w:rPr>
        <w:t xml:space="preserve"> (C.A.) at 770.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D2 contends that the Agreement does not adequately disclose to Scotiabank's customers that unless a cheque is presented to be cashed at the bank branch at which the cheque is drawn upon, Scotiabank's cheque-clearing process includes the use of third party services, specifically Symcor Inc., which does not manually verify cheques against the Signature Card. Mr. Cooper's counsel characterized this as "the most important fact in this entire proceeding" and as a "shocking state of affairs". Crucially, there is no suggestion that Scotiabank made any representations whatsoever to Mr. Cooper that it would manually verify the signatures on any or all cheques. Nor did Mr. Cooper ask any questions on the cheque-clearing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To the extent that D2 contends that Mr. Cooper's alleged erroneous assumption -that Scotiabank manually checked the signatures on each cheque- somehow renders the Agreement unenforceable, the governing authorities, including </w:t>
      </w:r>
      <w:r>
        <w:rPr>
          <w:rFonts w:ascii="arial" w:eastAsia="arial" w:hAnsi="arial" w:cs="arial"/>
          <w:i/>
          <w:color w:val="000000"/>
          <w:sz w:val="20"/>
          <w:lang w:val="en-US" w:eastAsia="en-US" w:bidi="ar-SA"/>
        </w:rPr>
        <w:t>Sattva</w:t>
      </w:r>
      <w:r>
        <w:rPr>
          <w:rFonts w:ascii="arial" w:eastAsia="arial" w:hAnsi="arial" w:cs="arial"/>
          <w:color w:val="000000"/>
          <w:sz w:val="20"/>
          <w:lang w:val="en-US" w:eastAsia="en-US" w:bidi="ar-SA"/>
        </w:rPr>
        <w:t>, are clear that whatever Mr. Cooper's subjective belief may have been, that cannot overtake the express wording of the Agreement. These provisions expressly require the customer to verify the account statements, including verifying the validity of any instructions (cheques).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Agreement, in Clause 6.1, states that Scotiabank may use third parties clearing services, and in Clause 4.3, the customer expressly acknowledges that Scotiabank clears cheques using a clearing system. Scotiabank, in this strictly commercial relationship, had no obligation to advise Mr. Cooper that, unless a cheque was negotiated at the Branch, Scotiabank would not verify the signatures. D2 provided the court with no opinion evidence or authority that would support such a proposition.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D2 also submits that it was Mr. Cooper, and not Ms. Shemilt, who suggested the dual signature requirement.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Mr. Cooper maintains that he believed that the dual signature requirement was a "security precaution" that would "guard against fraudulent and forged cheques" and that in reliance on this, he was unconcerned about the Account balance during the years 2006-2009. His contention contradicts the evidence in his affidavit sworn April 30, 2009, in which he deposes that between January 2006 and June 2007, when he was an authorized signatory, but not a full-time employee of D2, he could not recall the exact cheque-signing arrangements. He went on to state that during this period he could not recall turning his mind to the issue. Mr. Cooper did not satisfactorily explain the discrepancy in his evidence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In the end, I find Mr. Cooper's contention regarding his initial insistence on a dual-signature requirement does not accord with the inherent probabilities of the case. Mr. Cooper's testimony on this point is irreconcilable with his subsequent failure to report the forgeries. He could not have reasonably believed this would "guard against forged cheques" after August 2006, when he discovered Mr. Copeman had forged his signature, despite the dual signature requirement.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 turn to consider the actual wording of the contractual provisions at issue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this case, the Agreement specifically defines an "instruction" to include cheques. The verification provisions must be read with this definition in mind. Clause 7.2 clearly and unambiguously imposes an obligation on the Account holder to "review each statement carefully to check and verify the entries". It requires that the account holder report any "errors or omissions" within thirty days. The provision goes on to state that failure to do so constitutes an acknowledgment that, amongst other things, the account-holder has "verified the validity of any instructions", which includes cheques. Clause 7.3 establishes that after this 30-day window has lapsed, the Account holder "cannot claim ... that any entry on [the] statement is incorrect and will have no claim against [Scotiabank] for reimbursement... even if the instruction charged to your account was forged, unauthorized or fraudulent".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The Agreement must be read as a whole. Clause 7.2 refers to reporting "errors and omissions" to Scotiabank. Crucially, the clause goes on to specify that if a customer does not tell the bank in writing of "any errors or omissions" within 30 days, a customer thereby acknowledges that they have verified the validity of any instruction (cheque). Clause 13.1 plainly states that Scotiabank is not liable for forged, unauthorized, or fraudulent instructions, including cheques, "even if Scotiabank did not verify the signature".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In reviewing the entirety of the Agreement and on a plain and literal reading of Clause 13, and having regard to Clause 7, it is clear that the only circumstances in which Scotiabank would be liable for errors on the Account relating to forged, unauthorized, or fraudulent instructions, including cheques, are if the customer informs Scotiabank of the error within the prescribed 30-day period: </w:t>
      </w:r>
      <w:r>
        <w:rPr>
          <w:rFonts w:ascii="arial" w:eastAsia="arial" w:hAnsi="arial" w:cs="arial"/>
          <w:i/>
          <w:color w:val="000000"/>
          <w:sz w:val="20"/>
          <w:lang w:val="en-US" w:eastAsia="en-US" w:bidi="ar-SA"/>
        </w:rPr>
        <w:t>Manor Windsor</w:t>
      </w:r>
      <w:r>
        <w:rPr>
          <w:rFonts w:ascii="arial" w:eastAsia="arial" w:hAnsi="arial" w:cs="arial"/>
          <w:color w:val="000000"/>
          <w:sz w:val="20"/>
          <w:lang w:val="en-US" w:eastAsia="en-US" w:bidi="ar-SA"/>
        </w:rPr>
        <w:t xml:space="preserve"> at para. 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D2 contends that the use of the phrase "even if" in Clause 13.1 renders the Agreement misleading. I do not agree. The Limitation of Liability provision 13.1 mirrors the use of the phrase "even if" in Clause 7.3. The Agreement, which is written in plain English, must be read as a whole. The principles of contractual interpretation mandate that contracts should not be parsed up by reference to individual words or phrases. In the context of the Agreement as a whole, the inclusion of the phrase "even if" does not result in any ambiguity.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In the final analysis, I find that the provisions of the Agreement clearly and concisely delineate the respective responsibilities of Scotiabank and its customers:</w:t>
      </w:r>
      <w:r>
        <w:rPr>
          <w:rFonts w:ascii="arial" w:eastAsia="arial" w:hAnsi="arial" w:cs="arial"/>
          <w:sz w:val="20"/>
          <w:lang w:val="en-US" w:eastAsia="en-US" w:bidi="ar-SA"/>
        </w:rPr>
        <w:cr/>
      </w:r>
    </w:p>
    <w:p>
      <w:pPr>
        <w:numPr>
          <w:numId w:val="4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Scotiabank will prepare monthly statements of all transactions;</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customer shall review those account statements within the verification period and report unauthorized transactions to Scotiabank within the stipulated time period; and</w:t>
      </w:r>
    </w:p>
    <w:p>
      <w:pPr>
        <w:numPr>
          <w:numId w:val="5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Scotiabank will account to the customer for unauthorized transactions properly reported within the stipulated time period, unless the customer has breached its obligations to take fundamental steps to protect against the account fraud that caused the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The following observations of the court in </w:t>
      </w:r>
      <w:r>
        <w:rPr>
          <w:rFonts w:ascii="arial" w:eastAsia="arial" w:hAnsi="arial" w:cs="arial"/>
          <w:i/>
          <w:color w:val="000000"/>
          <w:sz w:val="20"/>
          <w:lang w:val="en-US" w:eastAsia="en-US" w:bidi="ar-SA"/>
        </w:rPr>
        <w:t>Manor Windsor</w:t>
      </w:r>
      <w:r>
        <w:rPr>
          <w:rFonts w:ascii="arial" w:eastAsia="arial" w:hAnsi="arial" w:cs="arial"/>
          <w:color w:val="000000"/>
          <w:sz w:val="20"/>
          <w:lang w:val="en-US" w:eastAsia="en-US" w:bidi="ar-SA"/>
        </w:rPr>
        <w:t xml:space="preserve"> with respect to the Scotiabank Financial Services Agreement are equally apposite to the Agreement under consideration: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47 It is important to remember that the Financial Services Agreement contains obligations for both the Bank and the customer. Among the customer's obligations are the obligations first to maintain security systems to prevent fraud, and second, to advise the Bank promptly of any errors or omissions in each monthly bank statement. These obligations work hand in hand with the Bank's obligations. </w:t>
      </w:r>
      <w:r>
        <w:rPr>
          <w:rFonts w:ascii="arial" w:eastAsia="arial" w:hAnsi="arial" w:cs="arial"/>
          <w:color w:val="000000"/>
          <w:sz w:val="20"/>
          <w:u w:val="single"/>
          <w:lang w:val="en-US" w:eastAsia="en-US" w:bidi="ar-SA"/>
        </w:rPr>
        <w:t>When I read the Financial Services Agreement as a whole, I conclude it is not ambiguous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Finally, D2 submits that the Agreement should be held unenforceable because its provisions are against public policy. D2 has not advanced any principled legal basis that would support such a finding.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In all the circumstances, I conclude that, even applying a strict construction against Scotiabank, the wording of the Agreement as a whole is not ambiguous. Therefore, I find the Agreement is legally enforceable.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(iii) Did D2 breach the terms of the account Agreement, by:</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(a) Failing to review and verify statements and report to the Bank as prescribed by the Agreement?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(b) Failing to maintain controls to prevent and detect fraud, forgeries, or theft as prescribed by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In seeking the dismissal of D2's claim, Scotiabank relies on the following provisions in the Agreement:</w:t>
      </w:r>
      <w:r>
        <w:rPr>
          <w:rFonts w:ascii="arial" w:eastAsia="arial" w:hAnsi="arial" w:cs="arial"/>
          <w:sz w:val="20"/>
          <w:lang w:val="en-US" w:eastAsia="en-US" w:bidi="ar-SA"/>
        </w:rPr>
        <w:cr/>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Clause 3.2, which required D2 to maintain controls to prevent and detect fraud;</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Clauses 7.1, 7.2, 7.3 and 7.5, which required D2 to review the Account statements and to report to Scotiabank within 30 days any errors or omissions, including any issues on the validity of the cheques. I will refer to the various sub-provisions of Clause 7 collectively as the "Verification Provisions".</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Clause 13.1, which states that Scotiabank is not liable for forged, unauthorized, or fraudulent instructions, including cheques, even if Scotiabank did not verify the signature. I will refer to this clause as the "Limitation of Liability Provision".</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Two critical facts underpin Scotiabank's submissions on the scope of its defences under the Agreement: (i) Mr. Cooper's lack of involvement with the Account, and (ii) Mr. Cooper's actual knowledge of Mr. Copeman's forgery.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evidence supports a finding that upon opening the Account, Mr. Copeman was tasked as the primary representative of D2 responsible for maintaining the company's financial affairs. Mr. Copeman admitted on his examination for discovery that he received the Account statements on behalf of D2. In any case, Clause 7.5 of the Agreement deems a customer to have received the statements of account, if they fail to notify the bank within a prescribed period that they have not received the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Mr. Cooper candidly acknowledged that at no point prior to April 2009, did he review the Account statements issued by Scotiabank or any cheques or vouchers for the Account. He explained that because he was very busy in the period from 2006-2009, he "simply did not have time to look at bank statements". He permitted Mr. Copeman to have complete and unsupervised control of the Account. I find that from January 2006 until April 2009, Mr. Cooper did not examine, review, or verify any entries in the Account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Mr. Cooper did receive cheques issued by D2 as compensation for his work with the company. In August 2006, Mr. Cooper received and negotiated a cheque, "Cheque 140", for $5,000, which was dated August 12, 2006. Critically, Mr. Cooper had not personally signed this cheque. On cross examination on his affidavit he testified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Mr. Cooper, as early as 2006, you would have been aware that cheques were being written on D2's account that did not contain your signature;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steps, if any, did you take to inform Bank of Nova Scotia that cheques were going through D2's account that did not contain your signature?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Since there was no legal or contractual requirement for me to do so, I didn't. (page 12)</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by August of 2006, you clearly knew, because you'd received a negotiated cheque 140, that your signature wasn't on the cheque;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don't recall that cheque. I have not prepared for that cheque. In general terms, it would appear so.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knew, because cheque number 140 had a number on it, that there were lots of cheques before cheque number 140 in the numeric sequence; correct? You can see from the cheque?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can see from the cheque that it's 140.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we've had marked as your Exhibit 1 the cheques from number 27 through 139 which you've confirmed to me on this cross-examination do not contain your signature?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 cheque 139, yes.(page 20)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Counsel for Scotiabank explored the issue of cheques 1 to 139 further, and Mr. Cooper conceded that he had not been aware that these cheques had been issued. He admitted that, upon receiving Cheque 140, he did not ask Mr. Copeman how he had been paying for D2's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In June 2007, Mr. Cooper reminded Mr. Copeman that all cheques written on behalf of D2 in relation to the Account should be signed by himself and Mr. Copeman. Despite this admonition, Mr. Copeman continued signing cheques without obtaining Mr. Cooper's signature. On his examination for discovery in the TD Action, Mr. Cooper conceded that by mid-2008, he had become aware that Mr. Copeman had forged his signature on at least six cheques. Upon discovering this further information, Mr. Cooper took no steps to review the Account statements or contact Scotiabank about the status of the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Mr. Copeman continued his practice of forging Mr. Cooper's signature on cheques throughout the years of 2008 and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In affidavit evidence filed in 2009, Mr. Cooper deposed that in addition to the incident in May or June 2008, in February 2009, he "became aware after the fact that Mr. Copeman had signed payroll [cheques] in [his] absence" while he was away on vacation. Mr. Cooper explained that he was "surprised at what Mr. Copeman had done but did not make an issue of it". Accordingly, by February 2009, Mr. Cooper was aware that Mr. Copeman had forged Mr. Cooper's signature on some ten cheques. However, other than speaking to Mr. Copeman, Mr. Cooper took no steps to stop Mr. Copeman from forging his signature.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In March of 2009, a cheque issued to Mr. Cooper for his monthly salary, drawn on the Account, was returned to him "NSF.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Mr. Cooper admitted that before April 2009, he took no steps whatsoever to inform or otherwise notify Scotiabank of Mr. Copeman's transgressions. He testified on his cross-examination in January 2015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you understood that Mr. Copeman had been writing your name to cheques?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the question?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There were several occasions. One was when I was on holidays in 2009, February-ish, and there was a period middle 2008.</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 and in 2008, when you were aware that Mr. Copeman was signing your name to cheques, you took no steps to contact the Bank of Nova Scotia to complain about that activity, did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 did not. And the Bank of Nova Scotia never phoned me, either.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June 2008, you understood that those cheques that contained a facsimile signature done by Mr. Copeman had cleared the D2 account;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for factual know that they had cleared? No. But I knew that they were written and they more than likely had been cashed, so I would say that there was very strong probability.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by June 2008, when you had turned your mind to the fact that Mr. Copeman had signed your name or signed a signature on the cheques that was not yours, what steps, if any, did you take to complain about that to the Bank of Nova Scotia?</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steps, if any, did you take to change the banking arrangements for D2 at the Bank of Nova Scotia?</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steps, if any, did you take to develop and implement more elaborate fraud prevention systems for D2 Contracting after June of 2008, after you knew that Mr. Copeman had signed your name or a name on the cheques that cleared the account?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there was no contractual obligation to do that. I didn't.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In 2009, Mr. Cooper reported Mr. Copeman to the police. In April 2009, he also attended at the Branch and met with Ms. Shemilt. Mr. Cooper expressed concern that cheques which he had not signed had been drawn on the Account. Mr. Cooper told Ms. Shemilt that Mr. Copeman had forged his signature and wrongfully removed funds from the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It is uncontroversial that the meeting in April 2009 was the first time Ms. Shemilt or any other Scotiabank representative had been informed of any irregularities in respect of the Account. In fact, Mr. Cooper conceded that he had never attended at the Branch between January 2006 and April 2009. Ms. Shemilt explained to him at that meeting that Scotiabank would only be liable for activity on the Account which occurred in the preceding 30 days. Not surprisingly, Ms. Shemilt asked Mr. Cooper how Mr. Copeman was able to continue misappropriating funds, if Mr. Cooper "was reviewing [the] Account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Mr. Cooper's only explanation for not reporting any of the foregoing incidents to Scotiabank was his contention that he was under no contractual obligation to do so. I found his explanation, which strained credulity, entirely unsatisfactory.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Scotiabank's overarching submission is that Mr. Cooper's failure to review the Account statements serves as a full answer to D2's claim. Specifically, the Verification Provisions, by which D2 was bound, impose an obligation to review each statement and notify Scotiabank within 30 days of any errors or omissions. The failure to advise Scotiabank constitutes an acknowledgement of the accuracy of the Account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evidence overwhelmingly establishes that D2, and specifically Mr. Cooper, breached the terms of the Agreement by failing to review and verify the Account statements within the stipulated verification period and failing to report the cheque forgeries to Scotiabank within the stipulated time. To the extent Mr. Cooper asserts that he was not aware of the terms, the plain fact is that he executed the Agreement and he is bound by its terms. Any failure on his part to review the terms does not entitle him to abrogate his responsibilities under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In summary on this issue, I conclude that the principals of D2 failed to discharge their responsibilities under the Verification Provisions and therefore, in accordance with the Verification Provisions and the Limitation of Liability Provision, Scotiabank bears no liability for its losses. The Agreement provides a complete defence to D2's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In view of my conclusions regarding the Verification Provisions, it is not necessary to consider Scotiabank's additional defences with respect to Clause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(iv) Is the plaintiff precluded from seeking relief under s. 48 of the </w:t>
      </w:r>
      <w:r>
        <w:rPr>
          <w:rFonts w:ascii="arial" w:eastAsia="arial" w:hAnsi="arial" w:cs="arial"/>
          <w:b/>
          <w:i/>
          <w:color w:val="000000"/>
          <w:sz w:val="20"/>
          <w:lang w:val="en-US" w:eastAsia="en-US" w:bidi="ar-SA"/>
        </w:rPr>
        <w:t>Bills and Exchange Act</w:t>
      </w:r>
      <w:r>
        <w:rPr>
          <w:rFonts w:ascii="arial" w:eastAsia="arial" w:hAnsi="arial" w:cs="arial"/>
          <w:b/>
          <w:color w:val="000000"/>
          <w:sz w:val="20"/>
          <w:lang w:val="en-US" w:eastAsia="en-US" w:bidi="ar-SA"/>
        </w:rPr>
        <w:t xml:space="preserve"> because of Mr. Cooper's and therefore D2's actual knowledge of the forgery?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Even though Scotiabank's contractual defence is sufficient to dispose of this matter, for completeness, I will address its non-contractual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Scotiabank relies on s. 48 of the </w:t>
      </w:r>
      <w:r>
        <w:rPr>
          <w:rFonts w:ascii="arial" w:eastAsia="arial" w:hAnsi="arial" w:cs="arial"/>
          <w:i/>
          <w:color w:val="000000"/>
          <w:sz w:val="20"/>
          <w:lang w:val="en-US" w:eastAsia="en-US" w:bidi="ar-SA"/>
        </w:rPr>
        <w:t>Bills of Exchange Act</w:t>
      </w:r>
      <w:r>
        <w:rPr>
          <w:rFonts w:ascii="arial" w:eastAsia="arial" w:hAnsi="arial" w:cs="arial"/>
          <w:color w:val="000000"/>
          <w:sz w:val="20"/>
          <w:lang w:val="en-US" w:eastAsia="en-US" w:bidi="ar-SA"/>
        </w:rPr>
        <w:t xml:space="preserve"> and Supreme Court of Canada in </w:t>
      </w:r>
      <w:r>
        <w:rPr>
          <w:rFonts w:ascii="arial" w:eastAsia="arial" w:hAnsi="arial" w:cs="arial"/>
          <w:i/>
          <w:color w:val="000000"/>
          <w:sz w:val="20"/>
          <w:lang w:val="en-US" w:eastAsia="en-US" w:bidi="ar-SA"/>
        </w:rPr>
        <w:t>Canadian Pacific Hotels Ltd. v. Bank of Montreal et al</w:t>
      </w:r>
      <w:r>
        <w:rPr>
          <w:rFonts w:ascii="arial" w:eastAsia="arial" w:hAnsi="arial" w:cs="arial"/>
          <w:color w:val="000000"/>
          <w:sz w:val="20"/>
          <w:lang w:val="en-US" w:eastAsia="en-US" w:bidi="ar-SA"/>
        </w:rPr>
        <w:t xml:space="preserve">., </w:t>
      </w:r>
      <w:hyperlink r:id="rId214" w:history="1">
        <w:r>
          <w:rPr>
            <w:rFonts w:ascii="arial" w:eastAsia="arial" w:hAnsi="arial" w:cs="arial"/>
            <w:i/>
            <w:color w:val="0077CC"/>
            <w:sz w:val="20"/>
            <w:u w:val="single"/>
            <w:shd w:val="clear" w:color="auto" w:fill="FFFFFF"/>
            <w:lang w:val="en-US" w:eastAsia="en-US" w:bidi="ar-SA"/>
          </w:rPr>
          <w:t>[1987] 1 S.C.R. 711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CP Hotels</w:t>
      </w:r>
      <w:r>
        <w:rPr>
          <w:rFonts w:ascii="arial" w:eastAsia="arial" w:hAnsi="arial" w:cs="arial"/>
          <w:color w:val="000000"/>
          <w:sz w:val="20"/>
          <w:lang w:val="en-US" w:eastAsia="en-US" w:bidi="ar-SA"/>
        </w:rPr>
        <w:t xml:space="preserve">] to assert that D2 had a duty to promptly notify Scotiabank about the forgeries drawn on the Account. Since Mr. Cooper had actual knowledge of the forgery by August 2006 and he took no steps whatsoever to inform Scotiabank, Scotiabank says that D2's claim in relation to the Impugned Cheques is precluded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D2 counters this assertion with two submissions:</w:t>
      </w:r>
      <w:r>
        <w:rPr>
          <w:rFonts w:ascii="arial" w:eastAsia="arial" w:hAnsi="arial" w:cs="arial"/>
          <w:sz w:val="20"/>
          <w:lang w:val="en-US" w:eastAsia="en-US" w:bidi="ar-SA"/>
        </w:rPr>
        <w:cr/>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Scotiabank misconstrued the </w:t>
      </w:r>
      <w:r>
        <w:rPr>
          <w:rFonts w:ascii="arial" w:eastAsia="arial" w:hAnsi="arial" w:cs="arial"/>
          <w:i/>
          <w:color w:val="000000"/>
          <w:sz w:val="20"/>
          <w:lang w:val="en-US" w:eastAsia="en-US" w:bidi="ar-SA"/>
        </w:rPr>
        <w:t>ratio decidendi</w:t>
      </w:r>
      <w:r>
        <w:rPr>
          <w:rFonts w:ascii="arial" w:eastAsia="arial" w:hAnsi="arial" w:cs="arial"/>
          <w:color w:val="000000"/>
          <w:sz w:val="20"/>
          <w:lang w:val="en-US" w:eastAsia="en-US" w:bidi="ar-SA"/>
        </w:rPr>
        <w:t xml:space="preserve"> of </w:t>
      </w:r>
      <w:r>
        <w:rPr>
          <w:rFonts w:ascii="arial" w:eastAsia="arial" w:hAnsi="arial" w:cs="arial"/>
          <w:i/>
          <w:color w:val="000000"/>
          <w:sz w:val="20"/>
          <w:lang w:val="en-US" w:eastAsia="en-US" w:bidi="ar-SA"/>
        </w:rPr>
        <w:t>CP Hotels</w:t>
      </w:r>
      <w:r>
        <w:rPr>
          <w:rFonts w:ascii="arial" w:eastAsia="arial" w:hAnsi="arial" w:cs="arial"/>
          <w:color w:val="000000"/>
          <w:sz w:val="20"/>
          <w:lang w:val="en-US" w:eastAsia="en-US" w:bidi="ar-SA"/>
        </w:rPr>
        <w:t>; and</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CP Hotels</w:t>
      </w:r>
      <w:r>
        <w:rPr>
          <w:rFonts w:ascii="arial" w:eastAsia="arial" w:hAnsi="arial" w:cs="arial"/>
          <w:color w:val="000000"/>
          <w:sz w:val="20"/>
          <w:lang w:val="en-US" w:eastAsia="en-US" w:bidi="ar-SA"/>
        </w:rPr>
        <w:t xml:space="preserve"> was decided before the advent of computerized banking.</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CP Hotels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CP</w:t>
      </w:r>
      <w:r>
        <w:rPr>
          <w:rFonts w:ascii="arial" w:eastAsia="arial" w:hAnsi="arial" w:cs="arial"/>
          <w:color w:val="000000"/>
          <w:sz w:val="20"/>
          <w:lang w:val="en-US" w:eastAsia="en-US" w:bidi="ar-SA"/>
        </w:rPr>
        <w:t xml:space="preserve"> Hotels is the authority that animates the submissions of both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The question that arose in </w:t>
      </w:r>
      <w:r>
        <w:rPr>
          <w:rFonts w:ascii="arial" w:eastAsia="arial" w:hAnsi="arial" w:cs="arial"/>
          <w:i/>
          <w:color w:val="000000"/>
          <w:sz w:val="20"/>
          <w:lang w:val="en-US" w:eastAsia="en-US" w:bidi="ar-SA"/>
        </w:rPr>
        <w:t>CP Hotels</w:t>
      </w:r>
      <w:r>
        <w:rPr>
          <w:rFonts w:ascii="arial" w:eastAsia="arial" w:hAnsi="arial" w:cs="arial"/>
          <w:color w:val="000000"/>
          <w:sz w:val="20"/>
          <w:lang w:val="en-US" w:eastAsia="en-US" w:bidi="ar-SA"/>
        </w:rPr>
        <w:t xml:space="preserve"> concerned the extent of the duty of care owed by a customer to their bank in respect of the prevention and detection of forgery. The Court considered the scope of a duty in the absence of an express verification agreement, to examine bank statements and vouchers and report discrepancies within a reasonable time: </w:t>
      </w:r>
      <w:r>
        <w:rPr>
          <w:rFonts w:ascii="arial" w:eastAsia="arial" w:hAnsi="arial" w:cs="arial"/>
          <w:i/>
          <w:color w:val="000000"/>
          <w:sz w:val="20"/>
          <w:lang w:val="en-US" w:eastAsia="en-US" w:bidi="ar-SA"/>
        </w:rPr>
        <w:t>CP Hotels</w:t>
      </w:r>
      <w:r>
        <w:rPr>
          <w:rFonts w:ascii="arial" w:eastAsia="arial" w:hAnsi="arial" w:cs="arial"/>
          <w:color w:val="000000"/>
          <w:sz w:val="20"/>
          <w:lang w:val="en-US" w:eastAsia="en-US" w:bidi="ar-SA"/>
        </w:rPr>
        <w:t xml:space="preserve"> at 716.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CP Hotels</w:t>
      </w:r>
      <w:r>
        <w:rPr>
          <w:rFonts w:ascii="arial" w:eastAsia="arial" w:hAnsi="arial" w:cs="arial"/>
          <w:color w:val="000000"/>
          <w:sz w:val="20"/>
          <w:lang w:val="en-US" w:eastAsia="en-US" w:bidi="ar-SA"/>
        </w:rPr>
        <w:t>, the cheques at issue were drawn on an account of the appellant hotel, held with the Bank of Montreal ("BMO"). Over the course of about a year, a number of forged cheques were drawn on the account of one of the hotel's operating units, the Flight Kitchen. The cheques were made payable to the defendant, Sands, who initially served as the assistant account, and was later promoted to accountant. The cheques required the signature of two persons; the accountant, and Saunders, the manager. The initial accountant, Hird, was responsible for the reconciliations based on daily statements and cancelled cheques. However, he delegated this role to Sands, who in turn provided a statement of monthly reconciliation, generally without a list of outstanding cheques. During the material time period, Sands forged the signature of Saunders and Hird on a number of cheques, made payable to companies he controlled.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The daily bank statement provided to Flight Kitchen contained a statement requesting that the customer check the statement "promptly" and stipulating that "any errors, irregularities, or omissions found therein should be reported within 30 days of delivering or mailing, otherwise it will be considered correct": </w:t>
      </w:r>
      <w:r>
        <w:rPr>
          <w:rFonts w:ascii="arial" w:eastAsia="arial" w:hAnsi="arial" w:cs="arial"/>
          <w:i/>
          <w:color w:val="000000"/>
          <w:sz w:val="20"/>
          <w:lang w:val="en-US" w:eastAsia="en-US" w:bidi="ar-SA"/>
        </w:rPr>
        <w:t>CP Hotels</w:t>
      </w:r>
      <w:r>
        <w:rPr>
          <w:rFonts w:ascii="arial" w:eastAsia="arial" w:hAnsi="arial" w:cs="arial"/>
          <w:color w:val="000000"/>
          <w:sz w:val="20"/>
          <w:lang w:val="en-US" w:eastAsia="en-US" w:bidi="ar-SA"/>
        </w:rPr>
        <w:t xml:space="preserve"> at 718. However, none of the pertinent agreements between the hotel or Flight Kitchen and BMO contained a verification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The hotel sought to recover the full amounts stolen by Sands from BMO. Its action was framed in conversion, or in the alternative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It relied on s. 49(1) of the </w:t>
      </w:r>
      <w:r>
        <w:rPr>
          <w:rFonts w:ascii="arial" w:eastAsia="arial" w:hAnsi="arial" w:cs="arial"/>
          <w:i/>
          <w:color w:val="000000"/>
          <w:sz w:val="20"/>
          <w:lang w:val="en-US" w:eastAsia="en-US" w:bidi="ar-SA"/>
        </w:rPr>
        <w:t>Bills of Exchange Act</w:t>
      </w:r>
      <w:r>
        <w:rPr>
          <w:rFonts w:ascii="arial" w:eastAsia="arial" w:hAnsi="arial" w:cs="arial"/>
          <w:color w:val="000000"/>
          <w:sz w:val="20"/>
          <w:lang w:val="en-US" w:eastAsia="en-US" w:bidi="ar-SA"/>
        </w:rPr>
        <w:t xml:space="preserve"> (now s. 48) for the rule that a forged signature is wholly inoperative and therefore BMO had no authority to debit the hotel's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BMO acknowledged the application of then s. 49, but noted that it was qualified by the phrase "unless the party against whom it is sought to retain or enforce payment of the bill is precluded from setting up the forgery or want of authority". BMO said that the hotel was "precluded" within the meaning of s. 49, from "setting up the forgery" against. BMO alleged that the hotel was estopped from recovering the funds on the basis that the hotel had breached a duty to check its bank statements in a timely fashion.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The trial judge found that the CP Hotels had two duties as a BMO customer: the duty, in the absence of a verification agreement, to examine bank statements with reasonable care and report issues within a reasonable time; and a duty to maintain an acceptable system of internal controls for preventing and minimizing losses from fraud: </w:t>
      </w:r>
      <w:r>
        <w:rPr>
          <w:rFonts w:ascii="arial" w:eastAsia="arial" w:hAnsi="arial" w:cs="arial"/>
          <w:i/>
          <w:color w:val="000000"/>
          <w:sz w:val="20"/>
          <w:lang w:val="en-US" w:eastAsia="en-US" w:bidi="ar-SA"/>
        </w:rPr>
        <w:t>CP Hotels</w:t>
      </w:r>
      <w:r>
        <w:rPr>
          <w:rFonts w:ascii="arial" w:eastAsia="arial" w:hAnsi="arial" w:cs="arial"/>
          <w:color w:val="000000"/>
          <w:sz w:val="20"/>
          <w:lang w:val="en-US" w:eastAsia="en-US" w:bidi="ar-SA"/>
        </w:rPr>
        <w:t xml:space="preserve"> at 720. He dismissed the action after finding that the hotel was precluded from setting up the forgeries against BMO. A majority of the Ontario Court of Appeal dismissed the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The Supreme Court of Canada observed that the bank was inviting the Court to extend the established legal parameters of a bank customer's duty of care where there was no verification agreement. The Court affirmed that the law recognizes two duties of a bank customer: the duty to "use reasonable care to draw his cheques in such a manner as not to facilitate forgery or material alteration of them"; and the duty, "upon learning of forgery, to give the bank prompt notification of it": </w:t>
      </w:r>
      <w:r>
        <w:rPr>
          <w:rFonts w:ascii="arial" w:eastAsia="arial" w:hAnsi="arial" w:cs="arial"/>
          <w:i/>
          <w:color w:val="000000"/>
          <w:sz w:val="20"/>
          <w:lang w:val="en-US" w:eastAsia="en-US" w:bidi="ar-SA"/>
        </w:rPr>
        <w:t>CP Hotels</w:t>
      </w:r>
      <w:r>
        <w:rPr>
          <w:rFonts w:ascii="arial" w:eastAsia="arial" w:hAnsi="arial" w:cs="arial"/>
          <w:color w:val="000000"/>
          <w:sz w:val="20"/>
          <w:lang w:val="en-US" w:eastAsia="en-US" w:bidi="ar-SA"/>
        </w:rPr>
        <w:t xml:space="preserve"> at 723-724.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In analyzing whether the duty should be expanded as contemplated by the trial judge, the Court canvassed the jurisprudence in Canada and the United Kingdom which recognized a "duty to inform the bank promptly upon learning of forgery or material alteration": </w:t>
      </w:r>
      <w:r>
        <w:rPr>
          <w:rFonts w:ascii="arial" w:eastAsia="arial" w:hAnsi="arial" w:cs="arial"/>
          <w:i/>
          <w:color w:val="000000"/>
          <w:sz w:val="20"/>
          <w:lang w:val="en-US" w:eastAsia="en-US" w:bidi="ar-SA"/>
        </w:rPr>
        <w:t>CP Hotels</w:t>
      </w:r>
      <w:r>
        <w:rPr>
          <w:rFonts w:ascii="arial" w:eastAsia="arial" w:hAnsi="arial" w:cs="arial"/>
          <w:color w:val="000000"/>
          <w:sz w:val="20"/>
          <w:lang w:val="en-US" w:eastAsia="en-US" w:bidi="ar-SA"/>
        </w:rPr>
        <w:t xml:space="preserve"> at 747. The following comments of Le Dain J., at 747, are apposite: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are several things to be noted about these cases. They stand for the principle that an estoppel by representation will result from silence where there is a duty to speak. They recognize that such a duty may arise where there is no contractual relationship. In such a case the duty has been based on usage or on a principle of fair dealing. </w:t>
      </w:r>
      <w:r>
        <w:rPr>
          <w:rFonts w:ascii="arial" w:eastAsia="arial" w:hAnsi="arial" w:cs="arial"/>
          <w:color w:val="000000"/>
          <w:sz w:val="20"/>
          <w:u w:val="single"/>
          <w:lang w:val="en-US" w:eastAsia="en-US" w:bidi="ar-SA"/>
        </w:rPr>
        <w:t>The cases were all cases in which there was actual knowledge of the forgery or alteration.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w:t>
      </w: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xml:space="preserve">  After having considered the various authorities and policy arguments in favour of a broader duty of care, Le Dain J. allowed the appeal .The Court ultimately concluded that in the absence of a verification agreement, there was no basis to conclude that a consumer, sophisticated or otherwise, owes a duty of care to its financial institution to "examine his bank statements and vouchers with reasonable care" or to "maintain an adequate system of internal accounting controls for the prevention and minimization of loss through forgery": </w:t>
      </w:r>
      <w:r>
        <w:rPr>
          <w:rFonts w:ascii="arial" w:eastAsia="arial" w:hAnsi="arial" w:cs="arial"/>
          <w:i/>
          <w:color w:val="000000"/>
          <w:sz w:val="20"/>
          <w:lang w:val="en-US" w:eastAsia="en-US" w:bidi="ar-SA"/>
        </w:rPr>
        <w:t>CP Hotels</w:t>
      </w:r>
      <w:r>
        <w:rPr>
          <w:rFonts w:ascii="arial" w:eastAsia="arial" w:hAnsi="arial" w:cs="arial"/>
          <w:color w:val="000000"/>
          <w:sz w:val="20"/>
          <w:lang w:val="en-US" w:eastAsia="en-US" w:bidi="ar-SA"/>
        </w:rPr>
        <w:t xml:space="preserve"> at 777.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In the final analysis, the Supreme Court of Canada, in declining to broaden the scope of the duty of care owed by a banking customer to their financial institution, endorsed the notion that banks can impose such contractual duties through verification agreements. Crucially, the Court also affirmed that in the absence of a verification agreement, a customer has a duty, upon learning of forgery, to give the bank prompt notification of that forgery.</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As a starting point in the analysis, I find no merit to D2's submission that Scotiabank has misconstrued the principles of </w:t>
      </w:r>
      <w:r>
        <w:rPr>
          <w:rFonts w:ascii="arial" w:eastAsia="arial" w:hAnsi="arial" w:cs="arial"/>
          <w:i/>
          <w:color w:val="000000"/>
          <w:sz w:val="20"/>
          <w:lang w:val="en-US" w:eastAsia="en-US" w:bidi="ar-SA"/>
        </w:rPr>
        <w:t>CP Hotels</w:t>
      </w:r>
      <w:r>
        <w:rPr>
          <w:rFonts w:ascii="arial" w:eastAsia="arial" w:hAnsi="arial" w:cs="arial"/>
          <w:color w:val="000000"/>
          <w:sz w:val="20"/>
          <w:lang w:val="en-US" w:eastAsia="en-US" w:bidi="ar-SA"/>
        </w:rPr>
        <w:t xml:space="preserve">. Contrary to D2's submission, the common law duty articulated in </w:t>
      </w:r>
      <w:r>
        <w:rPr>
          <w:rFonts w:ascii="arial" w:eastAsia="arial" w:hAnsi="arial" w:cs="arial"/>
          <w:i/>
          <w:color w:val="000000"/>
          <w:sz w:val="20"/>
          <w:lang w:val="en-US" w:eastAsia="en-US" w:bidi="ar-SA"/>
        </w:rPr>
        <w:t>CP Hotels</w:t>
      </w:r>
      <w:r>
        <w:rPr>
          <w:rFonts w:ascii="arial" w:eastAsia="arial" w:hAnsi="arial" w:cs="arial"/>
          <w:color w:val="000000"/>
          <w:sz w:val="20"/>
          <w:lang w:val="en-US" w:eastAsia="en-US" w:bidi="ar-SA"/>
        </w:rPr>
        <w:t xml:space="preserve"> to report forgeries known to the customer does not arise as an implied term of a contract between the bank and its customers. The Court clearly articulated that such a duty arose in the absence of any legally binding verification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xml:space="preserve">  Further, I do not accept D2's submission that </w:t>
      </w:r>
      <w:r>
        <w:rPr>
          <w:rFonts w:ascii="arial" w:eastAsia="arial" w:hAnsi="arial" w:cs="arial"/>
          <w:i/>
          <w:color w:val="000000"/>
          <w:sz w:val="20"/>
          <w:lang w:val="en-US" w:eastAsia="en-US" w:bidi="ar-SA"/>
        </w:rPr>
        <w:t>CP Hotels</w:t>
      </w:r>
      <w:r>
        <w:rPr>
          <w:rFonts w:ascii="arial" w:eastAsia="arial" w:hAnsi="arial" w:cs="arial"/>
          <w:color w:val="000000"/>
          <w:sz w:val="20"/>
          <w:lang w:val="en-US" w:eastAsia="en-US" w:bidi="ar-SA"/>
        </w:rPr>
        <w:t xml:space="preserve">, which was decided in 1987, no longer has any application because of the automated cheque-clearing process now utilized by the banking industry. D2 did not advance any principled legal basis to support the proposition that Scotiabank's use of a clearing agent in some way modified the duty of a bank customer, upon learning of a forgery, to promptly notify their bank, or that the use of a clearing agent impacted the statutory matrix of the </w:t>
      </w:r>
      <w:r>
        <w:rPr>
          <w:rFonts w:ascii="arial" w:eastAsia="arial" w:hAnsi="arial" w:cs="arial"/>
          <w:i/>
          <w:color w:val="000000"/>
          <w:sz w:val="20"/>
          <w:lang w:val="en-US" w:eastAsia="en-US" w:bidi="ar-SA"/>
        </w:rPr>
        <w:t>Bills of Exchange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In any case, Scotiabank also points out that Canadian jurisprudence recognized the use of automated cheque-clearing process by banks at least as far back as 1990: </w:t>
      </w:r>
      <w:r>
        <w:rPr>
          <w:rFonts w:ascii="arial" w:eastAsia="arial" w:hAnsi="arial" w:cs="arial"/>
          <w:i/>
          <w:color w:val="000000"/>
          <w:sz w:val="20"/>
          <w:lang w:val="en-US" w:eastAsia="en-US" w:bidi="ar-SA"/>
        </w:rPr>
        <w:t>Kelly Funeral Homes Ltd. v. Canadian Imperial Bank of Commerce</w:t>
      </w:r>
      <w:r>
        <w:rPr>
          <w:rFonts w:ascii="arial" w:eastAsia="arial" w:hAnsi="arial" w:cs="arial"/>
          <w:color w:val="000000"/>
          <w:sz w:val="20"/>
          <w:lang w:val="en-US" w:eastAsia="en-US" w:bidi="ar-SA"/>
        </w:rPr>
        <w:t xml:space="preserve"> </w:t>
      </w:r>
      <w:hyperlink r:id="rId215" w:history="1">
        <w:r>
          <w:rPr>
            <w:rFonts w:ascii="arial" w:eastAsia="arial" w:hAnsi="arial" w:cs="arial"/>
            <w:i/>
            <w:color w:val="0077CC"/>
            <w:sz w:val="20"/>
            <w:u w:val="single"/>
            <w:shd w:val="clear" w:color="auto" w:fill="FFFFFF"/>
            <w:lang w:val="en-US" w:eastAsia="en-US" w:bidi="ar-SA"/>
          </w:rPr>
          <w:t>(1990), 72 D.L.R. (4th) 276</w:t>
        </w:r>
      </w:hyperlink>
      <w:r>
        <w:rPr>
          <w:rFonts w:ascii="arial" w:eastAsia="arial" w:hAnsi="arial" w:cs="arial"/>
          <w:color w:val="000000"/>
          <w:sz w:val="20"/>
          <w:lang w:val="en-US" w:eastAsia="en-US" w:bidi="ar-SA"/>
        </w:rPr>
        <w:t xml:space="preserve"> (Ont. H.C.J.). Furthermore, Ms. Shemilt's uncontroverted evidence is that a Canadian cheque presented for payment at any Canadian chartered bank has been processed through an automated clearing settlement system since 1984.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Earlier in these reasons, I have set my findings on Mr. Cooper's knowledge of Mr. Copeman's forgeries. In summary:</w:t>
      </w:r>
      <w:r>
        <w:rPr>
          <w:rFonts w:ascii="arial" w:eastAsia="arial" w:hAnsi="arial" w:cs="arial"/>
          <w:sz w:val="20"/>
          <w:lang w:val="en-US" w:eastAsia="en-US" w:bidi="ar-SA"/>
        </w:rPr>
        <w:cr/>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August 2006, Mr. Cooper and Mr. Copeman, the perpetrator of the fraud, were both aware that cheques, which Mr. Cooper had not personally signed, were being drawn on the Account;</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2007, Mr. Cooper reminded Mr. Copeman that cheques to be drawn on the Account had to be signed by both of them; and</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2008, and again in 2009, Mr. Cooper became aware that Mr. Copeman was signing Mr. Cooper's names to cheques.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 evidence clearly establishes that both principals of D2 had actual knowledge of Mr. Copeman's fraud and neither of them reported the fraud to Scotiabank in a reasonably prompt manner. Mr. Cooper took no steps whatsoever for almost three years to inform Scotiabank of the forgeries or about the fact that cheques not signed by him were clearing the Account. It was not until April of 2009, when he attended at the Branch, that he informed them of this grievous state of affairs.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In short, Mr. Cooper's actual knowledge of Mr. Copeman's forgeries and his flagrant failure to provide prompt notice to Scotiabank of those forgeries are fatal to D2's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In all the circumstances, I conclude that D2 is precluded from setting up the forgery or want of authority against Scotiabank.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Manor Windsor</w:t>
      </w:r>
      <w:r>
        <w:rPr>
          <w:rFonts w:ascii="arial" w:eastAsia="arial" w:hAnsi="arial" w:cs="arial"/>
          <w:color w:val="000000"/>
          <w:sz w:val="20"/>
          <w:lang w:val="en-US" w:eastAsia="en-US" w:bidi="ar-SA"/>
        </w:rPr>
        <w:t xml:space="preserve"> the Court held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[48] Because the Financial Services Agreement binds Manor and is not ambiguous, the Financial Services Agreement precludes Manor's claim, except to the extent that Manor notified the Bank of fraudulent cheques within the thirty day window following delivery of any bank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Counsel did not make any submissions on this point. If the parties are unable to agree as to whether D2 has a claim for the fraudulent cheques posted within the 30-day window preceding Mr. Cooper's attendance at the Branch in April 2009, they have leave to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D2's action against Scotiabank is otherwise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Subject to any pertinent circumstances of which I am not aware, Scotiabank is entitled to its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D.J. DARDI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0" style="position:absolute;z-index:2518671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22" w:history="1">
        <w:r>
          <w:rPr>
            <w:rFonts w:ascii="arial" w:eastAsia="arial" w:hAnsi="arial" w:cs="arial"/>
            <w:b/>
            <w:bCs/>
            <w:i/>
            <w:color w:val="0077CC"/>
            <w:kern w:val="32"/>
            <w:sz w:val="28"/>
            <w:szCs w:val="32"/>
            <w:u w:val="single"/>
            <w:shd w:val="clear" w:color="auto" w:fill="FFFFFF"/>
            <w:lang w:val="en-US" w:eastAsia="en-US" w:bidi="ar-SA"/>
          </w:rPr>
          <w:t>Galapia v. Northern Health Authority (c.o.b. Dawson Creek and District Hospital), [2013] B.C.J. No. 2216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 Crawford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13,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7,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10-3663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2216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1841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Roland Garcia Galapia and Roland Garcia Galapia, as personal representative of the Estate of Robella Galapia, and Roland Galapia Jr. by his litigation guardian, Roland Garcia Galapia, Plaintiffs, and Northern Health Authority doing business as Dawson Creek and District Hospital and Dr. Andre Goetze and Dr. James Aubrey Hargreaves and Carrie Steinlechner and Shimmy Matthew and Velvet Musfelt and Solutions Staffing Inc. and Nurses Doe #2 and #5, Defendants, and Northern Healh Authority doing business as Dawson Creek and District Hospital and Dr. Andre Goetze and Dr. James Aubrey Hargreaves and Carrie Steinlechner and Shimmy Matthew,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1" style="position:absolute;z-index:251665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49" w:name="Keywords_6"/>
      <w:bookmarkEnd w:id="49"/>
      <w:r>
        <w:rPr>
          <w:rFonts w:ascii="arial" w:eastAsia="arial" w:hAnsi="arial" w:cs="arial"/>
          <w:b/>
          <w:color w:val="000000"/>
          <w:sz w:val="20"/>
          <w:lang w:val="en-US" w:eastAsia="en-US" w:bidi="ar-SA"/>
        </w:rPr>
        <w:t>Civil litigation — Civil procedure — Disposition without trial — Special or stated case — Application by defendants through special case for determination of vicarious liability and indemnity allowed in part — Post-surgical hospital accident resulted in patient's death — Defendant nurse was provided by defendant medical staffing company to defendant health authority — Nurse sufficiently connected to health authority to make it vicariously liable — Staffing company also vicariously liable for actions and omissions of its employee — Trial necessary to determine whether staffing company required to indemnify health authority for nurse's acts and omissions — Determination of the application of a contractual indemnity clause required factual findings.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Contracts — Terms — Application by defendants through special case for determination of vicarious liability and indemnity allowed in part — Post-surgical hospital accident resulted in patient's death — Defendant nurse was provided by defendant medical staffing company to defendant health authority — Nurse sufficiently connected to health authority to make it vicariously liable — Staffing company also vicariously liable for actions and omissions of its employee — Trial necessary to determine whether staffing company required to indemnify health authority for nurse's acts and omissions — Determination of the application of a contractual indemnity clause required factual findings.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Vicarious liability — Liability of employer for acts of employee — Independent contractor — Distinction between independent contractor and employment relationships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employer and non-delegable duties — Vicarious liability of hospitals — Application by defendants through special case for determination of vicarious liability and indemnity allowed in part — Post-surgical hospital accident resulted in patient's death — Defendant nurse was provided by defendant medical staffing company to defendant health authority — Nurse sufficiently connected to health authority to make it vicariously liable — Staffing company also vicariously liable for actions and omissions of its employee — Trial necessary to determine whether staffing company required to indemnify health authority for nurse's acts and omissions — Determination of the application of a contractual indemnity clause required factual findings.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50" w:name="Case Summary_6"/>
            <w:bookmarkEnd w:id="5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two defendants through a special case for a determination of vicarious liability and indemnity. A claim was commenced against a number of defendants as a result of a post-surgical accident at a hospital run by defendant health authority which resulted in a patient's death. One of the defendant nurses had been provided to the health authority as a temporary worker by the defendant medical staffing company. The health authority and staffing company sought a determination of whether they were vicariously liable for the acts and omissions of the defendant nurse and whether the staffing company was required to indemnify the health authority based on a clause in the staffing contract.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51" w:name="Holdings of Court_6"/>
            <w:bookmarkEnd w:id="51"/>
            <w:r>
              <w:rPr>
                <w:rFonts w:ascii="arial" w:eastAsia="arial" w:hAnsi="arial" w:cs="arial"/>
                <w:color w:val="000000"/>
                <w:sz w:val="20"/>
                <w:lang w:val="en-US" w:eastAsia="en-US" w:bidi="ar-SA"/>
              </w:rPr>
              <w:t>HELD: The application was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Both defendants were vicariously liable for the acts and omissions of the defendant nurse. The application of the indemnity provision in the contract could not be resolved until factual findings were made at trial. The staffing company was vicariously liable as the nurse's employer. While the health authority was not the nurse's employer, it was sufficiently connected to her for tort purposes to be held vicariously liable for her actions. Under its arrangement with the staffing company, the health authority had a choice whether to hire individual nurses, directed and controlled their work and disciplined them. The health authority could not contract out of its duty to patients by using temporary workers from a staffing company.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52" w:name="Counsel_6"/>
      <w:bookmarkEnd w:id="5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2" style="position:absolute;z-index:2517166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M.A. Sheane.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Velvet Musfelt and Solutions Staffing Inc.: A. Howell.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and Third Parties, Northern Health Authority doing business as Dawson Creek and District Hospital, Carrie Steinlechner and Shimmy Matthew: G.P.G. Deshon.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3" w:name="Judgment_6"/>
      <w:bookmarkEnd w:id="53"/>
      <w:r>
        <w:pict>
          <v:line id="_x0000_s1063" style="position:absolute;z-index:25176780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4" w:name="R. CRAWFORD J."/>
            <w:bookmarkEnd w:id="54"/>
            <w:r>
              <w:rPr>
                <w:rFonts w:ascii="arial" w:eastAsia="arial" w:hAnsi="arial" w:cs="arial"/>
                <w:b/>
                <w:color w:val="000000"/>
                <w:sz w:val="30"/>
                <w:lang w:val="en-US" w:eastAsia="en-US" w:bidi="ar-SA"/>
              </w:rPr>
              <w:t>R. CRAWFORD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A catastrophic post-surgical accident occurred on January 20, 2009 and resulted in a patient dying on January 29, 2009 at the Dawson Creek and District Hospital. This unfortunate accident led to a Special Case regarding vicarious liability and indemnity being put before me by two of the defendants, Solutions Staffing Inc. and the Northern Health Authority doing business as Dawson Creek and District Hospital. (I will call each of the parties respectively Solutions Staffing and the NHA).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One of the nurses, Velvet Musfelt, who was on duty January 20, 2009 was provided to the hospital by Solutions Staffing, a company that provides medical personnel, including nurses, to health authorities. The three issues between the two defendants are:</w:t>
      </w:r>
      <w:r>
        <w:rPr>
          <w:rFonts w:ascii="arial" w:eastAsia="arial" w:hAnsi="arial" w:cs="arial"/>
          <w:sz w:val="20"/>
          <w:lang w:val="en-US" w:eastAsia="en-US" w:bidi="ar-SA"/>
        </w:rPr>
        <w:cr/>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NHA vicariously liable for the acts and omissions of Nurse Musfelt while Nurse Musfelt was on assignment to the hospital?</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Solutions Staffing vicariously liable for the acts and omissions of Nurse Musfelt while Nurse Musfelt was on assignment to the hospital?</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Solutions Staffing required to indemnify the NHA for the acts and omissions of Nurse Musfelt while Nurse Musfelt was on assignment to the hospital pursuant to clause 10.5 of the staffing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staffing contract between the parties is dated September 1, 2008. It provides that Solutions Staffing will use its best efforts to provide the NHA qualified, experienced and competent health care professionals.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NHA is to notify Solutions Staffing from time-to-time when a temporary professional is provided for an assignment and to specify the experience and qualifications they require of the professional. On each hiring, NHA is to provide Solutions Staffing with an assignment approval form, and NHA may accept or reject any professional without explanation.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Solutions Staffing is obliged to obtain and maintain insurance in accordance with Schedule B. Schedule B, in turn, includes a comprehensive general liability policy for "personal injury and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Paragraph 10.5 of the staffing contract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Staffing Agency will indemnify and save harmless the Facility ... from and against any and all losses, claims, damages, actions, causes of action, costs and expenses, including legal costs on a solicitor own client basis, that any of the Indemnitees may sustain, incur, suffer or be put to at any time either before or after the termination of this Agreement, whether the same or any of them are based upon, arise out of or occur, directly or indirectly, by reason of:</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failure of any professional provided by the Staffing Agency to have the requisite or qualification, competence and experience for an Assignment.</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other breach of this Agreement by the Staffing Agency ...</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act or omission of any of the Staffing Agency Group;</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representation or warranty of the Staffing Agency being untrue.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employment agreement between Solutions Staffing and Nurse Musfelt states her employment is at will, and the assignments the agency arranges are temporary in nature and terminable at any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Further, Solutions Staffing agreed to pay the nurses at specified hourly and overtime rates. As well, they agreed to pay vacation pay and make appropriate deductions to CPP, WCB, EI and federal and provincial taxes.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Nurse Musfelt occasionally worked at the Dawson Creek Hospital in 2007 and 2008, some four to five months in total.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November 25, 2008, the Patient Care Clinical Resource Coordinator at the hospital emailed Solutions Staffing stating "I am looking for an RN to fill a full-time line beginning January for long-term. Do you have anyone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December 1, 2008, the Solutions Staffing accounts manager emailed the Director of Patient Care and the Patient Care Clinical Resource Coordinator advising that Nurse Musfelt would return to the hospital if needed. The same day, the Patient Care Clinical Resource Coordinator emailed in response saying they could use Nurse Musfelt starting on January 9,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Solutions Staffing sent NHA an assignment proposal form regarding Nurse Musfelt's proposed assignment on "medical L8" commencing January 9, 2009, and NHA signed the assignment on December 1,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Both counsel provided excellent arguments replete with authority. I thank them for their excellent work. However, the trial is coming up very quickly, and I am going to provide brief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Both NHA and Solutions Staffing are enterprises that accept risk, but it might be said NHA would not be considered a business for profit in the ordinary sense whereas Solutions Staffing 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NHA effectively directs the nurse regarding the work she must perform. I note NHA had employed Nurse Musfelt intermittently over the previous two years to the incident, and it would have known Nurse Musfelt and her level and areas of competence.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note also NHA has the choice to hire or not hire Nurse Musfelt. NHA directs and controls the nurse on duty. NHA pays Solutions Staffing for Nurse Musfelt's services. In turn, Solutions Staffing take their portion of the monies and pays Nurse Musfelt according to their contract and various legislative requirements. NHA may discipline Nurse Musfelt, and NHA effectively may "hire or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NHA holds out that their staff, including Nurse Musfelt are competent to deal with medical and surgical issues when a patient presents at the hospital. Ultimately, one may say in contract, Nurse Musfelt's employer is Solutions Staffing, but here the claim is in tort, and I find NHA sufficiently connected to Nurse Musfelt such that NHA may be vicariously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Macfarlane J. in </w:t>
      </w:r>
      <w:r>
        <w:rPr>
          <w:rFonts w:ascii="arial" w:eastAsia="arial" w:hAnsi="arial" w:cs="arial"/>
          <w:i/>
          <w:color w:val="000000"/>
          <w:sz w:val="20"/>
          <w:lang w:val="en-US" w:eastAsia="en-US" w:bidi="ar-SA"/>
        </w:rPr>
        <w:t>McDonald v. Associated Fuels Ltd.</w:t>
      </w:r>
      <w:r>
        <w:rPr>
          <w:rFonts w:ascii="arial" w:eastAsia="arial" w:hAnsi="arial" w:cs="arial"/>
          <w:color w:val="000000"/>
          <w:sz w:val="20"/>
          <w:lang w:val="en-US" w:eastAsia="en-US" w:bidi="ar-SA"/>
        </w:rPr>
        <w:t xml:space="preserve">, </w:t>
      </w:r>
      <w:hyperlink r:id="rId223" w:history="1">
        <w:r>
          <w:rPr>
            <w:rFonts w:ascii="arial" w:eastAsia="arial" w:hAnsi="arial" w:cs="arial"/>
            <w:i/>
            <w:color w:val="0077CC"/>
            <w:sz w:val="20"/>
            <w:u w:val="single"/>
            <w:shd w:val="clear" w:color="auto" w:fill="FFFFFF"/>
            <w:lang w:val="en-US" w:eastAsia="en-US" w:bidi="ar-SA"/>
          </w:rPr>
          <w:t>[1954] 3 D.L.R. 775</w:t>
        </w:r>
      </w:hyperlink>
      <w:r>
        <w:rPr>
          <w:rFonts w:ascii="arial" w:eastAsia="arial" w:hAnsi="arial" w:cs="arial"/>
          <w:color w:val="000000"/>
          <w:sz w:val="20"/>
          <w:lang w:val="en-US" w:eastAsia="en-US" w:bidi="ar-SA"/>
        </w:rPr>
        <w:t xml:space="preserve"> quoted the words of Lord Blackburn in </w:t>
      </w:r>
      <w:r>
        <w:rPr>
          <w:rFonts w:ascii="arial" w:eastAsia="arial" w:hAnsi="arial" w:cs="arial"/>
          <w:i/>
          <w:color w:val="000000"/>
          <w:sz w:val="20"/>
          <w:lang w:val="en-US" w:eastAsia="en-US" w:bidi="ar-SA"/>
        </w:rPr>
        <w:t>Dalton v. Angus &amp; Co.</w:t>
      </w:r>
      <w:r>
        <w:rPr>
          <w:rFonts w:ascii="arial" w:eastAsia="arial" w:hAnsi="arial" w:cs="arial"/>
          <w:color w:val="000000"/>
          <w:sz w:val="20"/>
          <w:lang w:val="en-US" w:eastAsia="en-US" w:bidi="ar-SA"/>
        </w:rPr>
        <w:t xml:space="preserve"> (1881), 6 App. Cas. 740 at p. 829: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other hand, a person causing something to be done, the doing of which casts on him a duty, cannot escape from the responsibility attaching on him of seeing that duty performed by delegating it to a contractor. He may bargain with the contractor that he shall perform the duty and stipulate for an indemnity from him if it is not performed, but he cannot thereby relieve himself from liability to those injured by the failure to perform it. (Italics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sum, NHA cannot contract out of its duty to its public patients.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My answer to question one - "Is the NHA vicariously liable for the acts and omissions of Nurse Musfelt while Nurse Musfelt was on assignment to the hospital?" - is yes; the hospital can be vicariously liable for the alleged acts and omissions of Nurse Musfelt.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My answer to question two - "Is Solutions Staffing vicariously liable for the acts and omissions of Nurse Musfelt while Nurse Musfelt was on assignment at the hospital? - is also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contracts between NHA, Solutions Staffing and Nurse Musfelt make it plain that Solutions Staffing can be vicariously liable for the acts and omissions of Nurse Musfelt while Nurse Musfelt was on assignment at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Question two's answer is driven by the contractual nexus. NHA paid Solutions Staffing, and Solutions Staffing was obligated to select an appropriate person and was responsible for paying Nurse Musfelt's wages less appropriate deductions.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However, I point out my answer to question two is not a ruling in any sense as to the liability of Solutions Staffing.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Question three - "Is Solutions Staffing required to indemnify the NHA for the acts and omissions of Nurse Museflt while Nurse Musfelt was on assignment to the hospital pursuant to clause 10.5 of the staffing contract?" - is a question I cannot answer at this point. A trial is needed to thoroughly analyze this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 do accept the argument that the indemnity clause was specifically what was contracted for, i.e., to assign the risk of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from NHA to Solutions Staffing, and that Solutions Staffing ran its business at a profit and one of its costs would be the obtaining of appropriate insurance, and accordingly the plain wording "any act or omission of any of the staffing agency group" could be sufficient to trigger the indemnity provision.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However, I accept the submission that the nature and extent of the contract between Solutions Staffing and NHA cannot be determined in this context until a trial judge makes a finding of direct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NHA </w:t>
      </w:r>
      <w:r>
        <w:rPr>
          <w:rFonts w:ascii="arial" w:eastAsia="arial" w:hAnsi="arial" w:cs="arial"/>
          <w:i/>
          <w:color w:val="000000"/>
          <w:sz w:val="20"/>
          <w:lang w:val="en-US" w:eastAsia="en-US" w:bidi="ar-SA"/>
        </w:rPr>
        <w:t>vis-à-vis</w:t>
      </w:r>
      <w:r>
        <w:rPr>
          <w:rFonts w:ascii="arial" w:eastAsia="arial" w:hAnsi="arial" w:cs="arial"/>
          <w:color w:val="000000"/>
          <w:sz w:val="20"/>
          <w:lang w:val="en-US" w:eastAsia="en-US" w:bidi="ar-SA"/>
        </w:rPr>
        <w:t xml:space="preserve"> the acts and omissions of Nurse Musfelt or indeed any of the other staff. The case law cited to me makes it plain that the contract clauses should not be determined until the factual matrix is proven. I note Solutions Staffing argues case law provides a basis to fairly argue the indemnity clause does not provide indemnity to NHA.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Liability is yet to be established. Other nurses in the NHA's employment were named defendants, and issues may arise from the staff "mix". Factual nuances may well appear as the evidence is presented at trial that are not presently in the contemplation of counsel or myself.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sum, my answers to this Special Case's questions are:</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Question one: yes;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Question two: yes; and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Question three: the answer must wait another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 CRAWFORD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4" style="position:absolute;z-index:2518190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30" w:history="1">
        <w:r>
          <w:rPr>
            <w:rFonts w:ascii="arial" w:eastAsia="arial" w:hAnsi="arial" w:cs="arial"/>
            <w:b/>
            <w:bCs/>
            <w:i/>
            <w:color w:val="0077CC"/>
            <w:kern w:val="32"/>
            <w:sz w:val="28"/>
            <w:szCs w:val="32"/>
            <w:u w:val="single"/>
            <w:shd w:val="clear" w:color="auto" w:fill="FFFFFF"/>
            <w:lang w:val="en-US" w:eastAsia="en-US" w:bidi="ar-SA"/>
          </w:rPr>
          <w:t>Spookw v. Gitxsan Treaty Society, [2012] 1 C.N.L.R. 422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Native Law Reporter</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Kelleher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July 26,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15150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Smithers</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1 C.N.L.R. 422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 xml:space="preserve">Neutral Citation: </w:t>
      </w:r>
      <w:hyperlink r:id="rId231" w:history="1">
        <w:r>
          <w:rPr>
            <w:rFonts w:ascii="arial" w:eastAsia="arial" w:hAnsi="arial" w:cs="arial"/>
            <w:i/>
            <w:color w:val="0077CC"/>
            <w:sz w:val="20"/>
            <w:u w:val="single"/>
            <w:shd w:val="clear" w:color="auto" w:fill="FFFFFF"/>
            <w:lang w:val="en-US" w:eastAsia="en-US" w:bidi="ar-SA"/>
          </w:rPr>
          <w:t>2011 BCSC 1001</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Spookw also known as Geri McDougall on behalf of Herself and Other Gitxsan Chiefs and Members, Baskyalaxha also known as William Blackwater Sr, Suu Dii also known as Yvonne Lattie, Luutkudziiwuus also known as Charlie Wright, Xsimwits,Iin also known as Lester Moore, Moolxhan also known as Noola, and as Norman Moore, Gitanmaax Indian Band, Glen Vowell Indian Band, Gitwangak Indian Band, Kispiox Indian Band, and Gitksan Local Services Society (Plaintiffs) and Gitxsan Treaty Society, British Columbia Treaty Commission, Her Majesty The Queen In Right of the Province of British Columbia and The Attorney General of Canada (Defendants)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5" style="position:absolute;z-index:251666432" from="0,2pt" to="512pt,2pt" strokecolor="#009ddb" strokeweight="2pt">
            <v:stroke linestyle="single"/>
          </v:line>
        </w:pict>
      </w:r>
    </w:p>
    <w:p>
      <w:pPr>
        <w:spacing w:line="240" w:lineRule="exact"/>
        <w:rPr>
          <w:rFonts w:ascii="arial" w:eastAsia="arial" w:hAnsi="arial" w:cs="arial"/>
          <w:sz w:val="20"/>
          <w:lang w:val="en-US" w:eastAsia="en-US" w:bidi="ar-SA"/>
        </w:rPr>
      </w:pP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55" w:name="Case Summary_7"/>
            <w:bookmarkEnd w:id="5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which included six Gitxsan hereditary chiefs and four bands, brought an action against the Gitxsan Treaty Society (GTS), the Governments of Canada and British Columbia, and the British Columbia Treaty Commission in relation to the Gitxsan participation in the British Columbia treaty process. The British Columbia Treaty Commission (the Commission) applied to stay or dismiss the plaintiffs' action against it on the basis that it disclosed no reasonable claim.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Commission monitors and facilitates treaty negotiations. Its function is to receive statements of intent to negotiate from First Nations, allocate treaty negotiation funds to First Nations, assess the readiness of the parties to commence negotiating a framework agreement, and assist the parties to reach agreement. A central role of the Commission is with respect to advancing treaty negotiation funds provided by British Columbia and Canada to First Nations. The Commission is required to follow published criteria for the allocation of negotiation funds. Pursuant to the criteria, "A request for funds by a First Nation requires the approval of its constituents".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claim against the Commission, which is the subject of this application, was founded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plaintiffs claimed that the Commission breached its duty of care by not meeting the standard of care required by a reasonable and prudent facilitator of the treaty process, including failing to ensure that the GTS had a mandate to negotiate on behalf of the Gitxsan people, and in not exercising due care and diligence in advancing funds to the GTS. The plaintiffs' complaint was that over the years the GTS had unduly restricted the involvement of the plaintiff hereditary chiefs and Indian bands in treaty negotiations. From 2004 to 2009, the hereditary chiefs and Indian bands had notified the defendants that they did not feel that the GTS represented them. The plaintiffs complained that notwithstanding their protestation, funds continued to be advanced to the defendant GTS.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Commission contended that the plaintiffs were unable to establish that the Commission owed them a duty of care. In the alternative, the Commission argued that if there were a duty of care and a failure to meet that duty, there had been no damages suffered. </w:t>
            </w:r>
          </w:p>
          <w:p>
            <w:pPr>
              <w:spacing w:before="120" w:line="260" w:lineRule="atLeast"/>
              <w:ind w:left="240"/>
              <w:jc w:val="both"/>
              <w:rPr>
                <w:rFonts w:ascii="arial" w:eastAsia="arial" w:hAnsi="arial" w:cs="arial"/>
                <w:sz w:val="20"/>
                <w:lang w:val="en-US" w:eastAsia="en-US" w:bidi="ar-SA"/>
              </w:rPr>
            </w:pPr>
            <w:r>
              <w:rPr>
                <w:rFonts w:ascii="arial" w:eastAsia="arial" w:hAnsi="arial" w:cs="arial"/>
                <w:i/>
                <w:color w:val="000000"/>
                <w:sz w:val="20"/>
                <w:lang w:val="en-US" w:eastAsia="en-US" w:bidi="ar-SA"/>
              </w:rPr>
              <w:t>Held: Plaintiffs' action against the Commission dismissed as it did not disclose a reasonable cause of action. Commission's application allowed.</w:t>
            </w:r>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test for determining whether a duty of care should be recognized is two-staged: (1) does the relationship between the plaintiff and the defendant disclose sufficient foreseeability and proximity to establish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and (2) if so, whether there are any residual policy considerations that ought to negate or limit that duty of care.</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harm to the members of the Gitxsan Nation was foreseeable if the Commission acted negligently in determining the GTS's mandate and advancing funds, there was not a sufficient degree of proximity between the plaintiffs and the Commission to establish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The contact between the Commission and the plaintiffs was initiated by the plaintiffs, not by the Commission. The Commission consistently demurred when the hereditary chiefs and Indian bands told the Commission that the defendant GTS did not represent them; it instead suggested that the plaintiffs deal with the GTS. The Commission is required to respect the self-governance of the First Nation at the treaty table; it does not have a duty to involve itself in the governance of a First Nation by acting to protect the interests of a minority group within the Nation. The Commission is intended to be an impartial and arms-length body that cannot be involved in the internal structure and processes of the Gitxsan Nation. A duty of care, if imposed in these circumstances, would conflict with the fundamental principle of self-governance for First Nations.</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Related policy concerns also negated the recognition of a duty of care upon the Commission. Indeterminate liability concerns arose from the fact that there were over 60 First Nations encompassing 110 bands involved in the treaty process and that this process covered some 200,000 First Nations individuals.</w:t>
            </w:r>
          </w:p>
          <w:p>
            <w:pPr>
              <w:spacing w:before="120"/>
              <w:rPr>
                <w:rFonts w:ascii="arial" w:eastAsia="arial" w:hAnsi="arial" w:cs="arial"/>
                <w:sz w:val="20"/>
                <w:lang w:val="en-US" w:eastAsia="en-US" w:bidi="ar-SA"/>
              </w:rPr>
            </w:pPr>
          </w:p>
        </w:tc>
      </w:tr>
    </w:tbl>
    <w:p>
      <w:pPr>
        <w:spacing w:line="260" w:lineRule="atLeast"/>
        <w:jc w:val="both"/>
        <w:rPr>
          <w:rFonts w:ascii="arial" w:eastAsia="arial" w:hAnsi="arial" w:cs="arial"/>
          <w:sz w:val="20"/>
          <w:lang w:val="en-US" w:eastAsia="en-US" w:bidi="ar-SA"/>
        </w:rPr>
      </w:pPr>
      <w:bookmarkStart w:id="56" w:name="Counsel_7"/>
      <w:bookmarkEnd w:id="56"/>
      <w:r>
        <w:rPr>
          <w:rFonts w:ascii="arial" w:eastAsia="arial" w:hAnsi="arial" w:cs="arial"/>
          <w:sz w:val="20"/>
          <w:lang w:val="en-US" w:eastAsia="en-US" w:bidi="ar-SA"/>
        </w:rPr>
        <w:br/>
      </w:r>
      <w:r>
        <w:rPr>
          <w:rFonts w:ascii="arial" w:eastAsia="arial" w:hAnsi="arial" w:cs="arial"/>
          <w:i/>
          <w:color w:val="000000"/>
          <w:sz w:val="20"/>
          <w:lang w:val="en-US" w:eastAsia="en-US" w:bidi="ar-SA"/>
        </w:rPr>
        <w:t>B. Joseph</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M.L. Macaulay</w:t>
      </w:r>
      <w:r>
        <w:rPr>
          <w:rFonts w:ascii="arial" w:eastAsia="arial" w:hAnsi="arial" w:cs="arial"/>
          <w:color w:val="000000"/>
          <w:sz w:val="20"/>
          <w:lang w:val="en-US" w:eastAsia="en-US" w:bidi="ar-SA"/>
        </w:rPr>
        <w:t>, for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R. Millen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 Caundari</w:t>
      </w:r>
      <w:r>
        <w:rPr>
          <w:rFonts w:ascii="arial" w:eastAsia="arial" w:hAnsi="arial" w:cs="arial"/>
          <w:color w:val="000000"/>
          <w:sz w:val="20"/>
          <w:lang w:val="en-US" w:eastAsia="en-US" w:bidi="ar-SA"/>
        </w:rPr>
        <w:t>, for the Treaty Commission.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J. McLean</w:t>
      </w:r>
      <w:r>
        <w:rPr>
          <w:rFonts w:ascii="arial" w:eastAsia="arial" w:hAnsi="arial" w:cs="arial"/>
          <w:color w:val="000000"/>
          <w:sz w:val="20"/>
          <w:lang w:val="en-US" w:eastAsia="en-US" w:bidi="ar-SA"/>
        </w:rPr>
        <w:t>, for the Gitxsan Treaty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K. Phillips</w:t>
      </w:r>
      <w:r>
        <w:rPr>
          <w:rFonts w:ascii="arial" w:eastAsia="arial" w:hAnsi="arial" w:cs="arial"/>
          <w:color w:val="000000"/>
          <w:sz w:val="20"/>
          <w:lang w:val="en-US" w:eastAsia="en-US" w:bidi="ar-SA"/>
        </w:rPr>
        <w:t>, for Her Majesty the Queen in Right of the Province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A. Singh</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N. Wright</w:t>
      </w:r>
      <w:r>
        <w:rPr>
          <w:rFonts w:ascii="arial" w:eastAsia="arial" w:hAnsi="arial" w:cs="arial"/>
          <w:color w:val="000000"/>
          <w:sz w:val="20"/>
          <w:lang w:val="en-US" w:eastAsia="en-US" w:bidi="ar-SA"/>
        </w:rPr>
        <w:t>, for The Attorney General of Canada.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7" w:name="Judgment_7"/>
      <w:bookmarkEnd w:id="57"/>
      <w:r>
        <w:pict>
          <v:line id="_x0000_s1066" style="position:absolute;z-index:25171763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 * * * *</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8" w:name="KELLEHER J."/>
            <w:bookmarkEnd w:id="58"/>
            <w:r>
              <w:rPr>
                <w:rFonts w:ascii="arial" w:eastAsia="arial" w:hAnsi="arial" w:cs="arial"/>
                <w:b/>
                <w:color w:val="000000"/>
                <w:sz w:val="30"/>
                <w:lang w:val="en-US" w:eastAsia="en-US" w:bidi="ar-SA"/>
              </w:rPr>
              <w:t>KELLEHER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application pursuant to Rule 9-5(1)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to stay or dismiss the plaintiffs' action against the British Columbia Treaty Commission (the "Commission") on the basis that it discloses no reasonable claim within the meaning of Rule 9 5(1)(a)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Alternatively, the Commission seeks summary judgment pursuant to Rule 9 6(4)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The basis of this alternative application is that there is no genuine issue for trial with respect to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PARTIES: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Gitxsan Nation is made up of traditional houses known as wilps, which constitute the basic Gitxsan social unit. The Gitxsan live in communities at Gitwangak, Gitanyow, Gitsegukla, Gitanmaax, Kispiox, and Glen Vowell.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first six listed plaintiffs are Gitxsan hereditary chiefs: Spookw, also known as Geri McDougall, both on her own behalf and on behalf of other Gitxsan chiefs and members; Baskyalaxha, also known as William Blackwater Sr.; Suu Dii, also known as Yvonne Lattie and now known as Gwininitxw; Xsimwits,Iin, also known as Lester Moore; Moolxhan, also known as Noola and as Norman Moore; and Luutkudziiwuus, also known as Charlie Wright. Each of these hereditary chiefs is also responsible for his or her wilp.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plaintiffs include four bands, which plaintiffs' counsel refers to as the Gitxsan First Nations: Gitanmaax Indian Band, Glen Vowell Indian Band, Gitwangak Indian Band and Kispiox Indian 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Gitksan Local Services Society is a non-profit society, which delivers programs and services to members of five bands: Gitanmaax, Glen Vowell, Kispiox, Gitwangak and Gitanyow. The board of directors is comprised of the chief counsellor of each of those bands.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PARTIES: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 Gitxsan Treaty Society ("GTS") is negotiating a treaty with the Government of Canada and the Government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 the Queen in Right of Canada as represented by the Attorney General of Canada ("Canada") holds land for the use and benefit of the plaintiff Indian bands and band members, funds band government and funds and participates in treaty negotiations with the GTS.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 the Queen in Right of the Province of British Columbia as represented by the Attorney General of British Columbia ("British Columbia") funds and participates in treaty negotiations.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defendant Commission came about as a result of recommendations made in the report of the British Columbia Claims Task Force, and was created by an agreement, the British Columbia Treaty Commission Agreement, dated September 21, 1992. The parties to the agreement were the governments of Canada and British Columbia and the First Nations Summit. This agreement was then made the subject of federal and provincial legislation, the </w:t>
      </w:r>
      <w:r>
        <w:rPr>
          <w:rFonts w:ascii="arial" w:eastAsia="arial" w:hAnsi="arial" w:cs="arial"/>
          <w:i/>
          <w:color w:val="000000"/>
          <w:sz w:val="20"/>
          <w:lang w:val="en-US" w:eastAsia="en-US" w:bidi="ar-SA"/>
        </w:rPr>
        <w:t>British Columbia Treaty Commission Act</w:t>
      </w:r>
      <w:r>
        <w:rPr>
          <w:rFonts w:ascii="arial" w:eastAsia="arial" w:hAnsi="arial" w:cs="arial"/>
          <w:color w:val="000000"/>
          <w:sz w:val="20"/>
          <w:lang w:val="en-US" w:eastAsia="en-US" w:bidi="ar-SA"/>
        </w:rPr>
        <w:t xml:space="preserve">, </w:t>
      </w:r>
      <w:hyperlink r:id="rId232" w:history="1">
        <w:r>
          <w:rPr>
            <w:rFonts w:ascii="arial" w:eastAsia="arial" w:hAnsi="arial" w:cs="arial"/>
            <w:i/>
            <w:color w:val="0077CC"/>
            <w:sz w:val="20"/>
            <w:u w:val="single"/>
            <w:shd w:val="clear" w:color="auto" w:fill="FFFFFF"/>
            <w:lang w:val="en-US" w:eastAsia="en-US" w:bidi="ar-SA"/>
          </w:rPr>
          <w:t>S.C. 1995, c.45</w:t>
        </w:r>
      </w:hyperlink>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Treaty Commission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c.461</w:t>
      </w:r>
      <w:r>
        <w:rPr>
          <w:rFonts w:ascii="arial" w:eastAsia="arial" w:hAnsi="arial" w:cs="arial"/>
          <w:color w:val="000000"/>
          <w:sz w:val="20"/>
          <w:lang w:val="en-US" w:eastAsia="en-US" w:bidi="ar-SA"/>
        </w:rPr>
        <w:t>, and confirmed by a resolution of the First Nations Summit.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plaintiffs' claim against the GTS is based on oppression. Their claim against Canada and British Columbia is for breach of fiduciary duty and of duty of honour. The plaintiffs' claim against the Commission, which is the subject of this application, is founded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TREATY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Gitxsan Nation is one of sixty First Nations in the treaty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Commission monitors and facilitates treaty negotiations. It is comprised of a chief commissioner and four commissioners. There are some ten staff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Commission's functions include:</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receiving statements of intent to negotiate from the First Nations;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allocating treaty negotiation funds to First Nations, at the request of First Nations. The actual funds are advanced by Canada and British Columbia;</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assessing the readiness of parties to commence negotiations of a "framework agreement" in accordance with certain published criteria; and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the parties progress through a six-stage process of negotiations, assisting the negotiating parties to reach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Additionally, a central role of the Commission is with respect to the advancing of funds provided by British Columbia and Canada. These funds enable First Nations to prepare for and carry out treaty negotiations with Canada and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 First Nation must apply to the Commission each year that it seeks funding.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There are published criteria that the Commission must follow for the allocation of negotiation funds. Pursuant to s.C(8) of those criteria, it is required to consider the following factors in determining funding allocations: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population</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number of communities represented by a First Nation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size of traditional territory</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geographic location/travel requirements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extent and number of overlapping traditional territories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anticipated nature and complexity of 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Section C(8) of these published criteria states: "A request for funds by a First Nations requires the approval of its constituents."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Gitxsan Nation entered the treaty process by filing a statement of intent. The statement of intent indicates that the Gitxsan Nation receives its mandate by "consensus".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GTS, acting on behalf of the Gitxsan Nation, has applied for and received funding for each fiscal year since it entered into the treaty process in 1994. Its most recent financial statements, for the fiscal year ending March 31, 2010, indicate $19,188,071 has been advanced by Indian and Northern Affairs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plaintiffs' complaint is that over the years the GTS has unduly restricted the involvement of the plaintiff hereditary chiefs and Indian bands in treaty negotiations. They complain that, amongst other things, GTS has declined to take direction or input from the Gitxsan chiefs, restricted debate on matters of concern to all Gitxsan, and conducted its affairs in a secretive and "oppressive" manner that was unfairly prejudicial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From 2004 to 2009, hereditary chiefs and Indian bands have notified the defendants that they do not feel that the GTS represents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plaintiffs take particular issue with a proposal tabled by the GTS called the Gitxsan Alternative Governance Model. The plaintiffs view this proposal as one which, if adopted, would severely impact Aboriginal and other rights and obligations of Gitxsan hereditary chiefs and house members, registered Gitxsan band members, band council and land holders on Indian reserve land. The plaintiffs attempted in 2008 to have negotiations brought to a halt until concerns about this alternative governance model were addressed in the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plaintiffs complain that notwithstanding these protestations, funds continue to be advanced to the defendant GTS.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THE ALLEGATION OF </w:t>
      </w:r>
      <w:r>
        <w:rPr>
          <w:rFonts w:ascii="arial" w:eastAsia="arial" w:hAnsi="arial" w:cs="arial"/>
          <w:b/>
          <w:i/>
          <w:color w:val="000000"/>
          <w:sz w:val="20"/>
          <w:u w:val="single"/>
          <w:lang w:val="en-US" w:eastAsia="en-US" w:bidi="ar-SA"/>
        </w:rPr>
        <w:t>NEGLIGENCE</w:t>
      </w:r>
      <w:r>
        <w:rPr>
          <w:rFonts w:ascii="arial" w:eastAsia="arial" w:hAnsi="arial" w:cs="arial"/>
          <w:b/>
          <w:color w:val="000000"/>
          <w:sz w:val="20"/>
          <w:u w:val="single"/>
          <w:lang w:val="en-US" w:eastAsia="en-US" w:bidi="ar-SA"/>
        </w:rPr>
        <w:t xml:space="preserve"> AGAINST THE COMMISSION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plaintiffs argue that the Commission owes a duty of care to the plaintiffs to oversee the negotiation process, to ensure the readiness of the Gitxsan people to negotiate in the Commission process and to ensure on an ongoing basis that the negotiators have a mandate and to allocate funds in accordance with the published criteria described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plaintiffs' case is that the Commission breached its duty of care by failing to meet the standard of care required by a reasonable and prudent facilitator of the treaty process, including failing to ensure that the GTS has a valid mandate and is representative and accountable to the Gitxsan people, and in not exercising due care and diligence in lending funds to the GTS.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plaintiffs say they have suffered injury and loss as the loan amount has been increased because, ultimately, they are among those who will be responsible for repaying the advances.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There is no dispute that for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to succeed, a plaintiff must establish that the defendant owes the plaintiff a duty of care; that the defendant has failed to meet that duty by not meeting the standard of care required; and that damages resulted from the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It is the submission of the Commission that the plaintiffs are unable to establish that they are owed a duty of care by the Commission. Alternatively, the Commission says that even if there were a duty of care and a failure to meet that duty, there have been no damages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plaintiffs' claim does not fall within any category of cases in which a duty of care has been previously recognized.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Commission, in its written argument, correctly described the approach in an application such as this:</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Does the relationship between the plaintiff and the defendant disclose sufficient foreseeability and proximity to establish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and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are there any residual policy considerations which ought to negate or limit that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233"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 xml:space="preserve"> at para. 30; </w:t>
      </w:r>
      <w:r>
        <w:rPr>
          <w:rFonts w:ascii="arial" w:eastAsia="arial" w:hAnsi="arial" w:cs="arial"/>
          <w:i/>
          <w:color w:val="000000"/>
          <w:sz w:val="20"/>
          <w:lang w:val="en-US" w:eastAsia="en-US" w:bidi="ar-SA"/>
        </w:rPr>
        <w:t>Edwards v. Law Society of Upper Canada</w:t>
      </w:r>
      <w:r>
        <w:rPr>
          <w:rFonts w:ascii="arial" w:eastAsia="arial" w:hAnsi="arial" w:cs="arial"/>
          <w:color w:val="000000"/>
          <w:sz w:val="20"/>
          <w:lang w:val="en-US" w:eastAsia="en-US" w:bidi="ar-SA"/>
        </w:rPr>
        <w:t xml:space="preserve">, </w:t>
      </w:r>
      <w:hyperlink r:id="rId234" w:history="1">
        <w:r>
          <w:rPr>
            <w:rFonts w:ascii="arial" w:eastAsia="arial" w:hAnsi="arial" w:cs="arial"/>
            <w:i/>
            <w:color w:val="0077CC"/>
            <w:sz w:val="20"/>
            <w:u w:val="single"/>
            <w:shd w:val="clear" w:color="auto" w:fill="FFFFFF"/>
            <w:lang w:val="en-US" w:eastAsia="en-US" w:bidi="ar-SA"/>
          </w:rPr>
          <w:t>2001 SCC 80</w:t>
        </w:r>
      </w:hyperlink>
      <w:r>
        <w:rPr>
          <w:rFonts w:ascii="arial" w:eastAsia="arial" w:hAnsi="arial" w:cs="arial"/>
          <w:color w:val="000000"/>
          <w:sz w:val="20"/>
          <w:lang w:val="en-US" w:eastAsia="en-US" w:bidi="ar-SA"/>
        </w:rPr>
        <w:t xml:space="preserve"> at paras. 9-10.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proximity analysis at the first stage of the test focuses on factors arising from the relationship between the plaintiff and the defendant. At the second stage, the issue is whether there are residual policy considerations outside the relationship between the parties that would make the imposition of a duty of care unwise, despite sufficient foreseeability and proximity.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first stage of the inquiry, then, is whether there is foreseeability and proximity that establishes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The Commission argues there is no reasonable likelihood that individual members or bands within a first nation could suffer harm if it acted negligently in assessing that first nation's mandate to negotiate. The argument is that the only harm particularized relates to debt obligations incurred by the GTS. The Commission says that if the GTS has not been validly authorized by the Gitxsan Nation, it will be unable to look to the plaintiffs to contribute towards repayment. Further, if it has acted in accordance with the direction of the Gitxsan Nation, the plaintiffs' claim fails.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GTS is in the process of negotiating a treaty that will profoundly affect the Gitxsan Nation. I am not persuaded that harm to members of the Gitxsan Nation, in particular the plaintiffs, is not foreseeable if the Commission acts negligently in determining the GTS's mandate and advancing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my view, the real question is whether there is proximity between the plaintiffs and the Commission.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principle of proximity was discussed by the Supreme Court of Canada in </w:t>
      </w:r>
      <w:r>
        <w:rPr>
          <w:rFonts w:ascii="arial" w:eastAsia="arial" w:hAnsi="arial" w:cs="arial"/>
          <w:i/>
          <w:color w:val="000000"/>
          <w:sz w:val="20"/>
          <w:lang w:val="en-US" w:eastAsia="en-US" w:bidi="ar-SA"/>
        </w:rPr>
        <w:t>Fullowka v. Pinkerton's of Canada Ltd.</w:t>
      </w:r>
      <w:r>
        <w:rPr>
          <w:rFonts w:ascii="arial" w:eastAsia="arial" w:hAnsi="arial" w:cs="arial"/>
          <w:color w:val="000000"/>
          <w:sz w:val="20"/>
          <w:lang w:val="en-US" w:eastAsia="en-US" w:bidi="ar-SA"/>
        </w:rPr>
        <w:t xml:space="preserve">, </w:t>
      </w:r>
      <w:hyperlink r:id="rId235" w:history="1">
        <w:r>
          <w:rPr>
            <w:rFonts w:ascii="arial" w:eastAsia="arial" w:hAnsi="arial" w:cs="arial"/>
            <w:i/>
            <w:color w:val="0077CC"/>
            <w:sz w:val="20"/>
            <w:u w:val="single"/>
            <w:shd w:val="clear" w:color="auto" w:fill="FFFFFF"/>
            <w:lang w:val="en-US" w:eastAsia="en-US" w:bidi="ar-SA"/>
          </w:rPr>
          <w:t>2010 SCC 5</w:t>
        </w:r>
      </w:hyperlink>
      <w:r>
        <w:rPr>
          <w:rFonts w:ascii="arial" w:eastAsia="arial" w:hAnsi="arial" w:cs="arial"/>
          <w:color w:val="000000"/>
          <w:sz w:val="20"/>
          <w:lang w:val="en-US" w:eastAsia="en-US" w:bidi="ar-SA"/>
        </w:rPr>
        <w:t xml:space="preserve">. In that case, there was a protracted labour dispute at the Giant Mine near Yellowknife, N.W.T. A murder took place in the mine in the course of the labour dispute. Survivors of the miners sued,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government mining inspectors and Pinkerton's of Canada Ltd., which provided security, for failing to prevent the intruder responsible for the murders.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Justice Cromwell, giving the judgment of the Court, described "proximity" at para. 26: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inquiry is concerned with whether the case discloses factors which show that the relationship between the plaintiff and the defendant was sufficiently close and direct to give rise to a legal duty of care, considering such factors as expectations, representations, reliance and the property or other interests involved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Court held that there was a duty of care owed by the mining inspectors to those working in the mine. The Court distinguished earlier decisions, such as </w:t>
      </w:r>
      <w:r>
        <w:rPr>
          <w:rFonts w:ascii="arial" w:eastAsia="arial" w:hAnsi="arial" w:cs="arial"/>
          <w:i/>
          <w:color w:val="000000"/>
          <w:sz w:val="20"/>
          <w:lang w:val="en-US" w:eastAsia="en-US" w:bidi="ar-SA"/>
        </w:rPr>
        <w:t>Edwards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on the basis that those working in the mine were a clearly defined group: at para. 43. As well, the mining inspectors had direct and personal dealings with the deceased miners, visits by mine inspectors during the strike were "almost daily" occurrences, and statutory duties of the mining inspectors related directly to the conduct of the miners themselves: at para. 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plaintiffs argue that there is a similar degree of proximity in this case. At various times over the years, various Gitxsan people have told the Commission that the defendant GTS does not represent them:</w:t>
      </w:r>
      <w:r>
        <w:rPr>
          <w:rFonts w:ascii="arial" w:eastAsia="arial" w:hAnsi="arial" w:cs="arial"/>
          <w:sz w:val="20"/>
          <w:lang w:val="en-US" w:eastAsia="en-US" w:bidi="ar-SA"/>
        </w:rPr>
        <w:cr/>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Gitanmaax Indian band conducted a referendum of its members to ascertain their members' views of treaty negotiations. The Commission was advised of the results.</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2004, 2005, 2006, 2008 and 2009, some hereditary chiefs and bands notified the defendants that the Society does not represent them.</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Society has been provided with resolutions of band councils notifying them that the Society does not represent them and calling on them and on the defendants, Canada and British Columbia, to cease negotiations.</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Commission has attended meetings when the plaintiffs have been present.</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Miles Richardson, the Chief Commissioner, attended a meeting in March 2004 with Gitxsan hereditary chiefs. According to Spookw, Mr. Richardson acknowledged that his office had been swamped with questions of Gitxsan mandate.</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2008, some of the plaintiffs contacted the Commission again. The Commission was provided with resolutions of the Gitanmaax band council opposing the way in which negotiations were being conducted. The Committee responded advising the plaintiffs to take their concerns up with the defendant Society and with the Gitxsan hereditary chiefs.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contact here between the Commission and the plaintiffs is far different from the contact between the government mine inspectors and mine workers in </w:t>
      </w:r>
      <w:r>
        <w:rPr>
          <w:rFonts w:ascii="arial" w:eastAsia="arial" w:hAnsi="arial" w:cs="arial"/>
          <w:i/>
          <w:color w:val="000000"/>
          <w:sz w:val="20"/>
          <w:lang w:val="en-US" w:eastAsia="en-US" w:bidi="ar-SA"/>
        </w:rPr>
        <w:t>Fullowka</w:t>
      </w:r>
      <w:r>
        <w:rPr>
          <w:rFonts w:ascii="arial" w:eastAsia="arial" w:hAnsi="arial" w:cs="arial"/>
          <w:color w:val="000000"/>
          <w:sz w:val="20"/>
          <w:lang w:val="en-US" w:eastAsia="en-US" w:bidi="ar-SA"/>
        </w:rPr>
        <w:t>. Here, the plaintiffs initiated the contact; the Commission did not contact the plaintiffs. If anything, they have been rebuffed by the Commission.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plaintiffs have sought the assistance of the Commission. They have sought the very relationship that, if accepted by the Commission, could ground a duty of care. However, the Commission has consistently demurred. It has instead suggested that the plaintiffs deal with others and, in particular, with the GTS.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effect of the plaintiffs' argument is to turn the role of the Commission somewhat on its head. The Commission is required to respect the self-governance of the First Nation at the treaty table. I am not persuaded that the Commission has a duty is to involve itself in the governance of a First Nation by acting to protect the interests of a minority group within the Nation. In my view, the Commission's duty is to the collectivity, not the individuals represented.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A similar issue arose in </w:t>
      </w:r>
      <w:r>
        <w:rPr>
          <w:rFonts w:ascii="arial" w:eastAsia="arial" w:hAnsi="arial" w:cs="arial"/>
          <w:i/>
          <w:color w:val="000000"/>
          <w:sz w:val="20"/>
          <w:lang w:val="en-US" w:eastAsia="en-US" w:bidi="ar-SA"/>
        </w:rPr>
        <w:t>Tsimshian Tribal Council v. British Columbia Treaty Commission</w:t>
      </w:r>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2005 BCSC 860</w:t>
        </w:r>
      </w:hyperlink>
      <w:r>
        <w:rPr>
          <w:rFonts w:ascii="arial" w:eastAsia="arial" w:hAnsi="arial" w:cs="arial"/>
          <w:color w:val="000000"/>
          <w:sz w:val="20"/>
          <w:lang w:val="en-US" w:eastAsia="en-US" w:bidi="ar-SA"/>
        </w:rPr>
        <w:t xml:space="preserve"> [</w:t>
      </w:r>
      <w:hyperlink r:id="rId237" w:history="1">
        <w:r>
          <w:rPr>
            <w:rFonts w:ascii="arial" w:eastAsia="arial" w:hAnsi="arial" w:cs="arial"/>
            <w:i/>
            <w:color w:val="0077CC"/>
            <w:sz w:val="20"/>
            <w:u w:val="single"/>
            <w:shd w:val="clear" w:color="auto" w:fill="FFFFFF"/>
            <w:lang w:val="en-US" w:eastAsia="en-US" w:bidi="ar-SA"/>
          </w:rPr>
          <w:t>[2005] 3 C.N.L.R. 370</w:t>
        </w:r>
      </w:hyperlink>
      <w:r>
        <w:rPr>
          <w:rFonts w:ascii="arial" w:eastAsia="arial" w:hAnsi="arial" w:cs="arial"/>
          <w:color w:val="000000"/>
          <w:sz w:val="20"/>
          <w:lang w:val="en-US" w:eastAsia="en-US" w:bidi="ar-SA"/>
        </w:rPr>
        <w:t>], which was an application for an interlocutory injunction. There was a dispute as to which body had the mandate and authority to receive funding and negotiate. Mr. Justice Cullen found that the Commission could not involve itself in internal structures or processes. He described the conflicting interests at stake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fundamental proposition of the plaintiff is that if funding is provided to the Treaty Society and to the Kitkatla and Lax Kw'alaams Bands to conduct treaty negotiations other than under the umbrella of the TTC, it will undermine the primacy of the TTC and the views it represents and wishes to fulfill through negotiation. In my opinion, in advancing that proposition the plaintiff is conflating a perceived harm to its interests and views with perceived harm to the collective interests and views of the Tsimshian Nation.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question of for what and how the Tsimshian community should be negotiating is an internal question to be decided collectively by its membership. It cannot be decided by the BCTC or by the court. The requirement of securing and advancing a mandate is an open one conducive to debate, persuasion, and resolution through ongoing processes. It is through that essentially political process that the interests and views of those aggregating around the TTC can be furthered.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paras. 58-59)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Commission's role is the same here. It is intended to be an impartial and arms-length body that cannot be involved in the internal structure and processes of the Gitxsan 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 duty of care, if it were imposed here, would appear to conflict with the fundamental principle of self-governance for First Nations.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Moreover, apart from the question of proximity, there are related policy concerns that negate the recognition of a duty of care upon the Commission. There are sixty First Nations encompassing 110 Indian bands involved in the treaty process. This process covers some 200,000 First Nations individuals. If each First Nations person were owed a duty, it would amount to indeterminate liability: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at para. 54. See also: </w:t>
      </w:r>
      <w:r>
        <w:rPr>
          <w:rFonts w:ascii="arial" w:eastAsia="arial" w:hAnsi="arial" w:cs="arial"/>
          <w:i/>
          <w:color w:val="000000"/>
          <w:sz w:val="20"/>
          <w:lang w:val="en-US" w:eastAsia="en-US" w:bidi="ar-SA"/>
        </w:rPr>
        <w:t>Bow Valley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Husky (Bermuda) Ltd. v. Saint John Shipbuilding Ltd.</w:t>
      </w:r>
      <w:r>
        <w:rPr>
          <w:rFonts w:ascii="arial" w:eastAsia="arial" w:hAnsi="arial" w:cs="arial"/>
          <w:color w:val="000000"/>
          <w:sz w:val="20"/>
          <w:lang w:val="en-US" w:eastAsia="en-US" w:bidi="ar-SA"/>
        </w:rPr>
        <w:t xml:space="preserve">, </w:t>
      </w:r>
      <w:hyperlink r:id="rId238" w:history="1">
        <w:r>
          <w:rPr>
            <w:rFonts w:ascii="arial" w:eastAsia="arial" w:hAnsi="arial" w:cs="arial"/>
            <w:i/>
            <w:color w:val="0077CC"/>
            <w:sz w:val="20"/>
            <w:u w:val="single"/>
            <w:shd w:val="clear" w:color="auto" w:fill="FFFFFF"/>
            <w:lang w:val="en-US" w:eastAsia="en-US" w:bidi="ar-SA"/>
          </w:rPr>
          <w:t>[1997] 3 S.C.R. 1210</w:t>
        </w:r>
      </w:hyperlink>
      <w:r>
        <w:rPr>
          <w:rFonts w:ascii="arial" w:eastAsia="arial" w:hAnsi="arial" w:cs="arial"/>
          <w:color w:val="000000"/>
          <w:sz w:val="20"/>
          <w:lang w:val="en-US" w:eastAsia="en-US" w:bidi="ar-SA"/>
        </w:rPr>
        <w:t xml:space="preserve"> at paras. 79 and 82-83.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plaintiffs argue that in any event, in an Aboriginal law case, one should be cautious because of the need to accommodate evolving law. The plaintiffs rely on </w:t>
      </w:r>
      <w:r>
        <w:rPr>
          <w:rFonts w:ascii="arial" w:eastAsia="arial" w:hAnsi="arial" w:cs="arial"/>
          <w:i/>
          <w:color w:val="000000"/>
          <w:sz w:val="20"/>
          <w:lang w:val="en-US" w:eastAsia="en-US" w:bidi="ar-SA"/>
        </w:rPr>
        <w:t>Shubenacadia Indian Band v. Canada (Minister of Fisheries and Oceans)</w:t>
      </w:r>
      <w:r>
        <w:rPr>
          <w:rFonts w:ascii="arial" w:eastAsia="arial" w:hAnsi="arial" w:cs="arial"/>
          <w:color w:val="000000"/>
          <w:sz w:val="20"/>
          <w:lang w:val="en-US" w:eastAsia="en-US" w:bidi="ar-SA"/>
        </w:rPr>
        <w:t xml:space="preserve">, </w:t>
      </w:r>
      <w:hyperlink r:id="rId239" w:history="1">
        <w:r>
          <w:rPr>
            <w:rFonts w:ascii="arial" w:eastAsia="arial" w:hAnsi="arial" w:cs="arial"/>
            <w:i/>
            <w:color w:val="0077CC"/>
            <w:sz w:val="20"/>
            <w:u w:val="single"/>
            <w:shd w:val="clear" w:color="auto" w:fill="FFFFFF"/>
            <w:lang w:val="en-US" w:eastAsia="en-US" w:bidi="ar-SA"/>
          </w:rPr>
          <w:t>[2001] F.C.J. 347</w:t>
        </w:r>
      </w:hyperlink>
      <w:r>
        <w:rPr>
          <w:rFonts w:ascii="arial" w:eastAsia="arial" w:hAnsi="arial" w:cs="arial"/>
          <w:color w:val="000000"/>
          <w:sz w:val="20"/>
          <w:lang w:val="en-US" w:eastAsia="en-US" w:bidi="ar-SA"/>
        </w:rPr>
        <w:t xml:space="preserve"> at para. 5, leave to appeal ref'd </w:t>
      </w:r>
      <w:hyperlink r:id="rId240" w:history="1">
        <w:r>
          <w:rPr>
            <w:rFonts w:ascii="arial" w:eastAsia="arial" w:hAnsi="arial" w:cs="arial"/>
            <w:i/>
            <w:color w:val="0077CC"/>
            <w:sz w:val="20"/>
            <w:u w:val="single"/>
            <w:shd w:val="clear" w:color="auto" w:fill="FFFFFF"/>
            <w:lang w:val="en-US" w:eastAsia="en-US" w:bidi="ar-SA"/>
          </w:rPr>
          <w:t>[2002] F.C.J. No. 882</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Statement of Claim is to be read generously and with an open mind and it is only in the very clearest of cases that the Court should strike out the Statement of Claim. This, in my view, is especially the case in this field, that is the field of aboriginal law, which in recent years in Canada has been in a state of rapid evolution and change. Claims which might have been considered outlandish or outrageous only a few years ago are now being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With respect, this is not a matter of Aboriginal law. The issue before me is not the extent of Aboriginal title or an issue of Aboriginal rights. Rather, it is whether a statutory tribunal owes a duty of care to individual members of organizations who may be affected by its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conclusion, the plaintiffs' action against the Commission does not disclose a reasonable cause of action and is dismissed pursuant to Rule 9-5(1)(a). This application succeeds.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Commission is entitled to its costs at Scale B.</w:t>
      </w:r>
      <w:r>
        <w:rPr>
          <w:rFonts w:ascii="arial" w:eastAsia="arial" w:hAnsi="arial" w:cs="arial"/>
          <w:sz w:val="20"/>
          <w:lang w:val="en-US" w:eastAsia="en-US" w:bidi="ar-SA"/>
        </w:rPr>
        <w:cr/>
      </w:r>
    </w:p>
    <w:p>
      <w:pPr>
        <w:spacing w:line="260" w:lineRule="atLeast"/>
        <w:ind w:left="1800"/>
        <w:rPr>
          <w:rFonts w:ascii="arial" w:eastAsia="arial" w:hAnsi="arial" w:cs="arial"/>
          <w:sz w:val="20"/>
          <w:lang w:val="en-US" w:eastAsia="en-US" w:bidi="ar-SA"/>
        </w:rPr>
      </w:pPr>
      <w:r>
        <w:rPr>
          <w:rFonts w:ascii="arial" w:eastAsia="arial" w:hAnsi="arial" w:cs="arial"/>
          <w:i/>
          <w:color w:val="000000"/>
          <w:sz w:val="20"/>
          <w:lang w:val="en-US" w:eastAsia="en-US" w:bidi="ar-SA"/>
        </w:rPr>
        <w:t>Plaintiffs' action against the Commission dismissed;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Commission's application allowed.</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7" style="position:absolute;z-index:2517688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41"/>
          <w:headerReference w:type="default" r:id="rId242"/>
          <w:footerReference w:type="even" r:id="rId243"/>
          <w:footerReference w:type="default" r:id="rId244"/>
          <w:headerReference w:type="first" r:id="rId245"/>
          <w:footerReference w:type="first" r:id="rId24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47" w:history="1">
        <w:r>
          <w:rPr>
            <w:rFonts w:ascii="arial" w:eastAsia="arial" w:hAnsi="arial" w:cs="arial"/>
            <w:b/>
            <w:bCs/>
            <w:i/>
            <w:color w:val="0077CC"/>
            <w:kern w:val="32"/>
            <w:sz w:val="28"/>
            <w:szCs w:val="32"/>
            <w:u w:val="single"/>
            <w:shd w:val="clear" w:color="auto" w:fill="FFFFFF"/>
            <w:lang w:val="en-US" w:eastAsia="en-US" w:bidi="ar-SA"/>
          </w:rPr>
          <w:t>Hartoft v. Bell, [2006] B.C.J. No. 551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McEwan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9,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13,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M042699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551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413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53 B.C.L.R. (4th) 120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147 A.C.W.S. (3d) 200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CarswellBC 603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Just Hartoft, plaintiff, and Craig David Bell, Hi-Ro Enterprises Ltd., Anser Manufacturing Ltd., and Her Majesty The Queen In Right of The Province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8" style="position:absolute;z-index:251667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9" w:name="Keywords_7"/>
      <w:bookmarkEnd w:id="59"/>
      <w:r>
        <w:rPr>
          <w:rFonts w:ascii="arial" w:eastAsia="arial" w:hAnsi="arial" w:cs="arial"/>
          <w:b/>
          <w:color w:val="000000"/>
          <w:sz w:val="20"/>
          <w:lang w:val="en-US" w:eastAsia="en-US" w:bidi="ar-SA"/>
        </w:rPr>
        <w:t>Civil procedure — Pleadings — Particulars — Appeal by defendant Province of British Columbia from dismissal of its application to set aside order joining it as defendant dismissed and motion to order Hartoft to justify joinder allowed — Hartoft given time to amend statement of claim to plead further particulars of cause of action against Province — Hartoft's claim for failing to enforce regulations and prescribe regulations disclosed no viable cause of action — No factual allegations in statement of claim to evidence that Province owed private law duty of care to Hartoft.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procedure — Parties — Adding or substituting — Appeal by defendant Province of British Columbia from dismissal of its application to set aside order joining it as defendant dismissed and motion to order Hartoft to justify joinder allowed — Hartoft not required to provide notice to Province before Province was joined, as there was no lis between parties before joinder made.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procedure — Service — Appeal by defendant Province of British Columbia from dismissal of its application to set aside order joining it as defendant dismissed and motion to order Hartoft to justify joinder allowed — Hartoft not required to serve notice of motion to join Province to Province before Province was joined, as there was no lis between parties before joinder made.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60" w:name="Case Summary_8"/>
            <w:bookmarkEnd w:id="6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Appeal by defendant Province of British Columbia from dismissal of its application to set aside order joining it as defendant and motion to order Hartoft to justify joinder -- Plaintiff Hartoft injured when her vehicle was hit by logging vehicle -- Hartoft commenced action against owner and operator of vehicle -- Hartoft successful in motion to join Province of British Columbia as defendant, on ground that Province failed to regulate safety of logging vehicles, failed to prohibit use of logging vehicles when security devices were unsecured and failed to enforce regulations -- Province claimed notice of application to join it as defendant was not provided -- HELD: Appeal dismissed, motion allowed -- Province properly joined as party, as Hartoft's claim against Province connected to subject matter in original proceedings -- Hartoft not required to provide notice to Province before Province was joined, as there was no lis between parties before joinder made -- Hartoft did not require permission to issue process against Province -- Hartoft given time to amend statement of claim to plead further particulars of cause of action against Province -- Hartoft's claim for failing to enforce regulations and prescribe regulations disclosed no viable cause of action -- No factual allegations in statement of claim to evidence that Province owed private law duty of care to Hartoft -- Hartoft's pleadings were abstract and unattached to allegations of material facts -- As Province alleged that private entities licensed to enforce regulations, Hartoft to amend pleadings to include reasons for claiming against Province and not private entities.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61" w:name="Legislation Cited_6"/>
      <w:bookmarkEnd w:id="6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69" style="position:absolute;z-index:2517186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15(5)(a), Rule 15(5) (a)(iii), Rule 15(6)(c), Rule 18(6), Rule 44(5), Rule 52(12), Rule 52(12.1), Rule 52(12.2), Rule 52(12.3)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Commercial Transport Act, R.S.B.C. c. 58,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Motor Vehicle Act s. 217(1)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Workers Compensation Act, R.S.B.C. c. 492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62" w:name="Counsel_8"/>
      <w:bookmarkEnd w:id="6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0" style="position:absolute;z-index:2517698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F.R.C. Dorchester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HMTQ (British Columbia): J.E. Gouge Q.C. K. Horsman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3" w:name="Judgment_8"/>
      <w:bookmarkEnd w:id="63"/>
      <w:r>
        <w:pict>
          <v:line id="_x0000_s1071" style="position:absolute;z-index:25182003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4" w:name="McEWAN J."/>
            <w:bookmarkEnd w:id="64"/>
            <w:r>
              <w:rPr>
                <w:rFonts w:ascii="arial" w:eastAsia="arial" w:hAnsi="arial" w:cs="arial"/>
                <w:b/>
                <w:color w:val="000000"/>
                <w:sz w:val="30"/>
                <w:lang w:val="en-US" w:eastAsia="en-US" w:bidi="ar-SA"/>
              </w:rPr>
              <w:t>McEWAN J.</w:t>
            </w:r>
          </w:p>
        </w:tc>
      </w:tr>
    </w:tbl>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first of two matters before this court is an appeal of a Master's order made September 27, 2005, dismissing the application of the defendant, Her Majesty the Queen in Right of the Province of British Columbia (the "Province"), to set aside a registrar's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August 8, 2005, a registrar had permitted Anser Manufacturing Ltd. and the Province to be added as defendants to proceedings already under way against the defendants Bell and Hi-Ro Enterprises Ltd. The materials before the registrar consisted of a requisition and a draft order with a proposed amended writ of summons and statement of claim attached. The draft order had the consent of the existing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existing pleadings outlined the principal claim to be one for damages arising out of a motor vehicle accident against Hi-Ro as owner, and Bell as operator, of a logging truck that struck a vehicle driven by the plaintiff on August 25, 2003, near Lillooet. The amended pleadings added an allegation that an equipment failure related to a trailer attached to the truck may have been a cause of the accident. The plaintiff sought to add Anser Manufacturing Ltd. as the maker of the trailer, and the Province in connection with an alleged duty to regulate and inspect equipment on vehicles used in the logging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order was made pursuant to Rule 15(5)(a):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on application by any person may</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party, who is not or has ceased to be a proper or necessary party, cease to be a party,</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who ought to have been joined as a party or whose participation in the proceeding is necessary to ensure that all matters in the proceeding may be effectually adjudicated upon, be added or substituted as a party, and</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order that a person be added as a party where there may exist between the person and any party to the proceeding, a question or issue relating to or connected</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any relief claimed in the proceeding, or</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the subject matter of the proceeding,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which in the opinion of the court it would be just and convenient to determine between the person and that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desk order does not quote the Rule or any specific aspect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Rule 15(5)(a)(ii) addresses the situation of a party who "ought to have been joined" or "whose participation in the proceeding is necessary, to ensure that all matters in the proceeding may be effectively adjudicated upon." The limitation on this branch of the rule is expressed in Letvad v. Fenwick </w:t>
      </w:r>
      <w:hyperlink r:id="rId248" w:history="1">
        <w:r>
          <w:rPr>
            <w:rFonts w:ascii="arial" w:eastAsia="arial" w:hAnsi="arial" w:cs="arial"/>
            <w:i/>
            <w:color w:val="0077CC"/>
            <w:sz w:val="20"/>
            <w:u w:val="single"/>
            <w:shd w:val="clear" w:color="auto" w:fill="FFFFFF"/>
            <w:lang w:val="en-US" w:eastAsia="en-US" w:bidi="ar-SA"/>
          </w:rPr>
          <w:t>(2000), 82 B.C.L.R. (3d) 296</w:t>
        </w:r>
      </w:hyperlink>
      <w:r>
        <w:rPr>
          <w:rFonts w:ascii="arial" w:eastAsia="arial" w:hAnsi="arial" w:cs="arial"/>
          <w:color w:val="000000"/>
          <w:sz w:val="20"/>
          <w:lang w:val="en-US" w:eastAsia="en-US" w:bidi="ar-SA"/>
        </w:rPr>
        <w:t>, per Esson J.A., at p. 303: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fundamental limitation on subrule (ii) ... is that it is intended to remedy defects in the "proceeding" as it stood prior to the application to add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Rule 15(5)(a)(iii) is directed more broadly toward questions or issues related to the relief claimed or the subject matter of the proceeding that "may exist." Rule 15(5)(a)(iii) looks to matters outside the filed proceeding. Where such questions may exist, the test is whether it would be just and convenient to determine "those questions" - which may be new - that is, not raised in the extant proceeding - "as between the new defendant and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do not think there is any doubt that the claims the plaintiff seeks to add are issues relating to or connected with the subject matter of, and the relief claimed in, the proceeding, and that the case falls within section 15(5)(a)(iii).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argument before the Master to set aside the Registrar's order was that notice of the application had not been given as required by the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Master Barber referred to Rule 15(6)(c) in ruling against the Province. It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Procedure where order made</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Unless the court otherwise orders, where an order is made under subrule (4) or (5) adding or changing a party,</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originating process shall be amended, and a reference to the order and the date on which the amendment is made shall be endorsed upon the amended process,</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 further steps shall be taken against the person made a party under the order until the amended process and a copy of the order are served upon the person,</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made a party under the order may apply to the court to vary or discharge the order within 7 days after the expiry of the time for appearance, and</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rules as to service and entering an appearance apply to the amended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Master's view was expressed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The plaintiff points out that Rule 15(6)(c) provides for the case where notice, in effect, has not been given and that that would be redundant if notice were to be required in all cases.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I agree with the plaintiff on the interpretation of Rule 15(6)(c) in this particular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had, in leading up to this ruling, also reviewed the standard practice: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In my view, the practice that has been in effect for a considerable period of time, as I have tried to indicate in these reasons, is a reasonable one and is one that does not detract from the Crown's ability, or any proposed defendant's ability, to contest any order that would be made in the way that one was made in this particular case. Therefore, the application of the Crown to set aside the order on the grounds that no notice was given is refused.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If this had been the first situation where a desk order had been made and this procedure had been followed, I would certainly agree with the Crown. It is not. It has been a longstanding practice, as far as I am aware, and therefore the plaintiff is entitled to costs in any event, but not forthwith.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this appeal, the Province has referred to Rule 44 and Rule 52. It is not clear whether these were drawn to the Master's attention when he made his ruling.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Rule 52 sets out certain general rules respecting chambers applications including: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Powers of court if notice not given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it appears to the court that a petition or notice of motion ought to have been but was not served on or delivered to a person, the court may</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dismiss the application or dismiss it only against that person,</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adjourn the application and direct that service or delivery be effected, or that notice be given in some alternate manner, to that person, or</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direct that any order made, together with any other documents the court may order, be served on or delivered to that person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Orders without notice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nature of the application or the circumstances render service of a petition or notice of motion impracticable or unnecessary, or in case of urgency, the court may make an order without notice.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Service of orders required.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an order is made without notice by reason of urgency, a copy of the order and the documents filed in support must be served by the party obtaining the order on each person who is affected by the order.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Setting aside orders made without notice</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application of a person affected by an order made without notice, the court may vary or set aside the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Rule 44(5) is more specific, and sets down, in mandatory terms, the requirement for service of interlocutory motions:</w:t>
      </w:r>
      <w:r>
        <w:rPr>
          <w:rFonts w:ascii="arial" w:eastAsia="arial" w:hAnsi="arial" w:cs="arial"/>
          <w:sz w:val="20"/>
          <w:lang w:val="en-US" w:eastAsia="en-US" w:bidi="ar-SA"/>
        </w:rPr>
        <w:cr/>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Unless these rules provide otherwise, the applicant must deliver to each party of record and must serve on each other person, other than a party, who may be affected by the order sought</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copy of the notice of motion,</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copy of each affidavit in support of the application that has not already been filed and served, and</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notice that the applicant is required to give under Rule 18A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submission is, in its broadest outlines, that Rule 52 authorizes an application before the Master to set aside the Registrar's order; that Rule 44 mandated service on the Province as a "person who may be affected by the order sought," and that this requirement may be read as consonant with Rule 15(6)(c).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do not think Rule 44 pertains to the circumstances before a registrar applying Rule 15(5). As between the plaintiff and the persons the plaintiff seeks to join, there is no lis until the order is made. Subject to the requirement that there be an order to permit joinder to the existing proceedings, the plaintiff is in the same position as anyone who seeks to commence any other proceeding: one does not require permission to issue process against another. The matters to be determined by the registrar are whether a question "may" exist, and whether it is "just and convenient" to add the proposed parties to the existing action. The rule does not give litigants about to be joined to an existing action the added advantage of notice of the plaintiff's intention to do so. It does provide, in Rule 15(6)(c), that on becoming a party, the person affected may apply to vary or discharge the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 person subject of such an order is obviously not a party until the order is given, and a Rule 15(5)(a)(iii) application is not, vis-à-vis that person, interlocutory but originating. It is thus not an application to which Rule 44 pertains, and the person sought to be joined is not "[an]other person ... who may be affected by the order sought." That is a class that includes such interests as those of non-party record-keepers, but does not include a prospective defendant. Service is not, therefore,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Except as to costs, this disposes of the appeal on the ground upon which it was brought.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Master had also granted an extension of time to apply for an order under Rule 15(6)(c):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The Crown has asked for two weeks, then, as an extension of time to now apply pursuant to Rule 15(6)(c), and the plaintiff takes no opposition to that period of time. That then is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A motion under Rule 15(6)(c) essentially puts the plaintiff to the task of justifying the determination of the registrar. The plaintiff submits that, on such a hearing, he need not establish that he can prove his allegations against the Province, only that there may exist a real issue which is not entirely frivolous or a waste of time (see: Zymtech Development Inc. v. Sport Central Enterprises Ltd., </w:t>
      </w:r>
      <w:hyperlink r:id="rId249" w:history="1">
        <w:r>
          <w:rPr>
            <w:rFonts w:ascii="arial" w:eastAsia="arial" w:hAnsi="arial" w:cs="arial"/>
            <w:i/>
            <w:color w:val="0077CC"/>
            <w:sz w:val="20"/>
            <w:u w:val="single"/>
            <w:shd w:val="clear" w:color="auto" w:fill="FFFFFF"/>
            <w:lang w:val="en-US" w:eastAsia="en-US" w:bidi="ar-SA"/>
          </w:rPr>
          <w:t>[2004] B.C.J. No. 457</w:t>
        </w:r>
      </w:hyperlink>
      <w:r>
        <w:rPr>
          <w:rFonts w:ascii="arial" w:eastAsia="arial" w:hAnsi="arial" w:cs="arial"/>
          <w:color w:val="000000"/>
          <w:sz w:val="20"/>
          <w:lang w:val="en-US" w:eastAsia="en-US" w:bidi="ar-SA"/>
        </w:rPr>
        <w:t xml:space="preserve"> at para.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Zymtech describes the existence of a common issue as the first part of a test, the second part of which is a determination of whether joinder is "just and convenient." The first is described as "the least [sic] stringent" part of the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Province submits that paragraph 17 of the amended statement of claim, when analyzed, discloses no viable cause of action against it. Paragraph 17 reads:</w:t>
      </w:r>
      <w:r>
        <w:rPr>
          <w:rFonts w:ascii="arial" w:eastAsia="arial" w:hAnsi="arial" w:cs="arial"/>
          <w:sz w:val="20"/>
          <w:lang w:val="en-US" w:eastAsia="en-US" w:bidi="ar-SA"/>
        </w:rPr>
        <w:cr/>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Collision was cause or contributed to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The Crown, particulars of which are as follows: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enforce the regulations to the Workers Compensation Act, R.S.B.C. c. 492, the Motor Vehicle Act, and the Commercial Transport Act, R.S.B.C. c. 58;</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prescribe regulations which were adequate for the purpose of protecting the Plaintiff and other members of the public who are users of the highways in British Columbia on matters connected to the securement of cargo and the related equipment on vehicles intended for use in the logging industry;</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prohibit the use of the Logging Truck and Trailer when security devices for the stakes thereon had not been secured in such a manner as to prevent the unintended release or unfastening of those security devices and stakes while on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Province submits that there is no recognized cause of action for "negligent lawmaking" citing Kimpton v. Canada (Attorney General), </w:t>
      </w:r>
      <w:hyperlink r:id="rId250" w:history="1">
        <w:r>
          <w:rPr>
            <w:rFonts w:ascii="arial" w:eastAsia="arial" w:hAnsi="arial" w:cs="arial"/>
            <w:i/>
            <w:color w:val="0077CC"/>
            <w:sz w:val="20"/>
            <w:u w:val="single"/>
            <w:shd w:val="clear" w:color="auto" w:fill="FFFFFF"/>
            <w:lang w:val="en-US" w:eastAsia="en-US" w:bidi="ar-SA"/>
          </w:rPr>
          <w:t>(2002) 9 B.C.L.R. (4th) 139</w:t>
        </w:r>
      </w:hyperlink>
      <w:r>
        <w:rPr>
          <w:rFonts w:ascii="arial" w:eastAsia="arial" w:hAnsi="arial" w:cs="arial"/>
          <w:color w:val="000000"/>
          <w:sz w:val="20"/>
          <w:lang w:val="en-US" w:eastAsia="en-US" w:bidi="ar-SA"/>
        </w:rPr>
        <w:t xml:space="preserve"> (S.C.) aff'd </w:t>
      </w:r>
      <w:hyperlink r:id="rId251" w:history="1">
        <w:r>
          <w:rPr>
            <w:rFonts w:ascii="arial" w:eastAsia="arial" w:hAnsi="arial" w:cs="arial"/>
            <w:i/>
            <w:color w:val="0077CC"/>
            <w:sz w:val="20"/>
            <w:u w:val="single"/>
            <w:shd w:val="clear" w:color="auto" w:fill="FFFFFF"/>
            <w:lang w:val="en-US" w:eastAsia="en-US" w:bidi="ar-SA"/>
          </w:rPr>
          <w:t>(2004) 23 B.C.L.R. (4th) 249</w:t>
        </w:r>
      </w:hyperlink>
      <w:r>
        <w:rPr>
          <w:rFonts w:ascii="arial" w:eastAsia="arial" w:hAnsi="arial" w:cs="arial"/>
          <w:color w:val="000000"/>
          <w:sz w:val="20"/>
          <w:lang w:val="en-US" w:eastAsia="en-US" w:bidi="ar-SA"/>
        </w:rPr>
        <w:t xml:space="preserve"> (C.A.) where at paragraph 7, the Court of Appeal, per Huddart J.A. observed: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I view the case against British Columbia, there is only one issue. In my view the chambers judge correctly found the creation and establishment of the [Building Code] to be an act of lawmaking. See Welbridge Holdings Ltd. v. Metropolitan Corporation of Greater Winnipeg, </w:t>
      </w:r>
      <w:hyperlink r:id="rId252" w:history="1">
        <w:r>
          <w:rPr>
            <w:rFonts w:ascii="arial" w:eastAsia="arial" w:hAnsi="arial" w:cs="arial"/>
            <w:i/>
            <w:color w:val="0077CC"/>
            <w:sz w:val="20"/>
            <w:u w:val="single"/>
            <w:shd w:val="clear" w:color="auto" w:fill="FFFFFF"/>
            <w:lang w:val="en-US" w:eastAsia="en-US" w:bidi="ar-SA"/>
          </w:rPr>
          <w:t>[1971] S.C.R. 957</w:t>
        </w:r>
      </w:hyperlink>
      <w:r>
        <w:rPr>
          <w:rFonts w:ascii="arial" w:eastAsia="arial" w:hAnsi="arial" w:cs="arial"/>
          <w:color w:val="000000"/>
          <w:sz w:val="20"/>
          <w:lang w:val="en-US" w:eastAsia="en-US" w:bidi="ar-SA"/>
        </w:rPr>
        <w:t>. Immunity from the application of tort law flows from that fact. As the chambers judge noted at paragraph 63 of his reasons for judgment, "[t]o the extent a government negligently governs, the voting public may impose a political consequence at an election." It follows I would not accede to the grounds of appeal that apply to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Province further submits that it is equally clear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cannot be maintained for the failure to enforce a regulation unless bad faith is shown. For this proposition, the Province relies on, among others, the case of Froese v. Hik </w:t>
      </w:r>
      <w:hyperlink r:id="rId253" w:history="1">
        <w:r>
          <w:rPr>
            <w:rFonts w:ascii="arial" w:eastAsia="arial" w:hAnsi="arial" w:cs="arial"/>
            <w:i/>
            <w:color w:val="0077CC"/>
            <w:sz w:val="20"/>
            <w:u w:val="single"/>
            <w:shd w:val="clear" w:color="auto" w:fill="FFFFFF"/>
            <w:lang w:val="en-US" w:eastAsia="en-US" w:bidi="ar-SA"/>
          </w:rPr>
          <w:t>(1993), 78 B.C.L.R. (2d) 389</w:t>
        </w:r>
      </w:hyperlink>
      <w:r>
        <w:rPr>
          <w:rFonts w:ascii="arial" w:eastAsia="arial" w:hAnsi="arial" w:cs="arial"/>
          <w:color w:val="000000"/>
          <w:sz w:val="20"/>
          <w:lang w:val="en-US" w:eastAsia="en-US" w:bidi="ar-SA"/>
        </w:rPr>
        <w:t>. There, Huddart J. (as she then was) observed at paragraphs 30-32: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consider that Matsqui owed the plaintiffs only two duties: good faith decision-making as to the enforcement of the by-law; and reasonable care in its implementation. ... The real question is whether one or other of those obligations was breached.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So long as any decision not to enforce, or to enforce in any particular way, was made in good faith, Matsqui is shielded from any claims based on that decision. Long before the resolution of February, 1993, Matsqui had decided not to use the enforcement provisions of the by-law to require Mr. Hik to comply with it. The two responsible municipal officials considered he had done so. I cannot infer from the evidence bad faith or even sufficient hint of bad faith to require a trial. The evidence establishes a difference of opinion as to the requirements of the by-law, nothing more. A difference of opinion is not the stuff of bad faith. When good faith is the issue, I do not think it matters whether a court agrees or disagrees with a municipality's interpretation of its by-law, unless that interpretation is so unreasonable as to constitute bad faith. However I regard the by-law in question I cannot find in its interpretation by the municipal officials or the council anything that suggests bad faith.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plaintiffs are to succeed, it will be because the municipality breached its duty of reasonable care to the land owners when it took action to implement its by-law. But a breach of the duty of reasonable care cannot be decided in a vacuum.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Province submits that, accordingly, paragraphs 17(a) and (b) of the statement of claim disclose no viable cause of action. I think that the Province is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With respect to paragraph 17(c), the Province submits that it could only be found liable if there were a finding of a private law duty of care owed by the Province to the plaintiff. The Province submits that there are no factual allegations in the statement of claim and no affidavit material filed respecting the existence of such a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There is no question that it is difficult to tell what "failing to prohibit" means in paragraph 17(c). If one assumes it implies something distinct from 17(a) and (b), there is still a near complete lack of pleadings of fact material to the relationship underscoring the "duty" to prohibit. There is only paragraph 10 which describes a duty but offers no facts suggesting a breach of that duty: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 The Crown, at all relevant times owed a duty of care to the Plaintiff and other members of the public who are users of the highways in British Columbia, by regulating and controlling cargo securement and the equipment related thereto on vehicles intended for use in the logging industry. The Crown performed that duty of care by carrying out regular inspections of the Logging Truck and Trailer in British Columbia for that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plaintiff's submission is essentially that the onus at this stage of proceedings is slight, and that the Province may owe a duty of care depending on, among other things, the question of whether a decision is characterized as a matter of policy or is operational (see: Lewis (Guardian ad litem of) v. British Columbia, </w:t>
      </w:r>
      <w:hyperlink r:id="rId254" w:history="1">
        <w:r>
          <w:rPr>
            <w:rFonts w:ascii="arial" w:eastAsia="arial" w:hAnsi="arial" w:cs="arial"/>
            <w:i/>
            <w:color w:val="0077CC"/>
            <w:sz w:val="20"/>
            <w:u w:val="single"/>
            <w:shd w:val="clear" w:color="auto" w:fill="FFFFFF"/>
            <w:lang w:val="en-US" w:eastAsia="en-US" w:bidi="ar-SA"/>
          </w:rPr>
          <w:t>[1997] 3 S.C.R. 1145</w:t>
        </w:r>
      </w:hyperlink>
      <w:r>
        <w:rPr>
          <w:rFonts w:ascii="arial" w:eastAsia="arial" w:hAnsi="arial" w:cs="arial"/>
          <w:color w:val="000000"/>
          <w:sz w:val="20"/>
          <w:lang w:val="en-US" w:eastAsia="en-US" w:bidi="ar-SA"/>
        </w:rPr>
        <w:t xml:space="preserve">; Just v. British Columbia, </w:t>
      </w:r>
      <w:hyperlink r:id="rId255" w:history="1">
        <w:r>
          <w:rPr>
            <w:rFonts w:ascii="arial" w:eastAsia="arial" w:hAnsi="arial" w:cs="arial"/>
            <w:i/>
            <w:color w:val="0077CC"/>
            <w:sz w:val="20"/>
            <w:u w:val="single"/>
            <w:shd w:val="clear" w:color="auto" w:fill="FFFFFF"/>
            <w:lang w:val="en-US" w:eastAsia="en-US" w:bidi="ar-SA"/>
          </w:rPr>
          <w:t>[1989] S.C.J. No. 121</w:t>
        </w:r>
      </w:hyperlink>
      <w:r>
        <w:rPr>
          <w:rFonts w:ascii="arial" w:eastAsia="arial" w:hAnsi="arial" w:cs="arial"/>
          <w:color w:val="000000"/>
          <w:sz w:val="20"/>
          <w:lang w:val="en-US" w:eastAsia="en-US" w:bidi="ar-SA"/>
        </w:rPr>
        <w:t>). The plaintiff goes on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By regulations to the Motor Vehicle Act, the Ministry has made the policy decision to undertake control in British Columbia of cargo securement and related equipment on vehicles using the highways. The enforcement of those regulations becomes an operational activity which is capable of attracting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enactment of regulations which include an inspection system, gave rise to a duty in the Ministry to use due care at the operational level. The manner and quality of the inspection system is clearly part of the operational function of government activity, and the fact that carelessness in those inspections may cause damage to parties using the highway, must be deemed within the reasonable contemplation of the Ministry. There could be no clearer proximity than between the Ministry in this case and users of the highway, and that is the very basis of the Ministry's duty of care at the operational level.</w:t>
      </w:r>
    </w:p>
    <w:p>
      <w:pPr>
        <w:spacing w:before="120" w:line="260" w:lineRule="atLeast"/>
        <w:ind w:left="2520"/>
        <w:rPr>
          <w:rFonts w:ascii="arial" w:eastAsia="arial" w:hAnsi="arial" w:cs="arial"/>
          <w:sz w:val="20"/>
          <w:lang w:val="en-US" w:eastAsia="en-US" w:bidi="ar-SA"/>
        </w:rPr>
      </w:pPr>
      <w:r>
        <w:rPr>
          <w:rFonts w:ascii="arial" w:eastAsia="arial" w:hAnsi="arial" w:cs="arial"/>
          <w:color w:val="000000"/>
          <w:sz w:val="20"/>
          <w:lang w:val="en-US" w:eastAsia="en-US" w:bidi="ar-SA"/>
        </w:rPr>
        <w:t>[from the plaintiff's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While this submission makes it possible to construe what the plaintiff is getting at in pleading a duty to prohibit, it remains completely abstract and unattached to concrete allegations of material fact in the pleadings. The submissions of counsel obviously do not remedy the defect in the pleadings, but they do suggest the possibility of pleadings that would set up an intelligible cause of action against the Province. I think the combination of paragraphs 10 and 17, while inadequate and confusing, do convey an allegation that the Province has taken upon itself the responsibility of inspecting logging equipment, setting up a duty such that "failing to prohibit" may be a breach. Given the plaintiff's elaboration in argument, it should be possible within 28 days of these reasons, to amend paragraphs 10 and 17 to conform to allegations the plaintiff was able to articulate in submission, with reference to material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So far, I have taken no account of the Province's argument suggesting another entity is responsible in any event. The Province submits, on the evidence of Michael Woods, the "Manager, Vehicle Inspection and Standards, with the Commercial Vehicle Safety Enforcement Branch of the Ministry of Transportation", that under section 217(1) of the Motor Vehicle Act, private facilities and inspections are statutorily licensed by the Province and are not employees of, or contractors with, the Province. The Province further submits, on the basis of K.L.B. v. British Columbia, </w:t>
      </w:r>
      <w:hyperlink r:id="rId256" w:history="1">
        <w:r>
          <w:rPr>
            <w:rFonts w:ascii="arial" w:eastAsia="arial" w:hAnsi="arial" w:cs="arial"/>
            <w:i/>
            <w:color w:val="0077CC"/>
            <w:sz w:val="20"/>
            <w:u w:val="single"/>
            <w:shd w:val="clear" w:color="auto" w:fill="FFFFFF"/>
            <w:lang w:val="en-US" w:eastAsia="en-US" w:bidi="ar-SA"/>
          </w:rPr>
          <w:t>[2003] 2 S.C.R. 403</w:t>
        </w:r>
      </w:hyperlink>
      <w:r>
        <w:rPr>
          <w:rFonts w:ascii="arial" w:eastAsia="arial" w:hAnsi="arial" w:cs="arial"/>
          <w:color w:val="000000"/>
          <w:sz w:val="20"/>
          <w:lang w:val="en-US" w:eastAsia="en-US" w:bidi="ar-SA"/>
        </w:rPr>
        <w:t xml:space="preserve">, </w:t>
      </w:r>
      <w:hyperlink r:id="rId256" w:history="1">
        <w:r>
          <w:rPr>
            <w:rFonts w:ascii="arial" w:eastAsia="arial" w:hAnsi="arial" w:cs="arial"/>
            <w:i/>
            <w:color w:val="0077CC"/>
            <w:sz w:val="20"/>
            <w:u w:val="single"/>
            <w:shd w:val="clear" w:color="auto" w:fill="FFFFFF"/>
            <w:lang w:val="en-US" w:eastAsia="en-US" w:bidi="ar-SA"/>
          </w:rPr>
          <w:t>2003 SCC 51</w:t>
        </w:r>
      </w:hyperlink>
      <w:r>
        <w:rPr>
          <w:rFonts w:ascii="arial" w:eastAsia="arial" w:hAnsi="arial" w:cs="arial"/>
          <w:color w:val="000000"/>
          <w:sz w:val="20"/>
          <w:lang w:val="en-US" w:eastAsia="en-US" w:bidi="ar-SA"/>
        </w:rPr>
        <w:t xml:space="preserve"> - a case addressing when a government will be held vicariously liable for the tortious conduct (abuse) of persons in the position of foster parents - that where a statute expressly provides that duties may be performed by someone other than government, those duties cannot be interpreted as imposing on the Province a non-delegable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plaintiff has answered this with reference to Lewis (Guardian ad litem of) v. British Columbia, </w:t>
      </w:r>
      <w:hyperlink r:id="rId254" w:history="1">
        <w:r>
          <w:rPr>
            <w:rFonts w:ascii="arial" w:eastAsia="arial" w:hAnsi="arial" w:cs="arial"/>
            <w:i/>
            <w:color w:val="0077CC"/>
            <w:sz w:val="20"/>
            <w:u w:val="single"/>
            <w:shd w:val="clear" w:color="auto" w:fill="FFFFFF"/>
            <w:lang w:val="en-US" w:eastAsia="en-US" w:bidi="ar-SA"/>
          </w:rPr>
          <w:t>[1997] 3 S.C.R. 1145</w:t>
        </w:r>
      </w:hyperlink>
      <w:r>
        <w:rPr>
          <w:rFonts w:ascii="arial" w:eastAsia="arial" w:hAnsi="arial" w:cs="arial"/>
          <w:color w:val="000000"/>
          <w:sz w:val="20"/>
          <w:lang w:val="en-US" w:eastAsia="en-US" w:bidi="ar-SA"/>
        </w:rPr>
        <w:t xml:space="preserve">, </w:t>
      </w:r>
      <w:hyperlink r:id="rId257" w:history="1">
        <w:r>
          <w:rPr>
            <w:rFonts w:ascii="arial" w:eastAsia="arial" w:hAnsi="arial" w:cs="arial"/>
            <w:i/>
            <w:color w:val="0077CC"/>
            <w:sz w:val="20"/>
            <w:u w:val="single"/>
            <w:shd w:val="clear" w:color="auto" w:fill="FFFFFF"/>
            <w:lang w:val="en-US" w:eastAsia="en-US" w:bidi="ar-SA"/>
          </w:rPr>
          <w:t>[1997] S.C.J. No. 109</w:t>
        </w:r>
      </w:hyperlink>
      <w:r>
        <w:rPr>
          <w:rFonts w:ascii="arial" w:eastAsia="arial" w:hAnsi="arial" w:cs="arial"/>
          <w:color w:val="000000"/>
          <w:sz w:val="20"/>
          <w:lang w:val="en-US" w:eastAsia="en-US" w:bidi="ar-SA"/>
        </w:rPr>
        <w:t>, p. 40, paras. 15 and 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This case falls within the second category. The enabling statutes explicitly grant the Minister of Transportation and Highways a measure of discretion over the maintenance of the highways. The Highway Act states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8.(1) The minister may construct, keep open and maintain a highway across any land taken under the powers conferred by this Act and no person shall, on any pretext or claim, hinder, delay or obstruct the construction, keeping open and maintenance of a highway.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33.(1) The control of the construction and maintenance of every arterial highway is vested in the ministry.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Ministry of Transportation and Highways Act also provides that:</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minister has the management, charge and direction of all matters relating to the acquisition, construction, repair, maintenance, alteration, improvement and operation of government buildings, highways and public works, except as provided by law or by order of the Lieutenant Governor in Council.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private law duty established by the Anns test therefore "stands alongside" this statutory authority and is applicable once the Ministry makes a policy decision to undertake maintenance work on the highways. The Ministry clearly made the requisite policy decision when it decided to stabilize the rock slope adjacent to the highway. The Crown conceded at trial that the maintenance work undertaken by Cerka involved only operational activities capable of attracting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This exercise of statutory discretion thus gave rise to a duty on the Ministry to use due care at the "operational level" in performing this stabilization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Pursuant to the Anns test, the duty to use reasonable care was owed to the appellant if there was a sufficient relationship of proximity between the Ministry and Mr. Holt "such that, in the reasonable contemplation of the former, carelessness on his part may be likely to cause damage to the latter". There could not be a clearer case of proximity. When the Ministry undertook these operations, it knew or ought to have known that failure to perform the stabilization work with due care would result in harm to the users of the highway. In fact, the very basis of the Ministry's duty to use due care at the operational level is to ensure the safety of users of the highway. The trial judge found that the Ministry's duty to the users of the highway was breached when Cerka, the Ministry's independent contractor, negligently failed to scale the rock that struck Mr. Holt. The question that remains to be resolved is whether the Ministry is liable for Cerka's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my opinion, it 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K.L.B., Lewis was specifically distinguished: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36 The legislation offers no basis for imposing on the Superintendent a non-delegable duty to ensure that no harm comes to children through the abuse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foster parents. Foster parents provide day-to-day care for the children. But the Act does not suggest that the Superintendent is responsible for directing this day-to-day care and for ensuring that no harm comes to the children in the course of this care. In this respect, the Act differs significantly from the statutes at issue in Lewis, supra, which imposed a duty on the Minister of Transportation and Highways personally to direct and manage the maintenance and repair works. Although the Act makes the Superintendent solely responsible for the well-being of a child before placement, it does not suggest that this is work for which the Superintendent retains responsibility after placement. Indeed, if the Superintendent were responsible for all of the wrongs that might befall children in foster care, there would be no need to set out his particular duties with respect to placement and supervision.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37 I conclude that the doctrine of non-delegable duty does not assist the appellants.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think this submission may take matters beyond the scope of Rule 15(6)(c), inviting a dispositive ruling on what are, at the moment, matters not clearly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have already indicated that I will afford the plaintiff an opportunity to amend the pleadings to advance the claim that is presently only remotely implied. The Province has made its position clear that it has no responsibility for this type of vehicle inspection, which it says is entirely undertaken, pursuant to statutory authority, by private entities. This places the plaintiff on notice that among the material facts it must plead will be the specifics of whom it alleges performed inspections, or failed to do so, or to do so properly, and how that entity is a manifestation of government, directly or indirectly.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If the plaintiff cannot do so, the claim against the Province will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If the plaintiff does so, the Province will then be in a position to renew his application, if need be, including a consideration of whether a joinder is "just and convenient," or to bring an application under Rule 18(6).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consider that while the Master's appeal is a matter on which the plaintiff succeeded, the motion under Rule 15(6)(c) was proper, and the Province has been substantially successful in establishing that the pleadings, as presently set up, are deficient. The Province will have its costs of this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McEWAN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2" style="position:absolute;z-index:2518681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64" w:history="1">
        <w:r>
          <w:rPr>
            <w:rFonts w:ascii="arial" w:eastAsia="arial" w:hAnsi="arial" w:cs="arial"/>
            <w:b/>
            <w:bCs/>
            <w:i/>
            <w:color w:val="0077CC"/>
            <w:kern w:val="32"/>
            <w:sz w:val="28"/>
            <w:szCs w:val="32"/>
            <w:u w:val="single"/>
            <w:shd w:val="clear" w:color="auto" w:fill="FFFFFF"/>
            <w:lang w:val="en-US" w:eastAsia="en-US" w:bidi="ar-SA"/>
          </w:rPr>
          <w:t>Jampolsky v. Shattler, [2011] B.C.J. No. 719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J.S. Harvey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20-24, September 27-October 1, 4-8, 12-14,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18 and 19,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19,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S67563, M117747, S68488 and S68557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719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494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96 C.C.L.I. (4th) 202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CarswellBC 954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 A.C.W.S. (3d) 708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Marc Joseph Jampolsky and Perry Jampolsky, Plaintiffs, and Cindy Salina Shattler, Robert A. Smithson and Insurance Corporation of British Columbia, Defendants And between Perry Jampolsky, Plaintiff, and Insurance Corporation of British Columbia, Defendant And between Perry Jampolsky, Plaintiff, and Jaswinder Janjua and Manjit Parmar, Defendant, and Insurance Corporation of British Columbia, Third Party And between Marc Joseph Jampolsky and Perry Jampolsky, Plaintiffs, and Insurance Corporation of British Columbia,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(352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3" style="position:absolute;z-index:251668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5" w:name="Keywords_8"/>
      <w:bookmarkEnd w:id="65"/>
      <w:r>
        <w:rPr>
          <w:rFonts w:ascii="arial" w:eastAsia="arial" w:hAnsi="arial" w:cs="arial"/>
          <w:b/>
          <w:color w:val="000000"/>
          <w:sz w:val="20"/>
          <w:lang w:val="en-US" w:eastAsia="en-US" w:bidi="ar-SA"/>
        </w:rPr>
        <w:t>Damages — For torts — Affecting the person — Action by motorist for damages for injuries sustained in four car accidents allowed in part — Plaintiff involved in three accidents in 1999 and fourth accident in 2007 — As result of 1999 accidents, plaintiff suffered soft tissue injuries, for which he was entitled to damages of $14,000 — As plaintiff suffered, at worse, extremely mild soft tissue injury in fourth accident, he was entitled to damages of $1,000 — Only first collision of sufficient force to cause brain injury, but plaintiff demonstrated no clinical effects of brain injury at scene or in following weeks, and his unrelated conditions explained his complaints.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Physical and psychological injuries — Physical injuries — Body injuries — Soft tissue — Head injuries — Brain damage — Action by motorist for damages for injuries sustained in four car accidents allowed in part — Plaintiff involved in three accidents in 1999 and fourth accident in 2007 — As result of 1999 accidents, plaintiff suffered soft tissue injuries, for which he was entitled to damages of $14,000 — As plaintiff suffered, at worse, extremely mild soft tissue injury in fourth accident, he was entitled to damages of $1,000 — Only first collision of sufficient force to cause brain injury, but plaintiff demonstrated no clinical effects of brain injury at scene or in following weeks, and his unrelated conditions explained his complaints.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Action by motorist for damages for injuries sustained in four car accidents allowed in part — Plaintiff involved in three accidents in 1999 and fourth accident in 2007 — As result of 1999 accidents, plaintiff suffered soft tissue injuries, for which he was entitled to damages of $14,000 — As plaintiff suffered, at worse, extremely mild soft tissue injury in fourth accident, he was entitled to damages of $1,000 — Only first collision of sufficient force to cause brain injury, but plaintiff demonstrated no clinical effects of brain injury at scene or in following weeks, and his unrelated conditions explained his complaints.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Transportation law — Motor vehicles and highway traffic — Liability — Civil actions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motorist for damages for injuries sustained in four car accidents allowed in part — Plaintiff involved in three accidents in 1999 and fourth accident in 2007, as result of which he suffered soft tissue injuries — Accept for first accident, defendants admitted liability — Neither named defendant liable for first accident, as accident caused by unidentified driver who had taken first defendant's vehicle without permission and struck second defendant's vehicle, which collided with plaintiff's vehicle.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66" w:name="Case Summary_9"/>
            <w:bookmarkEnd w:id="6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a motorist for damages for injuries sustained in four separate car accidents. The plaintiff was a 28-year-old male. During the summer of 1999, he was involved in three separate car accidents. He was involved in a fourth accident in 2007. In the first accident, the plaintiff, while stopped at a red light, was struck by a vehicle that had been struck by a vehicle, driven by an unidentified driver, which had gone through the red light. In the second accident, an unidentified motorcyclist collided with the side of the plaintiff's vehicle while attempting to pass between it and the curb when traffic was stopped. In the third accident, the driver of the other vehicle failed to observe the plaintiff's vehicle before executing a lane change with the result that the right rear of his vehicle came into contact with the left front fender and wheel of the plaintiff's vehicle. The fourth accident also involved an unidentified driver who, for unknown reasons, intentionally collided with the plaintiff's vehicle. Prior to his involvement in the accidents, the plaintiff was in his final year of high school. He was an aspiring musician and had received a number of awards for his music and leadership skills. He had been involved in one prior accident, as a cyclist, in 1996, as a result of which he suffered headaches. Following the accidents in 1999, the plaintiff experienced a personality change, which was noted by family and friends. They alleged that after the accidents, the plaintiff was moody, had memory lapses, was easily angered and frustrated, became easily confused, complained of unpleasant smells that others did not notice, developed a weak grip and dripped things, had dizzy spells and made inappropriate comments. A medical expert retained by the plaintiff diagnosed the plaintiff as having suffered a mild traumatic brain injury. Medical experts retained by the defendants disputed the diagnosis. The plaintiff had been steadily employed since 1999, working at a variety of jobs, and he had been with his current employer since 2006. The plaintiff alleged that in one, or perhaps all, of the 1999 accidents he sustained a mild traumatic brain injury, and that his symptoms were worsened by the effects of the 2007 accident. He further alleged that his injury impaired his future employment prospects. Consequently, he sought general damages, damages for loss of future earning capacity, loss of independent relationship, costs of future care and past wage loss. At least some of the defendants in the first three accidents admitted fault. However, they denied that the plaintiff sustained an injury of the magnitude claimed and alleged that the plaintiff suffered only soft tissue injuries, from which he had recovered without any residual effects or impact upon his future employability.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67" w:name="Holdings of Court_7"/>
            <w:bookmarkEnd w:id="67"/>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 the first accident, only the unidentified driver was liable. The owner of the vehicle which had proceeded through the red light and struck the vehicle which struck the plaintiff was not liable, as her car had been taken without her knowledge. As a result of the three 1999 accidents, the plaintiff suffered soft tissue injuries, for which he was entitled to damages of $14,000. The defendants from the first three accidents were joint and severally liable. As the plaintiff suffered, at worse, an extremely mild soft tissue injury in the fourth accident, he was entitled to damages of $1,000. While the first collision was of sufficient force and magnitude to be a cause of a brain injury, there were no demonstrable clinical effects of a brain injury at the scene of the accident or in the following weeks, and the plaintiff's unrelated conditions provided a plausible explanation for some or all of his complaints.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68" w:name="Counsel_9"/>
      <w:bookmarkEnd w:id="6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4" style="position:absolute;z-index:2517196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Perry Jampolsky: T. Harding.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in all actions: S. Grey and D. Robinson.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9" w:name="Judgment_9"/>
      <w:bookmarkEnd w:id="69"/>
      <w:r>
        <w:pict>
          <v:line id="_x0000_s1075" style="position:absolute;z-index:25177088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7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0" w:name="J.S. HARVEY J._0"/>
            <w:bookmarkEnd w:id="70"/>
            <w:r>
              <w:rPr>
                <w:rFonts w:ascii="arial" w:eastAsia="arial" w:hAnsi="arial" w:cs="arial"/>
                <w:b/>
                <w:color w:val="000000"/>
                <w:sz w:val="30"/>
                <w:lang w:val="en-US" w:eastAsia="en-US" w:bidi="ar-SA"/>
              </w:rPr>
              <w:t>J.S. HARVEY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Perry Jampolsky, is a 28 year old Surrey resident injured in four separate motor vehicle accidents. The first three accidents occurred over the summer of 1999; the last accident occurred in August 2007. At the time of the first accident the plaintiff was 18 years old. He was accompanied in the vehicle by his brother, Marc, who has since settled his claims arising from the initial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asserts that in one, or perhaps all, of the 1999 accidents he sustained a mild traumatic brain injury (MTBI) which has left him with significant personality changes, memory deficit, and sensory deficit. The symptoms were worsened by the effects of the 2007 accident. The injury, he says, impairs his future employment prospects.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All defendants were represented in these proceedings by the same counsel. While admitting fault on behalf of at least some of the defendants in each of the first three accidents, it is denied that the plaintiff has sustained an injury of the magnitude claimed. Instead, it is the defendants' position that the plaintiff sustained soft tissue injuries in each of the four accidents, and that he recovered uneventfully from each without any residual effects or impact upon his future employability.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four actions were directed to be heard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issues are as follows:</w:t>
      </w:r>
      <w:r>
        <w:rPr>
          <w:rFonts w:ascii="arial" w:eastAsia="arial" w:hAnsi="arial" w:cs="arial"/>
          <w:sz w:val="20"/>
          <w:lang w:val="en-US" w:eastAsia="en-US" w:bidi="ar-SA"/>
        </w:rPr>
        <w:cr/>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liability, if any, of the defendants, Shattler and Smithson, to the plaintiff for any injuries sustained by him in the accident of June 26, 1999;</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liability of the unidentified motorist in the accident which occurred on August 7, 2007;</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the plaintiff's injuries from each accident together with the impact, if any, on his past earnings, future earning capacity, and his need, if any, for future medical treatment arising from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Prior to trial the defendants abandoned any defences relating to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the failure of the plaintiff to mitigate his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four accidents occurred on June 26, 1999, (the "first accident"); August 7, 1999 (the "second accident"); August 13, 1999 (the "third accident"); and August, 12, 1999 (the "fourth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June 26, 1999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first accident occurred at or near the intersection of 140th Avenue and 100th Street in Surrey, B.C. The plaintiff, accompanied by his brother, Marc, was driving his brother's vehicle in the early morning and was stopped at the intersection for a red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vehicle driven by the defendant Smithson was passing lawfully through the intersection in compliance with the traffic signal when a vehicle owned by Shattler and driven by an unidentified motorist entered the intersection against the red light opposite the plaintiff. The Shattler vehicle collided with the Smithson vehicle at what appears to be a high rate of speed, causing Smithson's vehicle to spin and collide with the plaintiff's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plaintiff's vehicle was stationary when struck. Neither the plaintiff nor his brother could recall the impact or give any description of what occurred to them when struck by the Smithson vehicle. It does not appear from the evidence that the plaintiff struck his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Smithson's vehicle caught fire. Both the plaintiff and his brother emerged from their vehicle. Marc Jampolsky thinks he called 911. A bystander attended with water which was thrown onto the Smithson vehicle. Marc called his mother who then attended at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Mary Jampolsky described the plaintiff as babbling when she arrived at the scene of the accident. Neither son reported any injury to her, although she eventually transported both to Surrey Memorial Hospital for examination. This was done on the advice of medical personnel present at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and Marc stayed at the accident scene for approximately an hour or so, the time necessary for the fire department to begin extricating Smithson from his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Marc Jampolsky has no recall of his brother speaking to either the driver of the Smithson vehicle or the vehicle which struck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attended an examination for discovery in 2006, the same year he first saw Dr. Ancill. He responded to questions concerning the accident and its aftermath in a reasonably detailed fashion. Dr. Ancill stressed the importance of asking for a patient's personal recall of what happened as opposed to the more generic, "what happened?" If the latter question is posed, a patient suffering from MTBI is likely to fill in gaps in his memory with the memory of others who have discussed the event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At trial the plaintiff adopted as accurate the following summary taken from his discovery: In response to the question, "Just tell me what you remember about this accident," the plaintiff advised (in summary) that he remembers sitting at the red light but not the actual impact. He advised that he recalled getting out of the car after asking his brother, Marc, if he was alright and then going to another car, "that was sort of on the sidewalk," and, "asking if they were okay." He said that he did not know, at the time, that it was the car that ran the red light that he had approached. He said that he did not go to the other car, or at least he didn't remember doing so, and that the next thing he recalls was either a police officer of fireman telling him to extinguish his cigarette. He recalled coming from the pool hall.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He could not recall his attendance at Surrey Memorial or his return home. His next memory is of falling in his bathtub, "the next day or a couple of days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unidentified driver in the Shattler vehicle fled the scene without being apprehended. When Ms. Shattler was approached following the accident as to the whereabouts of her vehicle she thought it was in her parking lot; however, when told of the collision she advised the officers that she thought the car had been stolen by a man she was seeing socially, Ali Maya.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Liability for the June 26, 1999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Liability has been admitted by ICBC on behalf of the uninsured driver involved in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At the conclusion of the trial the plaintiff abandoned any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against the driver of the vehicle which ultimately collided with the plaintiff's vehicle, but still seeks a finding of liability against Ms. Shattler.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Ms. Shattler's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said to be the failure properly guard against the possibility of one of her invitees, whom she knew was drunk, stealing her motor vehicle and then driving it in an unsafe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Supreme Court of Canada has, so far, rejected the notion of liability of social hosts (</w:t>
      </w:r>
      <w:r>
        <w:rPr>
          <w:rFonts w:ascii="arial" w:eastAsia="arial" w:hAnsi="arial" w:cs="arial"/>
          <w:i/>
          <w:color w:val="000000"/>
          <w:sz w:val="20"/>
          <w:lang w:val="en-US" w:eastAsia="en-US" w:bidi="ar-SA"/>
        </w:rPr>
        <w:t>Childs v. Desormeaux</w:t>
      </w:r>
      <w:r>
        <w:rPr>
          <w:rFonts w:ascii="arial" w:eastAsia="arial" w:hAnsi="arial" w:cs="arial"/>
          <w:color w:val="000000"/>
          <w:sz w:val="20"/>
          <w:lang w:val="en-US" w:eastAsia="en-US" w:bidi="ar-SA"/>
        </w:rPr>
        <w:t xml:space="preserve">, </w:t>
      </w:r>
      <w:hyperlink r:id="rId265" w:history="1">
        <w:r>
          <w:rPr>
            <w:rFonts w:ascii="arial" w:eastAsia="arial" w:hAnsi="arial" w:cs="arial"/>
            <w:i/>
            <w:color w:val="0077CC"/>
            <w:sz w:val="20"/>
            <w:u w:val="single"/>
            <w:shd w:val="clear" w:color="auto" w:fill="FFFFFF"/>
            <w:lang w:val="en-US" w:eastAsia="en-US" w:bidi="ar-SA"/>
          </w:rPr>
          <w:t>2006 SCC 18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plaintiff points to the dicta of McLachlin, C.J. in </w:t>
      </w:r>
      <w:r>
        <w:rPr>
          <w:rFonts w:ascii="arial" w:eastAsia="arial" w:hAnsi="arial" w:cs="arial"/>
          <w:i/>
          <w:color w:val="000000"/>
          <w:sz w:val="20"/>
          <w:lang w:val="en-US" w:eastAsia="en-US" w:bidi="ar-SA"/>
        </w:rPr>
        <w:t>Childs</w:t>
      </w:r>
      <w:r>
        <w:rPr>
          <w:rFonts w:ascii="arial" w:eastAsia="arial" w:hAnsi="arial" w:cs="arial"/>
          <w:color w:val="000000"/>
          <w:sz w:val="20"/>
          <w:lang w:val="en-US" w:eastAsia="en-US" w:bidi="ar-SA"/>
        </w:rPr>
        <w:t xml:space="preserve">, wherein the Chief Justice discusses what might engage social host liability. In </w:t>
      </w:r>
      <w:r>
        <w:rPr>
          <w:rFonts w:ascii="arial" w:eastAsia="arial" w:hAnsi="arial" w:cs="arial"/>
          <w:i/>
          <w:color w:val="000000"/>
          <w:sz w:val="20"/>
          <w:lang w:val="en-US" w:eastAsia="en-US" w:bidi="ar-SA"/>
        </w:rPr>
        <w:t>Childs</w:t>
      </w:r>
      <w:r>
        <w:rPr>
          <w:rFonts w:ascii="arial" w:eastAsia="arial" w:hAnsi="arial" w:cs="arial"/>
          <w:color w:val="000000"/>
          <w:sz w:val="20"/>
          <w:lang w:val="en-US" w:eastAsia="en-US" w:bidi="ar-SA"/>
        </w:rPr>
        <w:t>, the social host held a party after which one guest was involved in a fatal motor vehicle accident. At para. 44, McLachlin C.J. stated in obiter: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might be argued that a host who continues to serve alcohol to a visibly inebriated person knowing that he or she will be driving home has become implicated in the creation or enhancement of a risk sufficient to give rise to a prima facie duty of care to third parties, which would be subject to contrary policy considerations at the second stage of the Anns test.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claims that Ms. Shattler knew that Ali Maya was already drunk when he arrived. She already considered him to be an "ass" and a "jerk." Yet she let him in. She could have refused him entry. She says she let him in so as to avoid causing a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Be that as it may, the evidence does not support a finding that the defendant, Ms. Shattler, served Ali Maya alcohol or actively encouraged his continued drinking. To the contrary, there is no evidence that she paid him any attention or that he continued to drink alcohol while at her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There is nothing in the evidence to suggest that Ms. Shattler knew or ought to have known of the risk of one of her guests, specifically, Ali Maya, stealing her car keys and then engaging in unsafe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the result, I dismiss the action against both defendants, Shattler and Smithson.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August 7, 1999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second accident involved an unidentified motorcyclist who collided with the side of the plaintiff's vehicle while attempting to pass between it and the curb when traffic was stopped.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ICBC has admitted fault on behalf of the unidentified motorcyclist.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motorcyclist attempted to pass the plaintiff's vehicle on the curb side. The motorcycle scraped the right side of the Jampolsky vehicle as it fell to the side. The motorcyclist left the scene without exchanging any information with the plaintiff. Noting that the driver was sporting club colours, the plaintiff, wisely, did not give 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When reporting the incident to ICBC on August 9, 1999 the plaintiff reported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was stopped at the light at 154th Street and waiting to go straight through. There is two lanes there and I was in the curb lane. A Harley Davidson motorcycle with orange flames came up beside me on the right hand side. He went between me and the curb and sort of fell over and hit the rear passenger side door and the right rear quarter panel of my car. He didn't fall off his bike, he sort of fell to the right. He was still moving slowly so I guess that is how the scrape on my door happened. My friend, Greg, asked him if he was all right. He mumbled that he was all right and then he drove off. Greg thought that he sounded drunk. The guy was big. I had just glanced over and when the light turned green I turned right and thought that the guy was going to follow me around the corner but he went straight instead. We turned around and went into the Ramada Inn. There was a Constable McLellan there and he gave us a file number of 99-77363. I then called the 24 hour ICBC line and they gave me this file number. The bike driver had a passenger on the bike with him. This is a true statement to the best of my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No report was made of any injuries arising from the event. The plaintiff made no reference to the earlier accident of June 26, 1999. He advised the adjuster that he was not working at the time of the accident but was looking for work and was, "going back to finish a couple of courses in Grade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 attended Dr. Tang on two occasions in August for complaints unrelated to this or the first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August 13, 1999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defendants, Janjua and Parmar, have admitted fault for the third accident. The driver, Mr. Janjua, failed to observe the plaintiff's vehicle before executing a lane change. The right rear of the Janjua vehicle came in contact with the left front fender and wheel area of the plaintiff's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Jampolsky vehicle sustained approximately $1,400 in damage; the Janjua vehicle sustained approximately $1,000 in damage. I am satisfied that the collision was more forceful than the description given by Mr. Janjua in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his report to ICBC following this accident, the plaintiff told the adjuster: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the statement of Perry Jampolsky, of 305 9979 140th Street, Surrey, B.C. taken on August 16th, 1999. I hold an active valid class 5 drivers licence and on August 13th, 1999 I was involved in a motor vehicle accident. I was sitting in the back seat behind Mark. I was wearing my seatbelt. When the car was hit it just aggrivated (sic) my old injuries. I was about 80 percent better when I was involved in a hit and run with a motorcycle. That accident aggrivated (sic) the neck. This last accident aggrivated (sic) my back and neck and I started to drop things again. I did not hit my hand or anything. I have read the above statement and it is correct to the best of my knowledge and understanding.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Apart from the reference to "dropping things again", the plaintiff did not make complaints referable to the earlier two accidents. The reported complaints related to an exacerbation of the plaintiff's back and neck injuries which he related to Dr. Tang in his visits in June and July of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At subsequent attendances upon Dr. Tang for unrelated complaints, the plaintiff did not mention the third accident or its effects.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August 12, 2007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fourth accident involved another unidentified driver who, for reasons unknown, seems to have intentionally caused her vehicle to collide with that driven by the plaintiff and occupied by three other passengers.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evidence of the plaintiff, Ms. Mcleister, and Mr. Watkins satisfies me that the unidentified motorist was at fault for the accident and that reasonable attempts were made to ascertain the identity of the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No particulars as to the damage suffered by the plaintiff's vehicle were provided, nor did the plaintiff elaborate on any injuries he suffered in the fourth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One witness, Mr. Burnett, testified that the plaintiff became more irritable following this accident. None of the other witnesses called by the plaintiff made any distinction between the plaintiff's behaviour and cognitive function prior to or after the fourth accident. The plaintiff did not seek medical treatment for the fourth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Plaintiff Prior to the June 26, 1999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Prior to his involvement in the first accident, the plaintiff was completing his graduating year at secondary school in Surrey, British Columbia. He resided in the home of his mother, Mary Wong Jampolsky, along with his older brother, Marc.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 had recently quit Air Cadets. He began Air Cadets at the age of 12. Despite his young age he quickly showed an aptitude for both the musical and military aspects of the cadets. He enjoyed an impressive career ending with the rank of flight sergeant.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 appears to have been an aspiring, if not an accomplished, musician upon entry into the Air Cadets. His background was in piano and clarinet. He later taught himself to play the saxophone when one was given to him by his uncle, Perry 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His musical abilities allowed him to become a member of the drill band. In his later teens, he led the band as drum major and taught many of the younger cadets to play either clarinet or saxophone. He also choreographed the marching drills which the band performed when in parades or competitions.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 was the recipient of a number of awards for both his music and his leadership skills. As recently as 1998, the year prior to the first accident, he won a variety of awards and his picture appeared on the front page of a local newspaper to honour his achievements.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That same year, or possibly in early 1999, the plaintiff quit Air Cadets out of frustration over what he perceived was the growing involvement and interference of the parents group in selecting cadets for promotion. The plaintiff felt a promotion was withheld from him as lesser candidates received promotions based on pressure applied from outside sources.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Involvement with the Air Cadets occupied much of the plaintiff's free time between age 12 and 17. He won attendance awards for never having missed a meeting. He also attended the cadet hall for training sessions and other social occasions. It would appear that he was involved with cadets for as many as five days per week during the school year. He also attended and taught at summer camps as he progressed in rank.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plaintiff's academic pursuits were not as successful as his achievements in Air Cadets.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An average to slightly better average student in his elementary school years, his performance declined in high school after transferring from a French immersion program to Johnston Heights Secondary. The plaintiff blamed some of the decline on the fact that he was now learning in English rather than French. His marks in French and music composition remained high, but his other marks slipped such that he was failing or barely passing the bulk of the academic courses.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His attendance also declined. Some of the courses he failed to pass in grades 11 and 12 appear to be directly the result of poor attendance. His uncle, Perry Smith, testified that this was explained by the plaintiff's lack of interest in some of his school subjects, but accepted that he may have skipped classes because he was bored with school. His mother stated that he was afflicted with headaches which interrupted his attendance. His brother, Marc, recalled that the plaintiff suffered from stomach problems which caused him to miss school in his late high school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Whatever the reason, outside of French and music, the plaintiff did not do well in his final two years of high school. His marks were mediocre to failing. But for the credits he received for his work with the Air Cadets, it is likely that he would have had to repeat more than mathematics and English to eventually receive his Grade 12 equivalency.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plaintiff's medical history is of also of note. In the summer of 1996, while vacationing in Fort St. John, the plaintiff was involved in an accident while riding his bicycle. His mother recalled that she was called to the scene of the accident by a neighbour and attended the scene while the plaintiff was still on the road. She thought the accident was the fault of the motorist involved. In any event, the plaintiff was apparently struck by, or ran into, the motorist and was thrown onto the hood of the car and ultimately to the pavement. The plaintiff was not wearing a helmet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Following this accident the plaintiff experienced headaches. There is no record of him having any period of unconsciousness or memory loss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Both the plaintiff and his mother were unable to recall the 1996 accident or its consequences when they attended upon Dr. Ancill, the doctor who diagnosed the plaintiff as suffering from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It would appear that the plaintiff remained partially symptomatic from the bike accident until at least January 1997, when his family physician, Dr. Tang, recorded in his medical chart that the plaintiff was still suffering headaches six months following the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Despite the bike accident, it appears that the plaintiff was able to carry on with his high level of performance at Air Cadets. As noted he continued to excel in the years following the bicycle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remainder of the plaintiff's medical history appears uneventful save for reference to another "head injury" in June, 1997. Whatever, the origin of the complaint, it did not result in any further reporting of symptoms to Dr. Tang in the period leading up to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Apart from cadets, the plaintiff had an interest in playing pool. He appears to have become a reasonably accomplished pool player and it apparently remains one of his major forms of recreation. He continues to play in leagues and occasional tournaments. The whole of the evidence indicates that his skill is undiminished since the series of accidents beginning in the summer of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 common theme of those witnesses who testified as to the plaintiff's pre-accident personality was his extraverted personality, willingness to help or teach others, and generous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According to the witnesses who were called to testify as to the plaintiff's personality, his disposition changed following the accidents of the summer of 1999.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After the Summer of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Although scheduled to graduate in June 1999, the plaintiff had insufficient credits and needed to complete Math 12 and English 12. He testified that he passed English 12 without much trouble. When he passed English 12, his mark was consistent with his academic performance in subjects other than music or French. The plaintiff had to take Math 12 repeatedly over the next several years, ultimately taking a less challenging version of Math 12 in order to complete the requirement so as to obtain his Grade 12 equivalency.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It is not clear if or when the plaintiff was working during the summer of 1999. From CPP records admitted at trial, it would appear that the plaintiff commenced working in 1999 (other than at cadet camps) and has since held a variety of jobs until he began his present employment with Actes Environmental in or about 2006. His pre-Actes employment appears to have been steady.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His occupational history is varied and bears some comment given complaints of the plaintiff as to his mental state and the observations of friends and family who testified on his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plaintiff's resume indicates that he held a number of jobs before his current employment. Between 1999 and 2006, he worked in a furniture warehouse assembling and moving furniture, interned with Corrections Canada, sold vacuums, tended bar, and worked for a window blind cleaning service. Other than the views of Mr. Burnett concerning the plaintiff's abilities tending bar, the evidence did not disclose that the plaintiff experienced any difficulty maintaining the various other positions he held. While working at the bar, the plaintiff was also working full time for Corrections Canada doing his internship.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2006, the year that the plaintiff first saw Dr. Ancill, the plaintiff was an intern with Corrections Canada as well as a bartender at a club in Surrey, working from the early evening until 1:00 am or 2:00 am four to five days a week. The internship was sponsored by the YMCA and ran for approximately a year. The plaintiff had hoped for a career in law enforcement or corrections.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plaintiff's other pre-Actes employment involved working for Wosk and JYSK furniture outlets. As part of his duties the plaintiff was required to assemble furniture in the warehouse and then load it on trucks for delivery.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2004 the plaintiff worked briefly for his current employer, Actes Environmental. In 2006 he resumed his current employment with Actes.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plaintiff has remained steadily employed since the time of the first accident and claims past wage loss only for a period of absence from work following the fourth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addition to the medical evidence, the plaintiff called a variety of people who knew the plaintiff both before and after the first three accidents to testify as to their observations of perceived changes in his character and demeanour following those accidents.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Aftermath of the Accidents and the Claim of Mild Traumatic Brain Injury (MTBI)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plaintiff's family physician, Dr. Howard Tang, saw the plaintiff on a number of occasions following the first three accidents. He prepared a medical report on the plaintiff's condition in November 2000, which was tendered in evidence on behalf of the defendants. Dr. Tang was not, at least then, of the opinion the plaintiff had sustained more than soft tissue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2006 the plaintiff was seen by Dr. Raymond Ancill, a psychiatrist specializing in the diagnosis and treatment of brain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Dr. Ancill's opinion that the plaintiff suffered a MTBI caused the defendants to engage Dr. Paul Janke, a psychiatrist, and Dr. Peter Rees, a neurologist. Both examined the plaintiff and opined that he did not sustain a MTBI in any of the accidents under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Each of the experts testifying as to the existence, or otherwise, of MTBI agreed that evidence of MTBI would not necessarily appear on either a CAT scan or MRI.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Instead, the diagnosis of an MTBI, in most instances, is dependent upon the determination of whether there is:</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credible mechanism of injury sufficient to cause damage to the brain tissues;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or not there were demonstrable clinical effects of brain injury at the scene of the accident;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in the weeks following there were symptoms/and or findings consistent with a concussion; and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longer term symptoms and findings are unique to brain trauma or whether they have been caused by other confounding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According to the Centers for Disease Control and Prevention (CDC), the following are signs and symptoms of a traumatic brain injury. Symptoms may not appear, according to the CDC, until days or weeks following the injury, or may be missed as people may look fine even though they may act or feel differently:</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Headaches or neck pain that do not go away</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Difficulty remembering, concentrating, or making decisions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Slowness in thinking, speaking, acting, or reading</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Getting lost or easily confused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Feeling tired all of the time, having no energy or motivation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Mood changes (feeling sad or angry for no reason)</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Changes in sleep patterns (sleeping a lot more or having a hard time sleeping)</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Lightheadedness, dizziness, or loss of balance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Urge to vomit (nausea)</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Increased sensitivity to lights, sounds, or distractions</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Blurred vision or eyes that tire easily</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sense of smell or taste</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Ringing in the 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medical experts in these proceedings accepted that the extract from the CDC is an accurate description of the road signs to the diagnosis of an MTBI, and that each of the above symptoms is non-specific to an MTBI. That is to say, seen in isolation, the symptoms described above could have a variety of causes, including the existence of an MTBI.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plaintiff is not the best historian when it comes to recounting events following the first three accidents. This is, perhaps, not surprising when each of the witnesses called by the plaintiff testified as to observations on their part relating to plaintiff's poor recall of matters generally. Nor, in keeping with the passage referenced from the CDC, would it be expected that the patient himself would be aware of personality changes involving irritability, mood change, or slowed thinking.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One of the plaintiff's significant ongoing complaints relates to his memory. He testified that he has trouble remembering events and conversations which relate to his duties at work and the timing of social events. He testified that he has misplaced his wallet, cell phone, and keys on numerous occasions resulting in him having to re-apply for his driver's license on four or five occasions. He did not provide a timeline as to when these events began to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plaintiff called a succession of witnesses who knew him both before and after the accidents which occurred in the summer of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Appreciating that none are medically trained, each witness brought observations to bear which, according to Dr. Ancill, provide the roadmap to a diagnosis of MTBI arising from the first accident. Having said that, Dr. Ancill reached his opinion concerning the existence of a MTBI after speaking only to the plaintiff and his mother on one occasion for approximately ninety minutes to two hours. The interview occurred seven years after the first accident. Dr. Ancill did not embark upon an exhaustive interview process with others who knew the plaintiff before the accident, but based his opinion on the observations of Mary Jampolsky and the self report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At some time following the preparation of his initial report containing the diagnosis of an MTBI, Dr. Ancill spoke to the plaintiff's current girlfriend, Ashley Tupper, who confirmed some of the observations of Mary Jampolsky. However, by this time, the diagnosis had been made.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Mary Jampolsky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Mary Jampolsky, the plaintiff's mother, testified as to the plaintiff's behaviour and demeanour before the accidents, immediately after they occurred, and in the long period between the happening of the accidents and his attendance upon Dr. Ancill in October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Ms. Jampolsky described the plaintiff as an active and engaging young person during his pre-teen and early teenage years. He was kind and giving in that he readily volunteered his time and energy to a number of different activities. He volunteered at his church and answered phones at a telethon for disabled children. His kindness toward and involvement with others was a constant throughout his teens. Nowhere was that more apparent than in his involvement with Air Cadets, where he assisted and taught those who were below him in rank. He was an avid reader, chess player, and self motivated to see to his cadet activities. He would practice his musical instruments for hours without direction or urging on her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While acknowledging that her son was not the most accomplished student, she depicted a son of whom most mothers would be proud. His less than stellar academic achievement was, in part, because she, as a single parent working long hours, was not often available to assist him with his homework or even ensure that it was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Ms. Jampolsky described the changes that she began to notice over days and months following the first accident, coupled with her involvement with him at the scene. She has resided with the plaintiff in different residences since the first accident. She, the plaintiff, and his girlfriend, Ashley Tupper, currently occupy a home recently purchased by the plaintiff and his brother, Marc.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She attended the scene of the accident after being advised by Marc that he and the plaintiff had been in an accident. At the scene, she described both her sons as, "all excited and babbling away." She stated that the plaintiff was not making any sense and that she had him sit on the curb. A fireman advised her to take both to the hospital to be checked.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Ms. Jampolsky drove them to the Surrey Memorial Hospital. On route, the plaintiff complained of a headache. By the time of his arrival, she said he was talking "non-stop."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Both the plaintiff and Marc were examined in the emergency room and discharged home without any treatment being administered.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Ms. Jampolsky recalls the plaintiff falling in the shower over the next few days following the first accident. She heard a big crash. She began to insist that he not lock the bathroom door over fears that he would fall and she would be unable to help.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She testified that the plaintiff was experiencing headaches off and on following the accident "for quite awhile," and that he had not complained of similar headaches in the past. She said in the weeks and months following, "He had quite a bit of headaches." The plaintiff gradually became moody and she began to notice that his memory was not as good as she thought it had been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report of Dr. Ancill does not indicate that Ms. Jampolsky mentioned headaches prior to or following the first accident. Her evidence on direct examination concerning the frequency and quality of post-accident headaches should be contrasted with the following passage extracted from her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30"/>
        <w:gridCol w:w="413"/>
        <w:gridCol w:w="516"/>
        <w:gridCol w:w="238"/>
        <w:gridCol w:w="7327"/>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 you recall having discussions with your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1046"/>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22</w:t>
            </w:r>
          </w:p>
        </w:tc>
        <w:tc>
          <w:tcPr>
            <w:tcW w:w="102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son Perry in grade 12, when he was in grade 12,</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1046"/>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w:t>
            </w:r>
          </w:p>
        </w:tc>
        <w:tc>
          <w:tcPr>
            <w:tcW w:w="102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about his attendance at school and the failure to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1046"/>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w:t>
            </w:r>
          </w:p>
        </w:tc>
        <w:tc>
          <w:tcPr>
            <w:tcW w:w="102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 homework?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30"/>
        <w:gridCol w:w="413"/>
        <w:gridCol w:w="516"/>
        <w:gridCol w:w="238"/>
        <w:gridCol w:w="7327"/>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Specific grade 12 doesn't mean that much to 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1046"/>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26</w:t>
            </w:r>
          </w:p>
        </w:tc>
        <w:tc>
          <w:tcPr>
            <w:tcW w:w="102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 now. What I recall is that I went to all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1046"/>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27</w:t>
            </w:r>
          </w:p>
        </w:tc>
        <w:tc>
          <w:tcPr>
            <w:tcW w:w="102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parents/teachers meetings. I spoke to all the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1046"/>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w:t>
            </w:r>
          </w:p>
        </w:tc>
        <w:tc>
          <w:tcPr>
            <w:tcW w:w="102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teachers. If they had any problems, we tried to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29</w:t>
            </w:r>
          </w:p>
        </w:tc>
        <w:tc>
          <w:tcPr>
            <w:tcW w:w="102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change it. I did try to get him switched to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w:t>
            </w:r>
          </w:p>
        </w:tc>
        <w:tc>
          <w:tcPr>
            <w:tcW w:w="102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different classes. Sometimes if his mark was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1046"/>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31</w:t>
            </w:r>
          </w:p>
        </w:tc>
        <w:tc>
          <w:tcPr>
            <w:tcW w:w="102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he wasn't understanding, I did try to get them to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1046"/>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32</w:t>
            </w:r>
          </w:p>
        </w:tc>
        <w:tc>
          <w:tcPr>
            <w:tcW w:w="102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switch the teacher and didn't. He couldn't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1046"/>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33</w:t>
            </w:r>
          </w:p>
        </w:tc>
        <w:tc>
          <w:tcPr>
            <w:tcW w:w="102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understand what they were -- the way the teacher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34</w:t>
            </w:r>
          </w:p>
        </w:tc>
        <w:tc>
          <w:tcPr>
            <w:tcW w:w="102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was explaining stuff to him, and that's what I can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1046"/>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35</w:t>
            </w:r>
          </w:p>
        </w:tc>
        <w:tc>
          <w:tcPr>
            <w:tcW w:w="102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say about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30"/>
        <w:gridCol w:w="413"/>
        <w:gridCol w:w="516"/>
        <w:gridCol w:w="238"/>
        <w:gridCol w:w="7327"/>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36</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So you recall inquiring about it and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1046"/>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37</w:t>
            </w:r>
          </w:p>
        </w:tc>
        <w:tc>
          <w:tcPr>
            <w:tcW w:w="102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being concerned about his lack of progress or lack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1046"/>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38</w:t>
            </w:r>
          </w:p>
        </w:tc>
        <w:tc>
          <w:tcPr>
            <w:tcW w:w="102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thereof in grade 12,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62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39</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 always did.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30"/>
        <w:gridCol w:w="413"/>
        <w:gridCol w:w="516"/>
        <w:gridCol w:w="238"/>
        <w:gridCol w:w="7327"/>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 conclusion you drew was that he was having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1046"/>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41</w:t>
            </w:r>
          </w:p>
        </w:tc>
        <w:tc>
          <w:tcPr>
            <w:tcW w:w="102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trouble following some of the subjects that he was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1046"/>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42</w:t>
            </w:r>
          </w:p>
        </w:tc>
        <w:tc>
          <w:tcPr>
            <w:tcW w:w="102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taking?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62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43</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30"/>
        <w:gridCol w:w="413"/>
        <w:gridCol w:w="516"/>
        <w:gridCol w:w="238"/>
        <w:gridCol w:w="7327"/>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44</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mentioned a moment ago that when he was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1046"/>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45</w:t>
            </w:r>
          </w:p>
        </w:tc>
        <w:tc>
          <w:tcPr>
            <w:tcW w:w="102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absent from school, you approved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62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46</w:t>
            </w:r>
          </w:p>
        </w:tc>
        <w:tc>
          <w:tcPr>
            <w:tcW w:w="410"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47</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headaches?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1046"/>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48</w:t>
            </w:r>
          </w:p>
        </w:tc>
        <w:tc>
          <w:tcPr>
            <w:tcW w:w="102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know lots of that was from headaches.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1046"/>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49</w:t>
            </w:r>
          </w:p>
        </w:tc>
        <w:tc>
          <w:tcPr>
            <w:tcW w:w="102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he had headaches -- headaches from time to time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w:t>
            </w:r>
          </w:p>
        </w:tc>
        <w:tc>
          <w:tcPr>
            <w:tcW w:w="102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were strong enough to keep him out of school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1046"/>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51</w:t>
            </w:r>
          </w:p>
        </w:tc>
        <w:tc>
          <w:tcPr>
            <w:tcW w:w="102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grade 12?</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62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52</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30"/>
        <w:gridCol w:w="413"/>
        <w:gridCol w:w="516"/>
        <w:gridCol w:w="238"/>
        <w:gridCol w:w="7327"/>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53</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about grade 11 and 10?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2"/>
        <w:gridCol w:w="419"/>
        <w:gridCol w:w="732"/>
        <w:gridCol w:w="7318"/>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54</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16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 that I recall.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According to his mother, the plaintiff began to exhibit mood changes shortly after the first accident. He gradually became more moody and was neither as happy nor agreeable as he had been before the accident. He had quick mood swings where he would quickly change from happy to "grumpy" within minutes for no apparent reason.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Ms. Jampolsky also noticed memory lapses. The plaintiff did not recall simple instructions. When studying for exams, he would complain to her, "I can't remember anything."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As to his music, she testified, "He played a little bit and then he quit totally." He told his mother, "I can't remember stuff. I can't do it." She stated that he no longer played the clarinet or saxophone following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plaintiff began to act inappropriately at times by saying hurtful things to others, and has become more "short tempered" than he as before the first accident. He quarrels with her more often than was the case before and speaks to her disrespectfully at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Ms. Jampolsky, like other witnesses who followed her, says that the plaintiff would frequently complain of unpleasant smells that others did not notice. They generally were of something burning or a chemical smell.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Lastly, she stated that the plaintiff was more forgetful than ever before, and that she notices that he becomes easily confused during conversations. She referred to him as "scatter-brained." She stated that he used to do some of the cooking in the home but, since the first accident, he will get distracted in the middle of cooking and on occasion has forgotten to return to the task he left before the distraction.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She accompanied the plaintiff when he attended Dr. Ancill and provided much of the information about the changes to the plaintiff upon which Dr. Ancill premised his opinion. She did not report to Dr. Ancill, or at least he did not record, the reference to the plaintiff's headaches either prior to the accident or after. Nor did she mention, seemingly, his irritability.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She told Dr. Ancill that the plaintiff was "babbling away" and "hyper and jumbled" when she attended at the scene and, in response to queries from Dr Ancill, advised that, "his thinking was slower, he did not remember things and complained of numbness in his hands." She clarified the later remark by saying that it was not really numbness but that he had developed a weak grip and dropped things, such as a pool cue. She reported that after the first accident there was period where he would get quite dizzy and fall over. She relayed a singular incident of him falling in the bathtub.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When asked about the plaintiff's prior medical history, neither Ms. Jampolsky nor the plaintiff recounted the 1996 bicycle accident and its aftermath of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other important source of pre- and post accident behaviour was the plaintiff's brother, Marc. Dr. Ancill never interviewed Marc in the preparation of his two medical reports, completed in 2006 and 2007.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Marc Jampolsky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Marc Jampolsky is a customer service representative for Telus. He has lived in Prince George since about 2004. Before moving there he resided with his mother and brother. He has kept frequent contact with his brother and sees him for holidays and some weekends.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His recollection of the aftermath of the first accident differs from the account given by the plaintiff at his discovery. Marc testified that the plaintiff never approached either of the other vehicles and that he recalled pulling his brother to his mother when she arrived. He said she told the plaintiff that he was, "not making any sense and to slow down." Marc, contrary to the evidence of his mother, said that his brother was quiet on the way to the hospital. Marc did not say whether the plaintiff complained of headache either on the way to the hospital or in the days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Marc reaffirmed much of what was said by his mother about his brother's early years. He described his brother as a talented musician and the driving force behind Marc joining cadets. The two played chess together in elementary school and both were provincially ranked at one time. They participated in tournaments together and played speed chess or multi-board chess, where more than one opponent is played at the same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Marc recalled his brother being a good reader when he was young. The plaintiff was outgoing and comfortable in the presence of adults. He enjoyed the hierarchical structure of the cadets and was meticulous about his appearance and his uniform.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Marc did not recall any immediate change in his brother. Following the first accident he had his own injuries to contend with and was working full time. He was busy with his own friends and was not as attentive to the plaintiff as was his mother. He recalled the plaintiff slipping in the bathtub, "multiple times over the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Marc noticed changes in his brother four to six months following the accidents in 1999. He noticed that his brother became frustrated easier and was becoming angry without any real provocation. Marc has observed his brother being aggressive and sharp towards their mother. He stated that this never happened when they were young. The plaintiff will yell at her without provocation. Marc also testified that his brother will act or speak inappropriately in company. Sometimes it is in an attempt to be funny with friends, but the remarks are seen by those present as being inappropriate. An example was a bawdy reference made by the plaintiff to a friend dressed up for a wedding. The remark was made in front of the plaintiff's mother and his counsel, who was present at their home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Marc recalled that the plaintiff played his musical instruments for pleasure after leaving cadets, but did not reference the fact that the plaintiff apparently announced, sometime following the accidents of 1999, that he could not remember how to play anymore.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Marc thought the plaintiff's judgment began to change and that he could not differentiate between friends and acquaintances. He would take time off work to help people he barely knew move their residences. He bought elaborate gifts for people he supervised at Actes. He acted impulsively. One example given was the plaintiff's recent purchase of a motorcycle.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Marc indicated that his brother is no longer as meticulous as he was when attending cadets. He is not organized and has trouble managing his finances. His impulsive spending leads him to financial shortfalls when it comes time to make a payment on the mortgage. Marc has loaned or given his brother money on a number of occasions to cover such situations despite the fact the plaintiff earns a good income from his current job. Despite the theme of fiscal improvidence, the plaintiff was able to save about $8,000 to put towards the down payment on the house he and Marc bought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Marc identifies the plaintiff's memory as the major problem. Marc testified that his brother would become confused over simple things and just appeared slower in his thought and speech. The plaintiff would quickly forget conversations that the two of them had had. He cannot remember phone numbers or to send in time sheets to his employer. Various examples were given by Marc indicating the plaintiff's forgetfulness; including problems he had organizing Marc's bachelor party. He misplaces things and cannot locate them later. When asked to retrieve things about his house, he forgets where they are kept and then gets mad. The plaintiff seems befuddled by technology. He cannot remember the functions of the remote control for the entertainment system in his home. Marc began to notice that the plaintiff would drop things, specifically his pool cue.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Marc also noted that the plaintiff identified bad odours that no one else ever smelt, and that bright lights at night caused him to become drowsy when he was driving. When driving with his brother at night, Marc has to check from time to time on his alertness and ask if the plaintiff is okay. Marc said the plaintiff had been through three or four tire rims from running through potholes.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Another noted difference, according to Marc, was his brother's level of energy. Prior to the first accident he felt that his brother was energetic and he never noticed any difficulty with the plaintiff's ability to wake up in the morning. Now, according to Marc, the plaintiff must set more than one alarm and it often can go off for forty-five minutes before he will get up. If Marc, or anyone else, tries to prompt him to rise, he gets angry. Reportedly, this has caused some tardiness at work. The plaintiff gets more energy as the day progresses and functions better than in the morning. Often, he does not go to bed until after midnight.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Unlike others who testified on this subject, Marc thinks his brother is a good poker player who wins his share of the pots.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Finally, Marc was driving the vehicle during the third accident. He described the plaintiff as "perfectly fine" following that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In addition to Mary and Marc Jampolsky, the plaintiff called a spectrum of witnesses who knew him both before and after the accident, as well as several who met him after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Those who knew him both before and after the first accident include his current girlfriend, Ashley Tupper, his uncle Perry Smith, Michael Reilander, and Alana Voupotic. While each testified as to various apparent changes in his personality when they saw him again following the first accident, each depicted a similar picture of a well motivated, musically talented young man before the first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Michael Reilander and Alana Voupotic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Both Reilander and Voupotic met the plaintiff through cadets. He outranked them and taught or led both of them in drill practice. They indicated that he was organized and demonstrated leadership beyond his years. He not only taught the drill team but choreographed the routines that they performed in competitions.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Each respected the plaintiff's judgment and looked up to him. Both described him as committed to the instrument he played the most, the saxophone, and as someone who would practice his instrument well beyond what was normally expected.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According to both, the plaintiff demonstrated no difficulties with his memory, temper, concentration, or mood. Reilander said he, "was sure of himself" and would take charge in a crowd.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Reilander lost contact with the plaintiff when the plaintiff quit cadets in the spring of 1999. They reconnected in 2002 or 2003. Reilander noticed that the plaintiff no longer played his musical instrument, seemed far less active and motivated than before, and had obvious memory deficit.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When asked by Reilander as to why he no longer played, the plaintiff apparently advised that "he can't play anymore," and then related the details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As to memory issues, Reilander related at least one occasion where the plaintiff had missed a social gathering despite being reminded of the event shortly before it was to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Reilander also noted that the plaintiff seemed to lose his temper more than he had before they lost contact with one another. The plaintiff behaved badly at a gathering where Reilander had other friends who worked for a fast food chain. Apparently the plaintiff was ridiculing the outlet to the point that one of the guests wanted to fight him. The plaintiff apparently did not realize the extent to which his comments were offending the other guests. Reilander testified that he observed the plaintiff quarrel with Mary Jampolsky and utter profanities at her. When the Reilander and the plaintiff previously knew one another, the plaintiff was respectful of his mother and not prone to disagreement with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Reilander is part of a loose group of friends who play poker weekly with the plaintiff. He described the plaintiff as a poor poker player who will often mistake the strength of his hand and bet aggressively, not as a bluff, but because, as an example, he thinks he has a straight when in fact the sequence is broken and the hand of no value.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Ashley Tupper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Ashley Tupper is the plaintiff's girlfriend. They live together with Mary Jampolsky.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Ms Tupper knew the plaintiff from before the first accident. They were in cadets together, albeit in different squadrons. She thought of the plaintiff as a mentor as he gave her useful advice about stressors in her home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In the time she knew him before the first accident, she found him a happy, well adjusted young man who got along well with others. He acted appropriately around others and exhibited no difficulties apparent to her with his memory, mood, concentration, or his ability to engage in or follow along in conversation with others. He was passionate about his music.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She lost touch with him sometime in 2000 and did not reconnect with him until sometime in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Little was said by Ms Tupper about any observations made by her about the plaintiff between the summer of 1999 and when they lost contact. She said she did not see him much because he did not like her boyfriend of the time but she did not notice any changes to his personality when they did see one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However, when they began seeing one another in 2007, initially as reacquainted friends and later in a romantic relationship, she noticed changes from the person she remembered. Specifically, he was quick to lose his temper. He gets angry at himself for forgetting things and others for little or no reason.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According to Ms. Tupper he has a very poor memory. He cannot recall when they first kissed or their first date. He often forgets appointments and is easily distracted from the task at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His work requires him to send his employer time sheets for him and his crew at the end of each week. Ms Tupper testified that the plaintiff had trouble both remembering to do so on occasion and that was unable to figure out how to use email to append the time sheets as an attachment, thereby necessitating the use of a fax machine.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She does not notice the plaintiff reading or, if he does, he spends a long time going over short passages of text. She helped the plaintiff with correspondence he received from his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According to Ms. Tupper his judgment is poor. Despite having to rise early for work, he goes out at night and sometime does not return until 2 am or 3 am in the morning. Not surprisingly, he is difficult to rise the next morning.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They have been in an intimate relationship since 2008. She describes the plaintiff as a restless sleeper. He snores and moves about while he sleeps. She opined that his sleep is not restful and thus causes him to be grumpy in the morning and difficult to 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plaintiff has been diagnosed with a mild to moderate sleep apnea.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She finds the plaintiff impulsive in a number of ways, including the purchasing of gifts for people he barely knows. In the summer his former girlfriend, Ms. Barwick, was injured in accident. The plaintiff wanted to rush to Toronto to be with her despite the fact her injuries were non-life threatening and he and Ms. Tupper were planning a trip East later in the summer to visit Ms. Tupper's family. The visit to Ms. Barwick could have been tied into the pre-planned trip without causing any major change to their plans.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Finally, she notes that the plaintiff is argumentative but tends to lose track of the topic of the argument midway through it and ultimately has no idea what the conversation is about. She notes his complaints about foul smells when no one else can notice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Despite these observations, Ms. Tupper seems committed to the relationship. She hoped to marry the plaintiff within two to three years. Her only stated concern is about how his anger management might play out with children.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Perry 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Perry Smith, the plaintiff's uncle, noticed changes following the 1999 accidents. The plaintiff's judgment was not as good and he was more irritable than before. Mr. Smith thought that the plaintiff made bad choices in relationships. His decisions were based on emotion, not reason.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He also described the plaintiff as "lazy" when describing his general energy level.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Workplace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Witnesses called by the plaintiff in relation to his work capacity included Bill Burnett, Ryan Watkins, and John Harris. Each described the plaintiff as likeable and all enjoyed his company. Mr. Burnett and Mr. Watkins are part of the poker playing group that meet weekly at the plaintiff's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Each testified as to difficulties they had seen the plaintiff experience in his workplace. Mr. Burnett trained the plaintiff to be a bartender sometime around 2002. They worked together at a Surrey club called Pancho and Lefty's for several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Mr. Burnett described the plaintiff as poor with customers. He could not recall their names or regulars' drinks. He often got drink orders wrong by pressing the wrong liquor or pop dispenser, resulting in odd concoctions such as gin and coke. When the bar was busy, the plaintiff, according to Mr. Burnett, seemed visibly agitated by the additional pressure of having to deal with customers in line- ups. Burnett said the plaintiff dropped glassware more often than was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Actes does both large and small remediation projects. The work involves the removal of hazardous material, such as asbestos or mould, from the work site. In such instances, a Hazmat suit and face masks are required to be worn by the field employees to prevent the inhalation of harmful particulate. Employees are required to be clean shaven in order to provide a proper seal for the face mask. Failure to do can result in WorkSafeBC violations. Those employees who attend unshaven are apparently directed off the site or must shave before commencing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Ryan Watkins works with the plaintiff at Actes. They met first at a pool hall in 2002. Mr. Watkins began at Actes before the plaintiff and had achieved a supervisory level by the time the plaintiff was employed. The required training for the position is two courses conducted over several evenings and one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Originally, the plaintiff began working for Mr. Watkins at Actes during the Christmas break of 2004. Mr. Watkins thought highly enough of the plaintiff to ask him to come back to work for Actes in 2006. The plaintiff has been there ever since. He requested the plaintiff for his crew. At trial, however, he testified that he would not hire the plaintiff to work for Actes were Mr. Watkins in charge of hiring.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They worked together until separated by the superintendant, John Harris, who wanted the plaintiff on another crew. It would appear that this coincided with the plaintiff taking on supervisory responsibility. The plaintiff eventually obtained the same credential as Mr. Watkins and, most of the time, is foreman of his own crew.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When work is slow and the crews reduced, the plaintiff will be re-assigned to work for Mr. Watkins. Despite inviting the plaintiff to re-join Actes in 2006, Mr. Watkins was less than glowing in his description of the plaintiff's work ethic and capacity. He testified that the plaintiff was forgetful and often did not bring the proper tools to the job site. He said that he "could not be left alone for too long without someone holding his hand." He described the plaintiff as lazy and not anxious to do physical labour. He forgets to shave; a clean shave is a requirement of WorkSafeBC so that the facial respirators can achieve a full seal to the 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paperwork requirements of a supervisor are not onerous. It is the supervisor's job to get the time sheets of him and his crew into payroll before Monday morning each week. Recently, the employer implemented a log system for completion by the supervisors. Its purpose is to keep track of the work done and any problems encountered on the jobs where the crew is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On the other hand, Mr. Watkins was positive about the plaintiff's ability to deal with customers. Even though Mr. Watkins is the supervisor when they work together, he leaves customer liaison to the plaintiff. He answers their questions and can walk them through the process of what is going to happen in their home or place of work. Mr. Watkins believes it is this skill which keeps the plaintiff in the good books of his employer. Despite their friendship, Mr. Watkins testified that he would not hire the plaintiff for the job he is currently performing.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Outside of work the two remain friends. Mr. Watkins observed that the plaintiff is a poor card player and is "aggressive and loud" when he plays. He is usually caught out bluffing. If he is quiet, that means he has a good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Mr. Watkins was a passenger in the plaintiff's car when the fourth accident occurred. He testified as to the erratic driving of the unidentified motorist but did not say that the plaintiff sustained any observable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Mr. Watkins agreed with others who said that the plaintiff has difficulty maintaining his temper and that he can quickly become upset over matters of no consequence.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John Harris was the former general superintendant at Actes. He worked there until the summer of 2009. During his tenure with Actes, he was the person who directly oversaw the plaintiff's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Actes has anywhere between 30 to 50 employees depending on the work load. The plaintiff was promoted to a supervisory position while Mr. Harris was still employed at Actes. He said that the plaintiff was promoted, "because we got busy." Nonetheless, he acknowledged that the plaintiff was in the middle of the pack when it came to making mistakes and that he was a good worker. Mr. Harris would hire him as a worker.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 defendants called Michael Fleming, an owner of Actes, and Annette Turgeon, the plaintiff's supervisor during an internship at Corrections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thrust of Mr. Fleming's evidence was that the plaintiff was a good employee who had been promoted on two occasions, initially to lead hand and later to supervisor/foreman. Mr. Fleming rated the plaintiff in the middle of the pack of his nine supervisors.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Mr. Fleming did not testify as to any disciplinary steps taken by Actes against the plaintiff for errors, tardiness, or WorkSafeBC violations, nor was he asked about same on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Mr. Fleming did not provide evidence, nor was he asked, about the plaintiff's absenteeism, particularly as it related to the period following the fourth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Nor was Mr. Fleming asked about Mr. Harris's assertion that Mr. Fleming and Mr. Morrey had discussed firing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Annette Turgeon, the plaintiff's supervisor from January to March 2006 at Corrections Canada, testified. Her evidence indicated that the plaintiff worked during an internship, in part, as a data entry clerk her department at the Men's Correctional Center in Agassiz, British Columbia. According to Ms. Turgeon, the plaintiff's work was satisfactory but for his habit of late attendance. His late attendance appeared to be chronic in nature from the employment records referenced by Ms Turgeon.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No other employer or co-worker was called in respect of the Plaintiff's earlier employment with Wosk or JYSK. The nature of the jobs required some assembly of stock, specifically furniture. The plaintiff did not testify as to any difficulties he experienced with any of these positions.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Lauren Barwick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Lauren Barwick was the plaintiff's girlfriend for almost five years. She is a paraplegic as a result of a sports injury that occurred in 2000. She met the plaintiff in 2001. She described him as being very inquisitive about her injury when he first met her. She thought he was very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After additional contact they began seeing each other romantically. They saw a lot of each other. For a period of time prior to their break up in 2006, they lived in side-by-side duplexes and spent a lot of time at Ms. Barwick's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Ms. Barwick stated that the most frustrating thing about the plaintiff was that he would argue about things of little importance and then, part way through the argument, it became apparent to her that he had forgotten the topic of disagreement. He would become angry with her and accuse her of manipulating him or the situation. He was poor with money and impulsive in his spending. He was socially inappropriate at times and would swear at his mother for no good reason.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She, like Ms. Tupper, noticed that he had trouble getting restful sleep and was very hard to awaken in the morning.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Despite requests she made to hear him play the saxophone, he never played for her. She did not say why he declined.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She stated that his memory was poor and he was forever writing himself notes. She would text him to remind him of appointments. However, Ms. Barwick indicated that he could recall events such as anniversaries and birthdays better, in fact, than 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Perry Jampolsky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 plaintiff, despite his reasonably good recollection of events surrounding all three accidents of 1999 on discovery, recalled little of the detail in his testimony. He was similarly unable to recall much of his employment history, even when referred to his resume which detailed his job history up until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He could not recall that his mother had attended with him at his appointment with Dr. Ancill, nor did he recall his attendances upon either Dr. Rees or Dr. Janke.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He recalled that he continued his musical pursuits up to 1999, until just before or after the first accident, and then just started to "forget things." Similarly, he stopped playing chess with friends because it frustrated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He gave a history of headaches dating back to elementary school and thought that he had missed some school because of them. He still gets headaches, but they are not as frequent now as they were when he was younger and prior to the accidents in 1999. He has not taken any prescription medicine but takes an Advil or two if the headaches persist for a long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He testified that the unpleasant smells which he began to notice following the accidents in 1999 are not associated with his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Although he knows of the bicycle accident of 1996, he has no personal recall of the events. His knowledge of its happening and its effect upon him are provided by the recollections of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His evidence of the first accident was limited. His next recall following the accident was falling in the shower. He thought this occurred the following day. He remembers being dizzy and then going blank. He cannot recall how many other times he fell.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He was similarly unable to recall much of the detail of the second and third accidents, nor of the consequences to him of either. He acknowledged that the statements given to ICBC in respect of each would have been truthful and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He described significant physical limitations with his back and volunteered that he carried a cane in the back of his car. No other witness testified as to having seen him using the cane. He removed his jacket during cross examination noting it, "was putting a lot of pressure on me." He was demonstrably uncomfortable during most of his testimony and bent over grimacing on more than one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He commented that he was sore following the fourth accident and unable to go to work for a week. He apparently did not seek medical treatment with respect to those injuries and did not specify what part of his body hurt. He did not testify with any detail as to the physical symptoms which arose from the first three accidents or as to when he recovered from them. It is apparent from his job history, and the duties described as part of position with Actes, that the plaintiff has performed a number of physically demanding jobs since the first three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One of the witnesses, either Mr. Harris or Mr. Watkins, described jobs where the plaintiff has been required to operate a small jackhammer overhead so as to deal with the removal of ceiling tile.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The plaintiff's primary non-physical complaint is his memory, or lack thereof. He perceives it as being the root of his relationship problems with Lauren Barwick and the source of his insecurity at work. Most of his jobs go well but when he forgets something he fears that his employer will react and terminate his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While the plaintiff said that he had been accommodated at his employment with Actes by John Harris or others who "covered for him," he gave no evidence of any specific disciplinary action taken against him by his employer, nor did John Harris, his supervisor between 2006 and 2009. Mr. Harris did say that the owners of Actes, Mr. Morrey and Mr. Fleming, had threatened to "get rid of him a couple of times," and noted that the plaintiff required more supervision than other supervisors.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Raymond Ancill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The plaintiff's only medical expert was Dr .Raymond Ancill, a psychiatrist with extensive background as a clinician dealing with the effects of MTBI.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Dr. Ancill met the plaintiff twice in preparation of the two reports which were filed on the plaintiff's behalf. The first visit was in October 2006, more than seven years following the first three accidents. It was one and half to two hours in length. The second visit was in July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According to Dr. Ancill, the term Mild Traumatic Brain Injury is a misnomer. In his opinion, there is nothing mild about a brain injury. While many "mild brain injuries" go on to full recovery, approximately 15% do not. The plaintiff, according to Dr. Ancill, falls into the latter category.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MTBIs are seldom visible on CT scans or MRIs owing to the fact the damage occurs, generally, to a small area of the brain beyond the imaging capacity of either the MRI or the CT scan.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The hallmark of MTBI, according to Dr. Ancill, is a sudden change in behaviour and function that can be traced back to head trauma. Dr. Ancill testified that in the first few weeks and months following the trauma symptoms tend to be maximal and then begin to improve. Recovery generally occurs within three months. Approximately 85% resolve within a year. The remaining 15% result in permanent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Dr. Ancill testified that a blow to the head is not necessary for the occurrence of a brain injury. What is necessary is a significant force sufficient to cause the brain to come into contact with the skull. An acceleration/deceleration force such as that responsible for most "whiplash" injuries can be of sufficient force to provide the mechanism for an MTBI.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Dr. Ancill opined that the mechanism of the injury to the plaintiff was not head contact with some other object but contact of his brain with the frontal skull.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Diagnosis of an MTBI is based on pattern recognition of behaviour or, more importantly, behavioural change, in the period following the trauma. The diagnostic criteria utilized by Dr. Ancill were those set out in the CDC report referred to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Diagnosis is pattern recognition on the part of the assessor. According to Dr. Ancill, the more symptoms, the clearer the pattern. Most of the symptoms, on their own, are non-specific. A diagnosis is unlikely to occur on one complaint alone, but following a pattern of complaints over a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For a diagnosis of MTBI there must be an initiating event. The symptoms alone do not result in a diagnosis without there being evidence of trauma to the brain. One of the hallmarks of such trauma is retrograde amnesia, a period following the trauma where the patient has either dense amnesia or a period of discontinuous memory.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In diagnosing the plaintiff Dr. Ancill was provided with a letter from the plaintiff's counsel which contained instructions and the following information: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be advised that we act for Perry Jampolsky in a claim arising out of the above-noted motor vehicle accidents. Mr. Jampolsky is reported as having the following injuries.</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bruising and swelling on the head;</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blackening of both eyes;</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injury to the neck and musculature of the shoulders;</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bruising on the right shoulder and chest;</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injury to the mid back;</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injury to the lower back;</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bruising over the pelvic area; and</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injury to the knees, including lacerations, bruising and swelling.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our request you have agreed to see Mr. Jampolsky, for the purposes of an assessment on 26 October 2006, and you will record your findings in a report addressed to these offices.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ask that you please contact the writer prior to writing any report.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aid you in your assessment we enclose a binder containing all medical records obtained to date.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shall endeavour to obtain educational, employment and work records and we will forward same to your attention. Please contact the writer should you require any further information regarding this accident or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In his meeting with the plaintiff and his mother Dr. Ancill took a history of the accident and the events which followed. The plaintiff told Dr Ancill that he had no recollection of the actual collision of first accident, and that his recollection was primarily based on what he had been told. His memory was "discontinuous," in that there was recollection of events throughout the aftermath following the accident but not a coherent memory of the sequence of events. While the plaintiff did recall speaking to a firefighter and paramedic, he had no memory of speaking with his mother at the scene of the accident or being transported to and examined at Surrey Memorial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Ms. Jampolsky told Dr. Ancill that her son was, "babbling away ... hyper and jumbled." She did not advise Dr. Ancill that this was also her perception of Marc.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No recorded discussion took place about headaches immediately following the first accident and in its aftermath. Given the presence of persistent headaches on the CDC checklist, had either the plaintiff or his mother mentioned headaches, I conclude that Dr. Ancill would have referenced these in his initial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Dr. Ancill asked Ms Jampolsky what, if any, changes she had observed in her son since the accidents. She advised that his "thinking was slower" and that he "complained of numbness in his hands." She also told Dr. Ancill that he no longer played the saxophone or clarinet and that, "he could not remember how to play." She did not mention his increased irritability, sensitivity to light, or impulsivity.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Dr. Ancill stated that he did not need to know with particularity what was meant by "thinking slower," only that the plaintiff's behaviour had changed from his pre-accident 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Unlike Dr. Janke, who commented on the plaintiff's presentation, Dr. Ancill made no mention of whether the plaintiff's demeanour and presentation was consistent or otherwise with his stated complaints. He did state that the plaintiff was, "cooperative and pleasant and did not show any tangentiality, perseveration or confabulation."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Ms. Jampolsky also relayed the plaintiff's complaints of foul smells which others could not smell and that he was dizzy "after the accident" and would fall over. She stated that, "One time he passed out in the bath." She did not mention other falls despite her evidence that such was a recurring event causing her to prohibit her son from locking the bathroom door when he showered.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Finally, Dr. Ancill was told that the plaintiff had recently broken up with his girlfriend (Ms. Barwick) owing to discord over his poor memory. The plaintiff relayed that he easily became frustrated and irritable and that he was not like that prior to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Despite asking about previous injuries, Dr. Ancill was not told of the previous bike accident by either the plaintiff or his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Dr. Ancill reviewed the Hamilton Depression rating scale, a test designed to determine the presence of depressive behaviour, and found the plaintiff just above the normal range. He concluded the plaintiff did not meet the formal criteria for major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Dr. Ancill's diagnostic technique, where the referral is from counsel as was the case here, is to review the retainer letter from counsel, have the patient attend for an interview, and to then read the accompanying information which counsel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Following his interview of the plaintiff and his mother. Dr. Ancill reviewed the information included in the package he received from counsel. He never obtained the plaintiff's school records despite the reference to them in the letter and the fact that counsel had them at the time the letter was written. Dr. Ancill acknowledged under cross-examination that a proper history would include information about the plaintiff's pre-accident academic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Dr. Ancill had access to the clinical records from Surrey Memorial Hospital but made no reference to any observations contained in them which indicated any concerns on the part of the attending physician.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He also received the consultation report of Dr. Richard O'Brien, a neurologist. Dr. O'Brien did not give evidence nor was his consultation report admitted into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After concluding that the plaintiff had a "brief period of dense post trauma amnesia followed by a longer period of discontinuous memories," Dr. Ancill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is troubling is after the first motor vehicle accident he stopped playing his musical instruments. He said he could not remember how to play and this loss of skill is suggestive of his having sustained a brain injury and (sic) the accident. This loss of musical skill was combined with a change in his personality and behaviour, as confirmed by his mother. This, too, is suggestive of brain trauma. His increased difficulties in grade 11 mathematics may also point to his having sustained a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Dr. Ancill apparently made no further inquiry into the plaintiff's loss of the ability to play musical instruments despite it being central, it would appear, to his diagnosis of an MTBI with ongoing symptomology.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In the report stemming from the visit in October 2006, Dr. Ancill opined:</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suffering from MTBI at the time he first interviewed him; and</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precipitating cause was of the injury was the accident of June 26,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Under the heading "Facts and Assumptions". Dr. Ancill stated:</w:t>
      </w:r>
      <w:r>
        <w:rPr>
          <w:rFonts w:ascii="arial" w:eastAsia="arial" w:hAnsi="arial" w:cs="arial"/>
          <w:sz w:val="20"/>
          <w:lang w:val="en-US" w:eastAsia="en-US" w:bidi="ar-SA"/>
        </w:rPr>
        <w:cr/>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Jampolsky was reported as having bruising on his head, bruising around both eyes, injuries to the neck muscles of the shoulders, bruising on the right shoulder and chest injuries to his mid and lower back, bruising over his pelvis and injuries to both knees including lacerations and bruising.</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Jampolsky was unclear which accident occurred next but he described that in one of them the driver and sole occupant of the vehicle. He was stationary at a red light when his vehicle was struck on the side by a Harley Davidson motorcycle. He said that the car was jolted in (sic) his head struck the side of the door just above the window stop he said his car was pushed over a foot.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Regarding his past medical and psychiatric history, Mr. Jampolsky suffered from the usual childhood illnesses and had a surgical repair of a hernia and (sic) five months of age. He said he was in good physical and mental health prior to the first accident and denied any prior psychiatric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Each of those assumptions is substantially or totally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Nowhere in the evidence is there support for the conclusion of facial bruising or contusions on the plaintiff's head. In his evidence at trial, Dr. Ancill testified that head contact was not necessary for an MTBI to occur. Despite his original assumption that the plaintiff suffered facial bruising, he attributed the trauma to an acceleration/deceleration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Further, the account given of the second accident by the plaintiff, and relied upon by Dr. Ancill, does not accord with the statement given by the plaintiff several days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Finally, the plaintiff's medical history was not as benign as was relayed to Dr. Ancill. When asked of previous traumatic injury to the plaintiff, neither the plaintiff nor his mother mentioned an accident in 1996 where the plaintiff was struck or ran into a motor vehicle while riding his bike. He was not wearing a helmet at the time and his head came into contact with either the side or hood of the car. Mary Jampolsky did not refer to her son's pre June 1999 headaches which were debilitating enough to cause him to miss substantial school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Despite having access to Dr. Tang's clinical records referencing the head injury and complaints of diminished memory as late as January 1997, Dr. Ancill explained that he mistook the date of the entry for 1999 and assumed that the symptoms related to the first accident. When he discovered his error, following the preparation of his second report in July 2007, Dr. Ancill opined that the previous concussive injury was more conclusive of his current diagnosis because prior trauma makes the brain more vulnerable to subsequent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Dr. Ancill found nothing unusual in the omission of both the plaintiff and his mother of the details of his 1996 accident, despite his acknowledgement in cross-examination that a proper medical and psychiatric history is important to the diagnosis of MTBI.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Another feature of Dr. Ancill's diagnostic technique worthy of note is that he does not keep independent notes of the patient's attendance or his subsequent reference to material sent via counsel. Instead, he uses the notes taken at the time of his interview and "morphs" them into the medical report which is ultimately provided to counsel. That which Dr. Ancill considers unimportant is excised and no record of his observation or impression is preserved.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The difficulty with this technique is that it leaves no trace of details observed by Dr. Ancill which, while unimportant to him, might be important to others reviewing his opinion or to the Court when faced with Dr. Ancill's inability to recall detail which does not make it into the final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Dr. Ancill arrives at his opinion, in this case that the plaintiff suffered traumatic brain injury in the first accident, on the basis of the observations of untrained lay people, in this instance the plaintiff's mother, which provide him with objective baseline data of the plaintiff's prior personality. He then determines from subsequent observations whether changes have occurred which can only be explained by reference to an event causing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No follow up was done with other persons close to the plaintiff who could provide the necessary pattern of behavioural changes on which to found the diagnosis of an MTBI.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In his report of November 2006, Dr. Ancill references a passage from the consultation report of Dr. O'Brien where the plaintiff apparently told Dr. O'Brien that his brother, Marc, advised the plaintiff that he had struck his head in the collision. Dr. Ancill noted that, "it would helpful to obtain collateral information from Mark Jampolsky regarding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No such follow-up was undertaken. Marc's evidence was devoid of any mention of head contact by his brother or that he had ever told his brother such.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Dr. Ancill conceded in cross-examination that of all the patients he treats or clients he sees, he concludes that 90% of them present with MTBI.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Dr. Ancill was aware of the second and third accidents but placed no particular significance upon them in terms of explaining the plaintiff's enduring symptoms, despite the fact that the plaintiff reported that his head had struck the side of the car in 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The second accident was depicted as a minor scrape in the plaintiff's statement. In his report to Dr. Ancill in October 2006, the plaintiff told him, "His vehicle was struck on the side by a Harley Davidson motorcycle. He said the car was jolted in (sic) his head struck the side of the door just above the window stop he said his car was pushed over about a foot." This is clearly at odds with the statement provided to ICBC and adopted by the plaintiff, at trial, as being truthful.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A subsequent visit in 2007 resulted in a further report by Dr Ancill confirming his diagnosis. Dr. Ancill attributed the plaintiff's experiencing unpleasant smells undetectable to others to paranosmia, and related the condition to the brain injury he received from the first accident. In his second report, Dr. Ancill notes that the paranosmia earlier thought to be associated with a possible seizure disorder was also associated with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In his second report, Dr. Ancill recites that, "Mr. Jampolsky has started to get headaches again. These were more frequent and more severe after the MVA, then improved but had become worse over the last year-now two or three per month. There appeared to be a relationship with job stress." Given that there was no reference in Dr. Ancill's earlier report to the plaintiff having suffered headaches following any of the 1999 accidents; it is difficult to understand this reference.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In neither of the interviews was the plaintiff subjected to any objective testing regarding his complaints. Dr. Ancill accepted all of the complaints at face value. He expressed no reservations about the lack of objectivity of either the plaintiff or his mother. The best information comes, he thought, from those who knew the plaintiff well and were in contact with him in proximity to the traumatic incident. Despite that, his opinion is founded on one interview with the plaintiff and the plaintiff's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Dr. Ancill was not provided with the plaintiff's examination for discovery transcript which provided a more detailed recount of the accidents than that given to Dr. Ancill in October 2006. Nor was he given the plaintiff's statements to ICBC following second and third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In his initial report, Dr. Ancill concluded, based on the history given him by the plaintiff and the plaintiff's mother that the plaintiff suffered a period of "dense post trauma amnesia" followed by a period of "discontinuous memory" after the first accident. He concluded that the most probable cause of the symptoms relayed to him by the plaintiff, the plaintiff's mother, and later Ms. Tupper, was that the plaintiff suffered an MTBI in the first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Howard Tang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Dr. Tang was the plaintiff's general practitioner for many years prior to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He saw the plaintiff following the bike accident of 1996 and noted a history of headaches which followed into 1997. In January 1997 the plaintiff attended and complained of decreased memory. This is the only record Dr. Tang has, prior to the accidents in 1999, which relate to cognitive deficit.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However, no permanent sequalae of the 1996 accident were noted by Dr. Tang, nor was any specific treatment administered. The plaintiff continued to do well in cadets but his academic performance deteriorated for the school years 1997/1998 and 1998/1999.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On June 9, 1997 the plaintiff attended Dr. Tang complaining of wrist and arm pain and reported a "head injury the day before." The plaintiff denied loss of consciousness but complained of dizziness. Dr. Tang testified that there were no findings upon examination. No further details were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Subsequent attendances by the plaintiff upon Dr. Tang prior to the series of accidents in 1999 were for complaints unrelated to any cognitive deficit, although he did attend complaining of headaches in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Following the first accident, and prior to the second and third accidents, the plaintiff attended Dr. Tang on two occasions.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On the first visit of June 29, 1999 Dr. Tang recorded a series of complaints related to soft tissue injuries which commonly flow from collisions such as was experienced by the plaintiff. There was no apparent complaint concerning loss of concentration or any issues associated with mood or cognitive function. The plaintiff did not complain of headaches. There was seemingly no report of the fall in the bathtub which occurred within days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At the visit of July 6, 1999 the plaintiff mentioned that he was "forgetful" and reported, "that his lawyer suggested a CT scan." The plaintiff specifically related that he experienced no loss of consciousness and had been alert since the accident. Dr. Tang did not think a CT scan was warranted. No other symptom was recorded by Dr. Tang nor was any other treatment administered.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The plaintiff's next visit was on August 30, 1999, over two weeks following the third accident. The plaintiff complained of cough-like symptoms. No mention was made of the second and third accidents he had been involved in, nor did the plaintiff make any new reports about symptoms relating to his mood, cognition, light sensitivity, or smells. Nor did he ever advise Dr. Tang, seemingly, that he was "dropping things."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In January 2000 the plaintiff attended Dr. Tang to report upper respiratory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Not until a visit of February 24, 2000, eight months following the first accident, did the plaintiff complain of altered mood and fatigue. Blood tests were administered and came back normal. The fatigue, according to the doctor's notes, had been present for three weeks. The plaintiff also complained of poor appetite.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By August 5, 2000, over a year following the first accident, the plaintiff complained of light sensitivity and possible blackouts. Dr. Tang made a referral to Dr. O'Brien. The consultation did not result in any further investigation or treatment by Dr. Tang.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In November 2000 Dr. Tang provided a medical legal report to plaintiff's counsel wherein he diagnosed the plaintiff with multiple soft tissue contusions arising from the accidents and opined that, "there was nothing to suggest intracranial trauma."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Subsequent visits by the plaintiff, following preparation and delivery of Dr. Tang's medical report, were in respect of back pain which resulted from the plaintiff wrenching his lower back. A course of treatment with anti-inflammatories was administered.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After a lengthy and productive cross-examination by plaintiff's counsel referencing the CDC publication regarding symptoms of MTBI symptoms, and with reference to the Dr. Tang's own clinical notes, Dr. Tang was asked whether he now thought the plaintiff suffered from post-concussive syndrome. His answer,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In re-examination, Dr. Tang reaffirmed that the plaintiff never complained of symptoms suggestive of post-concussive syndrome until, at the earliest, February 2000.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Peter 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Dr. Rees is a neurologist. Since approximately 2004 his practice has been largely comprised of examining persons with suspected brain injuries on behalf of defendants, principally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In that period Dr. Rees had not examined a litigant whom he found to have suffered an MTBI where the symptoms lasted beyond two years. He opined that the plaintiff had not sustained an MTBI in the first accident or any of those which followed in August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The plaintiff continues to present with symptoms over 10 years post-accident. This factor alone, according to Dr. Rees, eliminates MTBI as the origin of the plaintiff's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Dr. Rees also stated that the loss of the ability to play a musical instrument, such as complained of by the plaintiff, could only occur where there was moderate to severe brain trauma capable of being visualized on an MRI. He likened the skill of playing the saxophone to riding a bicycle and rejected the notion that any cognitive impairment affecting sequencing or memory was sufficient to result in the loss of the ability to play.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Dr. Ancill completely disagreed with this and testified that he was treating two patients that had lost a core skill as a result of an MTBI.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Dr. Janke, while of the opinion that the plaintiff did not suffer from an MTBI, particularly as it related to loss of the capacity to play the saxophone, acknowledged, in cross-examination, that an MTBI could affect the plaintiff's ability to sequence, such that his ability to perform the necessary fingering to play an instrument might be affected.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Dr. Rees initially testified that a Tesla 1.5 MRI could provide imaging of an area as small as 100 neurons in the human brain. I am satisfied that Dr. Rees was in error in this regard. Although counsel suggested, and Dr. Rees ultimately adopted, 126,000,000 as being the smallest grouping of neurons visible on the Tesla 1.5, counsel subsequently advised the Court of his own mathematical error resulting in agreement that the actual number was 126,000. While the difference between these numbers is significant, it still appears that Dr. Rees was outside his area of expertise and was "guessing" at the degree of resolution.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Dr. Rees was also reluctant to acknowledge that brain trauma could occur without contact between the head and some other source. Although he acknowledged that an acceleration/deceleration injury could result in brain trauma, he confined such instances to situations where there as a concussive blast, such as that which was experienced by troops in Afghanistan when an I.E.D. exploded. He was resistant to the notion that an acceleration/deceleration injury of the type commonly seen in motor vehicles accidents could cause an MTBI.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A major difference in the opinion of Dr. Rees and Dr. Ancill is whether or not the plaintiff experienced a "credible event" which would account for brain trauma. During vigorous cross examination Dr. Rees acknowledged that he could not offer an opinion on the tensile strength of brain matter, and that an acceleration/deceleration impact could damage muscle tissue which he acknowledged is denser than brain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Dr. Janke, the other defence expert, and Dr. Ancill were both of the opinion that a force far less than that described by Dr. Rees could result in an MTBI.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Dr. Rees accepted, without question, the veracity of the plaintiff when it came to matters related by the plaintiff which tended to negate or be neutral as to the existence of a brain injury, but questioned, without proper foundation, the plaintiff's truthfulness if his answer to a particular question came into conflict with Dr. Rees' rigidly held views as to the length of time the sequalae from MTBI could persist and the extent to which an MTBI could interfere with what he called core skills. He referred to the plaintiff's response to queries regarding whether he had undergone any sleep studies for his reported apnea as "disingenuous."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Both psychiatrists were of the opinion that the sequalae from MTBI, while usually lasting under two years, were capable of being permanent. Often, but not always, psychological or psychiatric overlay came into play in such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Dr. Rees remained firm in his opinion that whatever the cause of the plaintiff's complaints, it was not an MTBI originating from any of the three accidents which occurred in 1999.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Paul Janke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Dr. Janke is a psychiatrist who saw the plaintiff on two occasions in 2008 on behalf of the defendants. The interview was spread over two occasions because the plaintiff arrived late for the initial appointment. Dr. Janke also had access to the various medical records previously described.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He, like Dr. Rees, was of the view that the first accident or those which followed did not result in an MTBI. As to the second and third accidents, he opined that they were insignificant insofar as the plaintiff's cognitive well-being, and noted that the only complaints following these two accidents related to his physical well-being.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The plaintiff's principal complaint relates to his memory. He described it to Dr. Janke as "limited and hazy." He also complained of ongoing pain in his back. He was unable to attribute particular symptoms to the various accidents in which he had been involved in up to 2008, and was uncertain, it would appear, as to when his memory began failing and when he began dropping things.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He reported headaches following the accidents but they improved over time. They were of migraine like intensity causing him to almost pass out. He wore tinted glasses at night because bright lights made him sleepy. None of this information was relayed to Dr. Tang, the ICBC adjusters who dealt with the two accidents of August 1999 nor to Dr. Ancill.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Dr. Janke's observation of the plaintiff's presentation in both interviews was unremarkable; the plaintiff's speech was even and there was no evidence of word finding difficulties. Despite his stated lack of memory, Dr. Janke felt that the plaintiff was able to give considerable detail of the events he was describing other than their timing.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Following the fourth accident the plaintiff reportedly was very sore. He advised Dr. Janke that he took two weeks off of work. He denied any new symptoms arising from the fourth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Dean Powers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Dr. Powers is a vocational rehabilitation consultant engaged by the plaintiff to prepare a vocational assessment of the plaintiff. The plaintiff attended Dr. Powers in May 2010 and performed a battery of tests under the supervision of Dr. Powers and a technician.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The plaintiff was able to provide significant detail concerning his educational and vocational history to Dr. Powers. Since leaving school, he reported to Dr. Powers that he completed, in addition to English 12 and Math 11 Essentials, certification in First Aid, Forklift Operator, Boom Operator, Scissor Lift Operator, and Workplace Hazardous Materials Information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The plaintiff presented to Dr. Powers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Jampolsky had no difficulty understanding the instructions presented to him and did not require clarification. He was alert and oriented. No obvious difficulties with focusing and maintaining attention were observed. Auditory language comprehension appeared grossly normal. Speech was normal. No difficulty comprehending more abstract concepts or complex constructions was apparent in informal conversation. No problem with affect regulation or restriction was seen. Expressed and observed affect were generally neutral to positive. He appeared to work to the best of his ability on all tasks.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During the testing session, it was observed The (sic) Mr. Jampolsky has limitations for prolonged sitting postures. He was observed to shift in his seat, stand up on occasion during testing to relieve pain and stiffness.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The plaintiff's performance in mathematics, reading, and written language were significantly below average to low average.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His short term memory, working memory, and auditory memory for words were either average or, in the case of working memory and auditory working memory, high average.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No tests for longer term memory were administered.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Dr. Powers concluded that the plaintiff was unlikely to be able to upgrade his education formally unless the new training is of the "on the job" type with courses of short duration, specifically several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Dr. Powers recommended a Functional Capacity Assessment be carried out to ascertain specific areas of limitations. A referral to a professional psychologist or psychiatrist was also recommended for "unresolved" symptoms which have existed over a long period of his post injury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According to Dr. Powers, the plaintiff performed appropriately on the tests designed to assess exaggeration or feigning of memory complaints and effort was described as optimal.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Dr. Powers was advised by the plaintiff that he worked the two days following the fourth accident but, "did not return to work for two days following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Dr. Powers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summary, Mr. Jampolsky is a twenty-eight year old single man who was injured in three separate motor vehicle accidents, the first two MVA's occurring when he was seventeen years of age. Nearing the eleventh anniversary of the first two MVA's, there remains unresolved chronic pain and physical limitations interfering with his ability to withstand many of his present employment duties without aggravation. Yet, in interview with me on May 10, 2010, Mr. Jampolsky stated that though he works as a Foreman in pain, he is more concerned about his cognitive difficulties, especially memory. He complained of ongoing psychological symptoms, which combined with pain and cognitive problems, increase frustration and causes irritability on the job as well as at home (Mr. Jampolsky has just recently separated from a long term relationship). The impact of the combination of physical, cognitive and psychological problems, he stated, threaten his ability to be competitively employable in his present job. It is my understanding that Mr. Jampolsky had been receiving accommodations at this job from his direct supervisor, whom he reported had also became a friend -until recently - when this supportive/boss/friend left the company. Now, Mr. Jampolsky is being supervised by new owners of the company and his mistakes, memory difficulties and reduced physical ability is under scrutiny. He is concerned that he will lose his job. He has been an employee with Actes Environmental for six years.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and in light of the testing I conducted on May 10, 2010, Mr. Jampolsky is unsuitable for upgrading his education formally unless the new training or upgrading is of the "on-the-job" type of training, or at best, short duration courses or programs lasting a few days, etc. He has problems with prolonged sitting, concentration and elevated levels of irritability when frustrated, decreasing his potential for doing well in formal education settings where rigid postures, memory and alert cognitive focus are also essential to fully attending and completing course requirements.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Dominic Shew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The plaintiff was seen by Mr. Shew, a Functional Capacity Evaluator, in July 2010. Mr Shew tested the plaintiff over the course of a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He initially interviewed the plaintiff and took a pre-accident history. The plaintiff provided a reasonably detailed medical and employment history together with the history of the four accidents in which he was involved between 1999 and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Apart from his ongoing memory deficiency concerning the details of the accidents in 1999, he gave a reasonably detailed medical and employment history. He advised Mr. Shew of the 1996 bicycle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Mr. Shew tested the plaintiff for "reliability" and his results were consistent throughout as showing appropriate and consistent reporting.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Mr. Shew found significant impairment to the plaintiff's ability to continually perform manual labour. The primary reason was back and right shoulder pain. He recommended physiotherapy to assist in the management of the plaintiff's physical complaints together with supportive footwear for both casual wear and work.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Position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The plaintiff submits that the only probable cause of his current cognitive and behavioural complaints is an MTBI originating from the first accident and exacerbated in the three subsequent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As a result, the plaintiff seeks an award of general damages in the range of $125,000 to $245,000, together with damages for loss of future employment capacity of slightly in excess of $1,000,000.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The sum of $77,000 is claimed for loss of interdependent relationship and $12,000 for future care. The later amount is comprised of the costs of physiotherapy treatments, cognitive training, and the increased cost of adaptive footwear.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The plaintiff seeks $1,700 for past wage loss.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Position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The defendants submit that the evidence falls short of discharging the plaintiff's burden of establishing that he suffered an MTBI in any of the accidents. They concede that he has shown that he suffered soft tissue injuries in the first accident and that those injuries were exacerbated by the second and third accidents. They submit that no injuries or wage loss have been proven in relation to the fourth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The defendant's suggest a global award of damages of $10,000 in relation to the first, second, and third accidents.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Analysis and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The three accidents which occurred in 1999 undoubtedly resulted in soft tissue injuries to the plaintiff as opined in the report of Dr. Tang in November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On the totality of the evidence, including the evidence of the plaintiff and his brother relating to the force of the impacts in the first and third accidents, the statements of the plaintiff made to ICBC concerning the second and third accidents, the video depicting the damage to the plaintiff's vehicle in the first accident, and the absence of any complaints which might reasonably have given rise to a suggestion of brain trauma in the second and third accidents, I am unable to conclude that there was any head trauma in the second or third accidents which resulted in an MTBI.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The contact with the motorcycle in the second accident was modest. The plaintiff acknowledged in his statement to the ICBC adjuster that, except for aggravation of his neck pain, there was no worsening of his symptoms which, by then, had 80% recovered.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The third accident, involving Mr. Janjua, was more significant in terms of impact. However, there is no suggestion of head trauma in this accident. Marc Jampolsky stated that his brother was "perfectly fine" following the accident. The plaintiff, in his own words, felt his back and neck had worsened and he was "dropping things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In short, there was no credible event in either the second or third accidents such that such that an MTBI could have resulted. If a MTBI occurred, it is as a result of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I conclude that the soft tissue injuries sustained in the first accident had not resolved by the time of the second accident, and that the effects of the first and second accidents combined had not resolved by the time of the third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Despite evidence that the plaintiff continues to suffer back and shoulder pain, plaintiff's counsel suggests that the plaintiff's current compensable complaints relate to the MTBI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Given the gap in time between the three accidents in 1999 and the fourth accident, it is improbable that any of his physical complaints endured from the first three accidents to the fourth.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The plaintiff clearly suffers from physical limitations. His own account of his present physical situation, coupled with the findings of Mr. Shew, indicate ongoing physical complaints of significance. The origin of these complaints is not suggested to be any of the four accidents nor, on the evidence, does it seem possible, let alone probable, that these symptoms have endured, undiagnosed and untreated, for the past 10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The plaintiff, over the course of his working life, has performed a variety of physically demanding jobs. He has never sought any form of treatment relating to his soft tissue injuries. The medical records available to Dr. Janke, Dr. Ancill, and Dr. Rees make mention of various attendances by the plaintiff upon medical clinics after he ceased seeing Dr. Tang. None of the attendances relate to injuries said to have been sustained in any of the four separate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As such, I assess the damages for the soft tissue injuries from the three accidents which occurred in 1999 globally at $14,000. The defendants, ICBC in the first and second accidents, and Janjua and Parmar in the third accident, are jointly and severally liable (</w:t>
      </w:r>
      <w:r>
        <w:rPr>
          <w:rFonts w:ascii="arial" w:eastAsia="arial" w:hAnsi="arial" w:cs="arial"/>
          <w:i/>
          <w:color w:val="000000"/>
          <w:sz w:val="20"/>
          <w:lang w:val="en-US" w:eastAsia="en-US" w:bidi="ar-SA"/>
        </w:rPr>
        <w:t>Bradley v. Groves</w:t>
      </w:r>
      <w:r>
        <w:rPr>
          <w:rFonts w:ascii="arial" w:eastAsia="arial" w:hAnsi="arial" w:cs="arial"/>
          <w:color w:val="000000"/>
          <w:sz w:val="20"/>
          <w:lang w:val="en-US" w:eastAsia="en-US" w:bidi="ar-SA"/>
        </w:rPr>
        <w:t xml:space="preserve">, </w:t>
      </w:r>
      <w:hyperlink r:id="rId266" w:history="1">
        <w:r>
          <w:rPr>
            <w:rFonts w:ascii="arial" w:eastAsia="arial" w:hAnsi="arial" w:cs="arial"/>
            <w:i/>
            <w:color w:val="0077CC"/>
            <w:sz w:val="20"/>
            <w:u w:val="single"/>
            <w:shd w:val="clear" w:color="auto" w:fill="FFFFFF"/>
            <w:lang w:val="en-US" w:eastAsia="en-US" w:bidi="ar-SA"/>
          </w:rPr>
          <w:t>2010 BCCA 361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As to the fourth accident, there is a complete paucity of evidence as to the injuries, if any, suffered by the plaintiff in that collision. The plaintiff seemingly did not seek out medical treatment in respect of any injuries. Nowhere in the evidence did he describe them other than to say, in effect, that he must have been hurt because he took a week off work. He told Dr. Janke in 2008 that he had taken two weeks off of work. He told Dr. Powers that he took two days off of work although, in fairness, Dr. Powers' review of the Actes employment records seemed unclear on what days the plaintiff 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Given the attendance of two employees and an owner/manager of his employer, Actes, to give evidence, it would have been quite simple to elicit from one or all of them the plaintiff's attendance at work during the period following the fourth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An absence from work in the period following the fourth accident would have been some evidence of an injury of consequence. Here, I have nothing other than the happening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None of the other witnesses called on the plaintiff's behalf gave any evidence on which I could meaningfully assess a significant award of damages in respect of the fourth accident. It is incumbent upon the plaintiff to prove not only fault on the part of the unidentified driver but, as well, that damages flowed from that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Here, I conclude the plaintiff suffered, at worst, at extremely mild soft tissue injury and I assess his damages for the fourth accident at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That leaves the issue of whether the plaintiff suffered an MTBI in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The onus rests with the plaintiff to prove, on the balance of probabilities, the causal connection between his current cognitive and behavioural complaints and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xml:space="preserve">  The plaintiff bears the burden of establishing a causal link between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occurrence of an MTBI, the resultant pain and suffering, loss of enjoyment of life, and the reduction in his income or income earning capacity. He must establish, first, that the negligent act caused or materially contributed to the damage he sustained and, if he can do so, prove the measure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Here, because I have concluded that an MTBI could only have occurred in the first accident, causation is established by showing that but for the negligent act or omission of the unidentified motorist the plaintiff's injury would not have occurred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67"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268"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I return to the four part test for an MTBI earlier referenced, requiring:</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credible mechanism of injury sufficient to cause damage to the brain tissues;</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Demonstrable clinical effects of brain injury at the scene of the accident;</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weeks following symptoms/and or findings consistent with a concussion; and</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Longer term symptoms and findings unique to brain trauma not explained or caused by other confounding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I accept that the collision of the first accident was of sufficient force and magnitude to provide the credible mechanism all medical experts agreed was a necessary prerequisite to begin the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As to the demonstrable clinical effects of brain injury, Dr. Ancill concluded that there was both dense amnesia and discontinuous memory sufficient to satisfy these criteria. He did so solely on the basis of the self report of the plaintiff more than seven years following the event and on the report of his mother who attended the plaintiff at the scene and then drove him to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Dr. Rees suggests that the absence of clinical observations at the scene by someone medically trained speaks against such a finding. With respect, I cannot agree that I am precluded from finding that the plaintiff suffered a concussive injury just because there were no medical personnel at the scene or at Surrey Memorial Hospital who diagnosed the plaintiff with such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I place little or no reliance on the opinion of Dr. Rees. He assumed, for much of his testimony, the role of advocate as opposed to that of a disinterested and detached expert. Nonetheless, the defendant is not obliged to disprove anything. The onus of proof never shifts from the plaintiff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The plaintiff relies on the opinion of Dr. Ancill, augmented by the observations of lay witnesses, to discharge that burden.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Dr. Tang was only qualified as an expert in the field of general medicine. His conclusion, arrived at during cross-examination, that the plaintiff was demonstrating symptoms of post-concussive syndrome is of little assistance given his written report and the timing of the symptoms reported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As earlier referenced, some of the "facts" upon which Dr. Ancill relied to reach his opinion are, at best, questionable.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While I find Mary Jampolsky a credible witness, that does not mean I find her evidence reliable. In describing the plaintiff's actions at the scene of the accident, she neglected to mention that her other son, Marc, appeared similarly agitated and was babbling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Her testimony that the plaintiff was talking non-stop as they went to hospital is in contradiction to that of Marc who described him as quiet. In her evidence at trial, she described the plaintiff as having suffered headaches in the days following the first accident. She made no mention of this to Dr. Ancill in their meeting in 2006, four years earlier in time. There is no mention of a history of headaches in the report to Dr. Tang.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Both the plaintiff and his mother testified as to the fall in the bathtub in the days immediately following the first accident. The unstated inference is that the plaintiff feinted or blacked out as a result of the motor vehicle accident. In the visits to Dr Tang on June 29 and July 6, 1999 there is no mention of this significant event. Nor was the evidence consistent as to whether there were one or more such falls. Marc Jampolsky testified that there were numerous such falls over the time he and his brother lived together, but no time frame was given for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While Dr. Tang may well have been pressed for time in the consultations involving the plaintiff, I am satisfied that he noted complaints made by the patient and the history which accompanied them. I conclude that there is no note of the fall in the bathtub because it did not happen within the time frame recalled by Ms. Jampolsky and the plaintiff. Similarly, no complaints were made by the plaintiff of headaches to Dr. Tang, only soft tissue injuries for which no treatment was sought or proffered. Dr. Tang recorded, and I accept, that the plaintiff described himself as "alert" in the time period following the accident until his second attendance upon Dr. Tang.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In both statements to ICBC in August 1999, there is no mention of any the road signs, as taken from the CDC checklist, of an MTBI. In neither report did the plaintiff complain of headaches. Dr. Ancill testified that the symptoms of an MTBI tend to appear in the weeks following the event and peak within a month or so following the injury. Thereafter, the symptoms tend to improve to complete resolution in all but approximately 15% of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The available information concerning the plaintiff during this crucial period of time appear to suggest that by the end of August ,1999, his symptoms were confined to soft tissue injuries. Twice in August 1999 he gave statements to ICBC adjusters which belied any but soft tissue injuries save for the reference to "dropping things again." "Dropping things" does not appear to be a recognized symptom associated with MTBI. There is no mention of any of the symptoms later described to Dr. Ancill or by the witnesses who testified at trial. Similarly, he saw Dr. Tang twice in a short period following the third accident and made no mention of any complaints arising from the three accidents which are now said to have caused MTBI.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The first report of fatigue was in February 2000. It was of recent origin and remains undiagnosed.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In relation to the second accident, Dr. Ancill was told the plaintiff struck his head as a result of a significant force to the right side of his vehicle. Several days after the accident the plaintiff described it to ICBC as a scrape to his car. The latter seems far more probable than the former.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As to the plaintiff's primary complaint of poor memory, Dr. Ancill formulated his opinion in the absence of any objective data. He accepted, on the basis of the information solely from the plaintiff and the plaintiff's mother, that the plaintiff's memory was impaired. The only objective testing, albeit for short term memory, belies that conclusion. Dr. Powers determined that the plaintiff, when tested in 2010, demonstrated average to above average memory in the various categories tested.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Further, the evidence concerning the plaintiff's memory from other sources is mixed. Ms Barwick noted that the plaintiff was good remembering anniversaries, birthdays, and the like. Others did not appear to know that he complained of memory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In the history given to both Dr. Powers and Mr. Shew, considerable detail was given by the plaintiff about his employment history. This is at odds with his inability to recall attendances upon Dr. Rees and Dr. Janke.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In his work, the plaintiff was expected to oversee the performance of remedial work to conform with the building code. There is no evidence of any deficiency in his job performance as it relates to the actual performance of those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Further, Dr. Ancill seemingly accepted, without reservation, the plaintiff's statement that he had simply stopped playing musical instruments because he "lost the 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Both Dr. Rees and Dr. Janke approached this stated symptom with scepticism. Both viewed the loss of such a "core skill" as inconsistent with an MTBI. They opined that it was similar to forgetting how to ride a bicycle. Both acknowledged such could happen, but that the trauma to the brain had to be more severe than what occurs within the definition of an MTBI.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Dr. Ancill noted that two patients of his had experienced a similar loss of core skills. Given the number of MTBI patients Dr. Ancill has treated it has to be seen as, at least, unusual for such a loss to occur. Despite that, no inquiries were made by Dr. Ancill beyond noting that the loss occurred. No follow up questions of a diagnostic nature were conducted to try and determine when the loss occurred in relation to the first accident. Whether it was graduated or sudden, there was no investigation as to what efforts were made upon discovery by the plaintiff, his mother, or brother to follow the matter up with Dr. Tang or any other medical advisor. Marc Jampolsky offered no insight as to the timing or reason of his brother stopping his musical pursuits.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While agreeing that the lack of a proper medical history was an impediment to an accurate diagnosis, Dr. Ancill was quick to point out that the prior injury in 1996 was supportive of his diagnosis because brain injuries are cumulative, making the plaintiff more susceptible to an MTBI of lasting duration.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Despite agreeing in cross-examination that obtaining and reviewing the plaintiff's school records would be part of the history necessary for a proper diagnosis, Dr. Ancill dismissed he records' contents as meaningless without further explanation as to the cause of the plaintiff's poor performance in the his later high school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Dr. Ancill clearly described that symptoms of an MTBI appear in the first few weeks or months following the credible event. No contrary view was offered by either Dr. Janke or Dr. 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Given the caution I find I must exercise in accepting the evidence of Mary Jampolsky, there is very little upon which to conclude that the plaintiff was experiencing any of the symptoms within the time frame Dr. Ancill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Marc Jampolsky said he noticed changes in his brother four months after the first accident. There was no corresponding event or specific evidence which he referred to which gives me any confidence in the timing of his observation.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340</w:t>
      </w:r>
      <w:r>
        <w:rPr>
          <w:rFonts w:ascii="arial" w:eastAsia="arial" w:hAnsi="arial" w:cs="arial"/>
          <w:color w:val="000000"/>
          <w:sz w:val="20"/>
          <w:lang w:val="en-US" w:eastAsia="en-US" w:bidi="ar-SA"/>
        </w:rPr>
        <w:t>  In reviewing the evidence of Dr. Tang concerning the entries in the plaintiff's chart and the two statements given to ICBC, there is no objective evidence on which to found the conclusion that the plaintiff was suffering from other than a temporary bout of forgetfulness when he attended Dr. Tang on July 6, 1999.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341</w:t>
      </w:r>
      <w:r>
        <w:rPr>
          <w:rFonts w:ascii="arial" w:eastAsia="arial" w:hAnsi="arial" w:cs="arial"/>
          <w:color w:val="000000"/>
          <w:sz w:val="20"/>
          <w:lang w:val="en-US" w:eastAsia="en-US" w:bidi="ar-SA"/>
        </w:rPr>
        <w:t>  Were it otherwise, I conclude that the matter would have been raised in the following visits with Dr. Tang in August of 1999 or in the statements made to the ICBC adjusters.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342</w:t>
      </w:r>
      <w:r>
        <w:rPr>
          <w:rFonts w:ascii="arial" w:eastAsia="arial" w:hAnsi="arial" w:cs="arial"/>
          <w:color w:val="000000"/>
          <w:sz w:val="20"/>
          <w:lang w:val="en-US" w:eastAsia="en-US" w:bidi="ar-SA"/>
        </w:rPr>
        <w:t>  The mention of fatigue in February 2000 was of recent origin and appeared to resolve. Given the subsequent diagnosis of sleep apnea, the appearance of this symptom eight months following the accident does not support a conclusion that the symptom is suggestive of an MTBI.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343</w:t>
      </w:r>
      <w:r>
        <w:rPr>
          <w:rFonts w:ascii="arial" w:eastAsia="arial" w:hAnsi="arial" w:cs="arial"/>
          <w:color w:val="000000"/>
          <w:sz w:val="20"/>
          <w:lang w:val="en-US" w:eastAsia="en-US" w:bidi="ar-SA"/>
        </w:rPr>
        <w:t>  In the testimony of Dr. Rees it emerged that apnea has two origins. The first, and most common, is obstructive apnea. The condition occurs as a result of flaccid skin in the airway causing snoring and sleep interruption. The most common sufferers of obstructive apnea are stout to obese persons. The second type is central apnea, which can occur as a result of a brain injury (albeit not an MTBI according to Dr. 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344</w:t>
      </w:r>
      <w:r>
        <w:rPr>
          <w:rFonts w:ascii="arial" w:eastAsia="arial" w:hAnsi="arial" w:cs="arial"/>
          <w:color w:val="000000"/>
          <w:sz w:val="20"/>
          <w:lang w:val="en-US" w:eastAsia="en-US" w:bidi="ar-SA"/>
        </w:rPr>
        <w:t>  In the absence of evidence that the plaintiff's apnea is central apnea, for which testing is apparently available, it is logical to conclude, given the plaintiff is five foot nine and weighs 204-250 pounds, that he has obstructive apnea.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345</w:t>
      </w:r>
      <w:r>
        <w:rPr>
          <w:rFonts w:ascii="arial" w:eastAsia="arial" w:hAnsi="arial" w:cs="arial"/>
          <w:color w:val="000000"/>
          <w:sz w:val="20"/>
          <w:lang w:val="en-US" w:eastAsia="en-US" w:bidi="ar-SA"/>
        </w:rPr>
        <w:t>  Whether apnea accounts for reported lethargy and cited lack of motivation is difficult to say. When coupled with the plaintiff's penchant for keeping late hours, it is the far more likely cause, in my view, given the time delay between the appearance of this symptom and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346</w:t>
      </w:r>
      <w:r>
        <w:rPr>
          <w:rFonts w:ascii="arial" w:eastAsia="arial" w:hAnsi="arial" w:cs="arial"/>
          <w:color w:val="000000"/>
          <w:sz w:val="20"/>
          <w:lang w:val="en-US" w:eastAsia="en-US" w:bidi="ar-SA"/>
        </w:rPr>
        <w:t>  As against a finding that the plaintiff's fatigue and lack of motivation is an ongoing concern, I look to the fact that the plaintiff held two jobs for much of 2006. His employment history with his present employer is reasonably impressive both for his progression from labourer to supervisor as well as his attendance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347</w:t>
      </w:r>
      <w:r>
        <w:rPr>
          <w:rFonts w:ascii="arial" w:eastAsia="arial" w:hAnsi="arial" w:cs="arial"/>
          <w:color w:val="000000"/>
          <w:sz w:val="20"/>
          <w:lang w:val="en-US" w:eastAsia="en-US" w:bidi="ar-SA"/>
        </w:rPr>
        <w:t>  His previous work history appears to have been unaffected by the complaints he currently presents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348</w:t>
      </w:r>
      <w:r>
        <w:rPr>
          <w:rFonts w:ascii="arial" w:eastAsia="arial" w:hAnsi="arial" w:cs="arial"/>
          <w:color w:val="000000"/>
          <w:sz w:val="20"/>
          <w:lang w:val="en-US" w:eastAsia="en-US" w:bidi="ar-SA"/>
        </w:rPr>
        <w:t>  Lastly, if another foundation is required to conclude that the plaintiff has failed to discharge the burden of establishing an MTBI as having as having been materially contributed to by the first accident, I return to the four part test earlier referenced.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349</w:t>
      </w:r>
      <w:r>
        <w:rPr>
          <w:rFonts w:ascii="arial" w:eastAsia="arial" w:hAnsi="arial" w:cs="arial"/>
          <w:color w:val="000000"/>
          <w:sz w:val="20"/>
          <w:lang w:val="en-US" w:eastAsia="en-US" w:bidi="ar-SA"/>
        </w:rPr>
        <w:t>  The plaintiff, according to Dr. Powers, has chronic pain. Mr. Shew found the primary impediment to the plaintiff's performance of manual labour was ongoing back and right shoulder pain. No medical practitioner has suggested these symptoms relate to any of the four accidents before me. The plaintiff's discomfort seemed apparent both from his testimony and his appearance throughout the proceedings. Its origins are unknown. However, coupled with sleep apnea, the pain syndrome described by the plaintiff would be a confounding factor to explain some, if not all, of the various symptoms which Dr. Ancill concludes are indicative of MTBI.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350</w:t>
      </w:r>
      <w:r>
        <w:rPr>
          <w:rFonts w:ascii="arial" w:eastAsia="arial" w:hAnsi="arial" w:cs="arial"/>
          <w:color w:val="000000"/>
          <w:sz w:val="20"/>
          <w:lang w:val="en-US" w:eastAsia="en-US" w:bidi="ar-SA"/>
        </w:rPr>
        <w:t>  In conclusion, while I find that the collision of the first accident provides a credible mechanism of brain injury, I am not satisfied that the evidence discloses that the plaintiff demonstrated that there were demonstrable clinical effects of brain injury at the scene of the accident, nor that in the weeks following were there symptoms/and or findings consistent with a concussion. Lastly, I conclude that the plaintiff's apparent chronic pain syndrome, coupled with his sleep apnea, both unrelated to the sequelae of the four accidents I am considering, are confounding factors which provide a plausible explanation for some or all of the complaints with which he presents.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351</w:t>
      </w:r>
      <w:r>
        <w:rPr>
          <w:rFonts w:ascii="arial" w:eastAsia="arial" w:hAnsi="arial" w:cs="arial"/>
          <w:color w:val="000000"/>
          <w:sz w:val="20"/>
          <w:lang w:val="en-US" w:eastAsia="en-US" w:bidi="ar-SA"/>
        </w:rPr>
        <w:t>  The plaintiff has not discharged the onus upon him; I conclude that he has not suffered an MTBI. I therefore need not consider the other heads of damage advanced by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352</w:t>
      </w:r>
      <w:r>
        <w:rPr>
          <w:rFonts w:ascii="arial" w:eastAsia="arial" w:hAnsi="arial" w:cs="arial"/>
          <w:color w:val="000000"/>
          <w:sz w:val="20"/>
          <w:lang w:val="en-US" w:eastAsia="en-US" w:bidi="ar-SA"/>
        </w:rPr>
        <w:t>  Unless there are formal offers of settlement which might impact the question of costs, the plaintiff is entitled to costs in each of the four actions before me. The plaintiff is entitled to one set of costs for the trial and those pre-trial procedures where all four actions were being dealt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J.S. HARVEY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6" style="position:absolute;z-index:2518210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69"/>
          <w:headerReference w:type="default" r:id="rId270"/>
          <w:footerReference w:type="even" r:id="rId271"/>
          <w:footerReference w:type="default" r:id="rId272"/>
          <w:headerReference w:type="first" r:id="rId273"/>
          <w:footerReference w:type="first" r:id="rId27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75" w:history="1">
        <w:r>
          <w:rPr>
            <w:rFonts w:ascii="arial" w:eastAsia="arial" w:hAnsi="arial" w:cs="arial"/>
            <w:b/>
            <w:bCs/>
            <w:i/>
            <w:color w:val="0077CC"/>
            <w:kern w:val="32"/>
            <w:sz w:val="28"/>
            <w:szCs w:val="32"/>
            <w:u w:val="single"/>
            <w:shd w:val="clear" w:color="auto" w:fill="FFFFFF"/>
            <w:lang w:val="en-US" w:eastAsia="en-US" w:bidi="ar-SA"/>
          </w:rPr>
          <w:t>Jones (Litigation guardian of) v. Donaghey, [2010] B.C.J. No. 2071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M.D. Macaulay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20 and 21,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25,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08-1842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[2010] B.C.J. No. 2071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BCSC 1498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194 A.C.W.S. (3d) 91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2010 CarswellBC 2861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Cody Jones By his Litigation Guardians, Keith Jones and Crystal Seward, Plaintiffs, and Julie Ann Donaghey, Erana King, The Provincial Director of Child Welfare and Her Majesty the Queen in right of the Province of British Columbia (Ministry of Children and Family Development and Ministry of Attorney General),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7" style="position:absolute;z-index:251669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1" w:name="Keywords_9"/>
      <w:bookmarkEnd w:id="71"/>
      <w:r>
        <w:rPr>
          <w:rFonts w:ascii="arial" w:eastAsia="arial" w:hAnsi="arial" w:cs="arial"/>
          <w:b/>
          <w:color w:val="000000"/>
          <w:sz w:val="20"/>
          <w:lang w:val="en-US" w:eastAsia="en-US" w:bidi="ar-SA"/>
        </w:rPr>
        <w:t>Civil litigation — Civil procedure — Pleadings — Striking out pleadings or allegations — Grounds — Failure to disclose a cause of action or defence — Application by defendant Provincial Government to strike three paragraphs from the amended statement of claim in this action for damages for injuries suffered by the plaintiffs' son when he was allegedly assaulted by his foster parents allowed — The paragraphs in question disclosed no reasonable cause of action — The jurisprudence held the government could not be held vicariously liable for the tortious acts of foster parents — The Attorney General did not owe the plaintiffs a private law duty of care.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Family law — Child protection — Civil actions and liabilities — Application by defendant Provincial Government to strike three paragraphs from the amended statement of claim in this action for damages for injuries suffered by the plaintiffs' son when he was allegedly assaulted by his foster parents allowed — The paragraphs in question disclosed no reasonable cause of action — The jurisprudence held the government could not be held vicariously liable for the tortious acts of foster parents — The Attorney General did not owe the plaintiffs a private law duty of care.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Government law — Crown — Actions by and against Crown — Crown liability for acts of third parties — Application by defendant Provincial Government to strike three paragraphs from the amended statement of claim in this action for damages for injuries suffered by the plaintiffs' son when he was allegedly assaulted by his foster parents allowed — The paragraphs in question disclosed no reasonable cause of action — The jurisprudence held the government could not be held vicariously liable for the tortious acts of foster parents — The Attorney General did not owe the plaintiffs a private law duty of care.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Torts by the Crown — Actions against the Crown — When available — Application by defendant Provincial Government to strike three paragraphs from the amended statement of claim in this action for damages for injuries suffered by the plaintiffs' son when he was allegedly assaulted by his foster parents allowed — The paragraphs in question disclosed no reasonable cause of action — The jurisprudence held the government could not be held vicariously liable for the tortious acts of foster parents — The Attorney General did not owe the plaintiffs a private law duty of care.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2" w:name="Case Summary_10"/>
            <w:bookmarkEnd w:id="7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defendant Provincial Government to strike three paragraphs of the amended statement of claim (paragraphs 23, 24, and 30) on the grounds that it was plain and obvious they disclosed no reasonable cause of action. Paragraphs 23 and 24 alleged vicarious responsibility on the part of the government regarding acts/omissions of Donaghey and King, both of whom were alleged to have been the foster parents of the infant plaintiff at the material time. Paragraph 30 alleged the Attorney General breached his duty of care and fiduciary relationship in relation to the child by failing to take the steps set out in the paragraph. In Aug. 2006, the Provincial Director of Child Welfare apprehended the boy, an Aboriginal child, from his parents. At the conclusion of a presentation hearing, the court granted interim custody to the Director and adjourned the matter for a protection hearing. The plaintiffs alleged the hearing did not proceed on Nov. 7, 2006 as required by the Child, Family and Community Service Act. The child was placed into different foster homes, including that of Donaghey and King. On or about Dec. 20, 2006, Donaghey and King were alleged to have assaulted the infant, causing him to sustain a catastrophic brain injury. The government argued it was settled law that governments were not vicariously liable for wrongs committed by foster parents against the children entrusted to them.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73" w:name="Holdings of Court_8"/>
            <w:bookmarkEnd w:id="73"/>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court was bound by the majority decision in K.L.B. v. British Columbia, </w:t>
            </w:r>
            <w:hyperlink r:id="rId256" w:history="1">
              <w:r>
                <w:rPr>
                  <w:rFonts w:ascii="arial" w:eastAsia="arial" w:hAnsi="arial" w:cs="arial"/>
                  <w:i/>
                  <w:color w:val="0077CC"/>
                  <w:sz w:val="20"/>
                  <w:u w:val="single"/>
                  <w:shd w:val="clear" w:color="auto" w:fill="FFFFFF"/>
                  <w:lang w:val="en-US" w:eastAsia="en-US" w:bidi="ar-SA"/>
                </w:rPr>
                <w:t>2003 SCC51</w:t>
              </w:r>
            </w:hyperlink>
            <w:r>
              <w:rPr>
                <w:rFonts w:ascii="arial" w:eastAsia="arial" w:hAnsi="arial" w:cs="arial"/>
                <w:color w:val="000000"/>
                <w:sz w:val="20"/>
                <w:lang w:val="en-US" w:eastAsia="en-US" w:bidi="ar-SA"/>
              </w:rPr>
              <w:t xml:space="preserve"> It was plain and obvious that paragraphs 23 and 24 of the amended statement of claim failed to disclose a reasonable cause of action insofar as they alleged vicarious liability for the alleged tortious conduct of Donaghey and King. As for the application to strike paragraph 30, the allegations related specifically to both private and public law duties said to be owed by the Attorney General. The plaintiffs misconceived the nature of the Attorney General's statutory duties. His duties were all public law duties. Even assuming the plaintiffs could overcome the obvious causation problems associated with their theory of liability, namely that adequate funding would have resulted in a hearing within the statutory timeframe and the hearing would have resulted in an order that the infant be returned to his parents before Dec. 20, 2006, there were difficulties with foreseeability and proximity. In the context of claims against a public body in relation to the exercise of statutory duties, any private duty of care must be found in the provisions of the relevant statute. The Attorney General had no potential source of duty owed independently of statute. Where a public official owed a statutory duty to the public interest at large, no private law duty of care existed. Nor was any public authority under a duty of care relating to decisions involving or dictated by financial, economic, social or political factors or restraints. The prospect of indeterminate liability also served to negative any prima facie duty of care. Overall, the government, and the Attorney General in particular, did not owe any private law duty of care to any of the plaintiffs as alleged in paragraph 30. Therefore, that paragraph also fell for failing to disclose any reasonable cause of action.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4" w:name="Legislation Cited_7"/>
      <w:bookmarkEnd w:id="7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8" style="position:absolute;z-index:2517207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Attorney General Act, </w:t>
      </w:r>
      <w:hyperlink r:id="rId276" w:history="1">
        <w:r>
          <w:rPr>
            <w:rFonts w:ascii="arial" w:eastAsia="arial" w:hAnsi="arial" w:cs="arial"/>
            <w:i/>
            <w:color w:val="0077CC"/>
            <w:sz w:val="20"/>
            <w:u w:val="single"/>
            <w:shd w:val="clear" w:color="auto" w:fill="FFFFFF"/>
            <w:lang w:val="en-US" w:eastAsia="en-US" w:bidi="ar-SA"/>
          </w:rPr>
          <w:t>RSBC 1996, CHAPTER 22, s. 2</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Canadian Charter of Rights and Freedoms, R.S.C. 1985, App. II, No. 44, Schedule B, s. 30(b)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Child, Family and Community Service Act, </w:t>
      </w:r>
      <w:hyperlink r:id="rId277" w:history="1">
        <w:r>
          <w:rPr>
            <w:rFonts w:ascii="arial" w:eastAsia="arial" w:hAnsi="arial" w:cs="arial"/>
            <w:i/>
            <w:color w:val="0077CC"/>
            <w:sz w:val="20"/>
            <w:u w:val="single"/>
            <w:shd w:val="clear" w:color="auto" w:fill="FFFFFF"/>
            <w:lang w:val="en-US" w:eastAsia="en-US" w:bidi="ar-SA"/>
          </w:rPr>
          <w:t>RSBC 1996, CHAPTER 46, s. 37</w:t>
        </w:r>
      </w:hyperlink>
      <w:r>
        <w:rPr>
          <w:rFonts w:ascii="arial" w:eastAsia="arial" w:hAnsi="arial" w:cs="arial"/>
          <w:color w:val="000000"/>
          <w:sz w:val="20"/>
          <w:lang w:val="en-US" w:eastAsia="en-US" w:bidi="ar-SA"/>
        </w:rPr>
        <w:t>, s.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Legal Services Society Act, </w:t>
      </w:r>
      <w:hyperlink r:id="rId278" w:history="1">
        <w:r>
          <w:rPr>
            <w:rFonts w:ascii="arial" w:eastAsia="arial" w:hAnsi="arial" w:cs="arial"/>
            <w:i/>
            <w:color w:val="0077CC"/>
            <w:sz w:val="20"/>
            <w:u w:val="single"/>
            <w:shd w:val="clear" w:color="auto" w:fill="FFFFFF"/>
            <w:lang w:val="en-US" w:eastAsia="en-US" w:bidi="ar-SA"/>
          </w:rPr>
          <w:t>SBC 2002, CHAPTER 30, s. 18</w:t>
        </w:r>
      </w:hyperlink>
      <w:r>
        <w:rPr>
          <w:rFonts w:ascii="arial" w:eastAsia="arial" w:hAnsi="arial" w:cs="arial"/>
          <w:color w:val="000000"/>
          <w:sz w:val="20"/>
          <w:lang w:val="en-US" w:eastAsia="en-US" w:bidi="ar-SA"/>
        </w:rPr>
        <w:t>, s.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Provincial Court Act, </w:t>
      </w:r>
      <w:hyperlink r:id="rId279" w:history="1">
        <w:r>
          <w:rPr>
            <w:rFonts w:ascii="arial" w:eastAsia="arial" w:hAnsi="arial" w:cs="arial"/>
            <w:i/>
            <w:color w:val="0077CC"/>
            <w:sz w:val="20"/>
            <w:u w:val="single"/>
            <w:shd w:val="clear" w:color="auto" w:fill="FFFFFF"/>
            <w:lang w:val="en-US" w:eastAsia="en-US" w:bidi="ar-SA"/>
          </w:rPr>
          <w:t>RSBC 1996, CHAPTER 379, s. 41</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9-5(1)(a), Rule 9-5(1)(d)</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75" w:name="Counsel_10"/>
      <w:bookmarkEnd w:id="7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9" style="position:absolute;z-index:2517719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N.A. Foley and F. Sierecki.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Her Majesty the Queen in Right of the Province of British Columbia (Ministry of Children and Family Development and Ministry of Attorney General): K. Horsman, T.S. Saunders and I.J. Wiebe.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6" w:name="Judgment_10"/>
      <w:bookmarkEnd w:id="76"/>
      <w:r>
        <w:pict>
          <v:line id="_x0000_s1080" style="position:absolute;z-index:25182208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7" w:name="M.D. MACAULAY J."/>
            <w:bookmarkEnd w:id="77"/>
            <w:r>
              <w:rPr>
                <w:rFonts w:ascii="arial" w:eastAsia="arial" w:hAnsi="arial" w:cs="arial"/>
                <w:b/>
                <w:color w:val="000000"/>
                <w:sz w:val="30"/>
                <w:lang w:val="en-US" w:eastAsia="en-US" w:bidi="ar-SA"/>
              </w:rPr>
              <w:t>M.D. MACAULAY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defendant, Her Majesty the Queen in right of the Province of British Columbia (the government) applies pursuant to </w:t>
      </w:r>
      <w:r>
        <w:rPr>
          <w:rFonts w:ascii="arial" w:eastAsia="arial" w:hAnsi="arial" w:cs="arial"/>
          <w:i/>
          <w:color w:val="000000"/>
          <w:sz w:val="20"/>
          <w:lang w:val="en-US" w:eastAsia="en-US" w:bidi="ar-SA"/>
        </w:rPr>
        <w:t>Supreme Court Civil Rule</w:t>
      </w:r>
      <w:r>
        <w:rPr>
          <w:rFonts w:ascii="arial" w:eastAsia="arial" w:hAnsi="arial" w:cs="arial"/>
          <w:color w:val="000000"/>
          <w:sz w:val="20"/>
          <w:lang w:val="en-US" w:eastAsia="en-US" w:bidi="ar-SA"/>
        </w:rPr>
        <w:t xml:space="preserve"> 9-5(1)(a) and (d) [formerly Rule 19(24)] to strike paragraphs 23, 24 and 30 of the amended statement of claim on the basis that it is plain and obvious that the paragraphs at issue disclose no reasonable cause of action. The current rule is unchanged from the former rule and counsel do not suggest there is any change to the law arising out of the enactment of the new civil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paragraphs at issue read, as follows:</w:t>
      </w:r>
      <w:r>
        <w:rPr>
          <w:rFonts w:ascii="arial" w:eastAsia="arial" w:hAnsi="arial" w:cs="arial"/>
          <w:sz w:val="20"/>
          <w:lang w:val="en-US" w:eastAsia="en-US" w:bidi="ar-SA"/>
        </w:rPr>
        <w:cr/>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HMTQ was vicariously responsible for the acts or omissions of the Director and/or its agents including, but not limited to the Defendants, Donaghey and King.</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all material times, the Director was vicariously responsible for the acts or omissions of its agents, including but not limited to the Defendants, Donaghey and King.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HMTQ (Ministry of Attorney General) breached his duty of care and fiduciary duty in relation to the Infant by:</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adequately provide due process to the infant and/or the Parents in relation to the Parents' objections to the apprehension by the Director;</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failing to implement or provide access to justice and/or due process pursuant to the objections of Section 37 of the Act and of the Act generally, and/or within the objectives and/or its obligations pursuant to the </w:t>
      </w:r>
      <w:r>
        <w:rPr>
          <w:rFonts w:ascii="arial" w:eastAsia="arial" w:hAnsi="arial" w:cs="arial"/>
          <w:color w:val="000000"/>
          <w:sz w:val="20"/>
          <w:u w:val="single"/>
          <w:lang w:val="en-US" w:eastAsia="en-US" w:bidi="ar-SA"/>
        </w:rPr>
        <w:t>Charter of Rights and Freedoms</w:t>
      </w:r>
      <w:r>
        <w:rPr>
          <w:rFonts w:ascii="arial" w:eastAsia="arial" w:hAnsi="arial" w:cs="arial"/>
          <w:color w:val="000000"/>
          <w:sz w:val="20"/>
          <w:lang w:val="en-US" w:eastAsia="en-US" w:bidi="ar-SA"/>
        </w:rPr>
        <w:t>;</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provide for adequate legal representation for the Infant and/or the Parents;</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adequately fund and/or allocate resources to the Provincial Court of British Columbia such that the Protection Hearing could have proceeded as expeditiously as possible, but in any event within 45 days of the Presentation Hearing;</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particulars that are not yet known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government made two applications but, for convenience, I am addressing them in a single set of reasons. It is apparent from the pleadings that paragraphs 23 and 24 allege vicarious responsibility on the part of the government respecting the acts or omissions of the persons identified. The focus of the application is on the alleged vicarious responsibility of the Crown for just two co-defendants, Donaghey and King, both of whom are alleged to have been the foster parents of the infant plaintiff at the material time. Paragraph 30 separately alleges that the Attorney General breached his duty of care and fiduciary relationship in relation to the same infant by failing to take the steps set out in the paragraph.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two applications have in common the need to consider the applicable rule and law respecting pleadings but the question whether the paragraphs disclose a cause of action involves differing issues. Accordingly, I will first describe the plaintiffs' overall claims to provide some context; then set out the law governing applications to strike pleadings on the basis argued; and, finally, I will address the separate issues raised respecting paragraphs 23 and 24 on the one hand and paragraph 30 on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A review of the amended statement of claim discloses the following allegations. In about August 2006 the Provincial Director of Child Welfare (Director) apprehended the infant Cody, an Aboriginal child, from his parents under the authority of the </w:t>
      </w:r>
      <w:r>
        <w:rPr>
          <w:rFonts w:ascii="arial" w:eastAsia="arial" w:hAnsi="arial" w:cs="arial"/>
          <w:i/>
          <w:color w:val="000000"/>
          <w:sz w:val="20"/>
          <w:lang w:val="en-US" w:eastAsia="en-US" w:bidi="ar-SA"/>
        </w:rPr>
        <w:t>Child, Family and Community Service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46</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The apprehension resulted in a presentation hearing pursuant to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before a Provincial Court judge on September 26, 2006, at which time Cody's parents opposed his apprehension.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At the conclusion of the hearing, the court granted interim custody of Cody to the Director and adjourned the matter to November 7, 2006, for a protection hearing. I observe that s. 37 of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governs the timing of a protection hearing and states:</w:t>
      </w:r>
      <w:r>
        <w:rPr>
          <w:rFonts w:ascii="arial" w:eastAsia="arial" w:hAnsi="arial" w:cs="arial"/>
          <w:sz w:val="20"/>
          <w:lang w:val="en-US" w:eastAsia="en-US" w:bidi="ar-SA"/>
        </w:rPr>
        <w:cr/>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(1) At the conclusion of a presentation hearing under section 33.2, 35 or 36(2), the court must set the earliest possible date for a hearing to determine if the child needs protection, or confirm any date previously set for the protection hearing, unless the court has made</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no order under section 33.2(2),</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under section 35 (2)(c), or</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consent order under section 60.</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date set under subsection (1) for commencing the hearing must not be more than 45 days after the conclusion of the presentation hearing, and the hearing must be concluded as soon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plaintiffs allege that the protection hearing did not proceed on November 7, 2006, as required by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Ultimately, Cody remained in the custody of the Director until July 9, 2007. During that time he was placed in different foster homes including, in the late fall 2006, in the foster home of Donaghey and King. The plaintiffs allege that on or about December 20, 2006, Donaghey and King intentionally assaulted the infant causing him to sustain a catastrophic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These allegations lead into the alleged vicarious liability of the government. Paragraph 21 of the amended statement of claim alleges that the defendants were, at all material times, acting as the guardian or </w:t>
      </w:r>
      <w:r>
        <w:rPr>
          <w:rFonts w:ascii="arial" w:eastAsia="arial" w:hAnsi="arial" w:cs="arial"/>
          <w:i/>
          <w:color w:val="000000"/>
          <w:sz w:val="20"/>
          <w:lang w:val="en-US" w:eastAsia="en-US" w:bidi="ar-SA"/>
        </w:rPr>
        <w:t>in locus parentis</w:t>
      </w:r>
      <w:r>
        <w:rPr>
          <w:rFonts w:ascii="arial" w:eastAsia="arial" w:hAnsi="arial" w:cs="arial"/>
          <w:color w:val="000000"/>
          <w:sz w:val="20"/>
          <w:lang w:val="en-US" w:eastAsia="en-US" w:bidi="ar-SA"/>
        </w:rPr>
        <w:t>, respecting the infant. Paragraph 22 alleges that Donaghey and King "were hired and/or acting under the authority and/or instruction provided to them by the Director."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challenge to the pleadings on behalf of the government does not extend to any direct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Director or government employees. To the extent that the plaintiffs allege that the government and its employees were negligent in apprehending the infant, placing him in an unsafe foster environment and failing to provide sufficient training and supervision to foster parents in whose care the infant was placed, no issue is raised respecting vicarious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Supreme Court of Canada decision in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sets out the test governing the application of now Rule 9-5(1). It must be plain and obvious the statement of claim discloses no reasonable cause of action. The guidelines for consideration include:</w:t>
      </w:r>
      <w:r>
        <w:rPr>
          <w:rFonts w:ascii="arial" w:eastAsia="arial" w:hAnsi="arial" w:cs="arial"/>
          <w:sz w:val="20"/>
          <w:lang w:val="en-US" w:eastAsia="en-US" w:bidi="ar-SA"/>
        </w:rPr>
        <w:cr/>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there is a question fit to be tried regardless of complexity or novelty; and</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it is plain and obvious that the statement of claim discloses no reasonable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Mohl v. University of British Columbia</w:t>
      </w:r>
      <w:r>
        <w:rPr>
          <w:rFonts w:ascii="arial" w:eastAsia="arial" w:hAnsi="arial" w:cs="arial"/>
          <w:color w:val="000000"/>
          <w:sz w:val="20"/>
          <w:lang w:val="en-US" w:eastAsia="en-US" w:bidi="ar-SA"/>
        </w:rPr>
        <w:t xml:space="preserve">, </w:t>
      </w:r>
      <w:hyperlink r:id="rId280" w:history="1">
        <w:r>
          <w:rPr>
            <w:rFonts w:ascii="arial" w:eastAsia="arial" w:hAnsi="arial" w:cs="arial"/>
            <w:i/>
            <w:color w:val="0077CC"/>
            <w:sz w:val="20"/>
            <w:u w:val="single"/>
            <w:shd w:val="clear" w:color="auto" w:fill="FFFFFF"/>
            <w:lang w:val="en-US" w:eastAsia="en-US" w:bidi="ar-SA"/>
          </w:rPr>
          <w:t>2006 BCCA 70</w:t>
        </w:r>
      </w:hyperlink>
      <w:r>
        <w:rPr>
          <w:rFonts w:ascii="arial" w:eastAsia="arial" w:hAnsi="arial" w:cs="arial"/>
          <w:color w:val="000000"/>
          <w:sz w:val="20"/>
          <w:lang w:val="en-US" w:eastAsia="en-US" w:bidi="ar-SA"/>
        </w:rPr>
        <w:t xml:space="preserve">, the Court of Appeal stated that a novel claim should not be struck at the pleadings stage if there is a "hint of some merit" to the claim (at paras. 40-41). Further, I am required to read the amended statement of claim "as generously as possible" and accommodate any deficiencies in the allegations that can be cured by redrafting. See </w:t>
      </w:r>
      <w:r>
        <w:rPr>
          <w:rFonts w:ascii="arial" w:eastAsia="arial" w:hAnsi="arial" w:cs="arial"/>
          <w:i/>
          <w:color w:val="000000"/>
          <w:sz w:val="20"/>
          <w:lang w:val="en-US" w:eastAsia="en-US" w:bidi="ar-SA"/>
        </w:rPr>
        <w:t>McGauley v. British Columbia</w:t>
      </w:r>
      <w:r>
        <w:rPr>
          <w:rFonts w:ascii="arial" w:eastAsia="arial" w:hAnsi="arial" w:cs="arial"/>
          <w:color w:val="000000"/>
          <w:sz w:val="20"/>
          <w:lang w:val="en-US" w:eastAsia="en-US" w:bidi="ar-SA"/>
        </w:rPr>
        <w:t xml:space="preserve"> </w:t>
      </w:r>
      <w:hyperlink r:id="rId281" w:history="1">
        <w:r>
          <w:rPr>
            <w:rFonts w:ascii="arial" w:eastAsia="arial" w:hAnsi="arial" w:cs="arial"/>
            <w:i/>
            <w:color w:val="0077CC"/>
            <w:sz w:val="20"/>
            <w:u w:val="single"/>
            <w:shd w:val="clear" w:color="auto" w:fill="FFFFFF"/>
            <w:lang w:val="en-US" w:eastAsia="en-US" w:bidi="ar-SA"/>
          </w:rPr>
          <w:t>(1990), 44 B.C.L.R. (2d) 217</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According to the government, it is plain and obvious that insofar as paragraphs 23 and 24 allege vicarious liability with respect to any tortious acts that Donaghey and King may have committed must fail because it is "settled law that governments are not vicariously liable for wrongs committed by foster parents against the children entrusted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support of their contention, counsel for the government relies on </w:t>
      </w:r>
      <w:r>
        <w:rPr>
          <w:rFonts w:ascii="arial" w:eastAsia="arial" w:hAnsi="arial" w:cs="arial"/>
          <w:i/>
          <w:color w:val="000000"/>
          <w:sz w:val="20"/>
          <w:lang w:val="en-US" w:eastAsia="en-US" w:bidi="ar-SA"/>
        </w:rPr>
        <w:t>K.L.B. v. British Columbia</w:t>
      </w:r>
      <w:r>
        <w:rPr>
          <w:rFonts w:ascii="arial" w:eastAsia="arial" w:hAnsi="arial" w:cs="arial"/>
          <w:color w:val="000000"/>
          <w:sz w:val="20"/>
          <w:lang w:val="en-US" w:eastAsia="en-US" w:bidi="ar-SA"/>
        </w:rPr>
        <w:t xml:space="preserve">, </w:t>
      </w:r>
      <w:hyperlink r:id="rId256" w:history="1">
        <w:r>
          <w:rPr>
            <w:rFonts w:ascii="arial" w:eastAsia="arial" w:hAnsi="arial" w:cs="arial"/>
            <w:i/>
            <w:color w:val="0077CC"/>
            <w:sz w:val="20"/>
            <w:u w:val="single"/>
            <w:shd w:val="clear" w:color="auto" w:fill="FFFFFF"/>
            <w:lang w:val="en-US" w:eastAsia="en-US" w:bidi="ar-SA"/>
          </w:rPr>
          <w:t>2003 SCC 51</w:t>
        </w:r>
      </w:hyperlink>
      <w:r>
        <w:rPr>
          <w:rFonts w:ascii="arial" w:eastAsia="arial" w:hAnsi="arial" w:cs="arial"/>
          <w:color w:val="000000"/>
          <w:sz w:val="20"/>
          <w:lang w:val="en-US" w:eastAsia="en-US" w:bidi="ar-SA"/>
        </w:rPr>
        <w:t>. In that decision, the court addressed the following fundamental question whether vicarious liability offered a legal basis on which the government could be held liable for the harm that the appellants suffered in foster care. In that regard, McLachlin C.J., for the majority, began by identifying the policy consideration that underlies the doctrine of vicarious liability, namely that a person who is not liable for tortious conduct may be responsible for the tortious conduct of another person where "the risks inherent in [the former's] enterprise materialize and cause harm, provided that liability is both fair and useful" (at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To succeed on a vicarious liability claim, a plaintiff must establish at least two things:</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relationship between the tortfeasor and the person against whom liability is sought is sufficiently close so as to make a claim for vicarious liability appropriate";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tort is sufficiently connected to the tortfeasor's assigned tasks that the tort can be regarded as a materialization of the risks created by the enterprise."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(Both at para.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the first question, whether the relationship between foster parents and government is sufficiently close, the majority contrasted the differing relationships of employer to employee and employer to independent contractor, then observed that the former most commonly attracts liability but the latter does not. A functional inquiry focusing on whether the tortfeasor was acting on his or her own account, rather than the employer's, is necessary to determine whether a relationship is one or the other (paras. 21-22).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As to foster parents, the majority concluded, at paras. 23 and 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These factors suggest that the government is not vicariously liable for wrongs committed by foster parents against the children entrusted to them. Foster families serve a public goal - the goal of giving children the experience of a family, so that they may develop into confident and responsible members of society. However, they discharge this public goal in a highly independent manner, free from close government control. Foster parents provide care in their own homes. They use their own "equipment", to use the language of </w:t>
      </w:r>
      <w:r>
        <w:rPr>
          <w:rFonts w:ascii="arial" w:eastAsia="arial" w:hAnsi="arial" w:cs="arial"/>
          <w:i/>
          <w:color w:val="000000"/>
          <w:sz w:val="20"/>
          <w:lang w:val="en-US" w:eastAsia="en-US" w:bidi="ar-SA"/>
        </w:rPr>
        <w:t>Sagaz</w:t>
      </w:r>
      <w:r>
        <w:rPr>
          <w:rFonts w:ascii="arial" w:eastAsia="arial" w:hAnsi="arial" w:cs="arial"/>
          <w:color w:val="000000"/>
          <w:sz w:val="20"/>
          <w:lang w:val="en-US" w:eastAsia="en-US" w:bidi="ar-SA"/>
        </w:rPr>
        <w:t xml:space="preserve">, </w:t>
      </w:r>
      <w:hyperlink r:id="rId282" w:history="1">
        <w:r>
          <w:rPr>
            <w:rFonts w:ascii="arial" w:eastAsia="arial" w:hAnsi="arial" w:cs="arial"/>
            <w:i/>
            <w:color w:val="0077CC"/>
            <w:sz w:val="20"/>
            <w:u w:val="single"/>
            <w:shd w:val="clear" w:color="auto" w:fill="FFFFFF"/>
            <w:lang w:val="en-US" w:eastAsia="en-US" w:bidi="ar-SA"/>
          </w:rPr>
          <w:t>[2001] 2 S.C.R. 983</w:t>
        </w:r>
      </w:hyperlink>
      <w:r>
        <w:rPr>
          <w:rFonts w:ascii="arial" w:eastAsia="arial" w:hAnsi="arial" w:cs="arial"/>
          <w:color w:val="000000"/>
          <w:sz w:val="20"/>
          <w:lang w:val="en-US" w:eastAsia="en-US" w:bidi="ar-SA"/>
        </w:rPr>
        <w:t>. While they do not necessarily "hire" their own helpers, they are responsible for determining who will interact with the children and when. They have complete control over the organization and management of their household; they alone are responsible for running their home. The government does not supervise or interfere, except to ensure that the child and the foster parents meet regularly with their social workers, and to move the child if his or her needs are not met.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The independence of the foster family is essential to the government's goal of providing family care. If foster parents had to check with the state before making ordinary day-to-day decisions, they not only would be less effective as parents, but would be unable to deliver the spontaneous, loving responses and guidance that the children need. Foster families must be left to arrange their own family routine, in their own way. They must deal with day-to-day challenges and problems by working them out within the family, and be sharing responsibility for doing this, demonstrating to foster children that it is possible to resolve difficulties by working together. Moreover, foster children must know that their foster parents have this responsibility. Only in this way can foster children come to understand that authority figures can be loving and consistent and worthy of trust. Foster parents cannot function as loving and consistent authority figures unless they have some authority to exercise. Hence, while foster parents act in furtherance of a public purpose, they must operate independently of day-to-day state control if they are to meet the goals of foster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majority confirmed that imposing vicarious liability would be of little use given the degree of independence required for foster parenting (para.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As well, the majority observed that direct liability exists so as to encourage government to provide instruction and training for foster parents; to put in place periodic monitoring; and finally, to develop communication between social workers and foster children (para.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majority concluded, at para. 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 I conclude that the case for extending vicarious liability to the relationship between governments and foster parents has not been established. It is inherent in the nature of family-based care for children that foster parents are in important respects independent, and that the government cannot exercise sufficient control over their activities to be seen as acting "on account" of the government. Foster parents do not hold themselves out as government agents in their daily activities with their children; nor are they reasonably perceived as such.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Counsel for the plaintiffs says that </w:t>
      </w:r>
      <w:r>
        <w:rPr>
          <w:rFonts w:ascii="arial" w:eastAsia="arial" w:hAnsi="arial" w:cs="arial"/>
          <w:i/>
          <w:color w:val="000000"/>
          <w:sz w:val="20"/>
          <w:lang w:val="en-US" w:eastAsia="en-US" w:bidi="ar-SA"/>
        </w:rPr>
        <w:t>K.L.B.</w:t>
      </w:r>
      <w:r>
        <w:rPr>
          <w:rFonts w:ascii="arial" w:eastAsia="arial" w:hAnsi="arial" w:cs="arial"/>
          <w:color w:val="000000"/>
          <w:sz w:val="20"/>
          <w:lang w:val="en-US" w:eastAsia="en-US" w:bidi="ar-SA"/>
        </w:rPr>
        <w:t xml:space="preserve"> is distinguishable because the legislation in effect at the time differed and that the conduct complained of occurred in the 1960s. While I accept that those are factors in determining the duty of care owed by government and whether government met the applicable standard of care, they relate to the direct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issues in the lawsuit rather than to the majority analysis of vicarious liability. As I have already set out, I am not concerned with the direct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allegations against government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Rather than accepting the majority decision in </w:t>
      </w:r>
      <w:r>
        <w:rPr>
          <w:rFonts w:ascii="arial" w:eastAsia="arial" w:hAnsi="arial" w:cs="arial"/>
          <w:i/>
          <w:color w:val="000000"/>
          <w:sz w:val="20"/>
          <w:lang w:val="en-US" w:eastAsia="en-US" w:bidi="ar-SA"/>
        </w:rPr>
        <w:t>K.L.B.</w:t>
      </w:r>
      <w:r>
        <w:rPr>
          <w:rFonts w:ascii="arial" w:eastAsia="arial" w:hAnsi="arial" w:cs="arial"/>
          <w:color w:val="000000"/>
          <w:sz w:val="20"/>
          <w:lang w:val="en-US" w:eastAsia="en-US" w:bidi="ar-SA"/>
        </w:rPr>
        <w:t>, counsel for the plaintiff appears to rely on the dissent of Arbour J. Justice Arbour agreed with the majority that the traditional test for determining vicarious liability needed modifying to reflect the "non-commercial context of the government-administered foster care system" but suggested the inquiry should be into whether the foster parents acted on behalf of government rather than whether they acted on their own account as the majority held (para. 71). She went on to conclude that the "government has sufficient power of control over the foster parents' activities to justify finding vicarious liability" (para. 76). I am not permitted to follow the dissent on this central point of difference with the majority.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 find nothing in the majority discussion of vicarious liability to suggest that the test was limited to the circumstances of the particular case. Indeed, in reaching its conclusions, the majority commented that two other cases were heard at the same time that raised similar issues: </w:t>
      </w:r>
      <w:r>
        <w:rPr>
          <w:rFonts w:ascii="arial" w:eastAsia="arial" w:hAnsi="arial" w:cs="arial"/>
          <w:i/>
          <w:color w:val="000000"/>
          <w:sz w:val="20"/>
          <w:lang w:val="en-US" w:eastAsia="en-US" w:bidi="ar-SA"/>
        </w:rPr>
        <w:t>E.D.G. v. Hammer</w:t>
      </w:r>
      <w:r>
        <w:rPr>
          <w:rFonts w:ascii="arial" w:eastAsia="arial" w:hAnsi="arial" w:cs="arial"/>
          <w:color w:val="000000"/>
          <w:sz w:val="20"/>
          <w:lang w:val="en-US" w:eastAsia="en-US" w:bidi="ar-SA"/>
        </w:rPr>
        <w:t xml:space="preserve">, </w:t>
      </w:r>
      <w:hyperlink r:id="rId283" w:history="1">
        <w:r>
          <w:rPr>
            <w:rFonts w:ascii="arial" w:eastAsia="arial" w:hAnsi="arial" w:cs="arial"/>
            <w:i/>
            <w:color w:val="0077CC"/>
            <w:sz w:val="20"/>
            <w:u w:val="single"/>
            <w:shd w:val="clear" w:color="auto" w:fill="FFFFFF"/>
            <w:lang w:val="en-US" w:eastAsia="en-US" w:bidi="ar-SA"/>
          </w:rPr>
          <w:t>2003 SCC 52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M.B. v. British Columbia</w:t>
      </w:r>
      <w:r>
        <w:rPr>
          <w:rFonts w:ascii="arial" w:eastAsia="arial" w:hAnsi="arial" w:cs="arial"/>
          <w:color w:val="000000"/>
          <w:sz w:val="20"/>
          <w:lang w:val="en-US" w:eastAsia="en-US" w:bidi="ar-SA"/>
        </w:rPr>
        <w:t xml:space="preserve">, </w:t>
      </w:r>
      <w:hyperlink r:id="rId284" w:history="1">
        <w:r>
          <w:rPr>
            <w:rFonts w:ascii="arial" w:eastAsia="arial" w:hAnsi="arial" w:cs="arial"/>
            <w:i/>
            <w:color w:val="0077CC"/>
            <w:sz w:val="20"/>
            <w:u w:val="single"/>
            <w:shd w:val="clear" w:color="auto" w:fill="FFFFFF"/>
            <w:lang w:val="en-US" w:eastAsia="en-US" w:bidi="ar-SA"/>
          </w:rPr>
          <w:t>2003 SCC 53</w:t>
        </w:r>
      </w:hyperlink>
      <w:r>
        <w:rPr>
          <w:rFonts w:ascii="arial" w:eastAsia="arial" w:hAnsi="arial" w:cs="arial"/>
          <w:color w:val="000000"/>
          <w:sz w:val="20"/>
          <w:lang w:val="en-US" w:eastAsia="en-US" w:bidi="ar-SA"/>
        </w:rPr>
        <w:t xml:space="preserve">. Nothing in those decisions suggests that </w:t>
      </w:r>
      <w:r>
        <w:rPr>
          <w:rFonts w:ascii="arial" w:eastAsia="arial" w:hAnsi="arial" w:cs="arial"/>
          <w:i/>
          <w:color w:val="000000"/>
          <w:sz w:val="20"/>
          <w:lang w:val="en-US" w:eastAsia="en-US" w:bidi="ar-SA"/>
        </w:rPr>
        <w:t>K.L.B.</w:t>
      </w:r>
      <w:r>
        <w:rPr>
          <w:rFonts w:ascii="arial" w:eastAsia="arial" w:hAnsi="arial" w:cs="arial"/>
          <w:color w:val="000000"/>
          <w:sz w:val="20"/>
          <w:lang w:val="en-US" w:eastAsia="en-US" w:bidi="ar-SA"/>
        </w:rPr>
        <w:t xml:space="preserve"> is limited to the specific circumstances of that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spite of the efforts of counsel to persuade me otherwise, I consider myself bound by the majority decision in </w:t>
      </w:r>
      <w:r>
        <w:rPr>
          <w:rFonts w:ascii="arial" w:eastAsia="arial" w:hAnsi="arial" w:cs="arial"/>
          <w:i/>
          <w:color w:val="000000"/>
          <w:sz w:val="20"/>
          <w:lang w:val="en-US" w:eastAsia="en-US" w:bidi="ar-SA"/>
        </w:rPr>
        <w:t>K.L.B.</w:t>
      </w:r>
      <w:r>
        <w:rPr>
          <w:rFonts w:ascii="arial" w:eastAsia="arial" w:hAnsi="arial" w:cs="arial"/>
          <w:color w:val="000000"/>
          <w:sz w:val="20"/>
          <w:lang w:val="en-US" w:eastAsia="en-US" w:bidi="ar-SA"/>
        </w:rPr>
        <w:t xml:space="preserve"> on the question whether the government can be found vicariously liable for the tortious acts of foster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the result, I find it plain and obvious that paragraphs 23 and 24 of the amended statement of claim fail to disclose a reasonable cause of action insofar as they allege vicarious liability for the alleged tortious conduct of Donaghey and King. Counsel may speak to the matter if they cannot agree on the necessary amendments to paragraphs 23 and 24 to comply with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turn next to the application to strike paragraph 30 of the amended statement of claim. There, the plaintiffs expressly refer to the Ministry of Attorney General. As counsel for the plaintiffs describes it, the allegations relate specifically to duties said to be owed by the Attorney General. For convenience, I set out the content of paragraph 30 again here:</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HMTQ (Ministry of Attorney General) breached his duty of care and fiduciary duty in relation to the Infant by:</w:t>
      </w:r>
    </w:p>
    <w:p>
      <w:pPr>
        <w:numPr>
          <w:numId w:val="1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adequately provide due process to the infant and/or the Parents in relation to the Parents' objections to the apprehension by the Director;</w:t>
      </w:r>
    </w:p>
    <w:p>
      <w:pPr>
        <w:numPr>
          <w:numId w:val="1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failing to implement or provide access to justice and/or due process pursuant to the objections of Section 37 of the Act and of the Act generally, and/or within the objectives and/or its obligations pursuant to the </w:t>
      </w:r>
      <w:r>
        <w:rPr>
          <w:rFonts w:ascii="arial" w:eastAsia="arial" w:hAnsi="arial" w:cs="arial"/>
          <w:color w:val="000000"/>
          <w:sz w:val="20"/>
          <w:u w:val="single"/>
          <w:lang w:val="en-US" w:eastAsia="en-US" w:bidi="ar-SA"/>
        </w:rPr>
        <w:t>Charter of Rights and Freedoms</w:t>
      </w:r>
      <w:r>
        <w:rPr>
          <w:rFonts w:ascii="arial" w:eastAsia="arial" w:hAnsi="arial" w:cs="arial"/>
          <w:color w:val="000000"/>
          <w:sz w:val="20"/>
          <w:lang w:val="en-US" w:eastAsia="en-US" w:bidi="ar-SA"/>
        </w:rPr>
        <w:t>;</w:t>
      </w:r>
    </w:p>
    <w:p>
      <w:pPr>
        <w:numPr>
          <w:numId w:val="1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provide for adequate legal representation for the Infant and/or the Parents;</w:t>
      </w:r>
    </w:p>
    <w:p>
      <w:pPr>
        <w:numPr>
          <w:numId w:val="1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adequately fund and/or allocate resources to the Provincial Court of British Columbia such that the Protection Hearing could have proceeded as expeditiously as possible, but in any event within 45 days of the Presentation Hearing;</w:t>
      </w:r>
    </w:p>
    <w:p>
      <w:pPr>
        <w:numPr>
          <w:numId w:val="1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particulars that are not yet known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As earlier set out, the plaintiffs contend that the protection hearing did not occur within the time required by s. 37 of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Based on a reading of the amended statement of claim, the theory of the plaintiffs appears to be that the Attorney General, as head of the Ministry of the Attorney General, owed a private law duty of care to the plaintiffs to ensure that they had legal representation, presumably government funded, and that the court system was adequately funded to meet the statutory obligation to hold the protection hearing within the required time limit. Flowing from that, presumably, is the proposition that, if funding was in place, the hearing would have proceeded and the court would have ordered the return of Cody to his parents. In the result, the infant would not have been placed in the Donaghey King home and at risk of sustaining the injury that the foster parents allegedly caused by their tortious acts. The plaintiffs characterize the same facts as a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 observe that s. 30(b) also refers to a breach of the </w:t>
      </w:r>
      <w:r>
        <w:rPr>
          <w:rFonts w:ascii="arial" w:eastAsia="arial" w:hAnsi="arial" w:cs="arial"/>
          <w:i/>
          <w:color w:val="000000"/>
          <w:sz w:val="20"/>
          <w:lang w:val="en-US" w:eastAsia="en-US" w:bidi="ar-SA"/>
        </w:rPr>
        <w:t>Charter of Rights and Freedoms</w:t>
      </w:r>
      <w:r>
        <w:rPr>
          <w:rFonts w:ascii="arial" w:eastAsia="arial" w:hAnsi="arial" w:cs="arial"/>
          <w:color w:val="000000"/>
          <w:sz w:val="20"/>
          <w:lang w:val="en-US" w:eastAsia="en-US" w:bidi="ar-SA"/>
        </w:rPr>
        <w:t xml:space="preserve"> even though the plaintiffs have not claimed any specific relief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In oral submissions, counsel for the plaintiffs stated that they allege breaches of the duties of the Attorney General as set out in the following statutes, including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Legal Services Society Act</w:t>
      </w:r>
      <w:r>
        <w:rPr>
          <w:rFonts w:ascii="arial" w:eastAsia="arial" w:hAnsi="arial" w:cs="arial"/>
          <w:color w:val="000000"/>
          <w:sz w:val="20"/>
          <w:lang w:val="en-US" w:eastAsia="en-US" w:bidi="ar-SA"/>
        </w:rPr>
        <w:t xml:space="preserve">, </w:t>
      </w:r>
      <w:hyperlink r:id="rId278" w:history="1">
        <w:r>
          <w:rPr>
            <w:rFonts w:ascii="arial" w:eastAsia="arial" w:hAnsi="arial" w:cs="arial"/>
            <w:i/>
            <w:color w:val="0077CC"/>
            <w:sz w:val="20"/>
            <w:u w:val="single"/>
            <w:shd w:val="clear" w:color="auto" w:fill="FFFFFF"/>
            <w:lang w:val="en-US" w:eastAsia="en-US" w:bidi="ar-SA"/>
          </w:rPr>
          <w:t>S.B.C. 2002, c. 30, ss. 18</w:t>
        </w:r>
      </w:hyperlink>
      <w:r>
        <w:rPr>
          <w:rFonts w:ascii="arial" w:eastAsia="arial" w:hAnsi="arial" w:cs="arial"/>
          <w:color w:val="000000"/>
          <w:sz w:val="20"/>
          <w:lang w:val="en-US" w:eastAsia="en-US" w:bidi="ar-SA"/>
        </w:rPr>
        <w:t>, 21:</w:t>
      </w:r>
    </w:p>
    <w:p>
      <w:pPr>
        <w:numPr>
          <w:numId w:val="1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society must provide a budget to the Attorney General when directed to do so by the Attorney General.</w:t>
      </w:r>
    </w:p>
    <w:p>
      <w:pPr>
        <w:numPr>
          <w:numId w:val="14"/>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Attorney General does not approve the budget provided under subsection (1), the Attorney General may return the budget to the society and require the society to prepare a revised budget.</w:t>
      </w:r>
    </w:p>
    <w:p>
      <w:pPr>
        <w:numPr>
          <w:numId w:val="15"/>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budget is returned to the society under subsection (2), the society must promptly revise the budget and provide the revised budget to the Attorney General.</w:t>
      </w:r>
    </w:p>
    <w:p>
      <w:pPr>
        <w:numPr>
          <w:numId w:val="1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Attorney General may approve a budget provided under this section and, if the Attorney General does not return to the society a budget presented under subsection (1) or (3) within 30 days after receipt, the budget is deemed to have the approval of the Attorney General.</w:t>
      </w:r>
    </w:p>
    <w:p>
      <w:pPr>
        <w:numPr>
          <w:numId w:val="1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Subsections (2) to (4) apply to a revised budget prepared under subsection (3).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668"/>
        <w:gridCol w:w="730"/>
        <w:gridCol w:w="240"/>
        <w:gridCol w:w="6776"/>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w:t>
            </w:r>
          </w:p>
        </w:tc>
        <w:tc>
          <w:tcPr>
            <w:tcW w:w="71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Attorney General and the society are to enter into negotiations in an attempt to arrive at a memorandum of understanding as follows: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8"/>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promptly after the coming into force of this Act, the parties are to enter into negotiations in an attempt to arrive at a memorandum of understanding that is to apply until March 31, 2005;</w:t>
      </w:r>
    </w:p>
    <w:p>
      <w:pPr>
        <w:numPr>
          <w:numId w:val="18"/>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the end of the 2004-2005 fiscal year and before the end of every third fiscal year after that, the parties are to enter into negotiations in an attempt to arrive at a memorandum of understanding that is to apply until the end of the third fiscal year following the fiscal year in which the negotiations for that memorandum of understanding begin.</w:t>
      </w:r>
    </w:p>
    <w:p>
      <w:pPr>
        <w:numPr>
          <w:numId w:val="2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matters that may be negotiated as part of the memorandum of understanding include the following:</w:t>
      </w:r>
    </w:p>
    <w:p>
      <w:pPr>
        <w:numPr>
          <w:numId w:val="22"/>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an estimate of the government funding that the Attorney General anticipates will be provided to the society in each of the 3 fiscal years to which the memorandum of understanding is to apply;</w:t>
      </w:r>
    </w:p>
    <w:p>
      <w:pPr>
        <w:numPr>
          <w:numId w:val="22"/>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types of legal matters in relation to which the society may provide legal aid, and those in relation to which the society must not provide legal aid, with government funding;</w:t>
      </w:r>
    </w:p>
    <w:p>
      <w:pPr>
        <w:numPr>
          <w:numId w:val="22"/>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priority to be accorded to the types of legal matters in relation to which the society may provide legal aid with government funding;</w:t>
      </w:r>
    </w:p>
    <w:p>
      <w:pPr>
        <w:numPr>
          <w:numId w:val="22"/>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how, if at all, the society is to be able to provide, with government funding, legal aid in circumstances that are not contemplated by, or do not accord with, the terms and conditions established under paragraphs (b) and (c);</w:t>
      </w:r>
    </w:p>
    <w:p>
      <w:pPr>
        <w:numPr>
          <w:numId w:val="22"/>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society's participation in justice reform initiatives;</w:t>
      </w:r>
    </w:p>
    <w:p>
      <w:pPr>
        <w:numPr>
          <w:numId w:val="22"/>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an annual review with the Attorney General of the budget of the society and the measures taken and to be taken by the society to implement the terms of the memorandum of understanding.</w:t>
      </w:r>
    </w:p>
    <w:p>
      <w:pPr>
        <w:numPr>
          <w:numId w:val="2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Lieutenant Governor in Council may make regulations respecting matters set out in one or more of paragraphs (b) to (d) of subsection (2) if,</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case of a memorandum of understanding to be negotiated under subsection (1) (a), the parties have not signed a memorandum of understanding before March 31, 2003,</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case of a memorandum of understanding to be negotiated under subsection (1) (b), the parties have not signed that memorandum of understanding before the expiry of the most recent memorandum of understanding, or</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society has not complied with one or more of the terms and conditions of the memorandum of understanding that were established under subsection (2) (b), (c) or (d).</w:t>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 act of the society is invalid merely because the act contravenes the memorandum of understanding.</w:t>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 legal proceeding for damages lies or may be commenced or maintained against the society because of any breach by the society of the memorandum of understanding.</w:t>
      </w:r>
    </w:p>
    <w:p>
      <w:pPr>
        <w:numPr>
          <w:numId w:val="26"/>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i/>
          <w:color w:val="000000"/>
          <w:sz w:val="20"/>
          <w:lang w:val="en-US" w:eastAsia="en-US" w:bidi="ar-SA"/>
        </w:rPr>
        <w:t>Attorney General Act</w:t>
      </w:r>
      <w:r>
        <w:rPr>
          <w:rFonts w:ascii="arial" w:eastAsia="arial" w:hAnsi="arial" w:cs="arial"/>
          <w:color w:val="000000"/>
          <w:sz w:val="20"/>
          <w:lang w:val="en-US" w:eastAsia="en-US" w:bidi="ar-SA"/>
        </w:rPr>
        <w:t xml:space="preserve">, </w:t>
      </w:r>
      <w:hyperlink r:id="rId276" w:history="1">
        <w:r>
          <w:rPr>
            <w:rFonts w:ascii="arial" w:eastAsia="arial" w:hAnsi="arial" w:cs="arial"/>
            <w:i/>
            <w:color w:val="0077CC"/>
            <w:sz w:val="20"/>
            <w:u w:val="single"/>
            <w:shd w:val="clear" w:color="auto" w:fill="FFFFFF"/>
            <w:lang w:val="en-US" w:eastAsia="en-US" w:bidi="ar-SA"/>
          </w:rPr>
          <w:t>R.S.B.C. 1996, c. 22, s. 2</w:t>
        </w:r>
      </w:hyperlink>
      <w:r>
        <w:rPr>
          <w:rFonts w:ascii="arial" w:eastAsia="arial" w:hAnsi="arial" w:cs="arial"/>
          <w:color w:val="000000"/>
          <w:sz w:val="20"/>
          <w:lang w:val="en-US" w:eastAsia="en-US" w:bidi="ar-SA"/>
        </w:rPr>
        <w:t>:</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Attorney General</w:t>
      </w:r>
    </w:p>
    <w:p>
      <w:pPr>
        <w:numPr>
          <w:numId w:val="2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official legal adviser of the Lieutenant Governor and the legal member of the Executive Council,</w:t>
      </w:r>
    </w:p>
    <w:p>
      <w:pPr>
        <w:numPr>
          <w:numId w:val="2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see that the administration of public affairs is in accordance with law,</w:t>
      </w:r>
    </w:p>
    <w:p>
      <w:pPr>
        <w:numPr>
          <w:numId w:val="2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superintend all matters connected with the administration of justice in British Columbia that are not within the jurisdiction of the government of Canada,</w:t>
      </w:r>
    </w:p>
    <w:p>
      <w:pPr>
        <w:numPr>
          <w:numId w:val="2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advise on the legislative acts and proceedings of the Legislature and generally advise the government on all matters of law referred to the Attorney General by the government,</w:t>
      </w:r>
    </w:p>
    <w:p>
      <w:pPr>
        <w:numPr>
          <w:numId w:val="2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is entrusted with the powers and charged with the duties which belong to the office of the Attorney General and Solicitor General of England by law or usage, so far as those powers and duties are applicable to British Columbia, and also with the powers and duties which, by the laws of Canada and of British Columbia to be administered and carried into effect by the government of British Columbia, belong to the office of the Attorney General and Solicitor General,</w:t>
      </w:r>
    </w:p>
    <w:p>
      <w:pPr>
        <w:numPr>
          <w:numId w:val="2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advise the heads of the ministries of the government on all matters of law connected with the ministries,</w:t>
      </w:r>
    </w:p>
    <w:p>
      <w:pPr>
        <w:numPr>
          <w:numId w:val="2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is charged with the settlement of all instruments issued under the Great Seal of British Columbia,</w:t>
      </w:r>
    </w:p>
    <w:p>
      <w:pPr>
        <w:numPr>
          <w:numId w:val="2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[Repealed 1997-7-17.]</w:t>
      </w:r>
    </w:p>
    <w:p>
      <w:pPr>
        <w:numPr>
          <w:numId w:val="2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regulation and conduct of all litigation for or against the government or a ministry in respect of any subjects within the authority or jurisdiction of the legislature, and</w:t>
      </w:r>
    </w:p>
    <w:p>
      <w:pPr>
        <w:numPr>
          <w:numId w:val="2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is charged generally with duties as may be assigned by law or by the Lieutenant Governor in Council to the Attorney General.</w:t>
      </w:r>
    </w:p>
    <w:p>
      <w:pPr>
        <w:numPr>
          <w:numId w:val="2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i/>
          <w:color w:val="000000"/>
          <w:sz w:val="20"/>
          <w:lang w:val="en-US" w:eastAsia="en-US" w:bidi="ar-SA"/>
        </w:rPr>
        <w:t>Provincial Court Act</w:t>
      </w:r>
      <w:r>
        <w:rPr>
          <w:rFonts w:ascii="arial" w:eastAsia="arial" w:hAnsi="arial" w:cs="arial"/>
          <w:color w:val="000000"/>
          <w:sz w:val="20"/>
          <w:lang w:val="en-US" w:eastAsia="en-US" w:bidi="ar-SA"/>
        </w:rPr>
        <w:t xml:space="preserve">, </w:t>
      </w:r>
      <w:hyperlink r:id="rId279" w:history="1">
        <w:r>
          <w:rPr>
            <w:rFonts w:ascii="arial" w:eastAsia="arial" w:hAnsi="arial" w:cs="arial"/>
            <w:i/>
            <w:color w:val="0077CC"/>
            <w:sz w:val="20"/>
            <w:u w:val="single"/>
            <w:shd w:val="clear" w:color="auto" w:fill="FFFFFF"/>
            <w:lang w:val="en-US" w:eastAsia="en-US" w:bidi="ar-SA"/>
          </w:rPr>
          <w:t>R.S.B.C. 1996, c. 379, s. 41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668"/>
        <w:gridCol w:w="730"/>
        <w:gridCol w:w="240"/>
        <w:gridCol w:w="6776"/>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41.</w:t>
            </w:r>
          </w:p>
        </w:tc>
        <w:tc>
          <w:tcPr>
            <w:tcW w:w="71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Attorney General is responsible for the provision, operation and maintenance of court facilities and services.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3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the direction of the Attorney General, and to the direction of the chief judge in matters of judicial administration, the chief administrator of court services must direct and supervise facilities, registries and administrative services for the court.</w:t>
      </w:r>
    </w:p>
    <w:p>
      <w:pPr>
        <w:numPr>
          <w:numId w:val="3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Attorney General may appoint, under the </w:t>
      </w:r>
      <w:r>
        <w:rPr>
          <w:rFonts w:ascii="arial" w:eastAsia="arial" w:hAnsi="arial" w:cs="arial"/>
          <w:i/>
          <w:color w:val="000000"/>
          <w:sz w:val="20"/>
          <w:lang w:val="en-US" w:eastAsia="en-US" w:bidi="ar-SA"/>
        </w:rPr>
        <w:t>Public Service Act</w:t>
      </w:r>
      <w:r>
        <w:rPr>
          <w:rFonts w:ascii="arial" w:eastAsia="arial" w:hAnsi="arial" w:cs="arial"/>
          <w:color w:val="000000"/>
          <w:sz w:val="20"/>
          <w:lang w:val="en-US" w:eastAsia="en-US" w:bidi="ar-SA"/>
        </w:rPr>
        <w:t>, persons the Attorney General considers necessary to carry out the purposes of this Act.</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chief administrator of court services, for the purposes of carrying out his or her duties under this Act, may disclose to the chief judge information regarding the conduct of persons appointed under subsection (3) in the performance of their duties under this Act.</w:t>
      </w:r>
    </w:p>
    <w:p>
      <w:pPr>
        <w:numPr>
          <w:numId w:val="3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Attorney General may make regulations respecting the operation and maintenance of court facilities and services.</w:t>
      </w:r>
    </w:p>
    <w:p>
      <w:pPr>
        <w:numPr>
          <w:numId w:val="3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i/>
          <w:color w:val="000000"/>
          <w:sz w:val="20"/>
          <w:lang w:val="en-US" w:eastAsia="en-US" w:bidi="ar-SA"/>
        </w:rPr>
        <w:t>Child, Family and Community Service Act</w:t>
      </w:r>
      <w:r>
        <w:rPr>
          <w:rFonts w:ascii="arial" w:eastAsia="arial" w:hAnsi="arial" w:cs="arial"/>
          <w:color w:val="000000"/>
          <w:sz w:val="20"/>
          <w:lang w:val="en-US" w:eastAsia="en-US" w:bidi="ar-SA"/>
        </w:rPr>
        <w:t xml:space="preserve">, </w:t>
      </w:r>
      <w:hyperlink r:id="rId277" w:history="1">
        <w:r>
          <w:rPr>
            <w:rFonts w:ascii="arial" w:eastAsia="arial" w:hAnsi="arial" w:cs="arial"/>
            <w:i/>
            <w:color w:val="0077CC"/>
            <w:sz w:val="20"/>
            <w:u w:val="single"/>
            <w:shd w:val="clear" w:color="auto" w:fill="FFFFFF"/>
            <w:lang w:val="en-US" w:eastAsia="en-US" w:bidi="ar-SA"/>
          </w:rPr>
          <w:t>R.S.B.C. 1996, c. 46, ss. 37</w:t>
        </w:r>
      </w:hyperlink>
      <w:r>
        <w:rPr>
          <w:rFonts w:ascii="arial" w:eastAsia="arial" w:hAnsi="arial" w:cs="arial"/>
          <w:color w:val="000000"/>
          <w:sz w:val="20"/>
          <w:lang w:val="en-US" w:eastAsia="en-US" w:bidi="ar-SA"/>
        </w:rPr>
        <w:t>,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668"/>
        <w:gridCol w:w="730"/>
        <w:gridCol w:w="240"/>
        <w:gridCol w:w="6776"/>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37.</w:t>
            </w:r>
          </w:p>
        </w:tc>
        <w:tc>
          <w:tcPr>
            <w:tcW w:w="71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At the conclusion of a presentation hearing under section 33.2, 35 or 36(2), the court must set the earliest possible date for a hearing to determine if the child needs protection, or confirm any date previously set for the protection hearing, unless the court has made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34"/>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no order under section 33.2(2),</w:t>
      </w:r>
    </w:p>
    <w:p>
      <w:pPr>
        <w:numPr>
          <w:numId w:val="34"/>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under section 35 (2)(c), or</w:t>
      </w:r>
    </w:p>
    <w:p>
      <w:pPr>
        <w:numPr>
          <w:numId w:val="34"/>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a consent order under section 60.</w:t>
      </w:r>
    </w:p>
    <w:p>
      <w:pPr>
        <w:numPr>
          <w:numId w:val="3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date set under subsection (1) for commencing the hearing must not be more than 45 days after the conclusion of the presentation hearing, and the hearing must be concluded as soon as possible.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668"/>
        <w:gridCol w:w="730"/>
        <w:gridCol w:w="240"/>
        <w:gridCol w:w="6776"/>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41.</w:t>
            </w:r>
          </w:p>
        </w:tc>
        <w:tc>
          <w:tcPr>
            <w:tcW w:w="71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Subject to subsection (2.1), if the court finds that the child needs protection, it must make one of the following orders in the child's best interests: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38"/>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child be returned to or remain in the custody of the parent apparently entitled to custody and be under the director's supervision for a specified period of up to 6 months;</w:t>
      </w:r>
    </w:p>
    <w:p>
      <w:pPr>
        <w:numPr>
          <w:numId w:val="38"/>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child be placed in the custody of a person other than a parent with the consent of the other person and under the director's supervision, for a specified period in accordance with section 43;</w:t>
      </w:r>
    </w:p>
    <w:p>
      <w:pPr>
        <w:numPr>
          <w:numId w:val="38"/>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child remain or be placed in the custody of the director for a specified period in accordance with section 43;</w:t>
      </w:r>
    </w:p>
    <w:p>
      <w:pPr>
        <w:numPr>
          <w:numId w:val="38"/>
        </w:numPr>
        <w:tabs>
          <w:tab w:val="clear" w:pos="148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child be placed in the continuing custody of the director.</w:t>
      </w:r>
    </w:p>
    <w:p>
      <w:pPr>
        <w:numPr>
          <w:numId w:val="3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an order is made under subsection (1) (b) or (c), the court may order that on the expiry of the order under subsection (1) (b) or (c) the child</w:t>
      </w:r>
    </w:p>
    <w:p>
      <w:pPr>
        <w:numPr>
          <w:numId w:val="4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be returned to the parent, and</w:t>
      </w:r>
    </w:p>
    <w:p>
      <w:pPr>
        <w:numPr>
          <w:numId w:val="4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be under the director's supervision for a specified period of up to 6 months.</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must not order under subsection (1) (d) that the child be placed in the continuing custody of the director unless</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identity or location of a parent of the child has not been found after a diligent search and is not likely to be found,</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parent is unable or unwilling to resume custody of the child, or</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and extent of the harm the child has suffered or the likelihood that the child will suffer harm is such that there is little prospect it would be in the child's best interests to be returned to the parent.</w:t>
      </w:r>
    </w:p>
    <w:p>
      <w:pPr>
        <w:numPr>
          <w:numId w:val="4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an order was made under section 33.2 (2), the child has not been removed since that order was made and the court finds that the child needs protection, the court must order that the director supervise the child's care for a specified period of up to 6 months.</w:t>
      </w:r>
    </w:p>
    <w:p>
      <w:pPr>
        <w:numPr>
          <w:numId w:val="4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may attach to an order under this section any terms or conditions recommended by the director to implement a plan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plaintiffs say that the duties owed are private as well as public law duties and summarizes them as two-fold in nature:</w:t>
      </w:r>
      <w:r>
        <w:rPr>
          <w:rFonts w:ascii="arial" w:eastAsia="arial" w:hAnsi="arial" w:cs="arial"/>
          <w:sz w:val="20"/>
          <w:lang w:val="en-US" w:eastAsia="en-US" w:bidi="ar-SA"/>
        </w:rPr>
        <w:cr/>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see that the administration of public affairs is in accordance with the law; and</w:t>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act in the best interests of the apprehended infant.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Ultimately, the plaintiffs say that it is up to the Attorney General to ensure that the protection hearing takes place within the time period fixed in s. 37 of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xml:space="preserve">. Further, they say that the legislation is obviously mandatory to ensure that the best interests of the child are properly addressed. The Attorney General is operationally responsible for all government litigation and must exert his powers to ensure compliance with the </w:t>
      </w:r>
      <w:r>
        <w:rPr>
          <w:rFonts w:ascii="arial" w:eastAsia="arial" w:hAnsi="arial" w:cs="arial"/>
          <w:i/>
          <w:color w:val="000000"/>
          <w:sz w:val="20"/>
          <w:lang w:val="en-US" w:eastAsia="en-US" w:bidi="ar-SA"/>
        </w:rPr>
        <w:t>CFCSA</w:t>
      </w:r>
      <w:r>
        <w:rPr>
          <w:rFonts w:ascii="arial" w:eastAsia="arial" w:hAnsi="arial" w:cs="arial"/>
          <w:color w:val="000000"/>
          <w:sz w:val="20"/>
          <w:lang w:val="en-US" w:eastAsia="en-US" w:bidi="ar-SA"/>
        </w:rPr>
        <w:t>. As to the powers of the Attorney General, the plaintiffs say that within his operational responsibilities for the implementation, organization and administration of the courts, he can hire judges, staff registries and otherwise allocate resources to ensure compliance.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my view, the plaintiffs misconceive the nature of the Attorney General's statutory duties. While not all of the duties identified above are properly ascribed to the Attorney General, for example the funding of legal aid or the court system, those that are his responsibility are, in each case, part of his public law duty and, for the reasons following, do not give rise to any private law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There is no question that in order to successfully sue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plaintiffs must show that the Attorney General owed a private law duty of care to the plaintiffs; breached the relevant standard of care; and the plaintiffs suffered damages causally related to the breach. See, for example, </w:t>
      </w:r>
      <w:r>
        <w:rPr>
          <w:rFonts w:ascii="arial" w:eastAsia="arial" w:hAnsi="arial" w:cs="arial"/>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285" w:history="1">
        <w:r>
          <w:rPr>
            <w:rFonts w:ascii="arial" w:eastAsia="arial" w:hAnsi="arial" w:cs="arial"/>
            <w:i/>
            <w:color w:val="0077CC"/>
            <w:sz w:val="20"/>
            <w:u w:val="single"/>
            <w:shd w:val="clear" w:color="auto" w:fill="FFFFFF"/>
            <w:lang w:val="en-US" w:eastAsia="en-US" w:bidi="ar-SA"/>
          </w:rPr>
          <w:t>2003 SCC 69</w:t>
        </w:r>
      </w:hyperlink>
      <w:r>
        <w:rPr>
          <w:rFonts w:ascii="arial" w:eastAsia="arial" w:hAnsi="arial" w:cs="arial"/>
          <w:color w:val="000000"/>
          <w:sz w:val="20"/>
          <w:lang w:val="en-US" w:eastAsia="en-US" w:bidi="ar-SA"/>
        </w:rPr>
        <w:t xml:space="preserve"> at para. 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For the purpose of my analysis, I assume that the plaintiffs can overcome the obvious causation problems associated with their theory of liability, namely that adequate funding would have resulted in a hearing within the statutory time frame and the hearing would have resulted in an order that the infant be returned to his parents before December 20, 2006, the date on which he sustained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duty of care analysis required here proceeds in two steps:</w:t>
      </w:r>
      <w:r>
        <w:rPr>
          <w:rFonts w:ascii="arial" w:eastAsia="arial" w:hAnsi="arial" w:cs="arial"/>
          <w:sz w:val="20"/>
          <w:lang w:val="en-US" w:eastAsia="en-US" w:bidi="ar-SA"/>
        </w:rPr>
        <w:cr/>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there foreseeability of harm and a sufficient relationship of proximity to give rise to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and</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so, are there policy considerations that negative the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w:t>
      </w:r>
      <w:r>
        <w:rPr>
          <w:rFonts w:ascii="arial" w:eastAsia="arial" w:hAnsi="arial" w:cs="arial"/>
          <w:i/>
          <w:color w:val="000000"/>
          <w:sz w:val="20"/>
          <w:lang w:val="en-US" w:eastAsia="en-US" w:bidi="ar-SA"/>
        </w:rPr>
        <w:t>Anns v. Merton London Borough Council</w:t>
      </w:r>
      <w:r>
        <w:rPr>
          <w:rFonts w:ascii="arial" w:eastAsia="arial" w:hAnsi="arial" w:cs="arial"/>
          <w:color w:val="000000"/>
          <w:sz w:val="20"/>
          <w:lang w:val="en-US" w:eastAsia="en-US" w:bidi="ar-SA"/>
        </w:rPr>
        <w:t xml:space="preserve">, [1978] A.C. 728 (H.L.), as modified in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233"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There are some difficulties with foreseeability in the present circumstances. Counsel for the government says that it cannot be said that it was within the foreseeable contemplation of government that a failure to sufficiently fund the court system and legal aid would result in the protection hearing not proceeding in a timely way and, as a further consequence of that failure, the infant would be intentionally assaulted by his foster parents. In spite of those difficulties, which apply more, in my view, to the second consequence, I prefer to base my decision on the balance of the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Proximity at the first stage of the modified </w:t>
      </w:r>
      <w:r>
        <w:rPr>
          <w:rFonts w:ascii="arial" w:eastAsia="arial" w:hAnsi="arial" w:cs="arial"/>
          <w:i/>
          <w:color w:val="000000"/>
          <w:sz w:val="20"/>
          <w:lang w:val="en-US" w:eastAsia="en-US" w:bidi="ar-SA"/>
        </w:rPr>
        <w:t>Anns/Cooper</w:t>
      </w:r>
      <w:r>
        <w:rPr>
          <w:rFonts w:ascii="arial" w:eastAsia="arial" w:hAnsi="arial" w:cs="arial"/>
          <w:color w:val="000000"/>
          <w:sz w:val="20"/>
          <w:lang w:val="en-US" w:eastAsia="en-US" w:bidi="ar-SA"/>
        </w:rPr>
        <w:t xml:space="preserve"> test may be established by reference to existing categories. Where a duty of care is allegedly owed in novel cases, the court must undertake the proximity analysis mandated in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As counsel for the government accurately submitted, proximity "denotes a relationship between the defendant's acts or omissions that is sufficiently close that it is just and fair to impose civil liability if the former negligently harms the latter." In the context of claims against a public body in relation to the exercise of statutory duties, any private duty of care must be found in the provisions of the relevant statute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at para. 43). In other words, the Attorney General has no potential source of duty owed independently of statute.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reviewing the statutory provisions that the plaintiffs rely on here, it is necessary to distinguish between the public law duties of the minister, or his delegate, in exercising the duty and a private law duty of care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 agree with counsel for the government that the plaintiffs tend to blur this distinction. Public officials who stray from their statutory jurisdiction are subject to judicial review by the superior courts but it does not automatically follow that they are also subject to civil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This point is illustrated by </w:t>
      </w:r>
      <w:r>
        <w:rPr>
          <w:rFonts w:ascii="arial" w:eastAsia="arial" w:hAnsi="arial" w:cs="arial"/>
          <w:i/>
          <w:color w:val="000000"/>
          <w:sz w:val="20"/>
          <w:lang w:val="en-US" w:eastAsia="en-US" w:bidi="ar-SA"/>
        </w:rPr>
        <w:t>Holland v. Saskatchewan</w:t>
      </w:r>
      <w:r>
        <w:rPr>
          <w:rFonts w:ascii="arial" w:eastAsia="arial" w:hAnsi="arial" w:cs="arial"/>
          <w:color w:val="000000"/>
          <w:sz w:val="20"/>
          <w:lang w:val="en-US" w:eastAsia="en-US" w:bidi="ar-SA"/>
        </w:rPr>
        <w:t xml:space="preserve">, </w:t>
      </w:r>
      <w:hyperlink r:id="rId286" w:history="1">
        <w:r>
          <w:rPr>
            <w:rFonts w:ascii="arial" w:eastAsia="arial" w:hAnsi="arial" w:cs="arial"/>
            <w:i/>
            <w:color w:val="0077CC"/>
            <w:sz w:val="20"/>
            <w:u w:val="single"/>
            <w:shd w:val="clear" w:color="auto" w:fill="FFFFFF"/>
            <w:lang w:val="en-US" w:eastAsia="en-US" w:bidi="ar-SA"/>
          </w:rPr>
          <w:t>2008 SCC 42</w:t>
        </w:r>
      </w:hyperlink>
      <w:r>
        <w:rPr>
          <w:rFonts w:ascii="arial" w:eastAsia="arial" w:hAnsi="arial" w:cs="arial"/>
          <w:color w:val="000000"/>
          <w:sz w:val="20"/>
          <w:lang w:val="en-US" w:eastAsia="en-US" w:bidi="ar-SA"/>
        </w:rPr>
        <w:t xml:space="preserve">. In that case, the plaintiff first commenced a successful judicial review respecting a statutory decision but then commenced a tort action alleging that the government owed a duty of care not to act unlawfully. Ultimately, the Saskatchewan Court of Appeal struck the claim on the basis that no such duty was owed, </w:t>
      </w:r>
      <w:hyperlink r:id="rId287" w:history="1">
        <w:r>
          <w:rPr>
            <w:rFonts w:ascii="arial" w:eastAsia="arial" w:hAnsi="arial" w:cs="arial"/>
            <w:i/>
            <w:color w:val="0077CC"/>
            <w:sz w:val="20"/>
            <w:u w:val="single"/>
            <w:shd w:val="clear" w:color="auto" w:fill="FFFFFF"/>
            <w:lang w:val="en-US" w:eastAsia="en-US" w:bidi="ar-SA"/>
          </w:rPr>
          <w:t>[2007] S.J. No. 75</w:t>
        </w:r>
      </w:hyperlink>
      <w:r>
        <w:rPr>
          <w:rFonts w:ascii="arial" w:eastAsia="arial" w:hAnsi="arial" w:cs="arial"/>
          <w:color w:val="000000"/>
          <w:sz w:val="20"/>
          <w:lang w:val="en-US" w:eastAsia="en-US" w:bidi="ar-SA"/>
        </w:rPr>
        <w:t xml:space="preserve">. The Supreme Court of Canada agreed, for the most part, with the Court of Appeal. First, the court generally accepted the characterization of the claim as "negligently acting outside the law" (para. 7); then embarked on the two-step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applicable to novel causes of action; determined that traditionally judicial review is the proper remedy for breach of statutory duty by a public authority (para. 9); and then concluded, at paras. 10-11:</w:t>
      </w:r>
      <w:r>
        <w:rPr>
          <w:rFonts w:ascii="arial" w:eastAsia="arial" w:hAnsi="arial" w:cs="arial"/>
          <w:sz w:val="20"/>
          <w:lang w:val="en-US" w:eastAsia="en-US" w:bidi="ar-SA"/>
        </w:rPr>
        <w:cr/>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next question was whether a hitherto unrecognized relationship of potential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should be recognized under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Assuming, without deciding, that the legislative and regulatory matrix established proximity between the Class and the government at the first step, policy considerations would negate recognition of liability, as the Court of Appeal detailed. These include the chilling effect and specter of indeterminate liability. As Richards J.A. stated at para. 43 of the Court of Appeal's decision: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respondent's theory of liability would fundamentally shift the way in which the public and private spheres historically have carried the consequences or burden of governmental action which is shown to be </w:t>
      </w:r>
      <w:r>
        <w:rPr>
          <w:rFonts w:ascii="arial" w:eastAsia="arial" w:hAnsi="arial" w:cs="arial"/>
          <w:i/>
          <w:color w:val="000000"/>
          <w:sz w:val="20"/>
          <w:lang w:val="en-US" w:eastAsia="en-US" w:bidi="ar-SA"/>
        </w:rPr>
        <w:t>ultra vires</w:t>
      </w:r>
      <w:r>
        <w:rPr>
          <w:rFonts w:ascii="arial" w:eastAsia="arial" w:hAnsi="arial" w:cs="arial"/>
          <w:color w:val="000000"/>
          <w:sz w:val="20"/>
          <w:lang w:val="en-US" w:eastAsia="en-US" w:bidi="ar-SA"/>
        </w:rPr>
        <w:t>. I see no policy reason which would warrant such a dramatic revision in the shape of the law and, as indicated above, see much which cuts tellingly against shaping the law in the manner sought by the respondent.</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therefore agree with the Court of Appeal that the appellant's claim for negligently acting outside the law, or breach of statutory duty, cannot succeed and that the paragraphs of the statement of claim asserting this cause of action were rightly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addition, it is apparent from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that where a public official owes a statutory duty to the public interest at large, no private law duty of care exists. This is because the existence of a private law duty would potentially conflict with the overarching duty owed to the public. See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at para. 44. Further, at paras, 49-50, the court stated the following which is equally apposite here, having regard to the statutory duties referred to:</w:t>
      </w:r>
      <w:r>
        <w:rPr>
          <w:rFonts w:ascii="arial" w:eastAsia="arial" w:hAnsi="arial" w:cs="arial"/>
          <w:sz w:val="20"/>
          <w:lang w:val="en-US" w:eastAsia="en-US" w:bidi="ar-SA"/>
        </w:rPr>
        <w:cr/>
      </w:r>
    </w:p>
    <w:p>
      <w:pPr>
        <w:numPr>
          <w:numId w:val="4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regulatory scheme governing mortgage brokers provides a general framework to ensure the efficient operation of the mortgage marketplace. The Registrar must balance a myriad of competing interests, ensuring that the public has access to capital through mortgage financing while at the same time instilling public confidence in the system by determining who is "suitable" and whose proposed registration as a broker is "not objectionable". All of the powers or tools conferred by the Act on the Registrar are necessary to undertake this delicate balancing. Even though to some degree the provisions of the Act serve to protect the interests of investors, the overall scheme of the Act mandates that the Registrar's duty of care is not owed to investors exclusively but to the public as a whole.</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Accordingly, we agree with the Court of Appeal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Newbury J.A.: even though the Registrar might reasonably have foreseen that losses to investors in Eron would result if he was careless in carrying out his duties under the Act, there was insufficient proximity between the Registrar and the investors to ground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The statute cannot be construed to impose a duty of care on the Registrar specific to investments with mortgage brokers. Such a duty would no doubt come at the expense of other important interests, of efficiency and finally at the expense of public confidence in the system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To like effect, policy and legislative decisions are immune from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because such decisions are made in the interests of the public as a whole and not of any one individual. In </w:t>
      </w:r>
      <w:r>
        <w:rPr>
          <w:rFonts w:ascii="arial" w:eastAsia="arial" w:hAnsi="arial" w:cs="arial"/>
          <w:i/>
          <w:color w:val="000000"/>
          <w:sz w:val="20"/>
          <w:lang w:val="en-US" w:eastAsia="en-US" w:bidi="ar-SA"/>
        </w:rPr>
        <w:t>Attis v. Canada (Minister of Health)</w:t>
      </w:r>
      <w:r>
        <w:rPr>
          <w:rFonts w:ascii="arial" w:eastAsia="arial" w:hAnsi="arial" w:cs="arial"/>
          <w:color w:val="000000"/>
          <w:sz w:val="20"/>
          <w:lang w:val="en-US" w:eastAsia="en-US" w:bidi="ar-SA"/>
        </w:rPr>
        <w:t xml:space="preserve">, </w:t>
      </w:r>
      <w:hyperlink r:id="rId288" w:history="1">
        <w:r>
          <w:rPr>
            <w:rFonts w:ascii="arial" w:eastAsia="arial" w:hAnsi="arial" w:cs="arial"/>
            <w:i/>
            <w:color w:val="0077CC"/>
            <w:sz w:val="20"/>
            <w:u w:val="single"/>
            <w:shd w:val="clear" w:color="auto" w:fill="FFFFFF"/>
            <w:lang w:val="en-US" w:eastAsia="en-US" w:bidi="ar-SA"/>
          </w:rPr>
          <w:t>2008 ONCA 660</w:t>
        </w:r>
      </w:hyperlink>
      <w:r>
        <w:rPr>
          <w:rFonts w:ascii="arial" w:eastAsia="arial" w:hAnsi="arial" w:cs="arial"/>
          <w:color w:val="000000"/>
          <w:sz w:val="20"/>
          <w:lang w:val="en-US" w:eastAsia="en-US" w:bidi="ar-SA"/>
        </w:rPr>
        <w:t xml:space="preserve">, at para. 65, leave to appeal refused </w:t>
      </w:r>
      <w:hyperlink r:id="rId289" w:history="1">
        <w:r>
          <w:rPr>
            <w:rFonts w:ascii="arial" w:eastAsia="arial" w:hAnsi="arial" w:cs="arial"/>
            <w:i/>
            <w:color w:val="0077CC"/>
            <w:sz w:val="20"/>
            <w:u w:val="single"/>
            <w:shd w:val="clear" w:color="auto" w:fill="FFFFFF"/>
            <w:lang w:val="en-US" w:eastAsia="en-US" w:bidi="ar-SA"/>
          </w:rPr>
          <w:t>[2008] S.C.C.A. No. 491</w:t>
        </w:r>
      </w:hyperlink>
      <w:r>
        <w:rPr>
          <w:rFonts w:ascii="arial" w:eastAsia="arial" w:hAnsi="arial" w:cs="arial"/>
          <w:color w:val="000000"/>
          <w:sz w:val="20"/>
          <w:lang w:val="en-US" w:eastAsia="en-US" w:bidi="ar-SA"/>
        </w:rPr>
        <w:t>, the court said this:</w:t>
      </w:r>
      <w:r>
        <w:rPr>
          <w:rFonts w:ascii="arial" w:eastAsia="arial" w:hAnsi="arial" w:cs="arial"/>
          <w:sz w:val="20"/>
          <w:lang w:val="en-US" w:eastAsia="en-US" w:bidi="ar-SA"/>
        </w:rPr>
        <w:cr/>
      </w:r>
    </w:p>
    <w:p>
      <w:pPr>
        <w:numPr>
          <w:numId w:val="5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government interacts with an individual in the context of an ordinary accident, the relationship is obviously both close and direct. In contrast, when government decides what laws to enact or how to allocate limited resources for the general good, it has neither a close nor direct relationship with the individual. The job of the government is to govern and, in the course of doing so, to make broad-based policy decisions for the benefit of the public collectively, even if those decisions may not have positive implications for all individuals. It would severely curtail the government's ability to govern if it were found to have the necessary direct and close relationship to an individual member of the public to support a claim in tort for bad government policy decisions. It is accepted that, if the government fails to make good decisions in these areas, the public will demonstrate its displeasure at election time. Thus, the law is clear that the government does not have a proximate relationship to an individual Canadian when it makes decisions of a political, social or economic nature ... [citation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As counsel for the government submitted, similar considerations arise at the second stage of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in determining whether an asserted duty of care falls within the scope of government policy thus negativing any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A public authority is under no duty of care relating to decisions involving or dictated by financial, economic, social or political factors or restraints. See </w:t>
      </w:r>
      <w:r>
        <w:rPr>
          <w:rFonts w:ascii="arial" w:eastAsia="arial" w:hAnsi="arial" w:cs="arial"/>
          <w:i/>
          <w:color w:val="000000"/>
          <w:sz w:val="20"/>
          <w:lang w:val="en-US" w:eastAsia="en-US" w:bidi="ar-SA"/>
        </w:rPr>
        <w:t>Just v. British Columbia</w:t>
      </w:r>
      <w:r>
        <w:rPr>
          <w:rFonts w:ascii="arial" w:eastAsia="arial" w:hAnsi="arial" w:cs="arial"/>
          <w:color w:val="000000"/>
          <w:sz w:val="20"/>
          <w:lang w:val="en-US" w:eastAsia="en-US" w:bidi="ar-SA"/>
        </w:rPr>
        <w:t xml:space="preserve">, </w:t>
      </w:r>
      <w:hyperlink r:id="rId13" w:history="1">
        <w:r>
          <w:rPr>
            <w:rFonts w:ascii="arial" w:eastAsia="arial" w:hAnsi="arial" w:cs="arial"/>
            <w:i/>
            <w:color w:val="0077CC"/>
            <w:sz w:val="20"/>
            <w:u w:val="single"/>
            <w:shd w:val="clear" w:color="auto" w:fill="FFFFFF"/>
            <w:lang w:val="en-US" w:eastAsia="en-US" w:bidi="ar-SA"/>
          </w:rPr>
          <w:t>[1989] 2 S.C.R. 1228</w:t>
        </w:r>
      </w:hyperlink>
      <w:r>
        <w:rPr>
          <w:rFonts w:ascii="arial" w:eastAsia="arial" w:hAnsi="arial" w:cs="arial"/>
          <w:color w:val="000000"/>
          <w:sz w:val="20"/>
          <w:lang w:val="en-US" w:eastAsia="en-US" w:bidi="ar-SA"/>
        </w:rPr>
        <w:t xml:space="preserve"> at 1242.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Finally, an additional consideration here is the prospect of indeterminate liability. While that is particularly so in relation to the parents' claim of entitlement to legal funding, there is a problem generally when the impugned decisions are legislative funding decisions respecting the operation of the courts that stand to broadly impact the public. This also serves to negative any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the result, I conclude that government, and the Attorney General in particular, did not owe any private law duty of care to any of the plaintiffs as alleged in paragraph 30 of the amended statement of claim. For that reason, paragraph 30 must also fall as failing to disclose any reasonable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Subject to the redrafting referred to earlier respecting paragraphs 23 and 24, I strike both as well as paragraph 30 of the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M.D. MACAULAY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1" style="position:absolute;z-index:2518691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90"/>
          <w:headerReference w:type="default" r:id="rId291"/>
          <w:footerReference w:type="even" r:id="rId292"/>
          <w:footerReference w:type="default" r:id="rId293"/>
          <w:headerReference w:type="first" r:id="rId294"/>
          <w:footerReference w:type="first" r:id="rId29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96" w:history="1">
        <w:r>
          <w:rPr>
            <w:rFonts w:ascii="arial" w:eastAsia="arial" w:hAnsi="arial" w:cs="arial"/>
            <w:b/>
            <w:bCs/>
            <w:i/>
            <w:color w:val="0077CC"/>
            <w:kern w:val="32"/>
            <w:sz w:val="28"/>
            <w:szCs w:val="32"/>
            <w:u w:val="single"/>
            <w:shd w:val="clear" w:color="auto" w:fill="FFFFFF"/>
            <w:lang w:val="en-US" w:eastAsia="en-US" w:bidi="ar-SA"/>
          </w:rPr>
          <w:t>Progressive Homes Ltd. v. Lombard General Insurance Co. of Canada, [2007] B.C.J. No. 651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Cohen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21 - 23,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29,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S066185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651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97" w:history="1">
        <w:r>
          <w:rPr>
            <w:rFonts w:ascii="arial" w:eastAsia="arial" w:hAnsi="arial" w:cs="arial"/>
            <w:i/>
            <w:color w:val="0077CC"/>
            <w:sz w:val="20"/>
            <w:u w:val="single"/>
            <w:shd w:val="clear" w:color="auto" w:fill="FFFFFF"/>
            <w:lang w:val="en-US" w:eastAsia="en-US" w:bidi="ar-SA"/>
          </w:rPr>
          <w:t>2007 BCSC 439</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97" w:history="1">
        <w:r>
          <w:rPr>
            <w:rFonts w:ascii="arial" w:eastAsia="arial" w:hAnsi="arial" w:cs="arial"/>
            <w:i/>
            <w:color w:val="0077CC"/>
            <w:sz w:val="20"/>
            <w:u w:val="single"/>
            <w:shd w:val="clear" w:color="auto" w:fill="FFFFFF"/>
            <w:lang w:val="en-US" w:eastAsia="en-US" w:bidi="ar-SA"/>
          </w:rPr>
          <w:t>[2007] 6 W.W.R. 734</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97" w:history="1">
        <w:r>
          <w:rPr>
            <w:rFonts w:ascii="arial" w:eastAsia="arial" w:hAnsi="arial" w:cs="arial"/>
            <w:i/>
            <w:color w:val="0077CC"/>
            <w:sz w:val="20"/>
            <w:u w:val="single"/>
            <w:shd w:val="clear" w:color="auto" w:fill="FFFFFF"/>
            <w:lang w:val="en-US" w:eastAsia="en-US" w:bidi="ar-SA"/>
          </w:rPr>
          <w:t>71 B.C.L.R. (4th) 113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97" w:history="1">
        <w:r>
          <w:rPr>
            <w:rFonts w:ascii="arial" w:eastAsia="arial" w:hAnsi="arial" w:cs="arial"/>
            <w:i/>
            <w:color w:val="0077CC"/>
            <w:sz w:val="20"/>
            <w:u w:val="single"/>
            <w:shd w:val="clear" w:color="auto" w:fill="FFFFFF"/>
            <w:lang w:val="en-US" w:eastAsia="en-US" w:bidi="ar-SA"/>
          </w:rPr>
          <w:t>48 C.C.L.I. (4th) 64</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97" w:history="1">
        <w:r>
          <w:rPr>
            <w:rFonts w:ascii="arial" w:eastAsia="arial" w:hAnsi="arial" w:cs="arial"/>
            <w:i/>
            <w:color w:val="0077CC"/>
            <w:sz w:val="20"/>
            <w:u w:val="single"/>
            <w:shd w:val="clear" w:color="auto" w:fill="FFFFFF"/>
            <w:lang w:val="en-US" w:eastAsia="en-US" w:bidi="ar-SA"/>
          </w:rPr>
          <w:t>59 C.L.R. (3d) 225</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97" w:history="1">
        <w:r>
          <w:rPr>
            <w:rFonts w:ascii="arial" w:eastAsia="arial" w:hAnsi="arial" w:cs="arial"/>
            <w:i/>
            <w:color w:val="0077CC"/>
            <w:sz w:val="20"/>
            <w:u w:val="single"/>
            <w:shd w:val="clear" w:color="auto" w:fill="FFFFFF"/>
            <w:lang w:val="en-US" w:eastAsia="en-US" w:bidi="ar-SA"/>
          </w:rPr>
          <w:t>[2007] I.L.R. I-4626</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97" w:history="1">
        <w:r>
          <w:rPr>
            <w:rFonts w:ascii="arial" w:eastAsia="arial" w:hAnsi="arial" w:cs="arial"/>
            <w:i/>
            <w:color w:val="0077CC"/>
            <w:sz w:val="20"/>
            <w:u w:val="single"/>
            <w:shd w:val="clear" w:color="auto" w:fill="FFFFFF"/>
            <w:lang w:val="en-US" w:eastAsia="en-US" w:bidi="ar-SA"/>
          </w:rPr>
          <w:t>156 A.C.W.S. (3d) 453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97" w:history="1">
        <w:r>
          <w:rPr>
            <w:rFonts w:ascii="arial" w:eastAsia="arial" w:hAnsi="arial" w:cs="arial"/>
            <w:i/>
            <w:color w:val="0077CC"/>
            <w:sz w:val="20"/>
            <w:u w:val="single"/>
            <w:shd w:val="clear" w:color="auto" w:fill="FFFFFF"/>
            <w:lang w:val="en-US" w:eastAsia="en-US" w:bidi="ar-SA"/>
          </w:rPr>
          <w:t>2007 CarswellBC 635</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Progressive Homes Ltd., Petitioner, and Lombard General Insurance Company of Canada, Respondent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2" style="position:absolute;z-index:251670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8" w:name="Keywords_10"/>
      <w:bookmarkEnd w:id="78"/>
      <w:r>
        <w:rPr>
          <w:rFonts w:ascii="arial" w:eastAsia="arial" w:hAnsi="arial" w:cs="arial"/>
          <w:b/>
          <w:color w:val="000000"/>
          <w:sz w:val="20"/>
          <w:lang w:val="en-US" w:eastAsia="en-US" w:bidi="ar-SA"/>
        </w:rPr>
        <w:t>Insurance law — Insurers — Duties — Duty to defend — The insurer was not required to defend the petitioning general contractor under a liability insurance policy in actions alleging "leaky condo" defects — The claims did not relate to a claim for personal injury or damage to third party property; where a building represented one integrated whole, it was improper to look to one part as a cause of damage to another part.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Insurance law — Liability insurance — Construction projects — The insurer was not required to defend the petitioning general contractor under a liability insurance policy in actions alleging "leaky condo" defects — The claims did not relate to a claim for personal injury or damage to third party property; where a building represented one integrated whole, it was improper to look to one part as a cause of damage to another part.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9" w:name="Case Summary_11"/>
            <w:bookmarkEnd w:id="7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petitioning general contractor sought a declaration that the respondent liability insurance company was required to defend it in four actions -- The actions were brought against the petitioner by the B.C. Housing Management Commission, which alleged defects in the construction of four condominium developments, as they alleged suffered from "leaky condo" defects -- B.C. Housing alleged the petitioner failed to supply buildings which conformed to its contractual obligations -- The insurer argued it had no duty to defend because the claims made in the underlying actions did not fall within the initial coverage grant under the insurance contracts, as they did not relate to a claim for personal injury or damage to third party property outside the building -- HELD: The application was dismissed -- The underlying actions simply alleged an underlying deficient structure; the damage alleged was damage to the very building it was contracted to build -- Where a building represented one integrated whole, it was improper to look to one part as a cause of damage to another part -- It was improper to look to the exclusions and exceptions to exclusions to find coverage where none existed in the first place.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80" w:name="Counsel_11"/>
      <w:bookmarkEnd w:id="8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3" style="position:absolute;z-index:2517217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G.G. Hilliker, Q.C., A.N. Epstein.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Lombard General Insurance Company of Canada: W.K. Branch, C.A. Rhone.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1" w:name="Judgment_11"/>
      <w:bookmarkEnd w:id="81"/>
      <w:r>
        <w:pict>
          <v:line id="_x0000_s1084" style="position:absolute;z-index:25177292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2" w:name="COHEN J."/>
            <w:bookmarkEnd w:id="82"/>
            <w:r>
              <w:rPr>
                <w:rFonts w:ascii="arial" w:eastAsia="arial" w:hAnsi="arial" w:cs="arial"/>
                <w:b/>
                <w:color w:val="000000"/>
                <w:sz w:val="30"/>
                <w:lang w:val="en-US" w:eastAsia="en-US" w:bidi="ar-SA"/>
              </w:rPr>
              <w:t>COHEN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Application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petitioner, Progressive Homes Ltd. ("Progressive"), is a general contractor. The respondent, Lombard General Insurance Company of Canada ("Lombard"), is a liability insurance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Lombard issued successive liability insurance policies to Progressive during the years 1987 through 2005 (the "insurance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late 2004 and early 2005 four separate actions (the "Underlying Actions") were brought against Progressive by B.C. Housing Management Commission ("BC Housing") concerning condominium developments identified as:</w:t>
      </w:r>
      <w:r>
        <w:rPr>
          <w:rFonts w:ascii="arial" w:eastAsia="arial" w:hAnsi="arial" w:cs="arial"/>
          <w:sz w:val="20"/>
          <w:lang w:val="en-US" w:eastAsia="en-US" w:bidi="ar-SA"/>
        </w:rPr>
        <w:cr/>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West Coast Community Homes;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Burlington Heights;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Hyland Park;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Terra Nova Housing.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BC Housing financed the construction and development of the buildings. Progressive was the general contractor. The buildings were constructed pursuant to contracts between Progressive and BC Housing Co-Op, who was given the leasehold in the lands for the building projects. BC Housing is responsible for the repairs and has an assignment of any causes of action against Progressive.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buildings suffer from what are colloquially referred to as "leaky condo" defects. BC Housing alleges,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that Progressive failed to supply buildings which conformed to Progressive's contractual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Lombard initially defended the underlying actions on behalf of Progressive without waiving its rights. Lombard later withdrew from the defence of the actions, taking the position that it was under no duty to defend because the claims in the actions were not covered under the insurance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Progressive brings this application for an order declaring that Lombard is under a duty to defend Progressive in the underlying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Issue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sole issue for determination is whether Lombard, under the terms of the insurance contracts, is obligated to defend Progressive with respect to the underlying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III.</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Test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If there is a possibility that the claims in the underlying actions may fall within the coverage afforded by the insurance contracts then Lombard is under a duty to defend: See </w:t>
      </w:r>
      <w:r>
        <w:rPr>
          <w:rFonts w:ascii="arial" w:eastAsia="arial" w:hAnsi="arial" w:cs="arial"/>
          <w:b/>
          <w:i/>
          <w:color w:val="000000"/>
          <w:sz w:val="20"/>
          <w:lang w:val="en-US" w:eastAsia="en-US" w:bidi="ar-SA"/>
        </w:rPr>
        <w:t>Nichols v. American Home Assurance Co.</w:t>
      </w:r>
      <w:r>
        <w:rPr>
          <w:rFonts w:ascii="arial" w:eastAsia="arial" w:hAnsi="arial" w:cs="arial"/>
          <w:color w:val="000000"/>
          <w:sz w:val="20"/>
          <w:lang w:val="en-US" w:eastAsia="en-US" w:bidi="ar-SA"/>
        </w:rPr>
        <w:t xml:space="preserve"> </w:t>
      </w:r>
      <w:hyperlink r:id="rId298" w:history="1">
        <w:r>
          <w:rPr>
            <w:rFonts w:ascii="arial" w:eastAsia="arial" w:hAnsi="arial" w:cs="arial"/>
            <w:i/>
            <w:color w:val="0077CC"/>
            <w:sz w:val="20"/>
            <w:u w:val="single"/>
            <w:shd w:val="clear" w:color="auto" w:fill="FFFFFF"/>
            <w:lang w:val="en-US" w:eastAsia="en-US" w:bidi="ar-SA"/>
          </w:rPr>
          <w:t>(1990), 68 D.L.R. (4th) 321</w:t>
        </w:r>
      </w:hyperlink>
      <w:r>
        <w:rPr>
          <w:rFonts w:ascii="arial" w:eastAsia="arial" w:hAnsi="arial" w:cs="arial"/>
          <w:color w:val="000000"/>
          <w:sz w:val="20"/>
          <w:lang w:val="en-US" w:eastAsia="en-US" w:bidi="ar-SA"/>
        </w:rPr>
        <w:t xml:space="preserve"> (S.C.C.). In making this determination the Court must give the widest latitude to the pleadings in the underlying actions. Any doubt as to whether the pleadings bring the incident within the coverage of the insurance contracts ought to weigh in favour of Progressive: See </w:t>
      </w:r>
      <w:r>
        <w:rPr>
          <w:rFonts w:ascii="arial" w:eastAsia="arial" w:hAnsi="arial" w:cs="arial"/>
          <w:b/>
          <w:i/>
          <w:color w:val="000000"/>
          <w:sz w:val="20"/>
          <w:lang w:val="en-US" w:eastAsia="en-US" w:bidi="ar-SA"/>
        </w:rPr>
        <w:t>Opron Maritimes Construction Ltd. v. Canadian Indemnity Co.</w:t>
      </w:r>
      <w:r>
        <w:rPr>
          <w:rFonts w:ascii="arial" w:eastAsia="arial" w:hAnsi="arial" w:cs="arial"/>
          <w:color w:val="000000"/>
          <w:sz w:val="20"/>
          <w:lang w:val="en-US" w:eastAsia="en-US" w:bidi="ar-SA"/>
        </w:rPr>
        <w:t xml:space="preserve">, </w:t>
      </w:r>
      <w:hyperlink r:id="rId299" w:history="1">
        <w:r>
          <w:rPr>
            <w:rFonts w:ascii="arial" w:eastAsia="arial" w:hAnsi="arial" w:cs="arial"/>
            <w:i/>
            <w:color w:val="0077CC"/>
            <w:sz w:val="20"/>
            <w:u w:val="single"/>
            <w:shd w:val="clear" w:color="auto" w:fill="FFFFFF"/>
            <w:lang w:val="en-US" w:eastAsia="en-US" w:bidi="ar-SA"/>
          </w:rPr>
          <w:t>[1986] N.B.J. No. 111</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IV.</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Pleadings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Each claim in the underlying actions is in relation to a different building. However, as the pleadings are similar, I will set out, as an example, the material allegations against Progressive in the action relating to Burlington Heights, BCSC Action No. S045955: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GENERAL CONTRACTOR</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Progressive entered into a contract with the Co-Op on or about November 8, 1993 (the "Construction Contract") to construct the Development (the "Work") in accordance with the plans and specifications and in accordance with applicable building codes, bylaws, regulations and standards.</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Pursuant to the Construction Contract, Progressive undertook responsibilities including, among other things:</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protect the Work and the Co-Op's property from damage and to be responsible for any damage which may arise as the result of or in connection with Progressive's operations under the Construction Contract;</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have control of the Work and to effectively direct and supervise the Work so as to ensure conformity with the Construction Contract and all drawings, specification and directions issued thereunder;</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be responsible for the construction means, methods, techniques, sequences and procedures used in the Work and for coordinating the various parts of the Work under the Construction Contract; and</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to be responsible for making good any damage to the Work, at its own expense, if Progressive, in the performance of the Construction Contract and the Work, damaged the Work, and to remedy any deficiencies in the Work.</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Progressive owed a duty of care to the Plaintiffs to ensure that the Development was constructed using all reasonable care, skill, diligence and competence, and without construction deficiencies and design defects.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Progressive knew or ought to have known that the Plaintiffs were relying on it to exercise reasonable skill, care and diligence in performing the Work and to construct the Development in accordance with the Construction Contract, construction drawings and specifications and in accordance with applicable statutes, building codes, regulations, bylaws and building standards.</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relied on Progressive's professional advice that the building envelope system used for the Development was appropriate.</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Progressive knew or ought to have known that the Plaintiffs relied on its judgment, and knew or ought to have known that the building envelope system would allow water ingress but no or insufficient egress which would cause damage to the Development.</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Progressive knew or ought to have known that the Co-Op had no or little experience with the building envelope system selected for the Development and that it intended to maintain the Development without the assistance of further professional advice.</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Progressive breached its contract with the Co-Op and/or breached the duty of care it owed to the Plaintiffs, and was negligent in the construction of the Development, particulars of which include:</w:t>
      </w:r>
    </w:p>
    <w:p>
      <w:pPr>
        <w:numPr>
          <w:numId w:val="1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ensure that the Development was constructed in compliance with all applicable building codes, bylaws, regulations other statutory requirements and industry standards;</w:t>
      </w:r>
    </w:p>
    <w:p>
      <w:pPr>
        <w:numPr>
          <w:numId w:val="1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ensure that the Development was built in compliance with all plans and specifications;</w:t>
      </w:r>
    </w:p>
    <w:p>
      <w:pPr>
        <w:numPr>
          <w:numId w:val="1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ensure that the Development would be constructed in a good and workmanlike manner;</w:t>
      </w:r>
    </w:p>
    <w:p>
      <w:pPr>
        <w:numPr>
          <w:numId w:val="1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ensure that the Development would be free from construction defects;</w:t>
      </w:r>
    </w:p>
    <w:p>
      <w:pPr>
        <w:numPr>
          <w:numId w:val="1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ensure that the Development would be protected, by adequate waterproofing systems, against all water damage;</w:t>
      </w:r>
    </w:p>
    <w:p>
      <w:pPr>
        <w:numPr>
          <w:numId w:val="1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ensure that the Development would be adequately inspected during and after construction;</w:t>
      </w:r>
    </w:p>
    <w:p>
      <w:pPr>
        <w:numPr>
          <w:numId w:val="1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warn or adequately warn the Plaintiffs of the special maintenance and inspection requirements of the building envelope system, and specifically the danger of water ingress; and</w:t>
      </w:r>
    </w:p>
    <w:p>
      <w:pPr>
        <w:numPr>
          <w:numId w:val="1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in its duty to provide clear instructions, including precautions to be taken to reduce damage from water ingress.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DEFECTS</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result of the breaches of contract by Progressive and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and others, and all of them, the Development has sustained since the date of construction and continues to sustain defects and ongoing damage including the following:</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water leaking through the exterior walls;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improper and incomplete installation and construction of framing, stucco walls, vinyl siding, windows, sheathing paper, flashings, ventilation, walkway membranes, flashing membranes, eaves troughs, downspouts, gutters, drains, balcony decks, pedestrian walkways, railings, roofs, and patio doors;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insufficient venting and drainage of wall systems;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inadequate exhaust ventilation system;</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water leaking through the windows;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improper use of caulking;</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poorly assembled and installed windows;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deterioration of the building components resulting from water ingress and infiltration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all of which are collectively referred to as the "Defects" and were caused by the Defendants and all of which constitute further breaches of the terms of the agreements referenced above.</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reasonably foreseeable consequence of Defects and particulars outlined above, significant portions of the Development have suffered since the date of construction and continue to suffer considerable moisture penetration, resultant rot and infestation which has caused the Development to be unsafe and hazardous and to pose a substantial physical danger to the health and safety of the occupants.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DAMAGES</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result of the Defects and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breaches of contract by the Defendants the Plaintiffs have suffered damages including but not limited to the following:</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inspection and professional advice concerning the Defects,</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 to date of remedial work, both permanent and temporary;</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relocation and alternate housing of tenants during remediation work and other tenant expenses;</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diminution in value of the Development; and</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expense, inconvenience and hardship caused by the construction and design deficiencies and their repair.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Insurance Contracts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Under successive insurance contracts issued by Lombard, Progressive has had liability coverage in place at all times material to the underlying actions. In particular, coverage was in place before the first building was commenced, continued in place through the construction of each building, and has remained in place up to the present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Although the precise wording of the insurance contracts has changed from time to time, the essential features of the coverage provided have not changed since the issuance of the first insurance contract in 1987. The insurance contracts are referred to as "occurrence" policies. Under this type of policy, coverage is triggered by property damage occurring during the period of the insurance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material parts of the insurance contracts read, as follows: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INSURING AGREEMENTS</w:t>
      </w:r>
      <w:r>
        <w:rPr>
          <w:rFonts w:ascii="arial" w:eastAsia="arial" w:hAnsi="arial" w:cs="arial"/>
          <w:sz w:val="20"/>
          <w:lang w:val="en-US" w:eastAsia="en-US" w:bidi="ar-SA"/>
        </w:rPr>
        <w:cr/>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COVERAGE A - Bodily Injury 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pay on behalf of the Insured all sums which the Insured shall become legally obligated to pay as damages because of bodily injury.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COVERAGE B - Property Damage 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pay on behalf of the Insured all sums which the Insured shall become legally obligated to pay as damages because of </w:t>
      </w:r>
      <w:r>
        <w:rPr>
          <w:rFonts w:ascii="arial" w:eastAsia="arial" w:hAnsi="arial" w:cs="arial"/>
          <w:color w:val="000000"/>
          <w:sz w:val="20"/>
          <w:u w:val="single"/>
          <w:lang w:val="en-US" w:eastAsia="en-US" w:bidi="ar-SA"/>
        </w:rPr>
        <w:t>property damage caused by accident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DEFENCE - SETTLEMENT - SUPPLEMENTARY PAYMENTS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respects insurance afforded by this form, the Insurer shall:</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defend in the name and on behalf of the Insured and at the cost of the Insurer any civil action which may at any time be brought against the Insured on account of such bodily injury or property damage</w:t>
      </w:r>
      <w:r>
        <w:rPr>
          <w:rFonts w:ascii="arial" w:eastAsia="arial" w:hAnsi="arial" w:cs="arial"/>
          <w:color w:val="000000"/>
          <w:sz w:val="20"/>
          <w:lang w:val="en-US" w:eastAsia="en-US" w:bidi="ar-SA"/>
        </w:rPr>
        <w:t xml:space="preserve"> but the Insurer shall have the right to make such investigation, negotiation and settlement of any claim as may be deemed expedient by the Insurer;</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pay all premiums on bonds to release attachments for an amount not in excess of the applicable limit of liability of this endorsement, all premiums on appeal bonds required in any such defended suit, but without any obligation to apply for or furnish such bond;</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pay all costs taxed against the Insured in any civil action defended by the Insurer and any interest accruing after entry of judgment (or, in those jurisdictions where statute prescribes interest from some other date, from such prescribed date) upon that part of the judgment which is within the limits of the Insurer's liability;</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pay expenses incurred by the Insured for such immediate medical and surgical relief to others as shall be imperative at the time of accident;</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pay reasonable expenses incurred by the Insured at the Insurer's request in assisting the Insurer in the investigation or defense of any claim or suit, including actual loss of earnings not to exceed $25 per day.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amounts so incurred except settlement of claims or suits are payable in addition to the applicable limits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DEFINITIONS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"Property damage" means (1) </w:t>
      </w:r>
      <w:r>
        <w:rPr>
          <w:rFonts w:ascii="arial" w:eastAsia="arial" w:hAnsi="arial" w:cs="arial"/>
          <w:color w:val="000000"/>
          <w:sz w:val="20"/>
          <w:u w:val="single"/>
          <w:lang w:val="en-US" w:eastAsia="en-US" w:bidi="ar-SA"/>
        </w:rPr>
        <w:t>physical injury to or destruction</w:t>
      </w:r>
      <w:r>
        <w:rPr>
          <w:rFonts w:ascii="arial" w:eastAsia="arial" w:hAnsi="arial" w:cs="arial"/>
          <w:color w:val="000000"/>
          <w:sz w:val="20"/>
          <w:lang w:val="en-US" w:eastAsia="en-US" w:bidi="ar-SA"/>
        </w:rPr>
        <w:t xml:space="preserve"> of </w:t>
      </w:r>
      <w:r>
        <w:rPr>
          <w:rFonts w:ascii="arial" w:eastAsia="arial" w:hAnsi="arial" w:cs="arial"/>
          <w:color w:val="000000"/>
          <w:sz w:val="20"/>
          <w:u w:val="single"/>
          <w:lang w:val="en-US" w:eastAsia="en-US" w:bidi="ar-SA"/>
        </w:rPr>
        <w:t>tangible property which occurs during the policy period</w:t>
      </w:r>
      <w:r>
        <w:rPr>
          <w:rFonts w:ascii="arial" w:eastAsia="arial" w:hAnsi="arial" w:cs="arial"/>
          <w:color w:val="000000"/>
          <w:sz w:val="20"/>
          <w:lang w:val="en-US" w:eastAsia="en-US" w:bidi="ar-SA"/>
        </w:rPr>
        <w:t>, including the loss of use thereof at any time resulting therefrom, or (2) loss of use of tangible property which has not been physically injured or destroyed provided such loss of use is caused by an accident occurring during the policy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"Accident" includes continuous or repeated exposure to conditions which result in property damage</w:t>
      </w:r>
      <w:r>
        <w:rPr>
          <w:rFonts w:ascii="arial" w:eastAsia="arial" w:hAnsi="arial" w:cs="arial"/>
          <w:color w:val="000000"/>
          <w:sz w:val="20"/>
          <w:lang w:val="en-US" w:eastAsia="en-US" w:bidi="ar-SA"/>
        </w:rPr>
        <w:t xml:space="preserve"> neither expected nor intended from the standpoint of the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VI.</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Progressive's Position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Progressive submits that the provisions in the insurance contracts can be conveniently analyzed as follows: Lombard is required to defend Progressive against claims alleging that Progressive is:</w:t>
      </w:r>
      <w:r>
        <w:rPr>
          <w:rFonts w:ascii="arial" w:eastAsia="arial" w:hAnsi="arial" w:cs="arial"/>
          <w:sz w:val="20"/>
          <w:lang w:val="en-US" w:eastAsia="en-US" w:bidi="ar-SA"/>
        </w:rPr>
        <w:cr/>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legally obligated;</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pay damages;</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because of property damage;</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occurring during the insurance contracts period;</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caused by an accident or occurrence.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Applying these criteria, Progressive submits that Lombard has a duty to defend because:</w:t>
      </w:r>
      <w:r>
        <w:rPr>
          <w:rFonts w:ascii="arial" w:eastAsia="arial" w:hAnsi="arial" w:cs="arial"/>
          <w:sz w:val="20"/>
          <w:lang w:val="en-US" w:eastAsia="en-US" w:bidi="ar-SA"/>
        </w:rPr>
        <w:cr/>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made in the underlying actions are based upon alleged legal obligations arising in tort and contract;</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in the underlying actions are for damages;</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property damage arising from deterioration and rotting of building components which constitutes "physical injury to or destruction of tangible property";</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issue that the triggering events took place during the period of the insurance contracts;</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property damage was caused by an "accident" in that there was "continuous or repeated exposure to conditions" resulting in property damage "neither expected nor intended from the standpoint of the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Progressive argues that there is case authority from this Court in favour of its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First, in </w:t>
      </w:r>
      <w:r>
        <w:rPr>
          <w:rFonts w:ascii="arial" w:eastAsia="arial" w:hAnsi="arial" w:cs="arial"/>
          <w:b/>
          <w:i/>
          <w:color w:val="000000"/>
          <w:sz w:val="20"/>
          <w:lang w:val="en-US" w:eastAsia="en-US" w:bidi="ar-SA"/>
        </w:rPr>
        <w:t>Axa Pacific Insurance Co. v. Guildford Marquis Towers Ltd</w:t>
      </w:r>
      <w:r>
        <w:rPr>
          <w:rFonts w:ascii="arial" w:eastAsia="arial" w:hAnsi="arial" w:cs="arial"/>
          <w:color w:val="000000"/>
          <w:sz w:val="20"/>
          <w:lang w:val="en-US" w:eastAsia="en-US" w:bidi="ar-SA"/>
        </w:rPr>
        <w:t xml:space="preserve">., </w:t>
      </w:r>
      <w:hyperlink r:id="rId300" w:history="1">
        <w:r>
          <w:rPr>
            <w:rFonts w:ascii="arial" w:eastAsia="arial" w:hAnsi="arial" w:cs="arial"/>
            <w:i/>
            <w:color w:val="0077CC"/>
            <w:sz w:val="20"/>
            <w:u w:val="single"/>
            <w:shd w:val="clear" w:color="auto" w:fill="FFFFFF"/>
            <w:lang w:val="en-US" w:eastAsia="en-US" w:bidi="ar-SA"/>
          </w:rPr>
          <w:t>2000 BCSC 197</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Axa Pacific Insurance</w:t>
      </w:r>
      <w:r>
        <w:rPr>
          <w:rFonts w:ascii="arial" w:eastAsia="arial" w:hAnsi="arial" w:cs="arial"/>
          <w:color w:val="000000"/>
          <w:sz w:val="20"/>
          <w:lang w:val="en-US" w:eastAsia="en-US" w:bidi="ar-SA"/>
        </w:rPr>
        <w:t>"), the Court held that the insurer was under a duty to defend a developer and a general contractor in an action alleging water ingress damage to high-rise condominium buildings in Surrey. The insurer conceded that the circumstances gave rise to an occurrence but contended that the claim was for economic loss and did not constitute "property damage". The Court rejected the insurer's argument. At paras. 52-53 Bauman J. set out the terms of the policy in issue and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[52] I reproduce these parts of the bulletin: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standard industry wording excludes:</w:t>
      </w:r>
    </w:p>
    <w:p>
      <w:pPr>
        <w:numPr>
          <w:numId w:val="3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Property damage to work performed by or on behalf of the insured arising out of the work or any portion thereof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Some companies will upgrade this standard exclusion to read:</w:t>
      </w:r>
    </w:p>
    <w:p>
      <w:pPr>
        <w:numPr>
          <w:numId w:val="3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completed operations hazard; to property damage to work performed by the insured arising out of the work or any portion thereof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difference between these two clauses could be illustrated as follows:</w:t>
      </w:r>
    </w:p>
    <w:p>
      <w:pPr>
        <w:numPr>
          <w:numId w:val="3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A house building contractor - Does framing, electrical and mechanical work worth $30,000 - All other portions of the job are sublet for $45,000.00. Total project value $75,000.00.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 house fire caused by faulty wiring in the kitchen, causes a total loss fire, one year after completion.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Damages - Building $75,000.00 - Standard Exclusion (A) would Eliminate Coverage Completely.</w:t>
      </w:r>
    </w:p>
    <w:p>
      <w:pPr>
        <w:numPr>
          <w:numId w:val="4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Under Exclusion (B) Broad Form P.D. including completed operations, using the same figures as above: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Of the $75,000.00 in damage, $30,000.00 is excluded as the Insured's work, The Balance is covered.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Laurentian Pacific Insurance Company has gone one step further in providing (C) Broad Form Completed Operations Coverage by virtue of its Exclusion 6(B) which reads: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Work done by or on behalf of the insured where the cause of the occurrence is a defect in such work, but this exclusion shall only apply to that part of such work which is defective.</w:t>
      </w:r>
    </w:p>
    <w:p>
      <w:pPr>
        <w:numPr>
          <w:numId w:val="4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As a result, using the previous examples: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With damages of $75,000.00 where $1,000.00 of the work was wiring and this turned out to be faulty: ONLY THAT $1,000.00 OF FAULTY WIRING WOULD BE EXCLUDED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advantages to your contractor clients will vary depending on their style of business, but this coverage would be advantageous to BOTH GENERAL CONTRACTORS and SUB-TRADES.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[53] From this it becomes clear that exclusion 6(b) is the relevant provision to consider in the case of the condominium towers constructed by Guildford and Metro-Can. And it seems that the insurer has adopted what might be characterized as a modified "complex structure" approach to coverage. That is, at least to this extent: one is to isolate (and exclude from coverage) only that part of the work which is defective.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This is the interpretation that Progressive urges upon the Court in the instant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F.W. Hearn/Actes-A Joint Venture Ltd. v. Commonwealth Insurance Co.</w:t>
      </w:r>
      <w:r>
        <w:rPr>
          <w:rFonts w:ascii="arial" w:eastAsia="arial" w:hAnsi="arial" w:cs="arial"/>
          <w:color w:val="000000"/>
          <w:sz w:val="20"/>
          <w:lang w:val="en-US" w:eastAsia="en-US" w:bidi="ar-SA"/>
        </w:rPr>
        <w:t xml:space="preserve">, </w:t>
      </w:r>
      <w:hyperlink r:id="rId301" w:history="1">
        <w:r>
          <w:rPr>
            <w:rFonts w:ascii="arial" w:eastAsia="arial" w:hAnsi="arial" w:cs="arial"/>
            <w:i/>
            <w:color w:val="0077CC"/>
            <w:sz w:val="20"/>
            <w:u w:val="single"/>
            <w:shd w:val="clear" w:color="auto" w:fill="FFFFFF"/>
            <w:lang w:val="en-US" w:eastAsia="en-US" w:bidi="ar-SA"/>
          </w:rPr>
          <w:t>2000 BCSC 764</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Hearn/Actes</w:t>
      </w:r>
      <w:r>
        <w:rPr>
          <w:rFonts w:ascii="arial" w:eastAsia="arial" w:hAnsi="arial" w:cs="arial"/>
          <w:color w:val="000000"/>
          <w:sz w:val="20"/>
          <w:lang w:val="en-US" w:eastAsia="en-US" w:bidi="ar-SA"/>
        </w:rPr>
        <w:t>"), a general contractor sought a declaration that the insurer was under a duty to defend it with respect to a claim by the owner of a 403-unit student residence at the University of British Columbia ("UBC"), alleging that there were deficiencies in the work. The owner's claim was not limited to the cost of repairing the alleged faulty work, but extended to claims for resultant damage. The Court held that the insurer was under a duty to defend the general contractor.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his analysis, Edwards J. said that a general principle applicable to the case was that the damages claimed by UBC must not be solely costs associated with the repair or allegedly faulty work or pure economic loss but must be claims for resultant damages which are clearly within the scope of the policy. His Lordship then when on to state at paras. 10 - 11: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In Winnipeg Condominium Corporation No. 36 v. Bird Construction Co., </w:t>
      </w:r>
      <w:hyperlink r:id="rId302" w:history="1">
        <w:r>
          <w:rPr>
            <w:rFonts w:ascii="arial" w:eastAsia="arial" w:hAnsi="arial" w:cs="arial"/>
            <w:i/>
            <w:color w:val="0077CC"/>
            <w:sz w:val="20"/>
            <w:u w:val="single"/>
            <w:shd w:val="clear" w:color="auto" w:fill="FFFFFF"/>
            <w:lang w:val="en-US" w:eastAsia="en-US" w:bidi="ar-SA"/>
          </w:rPr>
          <w:t>[1995] 1 S.C.R. 85</w:t>
        </w:r>
      </w:hyperlink>
      <w:r>
        <w:rPr>
          <w:rFonts w:ascii="arial" w:eastAsia="arial" w:hAnsi="arial" w:cs="arial"/>
          <w:color w:val="000000"/>
          <w:sz w:val="20"/>
          <w:lang w:val="en-US" w:eastAsia="en-US" w:bidi="ar-SA"/>
        </w:rPr>
        <w:t>, Mr. Justice LaForest considered the Condominium Corporation's submission that the losses in question could, in fact, be characterized as damaged property as opposed to pure economic loss. Mr. Justice LaForest called this approach the "complex structure" theory. By this theory the claimant seeks to localize the defect in one part of the structure and to claim that the damage to the rest of the structure was caused in some manner by the defect.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Mr. Justice LaForest accepted Lord Bridge's criticism of a complex structure theory in Murphy v. Brentwood District Council (1992), All. E.R. 908 at 928 (H.L.). Justice LaForest, referring to the reasons of Lord Bridge at 99 recognized that damage caused by the malfunction of a distinct item incorporated into a structure is not pure economic loss. His Lordship noted at 98: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Adopting this critical characterization as a convenient starting point for my analysis I observe that the losses claimed by the Condominium Corporation in the present case fall quite clearly under the category of economic loss. In their statement of claim the Condominium Corporation claim damages in excess of $1.5 million from the respondent Bird. The subcontractor, Kronovski &amp; Keller and the architects Smith Carter, representing the cost of repairing the building subsequent to the collapse of the exterior cladding on May 8, 1989. The Condominium Corporation is not claiming that anyone was injured by the collapsing of the exterior cladding or that the collapsing cladding damaged any of its other property. Rather the claim is simply for the cost of repairing the allegedly defective masonry and putting the exterior of the building back into a safe working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At para. 14 Edwards J. referred to Bauman J. in </w:t>
      </w:r>
      <w:r>
        <w:rPr>
          <w:rFonts w:ascii="arial" w:eastAsia="arial" w:hAnsi="arial" w:cs="arial"/>
          <w:b/>
          <w:i/>
          <w:color w:val="000000"/>
          <w:sz w:val="20"/>
          <w:lang w:val="en-US" w:eastAsia="en-US" w:bidi="ar-SA"/>
        </w:rPr>
        <w:t>Axa Pacific Insurance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Bauman J. in Axa Pacific Insurance Company Ltd. v. Guildford Marquis Towers Ltd., </w:t>
      </w:r>
      <w:hyperlink r:id="rId300" w:history="1">
        <w:r>
          <w:rPr>
            <w:rFonts w:ascii="arial" w:eastAsia="arial" w:hAnsi="arial" w:cs="arial"/>
            <w:i/>
            <w:color w:val="0077CC"/>
            <w:sz w:val="20"/>
            <w:u w:val="single"/>
            <w:shd w:val="clear" w:color="auto" w:fill="FFFFFF"/>
            <w:lang w:val="en-US" w:eastAsia="en-US" w:bidi="ar-SA"/>
          </w:rPr>
          <w:t>2000 BCSC 197</w:t>
        </w:r>
      </w:hyperlink>
      <w:r>
        <w:rPr>
          <w:rFonts w:ascii="arial" w:eastAsia="arial" w:hAnsi="arial" w:cs="arial"/>
          <w:color w:val="000000"/>
          <w:sz w:val="20"/>
          <w:lang w:val="en-US" w:eastAsia="en-US" w:bidi="ar-SA"/>
        </w:rPr>
        <w:t xml:space="preserve">, </w:t>
      </w:r>
      <w:hyperlink r:id="rId300" w:history="1">
        <w:r>
          <w:rPr>
            <w:rFonts w:ascii="arial" w:eastAsia="arial" w:hAnsi="arial" w:cs="arial"/>
            <w:i/>
            <w:color w:val="0077CC"/>
            <w:sz w:val="20"/>
            <w:u w:val="single"/>
            <w:shd w:val="clear" w:color="auto" w:fill="FFFFFF"/>
            <w:lang w:val="en-US" w:eastAsia="en-US" w:bidi="ar-SA"/>
          </w:rPr>
          <w:t>[2000] B.C.J. No. 208</w:t>
        </w:r>
      </w:hyperlink>
      <w:r>
        <w:rPr>
          <w:rFonts w:ascii="arial" w:eastAsia="arial" w:hAnsi="arial" w:cs="arial"/>
          <w:color w:val="000000"/>
          <w:sz w:val="20"/>
          <w:lang w:val="en-US" w:eastAsia="en-US" w:bidi="ar-SA"/>
        </w:rPr>
        <w:t xml:space="preserve"> at para. 19, characterized the categories of loss as follows:</w:t>
      </w:r>
    </w:p>
    <w:p>
      <w:pPr>
        <w:numPr>
          <w:numId w:val="4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repairing the defective parts of the buildings themselves;</w:t>
      </w:r>
    </w:p>
    <w:p>
      <w:pPr>
        <w:numPr>
          <w:numId w:val="4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repairing parts of the buildings which were damaged as a result of defects in other parts: e.g. drywall damaged by the ingress of water through the defective joints or caulking; and</w:t>
      </w:r>
    </w:p>
    <w:p>
      <w:pPr>
        <w:numPr>
          <w:numId w:val="4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repairing third party property damaged by the ingress of water - that is Axa's category "resultant damage".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Bauman J. goes on to say at para. 21: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it might be argued that category (ii), analytically, is "resultant damage" - that is, the defective element in the building has led to the resulting water damage to, for example, the interior drywall of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At paras. 26 - 35 Edwards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 The respondents argue that the costs of repairing defects are "economic loss" and are not recoverable. The policy considered by Drost J. in Privest was identical to the coverage provided in the case at bar.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In Canadian Indemnity Insurance Co. v. Andrews and George Co., </w:t>
      </w:r>
      <w:hyperlink r:id="rId303" w:history="1">
        <w:r>
          <w:rPr>
            <w:rFonts w:ascii="arial" w:eastAsia="arial" w:hAnsi="arial" w:cs="arial"/>
            <w:i/>
            <w:color w:val="0077CC"/>
            <w:sz w:val="20"/>
            <w:u w:val="single"/>
            <w:shd w:val="clear" w:color="auto" w:fill="FFFFFF"/>
            <w:lang w:val="en-US" w:eastAsia="en-US" w:bidi="ar-SA"/>
          </w:rPr>
          <w:t>[1953] 1 S.C.R. 19</w:t>
        </w:r>
      </w:hyperlink>
      <w:r>
        <w:rPr>
          <w:rFonts w:ascii="arial" w:eastAsia="arial" w:hAnsi="arial" w:cs="arial"/>
          <w:color w:val="000000"/>
          <w:sz w:val="20"/>
          <w:lang w:val="en-US" w:eastAsia="en-US" w:bidi="ar-SA"/>
        </w:rPr>
        <w:t xml:space="preserve"> at 27 Rand J. defined "accident" as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What is meant is something out of the ordinary or the likely, something fortuitous, unusual and unexpected, not in the ordinary course guarded against.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That a mishap might have been avoided by the exercise of greater care and diligence does not automatically take it out of the range of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 These factors, in my view, bring the allegations in the amended counterclaim within the coverage provisions of the Policy.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 The Policy contains a coverage for "Completed Operations Hazard". That coverage addresses some but not all of the allegations in the amended counterclaim. This is separate coverage and the nature of the coverage is contained in the definition to be found in clause 5 of the definition section of the Policy. The respondents place little reliance on this endorsement responding to matters in the amended counterclaim.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In conclusion, on the issue of whether or not there is coverage on the insuring agreement, it is my view that provided the court is required to construe the coverage provisions broadly and considering the definitions of "accident", "occurrence", "property liability" and the words of Bauman J. in Axa Pacific Insurance Company, supra, the petitioner has met the first part of the test and has established that the claims are within the scope of the Policy.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I turn now to the question of the second test: "Are the claims excluded by any policy provision".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[33] The respondents submit that clause 8(c) and (d), the Work/Product Exclusion, excludes coverage in the case at bar.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The petitioner says that clause 8(c) of the Policy applies to products as opposed to services and in the absence of a definitive characterization of it, it would be a fair conclusion to draw that clause 8(c) would be treated in the same manner as that applied in Maryland Casualty Company v. George Wayne Reeder, 221 Ca. App. 3d 961 (1990). In that case, the court considered the effect of the work and product exclusion clauses. The court held that the clauses did not apply to the work of products or subcontractors whose work or products resulted in damage or products.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 Hearn/Actes paid an additional premium for Completed Operations coverage which it intended would provide coverage with respect to a separate category of risk. Accordingly, the Policy should not be interpreted in such a way as to avoid this coverage which was specifically obtained by the insured. Hearn/Actes would not have paid for something which would be of no value to it. Such an interpretation would not accord with the reasonable expectations and purpose of ordinary insureds regarding coverage. This reasoning was embraced by the Court of Appeal of California in Maryland Casualty Company, supra. The court, in rejecting the insurer's argument that the "product" exclusion eliminates coverage for any damage to the completed building (the completed building being the "product" of the insured) accepted the following reasoning at 976: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In the opinion of the editors, that reasoning ignores the distinction between the 'completed operations hazard' and the 'named insured's products' in the policy definitions. Moreover, that reasoning precludes any possibility of recovery under the Completed Operations feature of the Broad Form Endorsement, a feature for which the insured has presumably paid an additional premium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best, the co-existence of the Completed Operations Hazard as defined in Clause 5 of the Definitions section of the Policy; the exception for Completed Operations coverage to the exclusion in Clause 11 of the Policy; and the Work/Product Exclusion within the same policy leads to confusion and ambiguity with respect to coverage. This was the situation in Commercial Union Assurance Cos. v. Gollan, 118 N.H. 744, 394 A. (2d) 839 (1978) where an insured builder was sued for the cost of repairing a collapsed roof on a building he had constructed. He had purchased Completed Operations Insurance, however, the policy also contained a work/product exclusion. The insurer argued that the Completed Operations protection covered only damage to the property of third parties, not to the insured's own work/product. The court rejected this argument and found evidence that reasonably led the insured to believe he was obtaining protection against liability of the type in question. Such evidence included the title of the policy ("general liability insurance"), the definition of the Completed Operations Hazard, which had been included with the coverage by endorsement and payment of an additional premium, and a number of exceptions to the exclusions which existed in the policy. The court held that the message of broad protection sent by these clauses contradicted the exclusionary language of the work/product exclusion. The court emphasized the complexity of the 17 page standard policy and found that the insurer's interpretation "would require the unwary insured to understand a distinction [between the insured's work/product and the property of third persons] that the clauses do not clearly specify." The court found this interpretation unreasonable and thus found inherent ambiguity in the policy which it resolved in the insured's favour on the basis of the insured's reasonable expectation of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Progressive insists that the facts and circumstances in </w:t>
      </w:r>
      <w:r>
        <w:rPr>
          <w:rFonts w:ascii="arial" w:eastAsia="arial" w:hAnsi="arial" w:cs="arial"/>
          <w:b/>
          <w:i/>
          <w:color w:val="000000"/>
          <w:sz w:val="20"/>
          <w:lang w:val="en-US" w:eastAsia="en-US" w:bidi="ar-SA"/>
        </w:rPr>
        <w:t>Hearn/Actes</w:t>
      </w:r>
      <w:r>
        <w:rPr>
          <w:rFonts w:ascii="arial" w:eastAsia="arial" w:hAnsi="arial" w:cs="arial"/>
          <w:color w:val="000000"/>
          <w:sz w:val="20"/>
          <w:lang w:val="en-US" w:eastAsia="en-US" w:bidi="ar-SA"/>
        </w:rPr>
        <w:t>, in so far as they relate to the issue of coverage and the duty to defend, are identical to those in the case at bar and that Edwards J. analysis and conclusion should be applied to grant Progressive the relief it seeks in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VII.</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Lombard's Position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Lombard submits that it has no duty to defend Progressive because the claims made in the underlying actions do not fall within the initial coverage grant under the insurance contracts. Lombard relies on two very recent decisions of this Court which Lombard insists settle the law on the issue before the Court in the instant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Swagger Construction Ltd. v. ING Insurance Company of Canada</w:t>
      </w:r>
      <w:r>
        <w:rPr>
          <w:rFonts w:ascii="arial" w:eastAsia="arial" w:hAnsi="arial" w:cs="arial"/>
          <w:color w:val="000000"/>
          <w:sz w:val="20"/>
          <w:lang w:val="en-US" w:eastAsia="en-US" w:bidi="ar-SA"/>
        </w:rPr>
        <w:t xml:space="preserve">, </w:t>
      </w:r>
      <w:hyperlink r:id="rId304" w:history="1">
        <w:r>
          <w:rPr>
            <w:rFonts w:ascii="arial" w:eastAsia="arial" w:hAnsi="arial" w:cs="arial"/>
            <w:i/>
            <w:color w:val="0077CC"/>
            <w:sz w:val="20"/>
            <w:u w:val="single"/>
            <w:shd w:val="clear" w:color="auto" w:fill="FFFFFF"/>
            <w:lang w:val="en-US" w:eastAsia="en-US" w:bidi="ar-SA"/>
          </w:rPr>
          <w:t>2005 BCSC 1269</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Swagger</w:t>
      </w:r>
      <w:r>
        <w:rPr>
          <w:rFonts w:ascii="arial" w:eastAsia="arial" w:hAnsi="arial" w:cs="arial"/>
          <w:color w:val="000000"/>
          <w:sz w:val="20"/>
          <w:lang w:val="en-US" w:eastAsia="en-US" w:bidi="ar-SA"/>
        </w:rPr>
        <w:t>"), N. Smith J. dealt with an application by Swagger for a declaration that ING was obligated to defend and indemnify Swagger in its action against UBC. Swagger was hired by UBC to construct a building and thereafter commenced an action against UBC for damages resulting from extra work and delays. UBC counterclaimed for breach of contract and damages arising from defective materials, faulty design and faulty workmanship. UBC argued that the deficiencies constituted a danger to the public and caused damages to other parts of the building. The ING policy obligated it to defend Swagger in any lawsuit for damages for personal injuries or damage to property caused by an occurrence.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N. Smith J. dismissed Swagger's application. The Court held that any damage to other parts of the building resulting from Swagger's defective workmanship was not covered by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At paras. 4 - 5 N. Smith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 The leading authority in this Court on the duty to defend under insurance policies of the type at issue here is Privest Properties Ltd. v. Foundation Co. of Canada. Ltd. </w:t>
      </w:r>
      <w:hyperlink r:id="rId305" w:history="1">
        <w:r>
          <w:rPr>
            <w:rFonts w:ascii="arial" w:eastAsia="arial" w:hAnsi="arial" w:cs="arial"/>
            <w:i/>
            <w:color w:val="0077CC"/>
            <w:sz w:val="20"/>
            <w:u w:val="single"/>
            <w:shd w:val="clear" w:color="auto" w:fill="FFFFFF"/>
            <w:lang w:val="en-US" w:eastAsia="en-US" w:bidi="ar-SA"/>
          </w:rPr>
          <w:t>(1991), 57 B.C.L.R. (2d) 88</w:t>
        </w:r>
      </w:hyperlink>
      <w:r>
        <w:rPr>
          <w:rFonts w:ascii="arial" w:eastAsia="arial" w:hAnsi="arial" w:cs="arial"/>
          <w:color w:val="000000"/>
          <w:sz w:val="20"/>
          <w:lang w:val="en-US" w:eastAsia="en-US" w:bidi="ar-SA"/>
        </w:rPr>
        <w:t xml:space="preserve">, </w:t>
      </w:r>
      <w:hyperlink r:id="rId305" w:history="1">
        <w:r>
          <w:rPr>
            <w:rFonts w:ascii="arial" w:eastAsia="arial" w:hAnsi="arial" w:cs="arial"/>
            <w:i/>
            <w:color w:val="0077CC"/>
            <w:sz w:val="20"/>
            <w:u w:val="single"/>
            <w:shd w:val="clear" w:color="auto" w:fill="FFFFFF"/>
            <w:lang w:val="en-US" w:eastAsia="en-US" w:bidi="ar-SA"/>
          </w:rPr>
          <w:t>6 C.C.L.I. (2d) 23</w:t>
        </w:r>
      </w:hyperlink>
      <w:r>
        <w:rPr>
          <w:rFonts w:ascii="arial" w:eastAsia="arial" w:hAnsi="arial" w:cs="arial"/>
          <w:color w:val="000000"/>
          <w:sz w:val="20"/>
          <w:lang w:val="en-US" w:eastAsia="en-US" w:bidi="ar-SA"/>
        </w:rPr>
        <w:t xml:space="preserve"> [Privest]. Drost J., at [paragraph]208, adopted American authority describing the general purpose of CGL policies: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Comprehensive general liability policies ... are intended to protect the insured from liability for injury or damage to the persons or property of others; they are not intended to pay the costs associated with repairing or replacing the insured's defective work and products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Citing Ohio Casualty Insurance Co. v. Bazzi Construction Co. Inc., 815 F. (2d) 1146 (C.A. 7th circ. 1987), at [paragraph]209 Drost J. added: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There is a policy reason for this. If the insurance proceeds could be used to pay for the repairing or replacing of defective work and products, a contractor or subcontractor could receive initial payment for its work and then receive further payment from the insurer to repair or replace it. Equally repugnant on policy grounds is the notion that the presence of insurance obviates the obligation to perform the job initially in a good and workmanlike manner: see Centex Homes Corp. v. Prestressed Systems Inc., 444 So. (2d) 66 (Fla. App. 3 Dist., 1984).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 This principle has been sometimes summarized by saying a CGL policy is not a performance bond. However, that general principle is always subject to the specific terms of the policy at issue. In Westridge Construction Ltd. v. Zurich Insurance Co., </w:t>
      </w:r>
      <w:hyperlink r:id="rId306" w:history="1">
        <w:r>
          <w:rPr>
            <w:rFonts w:ascii="arial" w:eastAsia="arial" w:hAnsi="arial" w:cs="arial"/>
            <w:i/>
            <w:color w:val="0077CC"/>
            <w:sz w:val="20"/>
            <w:u w:val="single"/>
            <w:shd w:val="clear" w:color="auto" w:fill="FFFFFF"/>
            <w:lang w:val="en-US" w:eastAsia="en-US" w:bidi="ar-SA"/>
          </w:rPr>
          <w:t>2005 SKCA 81</w:t>
        </w:r>
      </w:hyperlink>
      <w:r>
        <w:rPr>
          <w:rFonts w:ascii="arial" w:eastAsia="arial" w:hAnsi="arial" w:cs="arial"/>
          <w:color w:val="000000"/>
          <w:sz w:val="20"/>
          <w:lang w:val="en-US" w:eastAsia="en-US" w:bidi="ar-SA"/>
        </w:rPr>
        <w:t xml:space="preserve"> [Westridge Construction], the Saskatchewan Court of Appeal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the concluding paragraphs of his reasons for decision,([paragraph]s [38] to [42] the trial judge found that the claims against Westridge did not fall within the insuring agreements. In doing so, he made no reference to the terms of the policies themselves, but appears to have relied on what he termed to be a fundamental principle of insurance law that a Comprehensive General Liability Policy is not intended to be a means for a contractor to cover the expenses to cover its own defective workmanship or materials, or to be a performance bond (paragraphs [24] to [28]).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While the statement of principle is sound, this was an erroneous approach, as the judge was obliged to decide the issue not upon general insurance principles, nor upon the general nature of the policies, but upon the exact terms of the insurance policies themselves. ([paragraph] 33 to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At para. 22 N. Smith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Giving the pleadings their broadest possible interpretation, the counterclaim against Swagger contains the following basic elements:</w:t>
      </w:r>
    </w:p>
    <w:p>
      <w:pPr>
        <w:numPr>
          <w:numId w:val="4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claim that Swagger was in breach of its obligations under the construction contract;</w:t>
      </w:r>
    </w:p>
    <w:p>
      <w:pPr>
        <w:numPr>
          <w:numId w:val="4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claim that Swagger was negligent in performing its contractual obligations;</w:t>
      </w:r>
    </w:p>
    <w:p>
      <w:pPr>
        <w:numPr>
          <w:numId w:val="4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claim that Swagger's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resulted in construction deficiencies;</w:t>
      </w:r>
    </w:p>
    <w:p>
      <w:pPr>
        <w:numPr>
          <w:numId w:val="4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claim that UBC has had to repair the construction deficiencies;</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claim that the construction deficiencies have caused additional damage, including damage to other parts of the building that were not in themselves defective. This claim and includes failure of the building envelope and resulting leaks; and</w:t>
      </w:r>
    </w:p>
    <w:p>
      <w:pPr>
        <w:numPr>
          <w:numId w:val="5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claim that as a result of the construction deficiencies, resultant damage and dangerous defects, UBC has suffered a loss of use of the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important to emphasize that the damage alleged is damage to the very building that Swagger contracted to build. There is no allegation of personal injury to anyone, or any allegation of damage to property other than the Forest Science Centre.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Lombard relies heavily on the above quote arguing that the same point applies to the case at bar. Lombard asserts that the claims in the underlying actions do not engage coverage under the insurance contracts in that they do not relate to a claim for personal injury or damage to third party property outside of the building. Thus, Lombard submits that the same result should follow for Progressive's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At para. 33 N. Smith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In Winnipeg Condominium Corporation No. 36 v. Bird Construction Co., </w:t>
      </w:r>
      <w:hyperlink r:id="rId302" w:history="1">
        <w:r>
          <w:rPr>
            <w:rFonts w:ascii="arial" w:eastAsia="arial" w:hAnsi="arial" w:cs="arial"/>
            <w:i/>
            <w:color w:val="0077CC"/>
            <w:sz w:val="20"/>
            <w:u w:val="single"/>
            <w:shd w:val="clear" w:color="auto" w:fill="FFFFFF"/>
            <w:lang w:val="en-US" w:eastAsia="en-US" w:bidi="ar-SA"/>
          </w:rPr>
          <w:t>[1995] 1 S.C.R. 85</w:t>
        </w:r>
      </w:hyperlink>
      <w:r>
        <w:rPr>
          <w:rFonts w:ascii="arial" w:eastAsia="arial" w:hAnsi="arial" w:cs="arial"/>
          <w:color w:val="000000"/>
          <w:sz w:val="20"/>
          <w:lang w:val="en-US" w:eastAsia="en-US" w:bidi="ar-SA"/>
        </w:rPr>
        <w:t xml:space="preserve">, </w:t>
      </w:r>
      <w:hyperlink r:id="rId302" w:history="1">
        <w:r>
          <w:rPr>
            <w:rFonts w:ascii="arial" w:eastAsia="arial" w:hAnsi="arial" w:cs="arial"/>
            <w:i/>
            <w:color w:val="0077CC"/>
            <w:sz w:val="20"/>
            <w:u w:val="single"/>
            <w:shd w:val="clear" w:color="auto" w:fill="FFFFFF"/>
            <w:lang w:val="en-US" w:eastAsia="en-US" w:bidi="ar-SA"/>
          </w:rPr>
          <w:t>121 D.L.R. (4th) 193</w:t>
        </w:r>
      </w:hyperlink>
      <w:r>
        <w:rPr>
          <w:rFonts w:ascii="arial" w:eastAsia="arial" w:hAnsi="arial" w:cs="arial"/>
          <w:color w:val="000000"/>
          <w:sz w:val="20"/>
          <w:lang w:val="en-US" w:eastAsia="en-US" w:bidi="ar-SA"/>
        </w:rPr>
        <w:t xml:space="preserve"> [Winnipeg Condominium], the plaintiff claimed the cost of removing and replacing a building's defective exterior cladding. The plaintiff advanced an argument similar to Swagger's second category of damages. It argued that one element of a structure should be regarded as distinct from another, so that damage to one part of the structure caused by a defect in another could qualify as damage to "other property". The assertion of this "complex structure theory" relied on dicta by Lord Bridge in D &amp; F Estates Ltd. v. Church Commissioners for England, [1988] 2 All E.R. 992 (H.L.). The Supreme Court of Canada has rejected the theory, and noted that Lord Bridge had later rejected it in Murphy v. Brentwood District Council, [1990] 2 All E.R. 908 (H.L.): Winnipeg Condominium at [paragraph]15. LaForest J. summarized the law relating to the "complex structure" theory at [paragraph]s 14 and 15: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Counsel for the Condominium Corporation argued that the collapse of the cladding may have been attributable to the negligent installation of certain metal ties. Following the logic suggested by Lord Bridge, counsel argued that the loss suffered was not, in fact, economic loss but, rather, damage to "other property" and the recoverable under the principles established in Donoghue v. Stevenson, [1932] A.C. 562 (H.L.). In other words, he sought to localize the defect in one part of the structure and to claim that the damage to the rest of the structure was "caused" in some manner by the defect.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note at the outset that I do not find the Condominium Corporation's argument on this subsidiary point persuasive. In Murphy, supra, at pp. 926-8, Lord Bridge reconsidered and rejected the "complex structure" theory he had suggested in D &amp; F Estates, criticizing the theory on the following basis (at p. 928):</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reality is that the structural elements in any building form a single indivisible unit of which the different parts are essentially interdependent. To the extent that there is any defect in one part of the structure it must to a greater or lesser degree necessarily affect all other parts of the structure. Therefore any defect in the structure is a defect in the quality of the whole and it is quite artificial, in order to impose a legal liability which the law would not otherwise impose, to treat a defect in an integral structure, so far as it weakens the structure, as a dangerous defect liable to cause damage to other property'.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critical distinction must be drawn here between some part of a complex structure which is said to be a danger' only because it does not perform its proper function in sustaining the other parts and some distinct item incorporated in the structure which positively malfunctions so as to inflict positive damage on the structure in which it is incorporated. Thus, if a defective central heating boiler explodes and damages a house or a defective electrical insulation malfunctions and sets the house on fire, I see no reason to doubt that the owner of the house, if he can prove that the damage was due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boiler manufacturer in the one case or the electrical contractor in the other, can recover damages in tort on Donoghue v. Stevenson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Lombard heavily relies on the principle expressed in the above quote that "any defect in the structure is a defect in the quality of the whole ... it is quite artificial ... to treat a defect in an integral structure, so far as it weakens the structure, as a dangerous defect liable to cause damage to other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At paras. 35 - 36 and 43 - 46 N. Smith J.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After the Supreme Court of Canada's decision in Winnipeg Condominium, the defendant contractor sought an order that its insurer defend the claim. In Bird Construction Co. v. Allstate Insurance Co. of Canada, </w:t>
      </w:r>
      <w:hyperlink r:id="rId307" w:history="1">
        <w:r>
          <w:rPr>
            <w:rFonts w:ascii="arial" w:eastAsia="arial" w:hAnsi="arial" w:cs="arial"/>
            <w:i/>
            <w:color w:val="0077CC"/>
            <w:sz w:val="20"/>
            <w:u w:val="single"/>
            <w:shd w:val="clear" w:color="auto" w:fill="FFFFFF"/>
            <w:lang w:val="en-US" w:eastAsia="en-US" w:bidi="ar-SA"/>
          </w:rPr>
          <w:t>[1996] 7 W.W.R. 609</w:t>
        </w:r>
      </w:hyperlink>
      <w:r>
        <w:rPr>
          <w:rFonts w:ascii="arial" w:eastAsia="arial" w:hAnsi="arial" w:cs="arial"/>
          <w:color w:val="000000"/>
          <w:sz w:val="20"/>
          <w:lang w:val="en-US" w:eastAsia="en-US" w:bidi="ar-SA"/>
        </w:rPr>
        <w:t xml:space="preserve"> [Bird Construction], the Manitoba Court of Appeal said the insurer had no duty to defend and made clear (at [paragraph]s 11 and 12) that the Supreme Court of Canada's rejection of the "complex structure" theory for tort purposes, also applied to insurance law:</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claim is obviously not one for "damages because of bodily injury." Nor is it one for "damages because of property damage" as those latter words are defined in the policy. As LaForest J. remarked in Winnipeg Condominium Corporation No. 36 v. Bird Construction Co. Ltd., supra, at p. 98:</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 observe that the losses claimed by the Condominium Corporation in the present case fall quite clearly under the category of economic loss.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only damage to property alleged in the claim against the policy holder is damage to the building itself. But this is not damage in the sense defined in the policy which expressly excludes coverage for damage to the work performed by or on behalf of the policy holder (Exclusion (k)(4)). Nor can it be argued that the defect in part of the building caused damage to the rest of the building. This argument, known as the "complex structure" theory, was rejected by the Supreme Court of Canada in Winnipeg Condominium Corporation No. 36 v. Bird Construction Co. Ltd., supra, at p. 100.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 The basic principle set out in Privest and the authorities on which it is based is that for the purpose of CGL policies, damage to "tangible property" does not include the cost of remedying defects in the insured's own work. Drost J. also said that a general contractor's "work" is the project for which the contractor was engaged ([paragraph] 238). The effect of Winnipeg Condominium and Bird Construction is that, subject to one possible exception that I will discuss below, this basic principle can not be avoided by an artificial division of the insured's work into component parts.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[43] This language suggests there may be a distinction between structural and non-structural elements of a building. That possibility arises directly from Winnipeg Condominium, which suggests a distinction between a part of a structure that "does not perform its proper function in sustaining the other parts and some distinct item incorporated in the structure which positively malfunctions." The Court used the example of a defective central heating boiler exploding and damaging the structure. That distinction must also work in the other direction. A defect in the structure may lead to damage to parts of the building that have no structural function and do not form part of an indivisible unit of structural elements. For example, a failure of the building envelope, such as is alleged in this case, may cause water damage to building elements that have an aesthetic or functional purpose but no structural significance. Carpeting and perhaps drywall could fall within this category. Although still part of the contractor's work, it might be said that the property damaged is so far removed from the defective portion, both in function and the specific construction steps taken in relation to it, that it would arguably be called "other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[44] In AXA Pacific, Bauman J. did not have to decide whether that distinction was relevant because he relied on the specific policy language to find that the duty to defend existed for both the cost of repairing defects and any "resultant damage to other parts of the building. The policy in that case defined property damage as "injury to or destruction" of property ([paragraph] 32). Bauman J. noted that the wording was the same as the policy wording that gave rise to a duty to defend in Privest because it could include "infringement of intangible property or incorporeal right." ([paragraph] 36).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[45] The policy in this case refers to "tangible property", which is the language that Privest said does not give rise to a duty to defend. On its result, AXA Pacific is distinguishable from this case simply on the basis of what was found in Privest to be a significant difference in the wording of the policy. It certainly does not suggest any departure from the law stated in Privest, which has been adopted by courts across Canada.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[46] However, AXA Pacific does leave open the question of whether the policies in this case could be interpreted as having application in the limited sense of resulting damage to non-structural portions of the plaintiff's work. Can, for example, a failure of the building envelope be considered property damage to the extent that it damages features like carpeting and interior drywall? If that can be considered property damage, it would appear to form a very small part of UBC's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Lombard argues that its position in this lawsuit fits with the analysis set out above and that there cannot be a finding of property damage in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issue then arises whether I am bound by the analysis and result in Swagger, or whether it is open to me to apply the analysis and result found in </w:t>
      </w:r>
      <w:r>
        <w:rPr>
          <w:rFonts w:ascii="arial" w:eastAsia="arial" w:hAnsi="arial" w:cs="arial"/>
          <w:b/>
          <w:i/>
          <w:color w:val="000000"/>
          <w:sz w:val="20"/>
          <w:lang w:val="en-US" w:eastAsia="en-US" w:bidi="ar-SA"/>
        </w:rPr>
        <w:t>Hearn/Actes</w:t>
      </w:r>
      <w:r>
        <w:rPr>
          <w:rFonts w:ascii="arial" w:eastAsia="arial" w:hAnsi="arial" w:cs="arial"/>
          <w:color w:val="000000"/>
          <w:sz w:val="20"/>
          <w:lang w:val="en-US" w:eastAsia="en-US" w:bidi="ar-SA"/>
        </w:rPr>
        <w:t xml:space="preserve">. In this respect, N. Smith J. considered </w:t>
      </w:r>
      <w:r>
        <w:rPr>
          <w:rFonts w:ascii="arial" w:eastAsia="arial" w:hAnsi="arial" w:cs="arial"/>
          <w:b/>
          <w:i/>
          <w:color w:val="000000"/>
          <w:sz w:val="20"/>
          <w:lang w:val="en-US" w:eastAsia="en-US" w:bidi="ar-SA"/>
        </w:rPr>
        <w:t>Hearn/Actes</w:t>
      </w:r>
      <w:r>
        <w:rPr>
          <w:rFonts w:ascii="arial" w:eastAsia="arial" w:hAnsi="arial" w:cs="arial"/>
          <w:color w:val="000000"/>
          <w:sz w:val="20"/>
          <w:lang w:val="en-US" w:eastAsia="en-US" w:bidi="ar-SA"/>
        </w:rPr>
        <w:t>, and had the following to say at paras. 59 - 66: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[59] I confess, with respect, that I have difficulty understanding how the Court in Hearn/Actes reached the decision it did in light of the applicable authorities. One problem is that the pleadings are not described except in very general terms. They are said to allege construction deficiencies, including resultant damage.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[60] The Court refers to Winnipeg Condominium. It does not refer to Bird Construction. However, it refers to AXA Pacific, which does refer to Bird Construction. If Bird Construction was argued in Hearn/Actes, there is no explanation of why a different result was reached. In reference to Winnipeg Condominium, the Court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Winnipeg Condominium, supra, Mr. Justice LaForest used the potential of danger to back away from a previously unshaken characterization of this type of loss as pure economic loss.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claims for "economic loss" fall within the liberal interpretation of "damage to property", now specifically adopted by our courts ([paragraph]s 12 and 13).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[61] The Court then stated at [paragraph]s 26 to 29: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respondents argue that the costs of repairing defects are "economic loss" and are not recoverable. The policy considered by Drost J. in Privest was identical to the coverage provided in the case at bar.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Canadian Indemnity Insurance Co. v. Andrews and George Co., </w:t>
      </w:r>
      <w:hyperlink r:id="rId303" w:history="1">
        <w:r>
          <w:rPr>
            <w:rFonts w:ascii="arial" w:eastAsia="arial" w:hAnsi="arial" w:cs="arial"/>
            <w:i/>
            <w:color w:val="0077CC"/>
            <w:sz w:val="20"/>
            <w:u w:val="single"/>
            <w:shd w:val="clear" w:color="auto" w:fill="FFFFFF"/>
            <w:lang w:val="en-US" w:eastAsia="en-US" w:bidi="ar-SA"/>
          </w:rPr>
          <w:t>[1953] 1 S.C.R. 19</w:t>
        </w:r>
      </w:hyperlink>
      <w:r>
        <w:rPr>
          <w:rFonts w:ascii="arial" w:eastAsia="arial" w:hAnsi="arial" w:cs="arial"/>
          <w:color w:val="000000"/>
          <w:sz w:val="20"/>
          <w:lang w:val="en-US" w:eastAsia="en-US" w:bidi="ar-SA"/>
        </w:rPr>
        <w:t xml:space="preserve"> at 27 Rand J. defined "accident" as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What is meant is something out of the ordinary or the likely, something fortuitous, unusual and unexpected, not of the range of "accident".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That a mishap might have been avoided by the exercise of greater care and diligence does not automatically take it out of the range of "accident".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These factors, in my view, bring the allegations in the amended counterclaim within the coverage provisions of the Policy.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policy in Hearn/Actes was identical to one category of policy considered in Privest. However, this was the category that Drost J. held did not give rise to a duty to defend. In relation to the finding that there was an occurrence, the Court was apparently not referred to the discussion of that issue in Harbour Marine, and, of course, could not have had the benefit of subsequent authorities such as Celestica, </w:t>
      </w:r>
      <w:hyperlink r:id="rId308" w:history="1">
        <w:r>
          <w:rPr>
            <w:rFonts w:ascii="arial" w:eastAsia="arial" w:hAnsi="arial" w:cs="arial"/>
            <w:i/>
            <w:color w:val="0077CC"/>
            <w:sz w:val="20"/>
            <w:u w:val="single"/>
            <w:shd w:val="clear" w:color="auto" w:fill="FFFFFF"/>
            <w:lang w:val="en-US" w:eastAsia="en-US" w:bidi="ar-SA"/>
          </w:rPr>
          <w:t>229 D.L.R. (4th) 392</w:t>
        </w:r>
      </w:hyperlink>
      <w:r>
        <w:rPr>
          <w:rFonts w:ascii="arial" w:eastAsia="arial" w:hAnsi="arial" w:cs="arial"/>
          <w:color w:val="000000"/>
          <w:sz w:val="20"/>
          <w:lang w:val="en-US" w:eastAsia="en-US" w:bidi="ar-SA"/>
        </w:rPr>
        <w:t xml:space="preserve"> and A.R.G. Construction, </w:t>
      </w:r>
      <w:hyperlink r:id="rId309" w:history="1">
        <w:r>
          <w:rPr>
            <w:rFonts w:ascii="arial" w:eastAsia="arial" w:hAnsi="arial" w:cs="arial"/>
            <w:i/>
            <w:color w:val="0077CC"/>
            <w:sz w:val="20"/>
            <w:u w:val="single"/>
            <w:shd w:val="clear" w:color="auto" w:fill="FFFFFF"/>
            <w:lang w:val="en-US" w:eastAsia="en-US" w:bidi="ar-SA"/>
          </w:rPr>
          <w:t>[2004] O.J. No. 4517</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[62] The conclusion reached in Hearn/Actes was stated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conclusion, on the issue of whether or not there is coverage on the insuring agreement, it is my view that provided the court is required to construe the coverage provisions broadly and considering the definitions of "accident", "occurrence", "property liability" and the words of Bauman J. in AXA Pacific Insurance Company, supra, the petitioner has met the first part of the test and has established that the claims are within the scope of the Policy ([paragraph] 31).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already noted that the AXA Pacific case relied upon in that paragraph, is based on language established by previous authority to be significantly different from what was before the court in Hearn/Actes, and from what is before the court in this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[63] Having said that, Hearn/Actes is a considered decision of this Court on facts that, as far as can be determined, appear to be very similar to the case at bar. I am bound to follow it except in the specific circumstances set out in Re Hansard Spruce Mills Ltd., </w:t>
      </w:r>
      <w:hyperlink r:id="rId104" w:history="1">
        <w:r>
          <w:rPr>
            <w:rFonts w:ascii="arial" w:eastAsia="arial" w:hAnsi="arial" w:cs="arial"/>
            <w:i/>
            <w:color w:val="0077CC"/>
            <w:sz w:val="20"/>
            <w:u w:val="single"/>
            <w:shd w:val="clear" w:color="auto" w:fill="FFFFFF"/>
            <w:lang w:val="en-US" w:eastAsia="en-US" w:bidi="ar-SA"/>
          </w:rPr>
          <w:t>[1954] 4 D.L.R. 590</w:t>
        </w:r>
      </w:hyperlink>
      <w:r>
        <w:rPr>
          <w:rFonts w:ascii="arial" w:eastAsia="arial" w:hAnsi="arial" w:cs="arial"/>
          <w:color w:val="000000"/>
          <w:sz w:val="20"/>
          <w:lang w:val="en-US" w:eastAsia="en-US" w:bidi="ar-SA"/>
        </w:rPr>
        <w:t xml:space="preserve"> (B.C.S.C.) [Hansard Spruce Mills]. Those circumstances were described by Wilson J. as occurring when:</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subsequent decisions have affected the validity of the impugned judgment;</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demonstrated that some binding authority in case law, or some relevant statute was not considered;</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judgment was unconsidered, a nisi prius judgment given in circumstances familiar to all trial Judges, where the exigencies of the trial require an immediate decision without opportunity to fully consult authority. (p. 592),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[64] That passage was recently considered by Goepel J. in McCready v. Nanaimo (City), </w:t>
      </w:r>
      <w:hyperlink r:id="rId310" w:history="1">
        <w:r>
          <w:rPr>
            <w:rFonts w:ascii="arial" w:eastAsia="arial" w:hAnsi="arial" w:cs="arial"/>
            <w:i/>
            <w:color w:val="0077CC"/>
            <w:sz w:val="20"/>
            <w:u w:val="single"/>
            <w:shd w:val="clear" w:color="auto" w:fill="FFFFFF"/>
            <w:lang w:val="en-US" w:eastAsia="en-US" w:bidi="ar-SA"/>
          </w:rPr>
          <w:t>2005 BCSC 762</w:t>
        </w:r>
      </w:hyperlink>
      <w:r>
        <w:rPr>
          <w:rFonts w:ascii="arial" w:eastAsia="arial" w:hAnsi="arial" w:cs="arial"/>
          <w:color w:val="000000"/>
          <w:sz w:val="20"/>
          <w:lang w:val="en-US" w:eastAsia="en-US" w:bidi="ar-SA"/>
        </w:rPr>
        <w:t xml:space="preserve"> at [paragraph]s 47 and 48. Goepel J. also considered the case of Cairney v. Queen Charlotte Airlines Ltd. et al. (No. 2) (1954), 12 W.W.R. (N.S.) 459 (B.C.S.C), which is referred to in Hansard Spruce Mills: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Hansard Spruce Mills, Wilson J. reiterates what he said in Cairney and refers to it, but he omits specific reference to one of the conditions he mentioned in Cairney at p. 460:</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No suggestion has been made to me that the authorities bearing on the question were not considered by Fisher J. There is no subsequent judgment by any member of this court or by any higher court which would suggest that Fisher J. reached a wrong conclusion. There is no suggestion that his judgment is palpably wrong in that it displays a patent error as to law or as to the facts upon which his statement of law is based.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patent error of law or fact is a ground on which I may refuse to follow an earlier judgment of this court: Leischner et al. v. West Kootenay Power &amp; Light Co. Ltd. et al., </w:t>
      </w:r>
      <w:hyperlink r:id="rId311" w:history="1">
        <w:r>
          <w:rPr>
            <w:rFonts w:ascii="arial" w:eastAsia="arial" w:hAnsi="arial" w:cs="arial"/>
            <w:i/>
            <w:color w:val="0077CC"/>
            <w:sz w:val="20"/>
            <w:u w:val="single"/>
            <w:shd w:val="clear" w:color="auto" w:fill="FFFFFF"/>
            <w:lang w:val="en-US" w:eastAsia="en-US" w:bidi="ar-SA"/>
          </w:rPr>
          <w:t>150 D.L.R. (3d) 242</w:t>
        </w:r>
      </w:hyperlink>
      <w:r>
        <w:rPr>
          <w:rFonts w:ascii="arial" w:eastAsia="arial" w:hAnsi="arial" w:cs="arial"/>
          <w:color w:val="000000"/>
          <w:sz w:val="20"/>
          <w:lang w:val="en-US" w:eastAsia="en-US" w:bidi="ar-SA"/>
        </w:rPr>
        <w:t xml:space="preserve"> (B.C.S.C.), varied </w:t>
      </w:r>
      <w:hyperlink r:id="rId312" w:history="1">
        <w:r>
          <w:rPr>
            <w:rFonts w:ascii="arial" w:eastAsia="arial" w:hAnsi="arial" w:cs="arial"/>
            <w:i/>
            <w:color w:val="0077CC"/>
            <w:sz w:val="20"/>
            <w:u w:val="single"/>
            <w:shd w:val="clear" w:color="auto" w:fill="FFFFFF"/>
            <w:lang w:val="en-US" w:eastAsia="en-US" w:bidi="ar-SA"/>
          </w:rPr>
          <w:t>(1983), 24 D.L.R. (4th) 641</w:t>
        </w:r>
      </w:hyperlink>
      <w:r>
        <w:rPr>
          <w:rFonts w:ascii="arial" w:eastAsia="arial" w:hAnsi="arial" w:cs="arial"/>
          <w:color w:val="000000"/>
          <w:sz w:val="20"/>
          <w:lang w:val="en-US" w:eastAsia="en-US" w:bidi="ar-SA"/>
        </w:rPr>
        <w:t xml:space="preserve"> (B.C.C.A.).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[65] In dealing with an issue of interpretation of a statutory provision, Goepel J. found that a previous decision of this court was "palpably wrong" and declined to follow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[66] It will be apparent from my previous review of Hearn/Actes that I believe the first two of the three conditions set out in Hansard Spruce Mills apply. The Court was not referred to a binding authority on the definition of occurrence - a subject which has also been considered by subsequent authorities. It may be that there were specific allegations in the pleadings that supported the result in Hearn/Actes. However, in the absence of such information, I am unable to see how the result could have been reached on a proper application of the law set out in Privest, Winnipeg Condominium, Bird Construction and the other cases to which I have referred. I therefore must conclude, with great respect, that I am not bound to follow Hearn/Actes.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Lombard's position is that I am bound to follow </w:t>
      </w:r>
      <w:r>
        <w:rPr>
          <w:rFonts w:ascii="arial" w:eastAsia="arial" w:hAnsi="arial" w:cs="arial"/>
          <w:b/>
          <w:i/>
          <w:color w:val="000000"/>
          <w:sz w:val="20"/>
          <w:lang w:val="en-US" w:eastAsia="en-US" w:bidi="ar-SA"/>
        </w:rPr>
        <w:t>Swagger</w:t>
      </w:r>
      <w:r>
        <w:rPr>
          <w:rFonts w:ascii="arial" w:eastAsia="arial" w:hAnsi="arial" w:cs="arial"/>
          <w:color w:val="000000"/>
          <w:sz w:val="20"/>
          <w:lang w:val="en-US" w:eastAsia="en-US" w:bidi="ar-SA"/>
        </w:rPr>
        <w:t xml:space="preserve"> based on the result in </w:t>
      </w:r>
      <w:r>
        <w:rPr>
          <w:rFonts w:ascii="arial" w:eastAsia="arial" w:hAnsi="arial" w:cs="arial"/>
          <w:b/>
          <w:i/>
          <w:color w:val="000000"/>
          <w:sz w:val="20"/>
          <w:lang w:val="en-US" w:eastAsia="en-US" w:bidi="ar-SA"/>
        </w:rPr>
        <w:t>GCAN Insurance Company v. Concord Pacific Group Inc.</w:t>
      </w:r>
      <w:r>
        <w:rPr>
          <w:rFonts w:ascii="arial" w:eastAsia="arial" w:hAnsi="arial" w:cs="arial"/>
          <w:color w:val="000000"/>
          <w:sz w:val="20"/>
          <w:lang w:val="en-US" w:eastAsia="en-US" w:bidi="ar-SA"/>
        </w:rPr>
        <w:t xml:space="preserve">, </w:t>
      </w:r>
      <w:hyperlink r:id="rId313" w:history="1">
        <w:r>
          <w:rPr>
            <w:rFonts w:ascii="arial" w:eastAsia="arial" w:hAnsi="arial" w:cs="arial"/>
            <w:i/>
            <w:color w:val="0077CC"/>
            <w:sz w:val="20"/>
            <w:u w:val="single"/>
            <w:shd w:val="clear" w:color="auto" w:fill="FFFFFF"/>
            <w:lang w:val="en-US" w:eastAsia="en-US" w:bidi="ar-SA"/>
          </w:rPr>
          <w:t>2007 BCSC 241</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GCAN</w:t>
      </w:r>
      <w:r>
        <w:rPr>
          <w:rFonts w:ascii="arial" w:eastAsia="arial" w:hAnsi="arial" w:cs="arial"/>
          <w:color w:val="000000"/>
          <w:sz w:val="20"/>
          <w:lang w:val="en-US" w:eastAsia="en-US" w:bidi="ar-SA"/>
        </w:rPr>
        <w:t xml:space="preserve">"). In that application, </w:t>
      </w:r>
      <w:r>
        <w:rPr>
          <w:rFonts w:ascii="arial" w:eastAsia="arial" w:hAnsi="arial" w:cs="arial"/>
          <w:b/>
          <w:i/>
          <w:color w:val="000000"/>
          <w:sz w:val="20"/>
          <w:lang w:val="en-US" w:eastAsia="en-US" w:bidi="ar-SA"/>
        </w:rPr>
        <w:t>GCAN</w:t>
      </w:r>
      <w:r>
        <w:rPr>
          <w:rFonts w:ascii="arial" w:eastAsia="arial" w:hAnsi="arial" w:cs="arial"/>
          <w:color w:val="000000"/>
          <w:sz w:val="20"/>
          <w:lang w:val="en-US" w:eastAsia="en-US" w:bidi="ar-SA"/>
        </w:rPr>
        <w:t xml:space="preserve"> applied for a declaration that it had no duty to defend the respondents pursuant to policies of liability insurance with respect to claims brought in actions against the respondents by two strata corporations for defective workmanship and resultant damage. The allegations were that construction deficiencies caused damage to the exterior and interior of the building components including water ingress causing water damage and deterioration of the building envelope and to the structural components of the wall assemblies and deterioration of the interior finishes of the building. The respondents insisted that their own work was covered by the policy language.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Garson J. had to consider the applicability of </w:t>
      </w:r>
      <w:r>
        <w:rPr>
          <w:rFonts w:ascii="arial" w:eastAsia="arial" w:hAnsi="arial" w:cs="arial"/>
          <w:b/>
          <w:i/>
          <w:color w:val="000000"/>
          <w:sz w:val="20"/>
          <w:lang w:val="en-US" w:eastAsia="en-US" w:bidi="ar-SA"/>
        </w:rPr>
        <w:t>Swagger</w:t>
      </w:r>
      <w:r>
        <w:rPr>
          <w:rFonts w:ascii="arial" w:eastAsia="arial" w:hAnsi="arial" w:cs="arial"/>
          <w:color w:val="000000"/>
          <w:sz w:val="20"/>
          <w:lang w:val="en-US" w:eastAsia="en-US" w:bidi="ar-SA"/>
        </w:rPr>
        <w:t xml:space="preserve">. In doing so she categorized the types of defective building claims made against builders for which the builder may or may not be insured. The first is a claim for damages to repair or replace the defective work performed by the insured. Her Ladyship called this a claim for economic loss. The second is a claim for damages against an insured for damage to property of a third party which damage is resultant damage, i.e. caused by the defective work of the insured, but occurring on a different property than the defectively built one. The third is a claim against an insured builder of a building for resultant damage to multiple parts of a building caused by the insured's own defective work, i.e., a claim against an insured for resultant damage to multiple exterior and interior structures caused by a defective building envelope. Her Ladyship also considered the "complex structure theory" and made reference to </w:t>
      </w:r>
      <w:r>
        <w:rPr>
          <w:rFonts w:ascii="arial" w:eastAsia="arial" w:hAnsi="arial" w:cs="arial"/>
          <w:b/>
          <w:i/>
          <w:color w:val="000000"/>
          <w:sz w:val="20"/>
          <w:lang w:val="en-US" w:eastAsia="en-US" w:bidi="ar-SA"/>
        </w:rPr>
        <w:t>Winnipeg Condominium Corporation No. 36 v. Bird Construction Co.</w:t>
      </w:r>
      <w:r>
        <w:rPr>
          <w:rFonts w:ascii="arial" w:eastAsia="arial" w:hAnsi="arial" w:cs="arial"/>
          <w:color w:val="000000"/>
          <w:sz w:val="20"/>
          <w:lang w:val="en-US" w:eastAsia="en-US" w:bidi="ar-SA"/>
        </w:rPr>
        <w:t xml:space="preserve">, </w:t>
      </w:r>
      <w:hyperlink r:id="rId302" w:history="1">
        <w:r>
          <w:rPr>
            <w:rFonts w:ascii="arial" w:eastAsia="arial" w:hAnsi="arial" w:cs="arial"/>
            <w:i/>
            <w:color w:val="0077CC"/>
            <w:sz w:val="20"/>
            <w:u w:val="single"/>
            <w:shd w:val="clear" w:color="auto" w:fill="FFFFFF"/>
            <w:lang w:val="en-US" w:eastAsia="en-US" w:bidi="ar-SA"/>
          </w:rPr>
          <w:t>[1995] 1 SCR 85</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Winnipeg Condominium</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Garson J. concluded that of the three categories she mentioned only the third category was applicable to the case, noting that the builder was sued for constructing a building with a defective building envelope. At paras. 37 - 38 she 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[37]</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Having now defined some terms I shall endeavour to state the issues on which this case turns. Of the three categories of damage claims for which an insured may seek indemnity, it is only the third category that is applicable to this case. Here the insured seeks indemnity for claims made by the strata and owners against it for what I have called Own Work Resultant Property Damage. The builder/insured is sued for, </w:t>
            </w:r>
            <w:r>
              <w:rPr>
                <w:rFonts w:ascii="arial" w:eastAsia="arial" w:hAnsi="arial" w:cs="arial"/>
                <w:i/>
                <w:color w:val="000000"/>
                <w:sz w:val="18"/>
                <w:lang w:val="en-US" w:eastAsia="en-US" w:bidi="ar-SA"/>
              </w:rPr>
              <w:t>inter alia</w:t>
            </w:r>
            <w:r>
              <w:rPr>
                <w:rFonts w:ascii="arial" w:eastAsia="arial" w:hAnsi="arial" w:cs="arial"/>
                <w:color w:val="000000"/>
                <w:sz w:val="18"/>
                <w:lang w:val="en-US" w:eastAsia="en-US" w:bidi="ar-SA"/>
              </w:rPr>
              <w:t xml:space="preserve">, building a building with a defective building envelope. That defective work is alleged to have allowed water ingress which in turn has caused multiple areas of damage to the interior and exterior of the building. The Petitioner, in reliance on the </w:t>
            </w:r>
            <w:r>
              <w:rPr>
                <w:rFonts w:ascii="arial" w:eastAsia="arial" w:hAnsi="arial" w:cs="arial"/>
                <w:b/>
                <w:i/>
                <w:color w:val="000000"/>
                <w:sz w:val="18"/>
                <w:lang w:val="en-US" w:eastAsia="en-US" w:bidi="ar-SA"/>
              </w:rPr>
              <w:t>Swagger</w:t>
            </w:r>
            <w:r>
              <w:rPr>
                <w:rFonts w:ascii="arial" w:eastAsia="arial" w:hAnsi="arial" w:cs="arial"/>
                <w:color w:val="000000"/>
                <w:sz w:val="18"/>
                <w:lang w:val="en-US" w:eastAsia="en-US" w:bidi="ar-SA"/>
              </w:rPr>
              <w:t xml:space="preserve"> decision, contends that given the Supreme Court's rejection of the complex structure theory, the builder is not insured for Resultant Damage to a building when that builder built or was responsible for building the whole building. In other words the builder cannot artificially divide the building into different components and argue that damage to one component caused by his defective work on another component of the building is "property damage" as defined by the policy.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[38]</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For convenience, I shall sometime collectively refer to the Respondents as the insured or the builder. (Below I shall discuss the roles of the individual Respondents.) The Respondents contend that the proper interpretation of the Policies entitles the builder to indemnity for claims for Own Work Resultant Property Damage. The builder says that the judgment in </w:t>
            </w:r>
            <w:r>
              <w:rPr>
                <w:rFonts w:ascii="arial" w:eastAsia="arial" w:hAnsi="arial" w:cs="arial"/>
                <w:b/>
                <w:i/>
                <w:color w:val="000000"/>
                <w:sz w:val="18"/>
                <w:lang w:val="en-US" w:eastAsia="en-US" w:bidi="ar-SA"/>
              </w:rPr>
              <w:t>Swagger</w:t>
            </w:r>
            <w:r>
              <w:rPr>
                <w:rFonts w:ascii="arial" w:eastAsia="arial" w:hAnsi="arial" w:cs="arial"/>
                <w:color w:val="000000"/>
                <w:sz w:val="18"/>
                <w:lang w:val="en-US" w:eastAsia="en-US" w:bidi="ar-SA"/>
              </w:rPr>
              <w:t xml:space="preserve"> is not consistent with previous binding authority, is wrongly decided, and is not binding on this court.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Following a consideration of the facts in </w:t>
      </w:r>
      <w:r>
        <w:rPr>
          <w:rFonts w:ascii="arial" w:eastAsia="arial" w:hAnsi="arial" w:cs="arial"/>
          <w:b/>
          <w:i/>
          <w:color w:val="000000"/>
          <w:sz w:val="20"/>
          <w:lang w:val="en-US" w:eastAsia="en-US" w:bidi="ar-SA"/>
        </w:rPr>
        <w:t>Swagger</w:t>
      </w:r>
      <w:r>
        <w:rPr>
          <w:rFonts w:ascii="arial" w:eastAsia="arial" w:hAnsi="arial" w:cs="arial"/>
          <w:color w:val="000000"/>
          <w:sz w:val="20"/>
          <w:lang w:val="en-US" w:eastAsia="en-US" w:bidi="ar-SA"/>
        </w:rPr>
        <w:t>, Garson J. said at para. 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[42]</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I would interpret </w:t>
            </w:r>
            <w:r>
              <w:rPr>
                <w:rFonts w:ascii="arial" w:eastAsia="arial" w:hAnsi="arial" w:cs="arial"/>
                <w:b/>
                <w:i/>
                <w:color w:val="000000"/>
                <w:sz w:val="18"/>
                <w:lang w:val="en-US" w:eastAsia="en-US" w:bidi="ar-SA"/>
              </w:rPr>
              <w:t>Swagger</w:t>
            </w:r>
            <w:r>
              <w:rPr>
                <w:rFonts w:ascii="arial" w:eastAsia="arial" w:hAnsi="arial" w:cs="arial"/>
                <w:color w:val="000000"/>
                <w:sz w:val="18"/>
                <w:lang w:val="en-US" w:eastAsia="en-US" w:bidi="ar-SA"/>
              </w:rPr>
              <w:t xml:space="preserve"> as authority for the proposition that a liability insurance policy covering physical injury to tangible property does not contemplate the artificial division of the work of the party responsible for that work into component parts for the purpose of establishing Resultant Damage, unless that is the clear intention of the entirety of the policy. Smith J. decided that the policies at issue in </w:t>
            </w:r>
            <w:r>
              <w:rPr>
                <w:rFonts w:ascii="arial" w:eastAsia="arial" w:hAnsi="arial" w:cs="arial"/>
                <w:b/>
                <w:i/>
                <w:color w:val="000000"/>
                <w:sz w:val="18"/>
                <w:lang w:val="en-US" w:eastAsia="en-US" w:bidi="ar-SA"/>
              </w:rPr>
              <w:t>Swagger</w:t>
            </w:r>
            <w:r>
              <w:rPr>
                <w:rFonts w:ascii="arial" w:eastAsia="arial" w:hAnsi="arial" w:cs="arial"/>
                <w:color w:val="000000"/>
                <w:sz w:val="18"/>
                <w:lang w:val="en-US" w:eastAsia="en-US" w:bidi="ar-SA"/>
              </w:rPr>
              <w:t xml:space="preserve"> could not be interpreted as covering what I called above Own Work Resultant Property Damage, and therefore the University's claim against Swagger was not covered by its wrap-up liability policy. </w:t>
            </w:r>
            <w:r>
              <w:rPr>
                <w:rFonts w:ascii="arial" w:eastAsia="arial" w:hAnsi="arial" w:cs="arial"/>
                <w:b/>
                <w:i/>
                <w:color w:val="000000"/>
                <w:sz w:val="18"/>
                <w:lang w:val="en-US" w:eastAsia="en-US" w:bidi="ar-SA"/>
              </w:rPr>
              <w:t>Swagger</w:t>
            </w:r>
            <w:r>
              <w:rPr>
                <w:rFonts w:ascii="arial" w:eastAsia="arial" w:hAnsi="arial" w:cs="arial"/>
                <w:color w:val="000000"/>
                <w:sz w:val="18"/>
                <w:lang w:val="en-US" w:eastAsia="en-US" w:bidi="ar-SA"/>
              </w:rPr>
              <w:t xml:space="preserve"> is also authority for the proposition that in the context of an insurance policy covering physical injury to tangible property, defective construction is not an "accident" unless there is damage to the property of a third person.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Lombard submits that the insurance contracts in the case at bar contain virtually the same terms as those found in </w:t>
      </w:r>
      <w:r>
        <w:rPr>
          <w:rFonts w:ascii="arial" w:eastAsia="arial" w:hAnsi="arial" w:cs="arial"/>
          <w:b/>
          <w:i/>
          <w:color w:val="000000"/>
          <w:sz w:val="20"/>
          <w:lang w:val="en-US" w:eastAsia="en-US" w:bidi="ar-SA"/>
        </w:rPr>
        <w:t>Swagger</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GCAN</w:t>
      </w:r>
      <w:r>
        <w:rPr>
          <w:rFonts w:ascii="arial" w:eastAsia="arial" w:hAnsi="arial" w:cs="arial"/>
          <w:color w:val="000000"/>
          <w:sz w:val="20"/>
          <w:lang w:val="en-US" w:eastAsia="en-US" w:bidi="ar-SA"/>
        </w:rPr>
        <w:t xml:space="preserve"> and thus, based on the words of Garson J., Progressive cannot succeed in its application. Lombard argues that as there is no allegation in the instant case of damage to property of a third person, this is a complete answer to Progressive's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Garson J. reviewed the pre-</w:t>
      </w:r>
      <w:r>
        <w:rPr>
          <w:rFonts w:ascii="arial" w:eastAsia="arial" w:hAnsi="arial" w:cs="arial"/>
          <w:b/>
          <w:i/>
          <w:color w:val="000000"/>
          <w:sz w:val="20"/>
          <w:lang w:val="en-US" w:eastAsia="en-US" w:bidi="ar-SA"/>
        </w:rPr>
        <w:t>Swagger</w:t>
      </w:r>
      <w:r>
        <w:rPr>
          <w:rFonts w:ascii="arial" w:eastAsia="arial" w:hAnsi="arial" w:cs="arial"/>
          <w:color w:val="000000"/>
          <w:sz w:val="20"/>
          <w:lang w:val="en-US" w:eastAsia="en-US" w:bidi="ar-SA"/>
        </w:rPr>
        <w:t xml:space="preserve"> authorities relevant to the issues in her case and rejected the position of the respondents that she was bound to follow </w:t>
      </w:r>
      <w:r>
        <w:rPr>
          <w:rFonts w:ascii="arial" w:eastAsia="arial" w:hAnsi="arial" w:cs="arial"/>
          <w:b/>
          <w:i/>
          <w:color w:val="000000"/>
          <w:sz w:val="20"/>
          <w:lang w:val="en-US" w:eastAsia="en-US" w:bidi="ar-SA"/>
        </w:rPr>
        <w:t>Hearn/Actes</w:t>
      </w:r>
      <w:r>
        <w:rPr>
          <w:rFonts w:ascii="arial" w:eastAsia="arial" w:hAnsi="arial" w:cs="arial"/>
          <w:color w:val="000000"/>
          <w:sz w:val="20"/>
          <w:lang w:val="en-US" w:eastAsia="en-US" w:bidi="ar-SA"/>
        </w:rPr>
        <w:t>. In doing so she said at para. 56, "If a judge of this Court decides that he ought not to follow an earlier binding decision, that is his judgment. It cannot be said that he has failed to consider' that case. He has considered it, and decided it was not binding." At para. 57 she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[57]</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It must be remembered that </w:t>
            </w:r>
            <w:r>
              <w:rPr>
                <w:rFonts w:ascii="arial" w:eastAsia="arial" w:hAnsi="arial" w:cs="arial"/>
                <w:b/>
                <w:i/>
                <w:color w:val="000000"/>
                <w:sz w:val="18"/>
                <w:lang w:val="en-US" w:eastAsia="en-US" w:bidi="ar-SA"/>
              </w:rPr>
              <w:t>Hansard Spruce Mills</w:t>
            </w:r>
            <w:r>
              <w:rPr>
                <w:rFonts w:ascii="arial" w:eastAsia="arial" w:hAnsi="arial" w:cs="arial"/>
                <w:color w:val="000000"/>
                <w:sz w:val="18"/>
                <w:lang w:val="en-US" w:eastAsia="en-US" w:bidi="ar-SA"/>
              </w:rPr>
              <w:t xml:space="preserve"> permits a court to diverge from another judgment of the same court only if a previous binding authority was "not considered." Counsel referred me to other authorities which they say should have been followed but to none that were not considered.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Garson J. also considered whether there were subsequent decisions contrary to </w:t>
      </w:r>
      <w:r>
        <w:rPr>
          <w:rFonts w:ascii="arial" w:eastAsia="arial" w:hAnsi="arial" w:cs="arial"/>
          <w:b/>
          <w:i/>
          <w:color w:val="000000"/>
          <w:sz w:val="20"/>
          <w:lang w:val="en-US" w:eastAsia="en-US" w:bidi="ar-SA"/>
        </w:rPr>
        <w:t>Swagger</w:t>
      </w:r>
      <w:r>
        <w:rPr>
          <w:rFonts w:ascii="arial" w:eastAsia="arial" w:hAnsi="arial" w:cs="arial"/>
          <w:color w:val="000000"/>
          <w:sz w:val="20"/>
          <w:lang w:val="en-US" w:eastAsia="en-US" w:bidi="ar-SA"/>
        </w:rPr>
        <w:t>. At paras. 58-62 she 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[58]</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The Respondents say that the judgments in </w:t>
            </w:r>
            <w:r>
              <w:rPr>
                <w:rFonts w:ascii="arial" w:eastAsia="arial" w:hAnsi="arial" w:cs="arial"/>
                <w:b/>
                <w:i/>
                <w:color w:val="000000"/>
                <w:sz w:val="18"/>
                <w:lang w:val="en-US" w:eastAsia="en-US" w:bidi="ar-SA"/>
              </w:rPr>
              <w:t>Bridgewood Building Corp. v. Lombard General Insurance Co. of Canada</w:t>
            </w:r>
            <w:r>
              <w:rPr>
                <w:rFonts w:ascii="arial" w:eastAsia="arial" w:hAnsi="arial" w:cs="arial"/>
                <w:color w:val="000000"/>
                <w:sz w:val="18"/>
                <w:lang w:val="en-US" w:eastAsia="en-US" w:bidi="ar-SA"/>
              </w:rPr>
              <w:t xml:space="preserve"> </w:t>
            </w:r>
            <w:hyperlink r:id="rId314" w:history="1">
              <w:r>
                <w:rPr>
                  <w:rFonts w:ascii="arial" w:eastAsia="arial" w:hAnsi="arial" w:cs="arial"/>
                  <w:i/>
                  <w:color w:val="0077CC"/>
                  <w:sz w:val="18"/>
                  <w:u w:val="single"/>
                  <w:shd w:val="clear" w:color="auto" w:fill="FFFFFF"/>
                  <w:lang w:val="en-US" w:eastAsia="en-US" w:bidi="ar-SA"/>
                </w:rPr>
                <w:t>(2006), 266 D.L.R. (4th) 182</w:t>
              </w:r>
            </w:hyperlink>
            <w:r>
              <w:rPr>
                <w:rFonts w:ascii="arial" w:eastAsia="arial" w:hAnsi="arial" w:cs="arial"/>
                <w:color w:val="000000"/>
                <w:sz w:val="18"/>
                <w:lang w:val="en-US" w:eastAsia="en-US" w:bidi="ar-SA"/>
              </w:rPr>
              <w:t xml:space="preserve"> (Ont. C.A.); </w:t>
            </w:r>
            <w:r>
              <w:rPr>
                <w:rFonts w:ascii="arial" w:eastAsia="arial" w:hAnsi="arial" w:cs="arial"/>
                <w:b/>
                <w:i/>
                <w:color w:val="000000"/>
                <w:sz w:val="18"/>
                <w:lang w:val="en-US" w:eastAsia="en-US" w:bidi="ar-SA"/>
              </w:rPr>
              <w:t>ING Insurance Co. of Canada v. A.M.L. Painting Ltd.</w:t>
            </w:r>
            <w:r>
              <w:rPr>
                <w:rFonts w:ascii="arial" w:eastAsia="arial" w:hAnsi="arial" w:cs="arial"/>
                <w:color w:val="000000"/>
                <w:sz w:val="18"/>
                <w:lang w:val="en-US" w:eastAsia="en-US" w:bidi="ar-SA"/>
              </w:rPr>
              <w:t xml:space="preserve">, </w:t>
            </w:r>
            <w:hyperlink r:id="rId315" w:history="1">
              <w:r>
                <w:rPr>
                  <w:rFonts w:ascii="arial" w:eastAsia="arial" w:hAnsi="arial" w:cs="arial"/>
                  <w:i/>
                  <w:color w:val="0077CC"/>
                  <w:sz w:val="18"/>
                  <w:u w:val="single"/>
                  <w:shd w:val="clear" w:color="auto" w:fill="FFFFFF"/>
                  <w:lang w:val="en-US" w:eastAsia="en-US" w:bidi="ar-SA"/>
                </w:rPr>
                <w:t>2006 NSSC 203</w:t>
              </w:r>
            </w:hyperlink>
            <w:r>
              <w:rPr>
                <w:rFonts w:ascii="arial" w:eastAsia="arial" w:hAnsi="arial" w:cs="arial"/>
                <w:color w:val="000000"/>
                <w:sz w:val="18"/>
                <w:lang w:val="en-US" w:eastAsia="en-US" w:bidi="ar-SA"/>
              </w:rPr>
              <w:t xml:space="preserve">; and </w:t>
            </w:r>
            <w:r>
              <w:rPr>
                <w:rFonts w:ascii="arial" w:eastAsia="arial" w:hAnsi="arial" w:cs="arial"/>
                <w:b/>
                <w:i/>
                <w:color w:val="000000"/>
                <w:sz w:val="18"/>
                <w:lang w:val="en-US" w:eastAsia="en-US" w:bidi="ar-SA"/>
              </w:rPr>
              <w:t>B.C. Master Blasters v. Aviva Insurance Co. of Canada</w:t>
            </w:r>
            <w:r>
              <w:rPr>
                <w:rFonts w:ascii="arial" w:eastAsia="arial" w:hAnsi="arial" w:cs="arial"/>
                <w:color w:val="000000"/>
                <w:sz w:val="18"/>
                <w:lang w:val="en-US" w:eastAsia="en-US" w:bidi="ar-SA"/>
              </w:rPr>
              <w:t xml:space="preserve">, </w:t>
            </w:r>
            <w:hyperlink r:id="rId316" w:history="1">
              <w:r>
                <w:rPr>
                  <w:rFonts w:ascii="arial" w:eastAsia="arial" w:hAnsi="arial" w:cs="arial"/>
                  <w:i/>
                  <w:color w:val="0077CC"/>
                  <w:sz w:val="18"/>
                  <w:u w:val="single"/>
                  <w:shd w:val="clear" w:color="auto" w:fill="FFFFFF"/>
                  <w:lang w:val="en-US" w:eastAsia="en-US" w:bidi="ar-SA"/>
                </w:rPr>
                <w:t>2006 BCSC 1488</w:t>
              </w:r>
            </w:hyperlink>
            <w:r>
              <w:rPr>
                <w:rFonts w:ascii="arial" w:eastAsia="arial" w:hAnsi="arial" w:cs="arial"/>
                <w:color w:val="000000"/>
                <w:sz w:val="18"/>
                <w:lang w:val="en-US" w:eastAsia="en-US" w:bidi="ar-SA"/>
              </w:rPr>
              <w:t xml:space="preserve"> are "subsequent decisions [that] have affected the validity of the impugned judgment" (</w:t>
            </w:r>
            <w:r>
              <w:rPr>
                <w:rFonts w:ascii="arial" w:eastAsia="arial" w:hAnsi="arial" w:cs="arial"/>
                <w:b/>
                <w:i/>
                <w:color w:val="000000"/>
                <w:sz w:val="18"/>
                <w:lang w:val="en-US" w:eastAsia="en-US" w:bidi="ar-SA"/>
              </w:rPr>
              <w:t>Hansard Spruce Mills</w:t>
            </w:r>
            <w:r>
              <w:rPr>
                <w:rFonts w:ascii="arial" w:eastAsia="arial" w:hAnsi="arial" w:cs="arial"/>
                <w:color w:val="000000"/>
                <w:sz w:val="18"/>
                <w:lang w:val="en-US" w:eastAsia="en-US" w:bidi="ar-SA"/>
              </w:rPr>
              <w: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[59]</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In </w:t>
            </w:r>
            <w:r>
              <w:rPr>
                <w:rFonts w:ascii="arial" w:eastAsia="arial" w:hAnsi="arial" w:cs="arial"/>
                <w:b/>
                <w:i/>
                <w:color w:val="000000"/>
                <w:sz w:val="18"/>
                <w:lang w:val="en-US" w:eastAsia="en-US" w:bidi="ar-SA"/>
              </w:rPr>
              <w:t>Bridgwood</w:t>
            </w:r>
            <w:r>
              <w:rPr>
                <w:rFonts w:ascii="arial" w:eastAsia="arial" w:hAnsi="arial" w:cs="arial"/>
                <w:color w:val="000000"/>
                <w:sz w:val="18"/>
                <w:lang w:val="en-US" w:eastAsia="en-US" w:bidi="ar-SA"/>
              </w:rPr>
              <w:t xml:space="preserve"> and </w:t>
            </w:r>
            <w:r>
              <w:rPr>
                <w:rFonts w:ascii="arial" w:eastAsia="arial" w:hAnsi="arial" w:cs="arial"/>
                <w:b/>
                <w:i/>
                <w:color w:val="000000"/>
                <w:sz w:val="18"/>
                <w:lang w:val="en-US" w:eastAsia="en-US" w:bidi="ar-SA"/>
              </w:rPr>
              <w:t>ING</w:t>
            </w:r>
            <w:r>
              <w:rPr>
                <w:rFonts w:ascii="arial" w:eastAsia="arial" w:hAnsi="arial" w:cs="arial"/>
                <w:color w:val="000000"/>
                <w:sz w:val="18"/>
                <w:lang w:val="en-US" w:eastAsia="en-US" w:bidi="ar-SA"/>
              </w:rPr>
              <w:t xml:space="preserve">, both courts affirmed that the language of the policy governed, and rejected reliance on general principles of interpretation, in determining an insurer's duty to defend. In </w:t>
            </w:r>
            <w:r>
              <w:rPr>
                <w:rFonts w:ascii="arial" w:eastAsia="arial" w:hAnsi="arial" w:cs="arial"/>
                <w:b/>
                <w:i/>
                <w:color w:val="000000"/>
                <w:sz w:val="18"/>
                <w:lang w:val="en-US" w:eastAsia="en-US" w:bidi="ar-SA"/>
              </w:rPr>
              <w:t>Bridgewood</w:t>
            </w:r>
            <w:r>
              <w:rPr>
                <w:rFonts w:ascii="arial" w:eastAsia="arial" w:hAnsi="arial" w:cs="arial"/>
                <w:color w:val="000000"/>
                <w:sz w:val="18"/>
                <w:lang w:val="en-US" w:eastAsia="en-US" w:bidi="ar-SA"/>
              </w:rPr>
              <w:t xml:space="preserve">, the language of the policy, a CGL policy insuring only the general contractor, differed from the language at issue in the case at bar. </w:t>
            </w:r>
            <w:r>
              <w:rPr>
                <w:rFonts w:ascii="arial" w:eastAsia="arial" w:hAnsi="arial" w:cs="arial"/>
                <w:b/>
                <w:i/>
                <w:color w:val="000000"/>
                <w:sz w:val="18"/>
                <w:lang w:val="en-US" w:eastAsia="en-US" w:bidi="ar-SA"/>
              </w:rPr>
              <w:t>Swagger</w:t>
            </w:r>
            <w:r>
              <w:rPr>
                <w:rFonts w:ascii="arial" w:eastAsia="arial" w:hAnsi="arial" w:cs="arial"/>
                <w:color w:val="000000"/>
                <w:sz w:val="18"/>
                <w:lang w:val="en-US" w:eastAsia="en-US" w:bidi="ar-SA"/>
              </w:rPr>
              <w:t xml:space="preserve"> was not mentioned in </w:t>
            </w:r>
            <w:r>
              <w:rPr>
                <w:rFonts w:ascii="arial" w:eastAsia="arial" w:hAnsi="arial" w:cs="arial"/>
                <w:b/>
                <w:i/>
                <w:color w:val="000000"/>
                <w:sz w:val="18"/>
                <w:lang w:val="en-US" w:eastAsia="en-US" w:bidi="ar-SA"/>
              </w:rPr>
              <w:t>Bridgewood</w:t>
            </w:r>
            <w:r>
              <w:rPr>
                <w:rFonts w:ascii="arial" w:eastAsia="arial" w:hAnsi="arial" w:cs="arial"/>
                <w:color w:val="000000"/>
                <w:sz w:val="18"/>
                <w:lang w:val="en-US" w:eastAsia="en-US" w:bidi="ar-SA"/>
              </w:rPr>
              <w: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[60]</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ING</w:t>
            </w:r>
            <w:r>
              <w:rPr>
                <w:rFonts w:ascii="arial" w:eastAsia="arial" w:hAnsi="arial" w:cs="arial"/>
                <w:color w:val="000000"/>
                <w:sz w:val="18"/>
                <w:lang w:val="en-US" w:eastAsia="en-US" w:bidi="ar-SA"/>
              </w:rPr>
              <w:t xml:space="preserve"> also concerned a CGL policy, and is not therefore directly on point, nor is it binding on this Court.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[61]</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Master Blasters</w:t>
            </w:r>
            <w:r>
              <w:rPr>
                <w:rFonts w:ascii="arial" w:eastAsia="arial" w:hAnsi="arial" w:cs="arial"/>
                <w:color w:val="000000"/>
                <w:sz w:val="18"/>
                <w:lang w:val="en-US" w:eastAsia="en-US" w:bidi="ar-SA"/>
              </w:rPr>
              <w:t xml:space="preserve"> cites </w:t>
            </w:r>
            <w:r>
              <w:rPr>
                <w:rFonts w:ascii="arial" w:eastAsia="arial" w:hAnsi="arial" w:cs="arial"/>
                <w:b/>
                <w:i/>
                <w:color w:val="000000"/>
                <w:sz w:val="18"/>
                <w:lang w:val="en-US" w:eastAsia="en-US" w:bidi="ar-SA"/>
              </w:rPr>
              <w:t>Swagger</w:t>
            </w:r>
            <w:r>
              <w:rPr>
                <w:rFonts w:ascii="arial" w:eastAsia="arial" w:hAnsi="arial" w:cs="arial"/>
                <w:color w:val="000000"/>
                <w:sz w:val="18"/>
                <w:lang w:val="en-US" w:eastAsia="en-US" w:bidi="ar-SA"/>
              </w:rPr>
              <w:t xml:space="preserve"> with approval, and in the result is not inconsistent with </w:t>
            </w:r>
            <w:r>
              <w:rPr>
                <w:rFonts w:ascii="arial" w:eastAsia="arial" w:hAnsi="arial" w:cs="arial"/>
                <w:b/>
                <w:i/>
                <w:color w:val="000000"/>
                <w:sz w:val="18"/>
                <w:lang w:val="en-US" w:eastAsia="en-US" w:bidi="ar-SA"/>
              </w:rPr>
              <w:t>Swagger</w:t>
            </w:r>
            <w:r>
              <w:rPr>
                <w:rFonts w:ascii="arial" w:eastAsia="arial" w:hAnsi="arial" w:cs="arial"/>
                <w:color w:val="000000"/>
                <w:sz w:val="18"/>
                <w:lang w:val="en-US" w:eastAsia="en-US" w:bidi="ar-SA"/>
              </w:rPr>
              <w: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[62]</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I conclude that there are not subsequent binding decisions that detract from the authority of </w:t>
            </w:r>
            <w:r>
              <w:rPr>
                <w:rFonts w:ascii="arial" w:eastAsia="arial" w:hAnsi="arial" w:cs="arial"/>
                <w:b/>
                <w:i/>
                <w:color w:val="000000"/>
                <w:sz w:val="18"/>
                <w:lang w:val="en-US" w:eastAsia="en-US" w:bidi="ar-SA"/>
              </w:rPr>
              <w:t>Swagger</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Garson J. also considered whether the facts of her case were distinguishable from </w:t>
      </w:r>
      <w:r>
        <w:rPr>
          <w:rFonts w:ascii="arial" w:eastAsia="arial" w:hAnsi="arial" w:cs="arial"/>
          <w:b/>
          <w:i/>
          <w:color w:val="000000"/>
          <w:sz w:val="20"/>
          <w:lang w:val="en-US" w:eastAsia="en-US" w:bidi="ar-SA"/>
        </w:rPr>
        <w:t>Swagger</w:t>
      </w:r>
      <w:r>
        <w:rPr>
          <w:rFonts w:ascii="arial" w:eastAsia="arial" w:hAnsi="arial" w:cs="arial"/>
          <w:color w:val="000000"/>
          <w:sz w:val="20"/>
          <w:lang w:val="en-US" w:eastAsia="en-US" w:bidi="ar-SA"/>
        </w:rPr>
        <w:t>. At para. 71 she concluded: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[71]</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The amendment to Endorsement No. 5 of the GCAN policy deleted the words, "arising out of the work or any portion thereof ..." from exclusions (i) and (j). Those deleted words were left in the policy at issue in </w:t>
            </w:r>
            <w:r>
              <w:rPr>
                <w:rFonts w:ascii="arial" w:eastAsia="arial" w:hAnsi="arial" w:cs="arial"/>
                <w:b/>
                <w:i/>
                <w:color w:val="000000"/>
                <w:sz w:val="18"/>
                <w:lang w:val="en-US" w:eastAsia="en-US" w:bidi="ar-SA"/>
              </w:rPr>
              <w:t>Swagger</w:t>
            </w:r>
            <w:r>
              <w:rPr>
                <w:rFonts w:ascii="arial" w:eastAsia="arial" w:hAnsi="arial" w:cs="arial"/>
                <w:color w:val="000000"/>
                <w:sz w:val="18"/>
                <w:lang w:val="en-US" w:eastAsia="en-US" w:bidi="ar-SA"/>
              </w:rPr>
              <w:t xml:space="preserve">. The Respondents argue that because insurance policies must be read in their entirety, I am not bound to follow </w:t>
            </w:r>
            <w:r>
              <w:rPr>
                <w:rFonts w:ascii="arial" w:eastAsia="arial" w:hAnsi="arial" w:cs="arial"/>
                <w:b/>
                <w:i/>
                <w:color w:val="000000"/>
                <w:sz w:val="18"/>
                <w:lang w:val="en-US" w:eastAsia="en-US" w:bidi="ar-SA"/>
              </w:rPr>
              <w:t>Swagger</w:t>
            </w:r>
            <w:r>
              <w:rPr>
                <w:rFonts w:ascii="arial" w:eastAsia="arial" w:hAnsi="arial" w:cs="arial"/>
                <w:color w:val="000000"/>
                <w:sz w:val="18"/>
                <w:lang w:val="en-US" w:eastAsia="en-US" w:bidi="ar-SA"/>
              </w:rPr>
              <w:t xml:space="preserve">. In other words, the Respondents say that </w:t>
            </w:r>
            <w:r>
              <w:rPr>
                <w:rFonts w:ascii="arial" w:eastAsia="arial" w:hAnsi="arial" w:cs="arial"/>
                <w:b/>
                <w:i/>
                <w:color w:val="000000"/>
                <w:sz w:val="18"/>
                <w:lang w:val="en-US" w:eastAsia="en-US" w:bidi="ar-SA"/>
              </w:rPr>
              <w:t>Swagger</w:t>
            </w:r>
            <w:r>
              <w:rPr>
                <w:rFonts w:ascii="arial" w:eastAsia="arial" w:hAnsi="arial" w:cs="arial"/>
                <w:color w:val="000000"/>
                <w:sz w:val="18"/>
                <w:lang w:val="en-US" w:eastAsia="en-US" w:bidi="ar-SA"/>
              </w:rPr>
              <w:t xml:space="preserve"> should be distinguished on its facts because of the different exclusion clause. I do not agree. The exclusion clause is not necessarily inconsistent with the </w:t>
            </w:r>
            <w:r>
              <w:rPr>
                <w:rFonts w:ascii="arial" w:eastAsia="arial" w:hAnsi="arial" w:cs="arial"/>
                <w:b/>
                <w:i/>
                <w:color w:val="000000"/>
                <w:sz w:val="18"/>
                <w:lang w:val="en-US" w:eastAsia="en-US" w:bidi="ar-SA"/>
              </w:rPr>
              <w:t>Swagger</w:t>
            </w:r>
            <w:r>
              <w:rPr>
                <w:rFonts w:ascii="arial" w:eastAsia="arial" w:hAnsi="arial" w:cs="arial"/>
                <w:color w:val="000000"/>
                <w:sz w:val="18"/>
                <w:lang w:val="en-US" w:eastAsia="en-US" w:bidi="ar-SA"/>
              </w:rPr>
              <w:t xml:space="preserve"> interpretation of the insuring clause for the reason I mentioned above - that is, that the policy covers those insured whose work may properly be divided into component parts. I agree with the Respondents that given the language of the exclusion clause, the interpretation of the policy is less tortuous if the non-redundant meaning is given to the insuring clause, one that permits the general contractors work to be divided into component parts, but I am bound to a different interpretation by the judgment in </w:t>
            </w:r>
            <w:r>
              <w:rPr>
                <w:rFonts w:ascii="arial" w:eastAsia="arial" w:hAnsi="arial" w:cs="arial"/>
                <w:b/>
                <w:i/>
                <w:color w:val="000000"/>
                <w:sz w:val="18"/>
                <w:lang w:val="en-US" w:eastAsia="en-US" w:bidi="ar-SA"/>
              </w:rPr>
              <w:t>Swagger</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sum, </w:t>
      </w:r>
      <w:r>
        <w:rPr>
          <w:rFonts w:ascii="arial" w:eastAsia="arial" w:hAnsi="arial" w:cs="arial"/>
          <w:b/>
          <w:i/>
          <w:color w:val="000000"/>
          <w:sz w:val="20"/>
          <w:lang w:val="en-US" w:eastAsia="en-US" w:bidi="ar-SA"/>
        </w:rPr>
        <w:t>GCAN</w:t>
      </w:r>
      <w:r>
        <w:rPr>
          <w:rFonts w:ascii="arial" w:eastAsia="arial" w:hAnsi="arial" w:cs="arial"/>
          <w:color w:val="000000"/>
          <w:sz w:val="20"/>
          <w:lang w:val="en-US" w:eastAsia="en-US" w:bidi="ar-SA"/>
        </w:rPr>
        <w:t xml:space="preserve"> confirms that </w:t>
      </w:r>
      <w:r>
        <w:rPr>
          <w:rFonts w:ascii="arial" w:eastAsia="arial" w:hAnsi="arial" w:cs="arial"/>
          <w:b/>
          <w:i/>
          <w:color w:val="000000"/>
          <w:sz w:val="20"/>
          <w:lang w:val="en-US" w:eastAsia="en-US" w:bidi="ar-SA"/>
        </w:rPr>
        <w:t>Swagger</w:t>
      </w:r>
      <w:r>
        <w:rPr>
          <w:rFonts w:ascii="arial" w:eastAsia="arial" w:hAnsi="arial" w:cs="arial"/>
          <w:color w:val="000000"/>
          <w:sz w:val="20"/>
          <w:lang w:val="en-US" w:eastAsia="en-US" w:bidi="ar-SA"/>
        </w:rPr>
        <w:t xml:space="preserve"> stands for two propositions which, I think, govern the outcome of the application in the case at bar:</w:t>
      </w:r>
      <w:r>
        <w:rPr>
          <w:rFonts w:ascii="arial" w:eastAsia="arial" w:hAnsi="arial" w:cs="arial"/>
          <w:sz w:val="20"/>
          <w:lang w:val="en-US" w:eastAsia="en-US" w:bidi="ar-SA"/>
        </w:rPr>
        <w:cr/>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liability insurance policies governing physical injury to tangible property do not contemplate the artificial division of work of the party responsible for that work into component parts for the purpose of establishing resultant damage, unless that is the clear intention of the entirety of the policy;</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defective construction is not an "accident" unless there is damage to the property of a third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my opinion, based on the analysis in </w:t>
      </w:r>
      <w:r>
        <w:rPr>
          <w:rFonts w:ascii="arial" w:eastAsia="arial" w:hAnsi="arial" w:cs="arial"/>
          <w:b/>
          <w:i/>
          <w:color w:val="000000"/>
          <w:sz w:val="20"/>
          <w:lang w:val="en-US" w:eastAsia="en-US" w:bidi="ar-SA"/>
        </w:rPr>
        <w:t>GCAN</w:t>
      </w:r>
      <w:r>
        <w:rPr>
          <w:rFonts w:ascii="arial" w:eastAsia="arial" w:hAnsi="arial" w:cs="arial"/>
          <w:color w:val="000000"/>
          <w:sz w:val="20"/>
          <w:lang w:val="en-US" w:eastAsia="en-US" w:bidi="ar-SA"/>
        </w:rPr>
        <w:t xml:space="preserve">, I am bound to follow </w:t>
      </w:r>
      <w:r>
        <w:rPr>
          <w:rFonts w:ascii="arial" w:eastAsia="arial" w:hAnsi="arial" w:cs="arial"/>
          <w:b/>
          <w:i/>
          <w:color w:val="000000"/>
          <w:sz w:val="20"/>
          <w:lang w:val="en-US" w:eastAsia="en-US" w:bidi="ar-SA"/>
        </w:rPr>
        <w:t>Swagger</w:t>
      </w:r>
      <w:r>
        <w:rPr>
          <w:rFonts w:ascii="arial" w:eastAsia="arial" w:hAnsi="arial" w:cs="arial"/>
          <w:color w:val="000000"/>
          <w:sz w:val="20"/>
          <w:lang w:val="en-US" w:eastAsia="en-US" w:bidi="ar-SA"/>
        </w:rPr>
        <w:t xml:space="preserve"> unless that decision can be distinguished from the facts and circumstances in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VIII. Progressive's position on </w:t>
      </w:r>
      <w:r>
        <w:rPr>
          <w:rFonts w:ascii="arial" w:eastAsia="arial" w:hAnsi="arial" w:cs="arial"/>
          <w:b/>
          <w:i/>
          <w:color w:val="000000"/>
          <w:sz w:val="20"/>
          <w:lang w:val="en-US" w:eastAsia="en-US" w:bidi="ar-SA"/>
        </w:rPr>
        <w:t>GCAN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Progressive argues that the facts in the instant case can be distinguished from </w:t>
      </w:r>
      <w:r>
        <w:rPr>
          <w:rFonts w:ascii="arial" w:eastAsia="arial" w:hAnsi="arial" w:cs="arial"/>
          <w:b/>
          <w:i/>
          <w:color w:val="000000"/>
          <w:sz w:val="20"/>
          <w:lang w:val="en-US" w:eastAsia="en-US" w:bidi="ar-SA"/>
        </w:rPr>
        <w:t>Swagger</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GCAN</w:t>
      </w:r>
      <w:r>
        <w:rPr>
          <w:rFonts w:ascii="arial" w:eastAsia="arial" w:hAnsi="arial" w:cs="arial"/>
          <w:color w:val="000000"/>
          <w:sz w:val="20"/>
          <w:lang w:val="en-US" w:eastAsia="en-US" w:bidi="ar-SA"/>
        </w:rPr>
        <w:t>. In this regard, Progressive refers first to Exclusion (i) of the insurance contracts which provides that the insurance does not apply to: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Property damage to work performed </w:t>
      </w:r>
      <w:r>
        <w:rPr>
          <w:rFonts w:ascii="arial" w:eastAsia="arial" w:hAnsi="arial" w:cs="arial"/>
          <w:color w:val="000000"/>
          <w:sz w:val="20"/>
          <w:u w:val="single"/>
          <w:lang w:val="en-US" w:eastAsia="en-US" w:bidi="ar-SA"/>
        </w:rPr>
        <w:t>by or on behalf of the Named Insured</w:t>
      </w:r>
      <w:r>
        <w:rPr>
          <w:rFonts w:ascii="arial" w:eastAsia="arial" w:hAnsi="arial" w:cs="arial"/>
          <w:color w:val="000000"/>
          <w:sz w:val="20"/>
          <w:lang w:val="en-US" w:eastAsia="en-US" w:bidi="ar-SA"/>
        </w:rPr>
        <w:t xml:space="preserve"> arising out of the work or any portion thereof, or out of materials, parts or equipment furnished in connection therewith.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Progressive refers next to the "Broad Form Property Damage" clause (Z)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respect to the completed operations hazard to property damage to work performed </w:t>
      </w:r>
      <w:r>
        <w:rPr>
          <w:rFonts w:ascii="arial" w:eastAsia="arial" w:hAnsi="arial" w:cs="arial"/>
          <w:color w:val="000000"/>
          <w:sz w:val="20"/>
          <w:u w:val="single"/>
          <w:lang w:val="en-US" w:eastAsia="en-US" w:bidi="ar-SA"/>
        </w:rPr>
        <w:t>by the Named Insured</w:t>
      </w:r>
      <w:r>
        <w:rPr>
          <w:rFonts w:ascii="arial" w:eastAsia="arial" w:hAnsi="arial" w:cs="arial"/>
          <w:color w:val="000000"/>
          <w:sz w:val="20"/>
          <w:lang w:val="en-US" w:eastAsia="en-US" w:bidi="ar-SA"/>
        </w:rPr>
        <w:t xml:space="preserve"> arising out of the work or any portion thereof, or out of materials, parts or equipment furnished in connection therewith.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Progressive submits that the result of the endorsement is that whereas Exclusion (i) refers to "work performed by or on behalf of a Named Insured", Exclusion (Z) simply refers to "work performed by the Named Insured". Progressive refers to this as the "subcontractor exception" and argues that the purpose of the Broad Form Property Damage endorsement is to ensure that there is coverage for a contractor for property damage arising out of the work performed by a subcontractor and thus the exclusion applies only to work performed by Progressive and not to a subcontractor on behalf of Progressive.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Progressive contends that the subcontractor exception, while mentioned by Garson J. in para. 97 of </w:t>
      </w:r>
      <w:r>
        <w:rPr>
          <w:rFonts w:ascii="arial" w:eastAsia="arial" w:hAnsi="arial" w:cs="arial"/>
          <w:b/>
          <w:i/>
          <w:color w:val="000000"/>
          <w:sz w:val="20"/>
          <w:lang w:val="en-US" w:eastAsia="en-US" w:bidi="ar-SA"/>
        </w:rPr>
        <w:t>GCAN</w:t>
      </w:r>
      <w:r>
        <w:rPr>
          <w:rFonts w:ascii="arial" w:eastAsia="arial" w:hAnsi="arial" w:cs="arial"/>
          <w:color w:val="000000"/>
          <w:sz w:val="20"/>
          <w:lang w:val="en-US" w:eastAsia="en-US" w:bidi="ar-SA"/>
        </w:rPr>
        <w:t xml:space="preserve">, was not part of the policies before her and thus was not considered or dealt with. Moreover, although counsel for Lombard takes the position that the policy in </w:t>
      </w:r>
      <w:r>
        <w:rPr>
          <w:rFonts w:ascii="arial" w:eastAsia="arial" w:hAnsi="arial" w:cs="arial"/>
          <w:b/>
          <w:i/>
          <w:color w:val="000000"/>
          <w:sz w:val="20"/>
          <w:lang w:val="en-US" w:eastAsia="en-US" w:bidi="ar-SA"/>
        </w:rPr>
        <w:t>Swagger</w:t>
      </w:r>
      <w:r>
        <w:rPr>
          <w:rFonts w:ascii="arial" w:eastAsia="arial" w:hAnsi="arial" w:cs="arial"/>
          <w:color w:val="000000"/>
          <w:sz w:val="20"/>
          <w:lang w:val="en-US" w:eastAsia="en-US" w:bidi="ar-SA"/>
        </w:rPr>
        <w:t xml:space="preserve"> contained this same provision, it was not mentioned by N. Smith J. in his discussion and analysis. Thus, counsel argues that it is open for me to conclude that this distinction removes the case from the application of </w:t>
      </w:r>
      <w:r>
        <w:rPr>
          <w:rFonts w:ascii="arial" w:eastAsia="arial" w:hAnsi="arial" w:cs="arial"/>
          <w:b/>
          <w:i/>
          <w:color w:val="000000"/>
          <w:sz w:val="20"/>
          <w:lang w:val="en-US" w:eastAsia="en-US" w:bidi="ar-SA"/>
        </w:rPr>
        <w:t>Swagger</w:t>
      </w:r>
      <w:r>
        <w:rPr>
          <w:rFonts w:ascii="arial" w:eastAsia="arial" w:hAnsi="arial" w:cs="arial"/>
          <w:color w:val="000000"/>
          <w:sz w:val="20"/>
          <w:lang w:val="en-US" w:eastAsia="en-US" w:bidi="ar-SA"/>
        </w:rPr>
        <w:t xml:space="preserve">and </w:t>
      </w:r>
      <w:r>
        <w:rPr>
          <w:rFonts w:ascii="arial" w:eastAsia="arial" w:hAnsi="arial" w:cs="arial"/>
          <w:b/>
          <w:i/>
          <w:color w:val="000000"/>
          <w:sz w:val="20"/>
          <w:lang w:val="en-US" w:eastAsia="en-US" w:bidi="ar-SA"/>
        </w:rPr>
        <w:t>GCAN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Progressive notes that the pleadings in the underlying actions refer to subcontractors having been involved in the performance of the work, but do not particularize the extent to which the work was carried out by subcontractors. Counsel advises that the buildings were built almost entirely through the use of subcontractors. He concedes that this is not evidence, but nor is it a matter, in his view, which should affect the outcome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Progressive submits that it has no say over how the Statements of Claim were drawn, noting that the claimants may be unaware of the identity of certain subcontractors. Progressive says this does not change the fact that Progressive used subcontractors for most of the work. Progressive asserts that at this stage it is premature for the Court to rule on the extent to which the buildings were constructed by subcontractors. That will be a matter for evidence. But, says Progressive, what is clear is that subcontractors were employed and this is sufficient to trigger the duty to defend.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Progressive submits that the subcontractor exception can have meaning only if the insurance contracts are read so as to provide coverage to Progressive for damage to the work resulting from the actions of a subcontractor. In this regard, counsel refers to the decision in </w:t>
      </w:r>
      <w:r>
        <w:rPr>
          <w:rFonts w:ascii="arial" w:eastAsia="arial" w:hAnsi="arial" w:cs="arial"/>
          <w:b/>
          <w:i/>
          <w:color w:val="000000"/>
          <w:sz w:val="20"/>
          <w:lang w:val="en-US" w:eastAsia="en-US" w:bidi="ar-SA"/>
        </w:rPr>
        <w:t>Bridgewood Building Corp. v. Lombard General Insurance Co. of Canada</w:t>
      </w:r>
      <w:r>
        <w:rPr>
          <w:rFonts w:ascii="arial" w:eastAsia="arial" w:hAnsi="arial" w:cs="arial"/>
          <w:color w:val="000000"/>
          <w:sz w:val="20"/>
          <w:lang w:val="en-US" w:eastAsia="en-US" w:bidi="ar-SA"/>
        </w:rPr>
        <w:t xml:space="preserve"> </w:t>
      </w:r>
      <w:hyperlink r:id="rId314" w:history="1">
        <w:r>
          <w:rPr>
            <w:rFonts w:ascii="arial" w:eastAsia="arial" w:hAnsi="arial" w:cs="arial"/>
            <w:i/>
            <w:color w:val="0077CC"/>
            <w:sz w:val="20"/>
            <w:u w:val="single"/>
            <w:shd w:val="clear" w:color="auto" w:fill="FFFFFF"/>
            <w:lang w:val="en-US" w:eastAsia="en-US" w:bidi="ar-SA"/>
          </w:rPr>
          <w:t>(2006), 266 D.L.R. (4th) 182</w:t>
        </w:r>
      </w:hyperlink>
      <w:r>
        <w:rPr>
          <w:rFonts w:ascii="arial" w:eastAsia="arial" w:hAnsi="arial" w:cs="arial"/>
          <w:color w:val="000000"/>
          <w:sz w:val="20"/>
          <w:lang w:val="en-US" w:eastAsia="en-US" w:bidi="ar-SA"/>
        </w:rPr>
        <w:t xml:space="preserve"> (Ont. C.A.) ("</w:t>
      </w:r>
      <w:r>
        <w:rPr>
          <w:rFonts w:ascii="arial" w:eastAsia="arial" w:hAnsi="arial" w:cs="arial"/>
          <w:b/>
          <w:i/>
          <w:color w:val="000000"/>
          <w:sz w:val="20"/>
          <w:lang w:val="en-US" w:eastAsia="en-US" w:bidi="ar-SA"/>
        </w:rPr>
        <w:t>Bridgewood</w:t>
      </w:r>
      <w:r>
        <w:rPr>
          <w:rFonts w:ascii="arial" w:eastAsia="arial" w:hAnsi="arial" w:cs="arial"/>
          <w:color w:val="000000"/>
          <w:sz w:val="20"/>
          <w:lang w:val="en-US" w:eastAsia="en-US" w:bidi="ar-SA"/>
        </w:rPr>
        <w:t xml:space="preserve">"). That decision, referred to in </w:t>
      </w:r>
      <w:r>
        <w:rPr>
          <w:rFonts w:ascii="arial" w:eastAsia="arial" w:hAnsi="arial" w:cs="arial"/>
          <w:b/>
          <w:i/>
          <w:color w:val="000000"/>
          <w:sz w:val="20"/>
          <w:lang w:val="en-US" w:eastAsia="en-US" w:bidi="ar-SA"/>
        </w:rPr>
        <w:t>GCAN</w:t>
      </w:r>
      <w:r>
        <w:rPr>
          <w:rFonts w:ascii="arial" w:eastAsia="arial" w:hAnsi="arial" w:cs="arial"/>
          <w:color w:val="000000"/>
          <w:sz w:val="20"/>
          <w:lang w:val="en-US" w:eastAsia="en-US" w:bidi="ar-SA"/>
        </w:rPr>
        <w:t xml:space="preserve"> at para. 58, turns to some extent on the subcontractor exception. At paras. 12 - 21 Moldaver J.A. held,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 a plain reading, clause (j) would seem to indicate that coverage will be provided if the "damaged work or the work out of which the damage arises" is performed on behalf of the insured by a subcontractor. And yet, Lombard says that that is not what it means. When asked what it did mean, counsel for Lombard initially characterized it as "sloppy drafting". Upon further questioning, he retreated from that position and conceded, correctly in my view, that if the effect of the "general principle" was as he would have it, exclusion (j) was redundant, i.e. there would be no need to exempt faulty work performed by subcontractors if the "general principle" excluded such work from coverage in every case. And, as the respondents quite properly point out, if exclusion (j) is redundant, so too are five other exclusionary provisions in the same policy.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Despite this anomaly, counsel for Lombard maintained his position, citing authorities to the effect that an exception to an exclusion cannot restore coverage where coverage did not exist in the first place. (See </w:t>
            </w:r>
            <w:r>
              <w:rPr>
                <w:rFonts w:ascii="arial" w:eastAsia="arial" w:hAnsi="arial" w:cs="arial"/>
                <w:b/>
                <w:i/>
                <w:color w:val="000000"/>
                <w:sz w:val="18"/>
                <w:lang w:val="en-US" w:eastAsia="en-US" w:bidi="ar-SA"/>
              </w:rPr>
              <w:t>Qualls v. Country Mutual Insurance Co.</w:t>
            </w:r>
            <w:r>
              <w:rPr>
                <w:rFonts w:ascii="arial" w:eastAsia="arial" w:hAnsi="arial" w:cs="arial"/>
                <w:color w:val="000000"/>
                <w:sz w:val="18"/>
                <w:lang w:val="en-US" w:eastAsia="en-US" w:bidi="ar-SA"/>
              </w:rPr>
              <w:t>, 123 Ill. App. 3d 831 (1984), at 833 - 34.) I take no issue with that principle. In my view, however, it is unhelpful here because it begs the question.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The approach suggested by Lombard is problematic for several reasons. It defies basic principles of contract interpretation - we are asked to read a host of exclusionary provisions out of the insuring agreement on the ground that they are redundant and thus meaningless. It turns the </w:t>
            </w:r>
            <w:r>
              <w:rPr>
                <w:rFonts w:ascii="arial" w:eastAsia="arial" w:hAnsi="arial" w:cs="arial"/>
                <w:i/>
                <w:color w:val="000000"/>
                <w:sz w:val="18"/>
                <w:lang w:val="en-US" w:eastAsia="en-US" w:bidi="ar-SA"/>
              </w:rPr>
              <w:t>contra proferentem</w:t>
            </w:r>
            <w:r>
              <w:rPr>
                <w:rFonts w:ascii="arial" w:eastAsia="arial" w:hAnsi="arial" w:cs="arial"/>
                <w:color w:val="000000"/>
                <w:sz w:val="18"/>
                <w:lang w:val="en-US" w:eastAsia="en-US" w:bidi="ar-SA"/>
              </w:rPr>
              <w:t xml:space="preserve"> principle on its head - we are asked to construe ambiguities in an insurance policy against the insured. It ignores the historical evolution of clauses such as exclusion (j) and the reasonable expectation of the parties flowing from this - exclusion (j) and other like provisions are the product of a Broad Form Property Damage Endorsement (BFPD) implemented into the CGL in 1986 for the express purpose of bringing claims arising out of faulty work by subcontractors back into coverage through an exception to an exclusion. (See </w:t>
            </w:r>
            <w:r>
              <w:rPr>
                <w:rFonts w:ascii="arial" w:eastAsia="arial" w:hAnsi="arial" w:cs="arial"/>
                <w:i/>
                <w:color w:val="000000"/>
                <w:sz w:val="18"/>
                <w:lang w:val="en-US" w:eastAsia="en-US" w:bidi="ar-SA"/>
              </w:rPr>
              <w:t>American Family Mut. Ins. Co. v. American Girl, Inc.,</w:t>
            </w:r>
            <w:r>
              <w:rPr>
                <w:rFonts w:ascii="arial" w:eastAsia="arial" w:hAnsi="arial" w:cs="arial"/>
                <w:color w:val="000000"/>
                <w:sz w:val="18"/>
                <w:lang w:val="en-US" w:eastAsia="en-US" w:bidi="ar-SA"/>
              </w:rPr>
              <w:t xml:space="preserve"> 673 N.W. (2d) 65 (Wis. S.C. 2004) at paras. 68 - 69; Patrick J. Wielinski, "CGL Coverage for Defective Workmanship - Current (and Ongoing Issues)" (Paper presented to the 16th Annual Construction Law Conference, State Bar of Texas, March 7, 2003); C.J. Shapiro, "Business Risk in Construction Coverage - The Business Risk Exclusions in CGL Policies," in </w:t>
            </w:r>
            <w:r>
              <w:rPr>
                <w:rFonts w:ascii="arial" w:eastAsia="arial" w:hAnsi="arial" w:cs="arial"/>
                <w:i/>
                <w:color w:val="000000"/>
                <w:sz w:val="18"/>
                <w:lang w:val="en-US" w:eastAsia="en-US" w:bidi="ar-SA"/>
              </w:rPr>
              <w:t>Insurance Coverage and Claims Institute 2005</w:t>
            </w:r>
            <w:r>
              <w:rPr>
                <w:rFonts w:ascii="arial" w:eastAsia="arial" w:hAnsi="arial" w:cs="arial"/>
                <w:color w:val="000000"/>
                <w:sz w:val="18"/>
                <w:lang w:val="en-US" w:eastAsia="en-US" w:bidi="ar-SA"/>
              </w:rPr>
              <w:t xml:space="preserve"> (Chicago: Defence Research Institute, 2005), Chicago: Illinois; </w:t>
            </w:r>
            <w:r>
              <w:rPr>
                <w:rFonts w:ascii="arial" w:eastAsia="arial" w:hAnsi="arial" w:cs="arial"/>
                <w:i/>
                <w:color w:val="000000"/>
                <w:sz w:val="18"/>
                <w:lang w:val="en-US" w:eastAsia="en-US" w:bidi="ar-SA"/>
              </w:rPr>
              <w:t>O'Shaughnessy v. Smuckler Corp.</w:t>
            </w:r>
            <w:r>
              <w:rPr>
                <w:rFonts w:ascii="arial" w:eastAsia="arial" w:hAnsi="arial" w:cs="arial"/>
                <w:color w:val="000000"/>
                <w:sz w:val="18"/>
                <w:lang w:val="en-US" w:eastAsia="en-US" w:bidi="ar-SA"/>
              </w:rPr>
              <w:t xml:space="preserve">, 543 N.W. (2d) 99 (Minn. Ct. App. 1996), review denied (Minn. 1996) and </w:t>
            </w:r>
            <w:r>
              <w:rPr>
                <w:rFonts w:ascii="arial" w:eastAsia="arial" w:hAnsi="arial" w:cs="arial"/>
                <w:i/>
                <w:color w:val="000000"/>
                <w:sz w:val="18"/>
                <w:lang w:val="en-US" w:eastAsia="en-US" w:bidi="ar-SA"/>
              </w:rPr>
              <w:t>Wanzek Const., Inc. v. Employers Ins. Of Wausau,</w:t>
            </w:r>
            <w:r>
              <w:rPr>
                <w:rFonts w:ascii="arial" w:eastAsia="arial" w:hAnsi="arial" w:cs="arial"/>
                <w:color w:val="000000"/>
                <w:sz w:val="18"/>
                <w:lang w:val="en-US" w:eastAsia="en-US" w:bidi="ar-SA"/>
              </w:rPr>
              <w:t xml:space="preserve"> 79 N.W. (2d) 322 (Minn. Ct. App. 2004)).</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A concise statement of the purpose and effect of this revision of the CGL is found in </w:t>
            </w:r>
            <w:r>
              <w:rPr>
                <w:rFonts w:ascii="arial" w:eastAsia="arial" w:hAnsi="arial" w:cs="arial"/>
                <w:i/>
                <w:color w:val="000000"/>
                <w:sz w:val="18"/>
                <w:lang w:val="en-US" w:eastAsia="en-US" w:bidi="ar-SA"/>
              </w:rPr>
              <w:t>American Family Mutual, supra,</w:t>
            </w:r>
            <w:r>
              <w:rPr>
                <w:rFonts w:ascii="arial" w:eastAsia="arial" w:hAnsi="arial" w:cs="arial"/>
                <w:color w:val="000000"/>
                <w:sz w:val="18"/>
                <w:lang w:val="en-US" w:eastAsia="en-US" w:bidi="ar-SA"/>
              </w:rPr>
              <w:t xml:space="preserve"> at para. 68:</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subcontractor exception dates to the 1986 revision of the standard CGL policy form. Prior to 1986 the CGL business risk exclusions operated collectively to preclude coverage for damage to construction projects caused by subcontractors. Many contractors were unhappy with this state of affairs, since more and more projects were being completed with the help of subcontractors. In response to this changing reality, insurers began to offer coverage for damage caused by subcontractors through an endorsement to the CGL known as the Broad Form Property Damage Endorsement, or BFPD. Introduced in 1976, the BFPD deleted several portions from the business risk exclusions and replaced them with more specific exclusions that effectively broadened coverage. Among other changes, the BFPD extended coverage to property damage caused by the work of subcontractors. In 1986 the insurance industry incorporated this aspect of the BFPD directly into the CGL itself by inserting the subcontractor exception to the "your work" exclusion. See </w:t>
      </w:r>
      <w:r>
        <w:rPr>
          <w:rFonts w:ascii="arial" w:eastAsia="arial" w:hAnsi="arial" w:cs="arial"/>
          <w:i/>
          <w:color w:val="000000"/>
          <w:sz w:val="20"/>
          <w:lang w:val="en-US" w:eastAsia="en-US" w:bidi="ar-SA"/>
        </w:rPr>
        <w:t>generally</w:t>
      </w:r>
      <w:r>
        <w:rPr>
          <w:rFonts w:ascii="arial" w:eastAsia="arial" w:hAnsi="arial" w:cs="arial"/>
          <w:color w:val="000000"/>
          <w:sz w:val="20"/>
          <w:lang w:val="en-US" w:eastAsia="en-US" w:bidi="ar-SA"/>
        </w:rPr>
        <w:t xml:space="preserve"> 21 Eric Mills Holmes, </w:t>
      </w:r>
      <w:r>
        <w:rPr>
          <w:rFonts w:ascii="arial" w:eastAsia="arial" w:hAnsi="arial" w:cs="arial"/>
          <w:i/>
          <w:color w:val="000000"/>
          <w:sz w:val="20"/>
          <w:lang w:val="en-US" w:eastAsia="en-US" w:bidi="ar-SA"/>
        </w:rPr>
        <w:t>Holmes' Appleman on Insurance,</w:t>
      </w:r>
      <w:r>
        <w:rPr>
          <w:rFonts w:ascii="arial" w:eastAsia="arial" w:hAnsi="arial" w:cs="arial"/>
          <w:color w:val="000000"/>
          <w:sz w:val="20"/>
          <w:lang w:val="en-US" w:eastAsia="en-US" w:bidi="ar-SA"/>
        </w:rPr>
        <w:t xml:space="preserve"> s. 132.9, 152-53.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Paragraphs 73 and 74 of the same decision are also instructive. They rebut Lombard's contention that the 1986 BFPD was of no consequence because clauses like the subcontractor exception in exclusion (j) could not restore coverage where none existed before: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American Family cites conflicting authorities which appear to hold that damage to an insured's work caused by a subcontractor is not covered because of the "your work" exclusion, but these authorities are no longer controlling because the construed policies that did not include the subcontractor exception. Noting the apparent conflict between </w:t>
      </w:r>
      <w:r>
        <w:rPr>
          <w:rFonts w:ascii="arial" w:eastAsia="arial" w:hAnsi="arial" w:cs="arial"/>
          <w:i/>
          <w:color w:val="000000"/>
          <w:sz w:val="20"/>
          <w:lang w:val="en-US" w:eastAsia="en-US" w:bidi="ar-SA"/>
        </w:rPr>
        <w:t>O'Shaughnessy, Kalchthaler</w:t>
      </w:r>
      <w:r>
        <w:rPr>
          <w:rFonts w:ascii="arial" w:eastAsia="arial" w:hAnsi="arial" w:cs="arial"/>
          <w:color w:val="000000"/>
          <w:sz w:val="20"/>
          <w:lang w:val="en-US" w:eastAsia="en-US" w:bidi="ar-SA"/>
        </w:rPr>
        <w:t xml:space="preserve"> [224 Wis (2d) 387 (App. 1999)], and similar cases on the one hand, and contrary cases on the other, one commentator has pointed out that "those cases [finding no coverage] involved the older policy language while the current policy specifically provides that the own work' exclusion does not apply if the damaged work or the work out of which the damage arises was performed on your behalf by a subcontractor.'" 2 Jeffrey W. Stempel, </w:t>
      </w:r>
      <w:r>
        <w:rPr>
          <w:rFonts w:ascii="arial" w:eastAsia="arial" w:hAnsi="arial" w:cs="arial"/>
          <w:i/>
          <w:color w:val="000000"/>
          <w:sz w:val="20"/>
          <w:lang w:val="en-US" w:eastAsia="en-US" w:bidi="ar-SA"/>
        </w:rPr>
        <w:t>Law of Insurance Contract Disputes,</w:t>
      </w:r>
      <w:r>
        <w:rPr>
          <w:rFonts w:ascii="arial" w:eastAsia="arial" w:hAnsi="arial" w:cs="arial"/>
          <w:color w:val="000000"/>
          <w:sz w:val="20"/>
          <w:lang w:val="en-US" w:eastAsia="en-US" w:bidi="ar-SA"/>
        </w:rPr>
        <w:t xml:space="preserve"> s. 14.13 [a]. 14 - 132.</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This interpretation of the subcontractor exception to the business risk exclusion does not "create coverage" where none existed before, as American Family contends. There is coverage under the insuring agreement's initial coverage grant. Coverage would be excluded by the business risk exclusionary language, except that the subcontractor exception to the business risk exclusion applies, which operates to restore the otherwise excluded coverage</w:t>
      </w:r>
      <w:r>
        <w:rPr>
          <w:rFonts w:ascii="arial" w:eastAsia="arial" w:hAnsi="arial" w:cs="arial"/>
          <w:color w:val="000000"/>
          <w:sz w:val="20"/>
          <w:lang w:val="en-US" w:eastAsia="en-US" w:bidi="ar-SA"/>
        </w:rPr>
        <w:t xml:space="preserv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Lombard's argument against the "interpretative aid" approach centres on the policy considerations that inform the "general principle". In short, Lombard maintains that the approach taken by the application judge converts CGL policies into performance bonds, something they were never meant to be. According to Lombard, such an approach provides general contractors, like the respondents, with a windfall. For low premiums, they are able to obtain insurance that permits and indeed encourages them to hire inexpensive subcontractors, comforted in the knowledge that they will be fully indemnified if the subcontractors do their work badly.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While I acknowledge Lombard's concerns, they do not alter my view that the "interpretative aid" approach is the correct one. My reasons are threefold.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First, I find persuasive the response of the Court of Appeals of Minnesota in </w:t>
            </w:r>
            <w:r>
              <w:rPr>
                <w:rFonts w:ascii="arial" w:eastAsia="arial" w:hAnsi="arial" w:cs="arial"/>
                <w:i/>
                <w:color w:val="000000"/>
                <w:sz w:val="18"/>
                <w:lang w:val="en-US" w:eastAsia="en-US" w:bidi="ar-SA"/>
              </w:rPr>
              <w:t>O'Shaughnessy v. Smuckler Corp., supra,</w:t>
            </w:r>
            <w:r>
              <w:rPr>
                <w:rFonts w:ascii="arial" w:eastAsia="arial" w:hAnsi="arial" w:cs="arial"/>
                <w:color w:val="000000"/>
                <w:sz w:val="18"/>
                <w:lang w:val="en-US" w:eastAsia="en-US" w:bidi="ar-SA"/>
              </w:rPr>
              <w:t xml:space="preserve"> at p. 102, to this issue: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rationale behind the Business Risk Doctrine has been articulated as follows:</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insurance proceeds could be used to pay for the repairing and/or replacing of poorly constructed products, a contractor or subcontractor could receive initial payment for its work and then receive subsequent payment from the insurance company to repair and replace it. Equally repugnant on policy grounds is the notion that the presence of insurance obviates the obligation to perform the job initially in a workmanlike manner. </w:t>
      </w:r>
      <w:r>
        <w:rPr>
          <w:rFonts w:ascii="arial" w:eastAsia="arial" w:hAnsi="arial" w:cs="arial"/>
          <w:i/>
          <w:color w:val="000000"/>
          <w:sz w:val="20"/>
          <w:lang w:val="en-US" w:eastAsia="en-US" w:bidi="ar-SA"/>
        </w:rPr>
        <w:t>Knutson Construction Co. v. St. Paul Fire &amp; Marine Insurance Co.</w:t>
      </w:r>
      <w:r>
        <w:rPr>
          <w:rFonts w:ascii="arial" w:eastAsia="arial" w:hAnsi="arial" w:cs="arial"/>
          <w:color w:val="000000"/>
          <w:sz w:val="20"/>
          <w:lang w:val="en-US" w:eastAsia="en-US" w:bidi="ar-SA"/>
        </w:rPr>
        <w:t xml:space="preserve">, 396 N.W. (2d) 229 at 235 (Minn. Sup. Ct. 1986) (Quoting </w:t>
      </w:r>
      <w:r>
        <w:rPr>
          <w:rFonts w:ascii="arial" w:eastAsia="arial" w:hAnsi="arial" w:cs="arial"/>
          <w:i/>
          <w:color w:val="000000"/>
          <w:sz w:val="20"/>
          <w:lang w:val="en-US" w:eastAsia="en-US" w:bidi="ar-SA"/>
        </w:rPr>
        <w:t>Centex Homes Corp. v. Prestressed Systems,</w:t>
      </w:r>
      <w:r>
        <w:rPr>
          <w:rFonts w:ascii="arial" w:eastAsia="arial" w:hAnsi="arial" w:cs="arial"/>
          <w:color w:val="000000"/>
          <w:sz w:val="20"/>
          <w:lang w:val="en-US" w:eastAsia="en-US" w:bidi="ar-SA"/>
        </w:rPr>
        <w:t xml:space="preserve"> 444 So. (2d) 66 at 66 - 67 (Fla. App. 1984)).</w:t>
      </w:r>
    </w:p>
    <w:p>
      <w:pPr>
        <w:spacing w:before="120" w:line="260" w:lineRule="atLeast"/>
        <w:ind w:left="1440"/>
        <w:rPr>
          <w:rFonts w:ascii="arial" w:eastAsia="arial" w:hAnsi="arial" w:cs="arial"/>
          <w:sz w:val="20"/>
          <w:lang w:val="en-US" w:eastAsia="en-US" w:bidi="ar-SA"/>
        </w:rPr>
      </w:pPr>
      <w:r>
        <w:rPr>
          <w:rFonts w:ascii="arial" w:eastAsia="arial" w:hAnsi="arial" w:cs="arial"/>
          <w:i/>
          <w:color w:val="000000"/>
          <w:sz w:val="20"/>
          <w:lang w:val="en-US" w:eastAsia="en-US" w:bidi="ar-SA"/>
        </w:rPr>
        <w:t>We note that this rationale is less applicable to a claim by a general contractor for the defective work of its subcontractor. A general contractor has minimal control over the work of its subcontractors by definition, and the fact that the general contractor receives coverage will not relieve the subcontractor of ultimate liability for unworkmanlike or defective work. In such a case, an insurer will have subrogation rights against the subcontractor who performed the defective work. Presumably, the Business Risk Doctrine will preclude the subcontractor from recovering from its own insurer. Thus, the goal of the Business Risk Doctrine would still be achieved because ultimate responsibility for poor workmanship would lie with the one who performed it</w:t>
      </w:r>
      <w:r>
        <w:rPr>
          <w:rFonts w:ascii="arial" w:eastAsia="arial" w:hAnsi="arial" w:cs="arial"/>
          <w:color w:val="000000"/>
          <w:sz w:val="20"/>
          <w:lang w:val="en-US" w:eastAsia="en-US" w:bidi="ar-SA"/>
        </w:rPr>
        <w:t xml:space="preserv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Second, Lombard's concerns fail to account for practical business realities. General contractors who make a habit of hiring incompetent subcontractors will soon find themselves out of work. The marketplace can be trusted to look after unscrupulous general contractors who, for the sake of a fast dollar, are prepared to risk their reputation by providing defective work product on a regular basis.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Third, and most important, if insurance companies do not wish to indemnify general contractors for the shortcomings of their subcontractors, they need only say so in clear and unambiguous language in their policies. As the respondents have pointed out, standard industry endorsements designed to accomplish just that have been available since December 1, 2001. The insurance industry drafted those endorsements to remove coverage for faulty work by subcontractors. (See Wielinski, "CGL Coverage for Defective Workmanship", </w:t>
            </w:r>
            <w:r>
              <w:rPr>
                <w:rFonts w:ascii="arial" w:eastAsia="arial" w:hAnsi="arial" w:cs="arial"/>
                <w:i/>
                <w:color w:val="000000"/>
                <w:sz w:val="18"/>
                <w:lang w:val="en-US" w:eastAsia="en-US" w:bidi="ar-SA"/>
              </w:rPr>
              <w:t>supra,</w:t>
            </w:r>
            <w:r>
              <w:rPr>
                <w:rFonts w:ascii="arial" w:eastAsia="arial" w:hAnsi="arial" w:cs="arial"/>
                <w:color w:val="000000"/>
                <w:sz w:val="18"/>
                <w:lang w:val="en-US" w:eastAsia="en-US" w:bidi="ar-SA"/>
              </w:rPr>
              <w:t xml:space="preserve"> at pp. 53 - 54). Lombard does not challenge this. And yet, for reasons known only to itself, it has not chosen to incorporate these endorsements into its CGL policies.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Progressive argues that I should not depart from </w:t>
      </w:r>
      <w:r>
        <w:rPr>
          <w:rFonts w:ascii="arial" w:eastAsia="arial" w:hAnsi="arial" w:cs="arial"/>
          <w:b/>
          <w:i/>
          <w:color w:val="000000"/>
          <w:sz w:val="20"/>
          <w:lang w:val="en-US" w:eastAsia="en-US" w:bidi="ar-SA"/>
        </w:rPr>
        <w:t>Bridgewood</w:t>
      </w:r>
      <w:r>
        <w:rPr>
          <w:rFonts w:ascii="arial" w:eastAsia="arial" w:hAnsi="arial" w:cs="arial"/>
          <w:color w:val="000000"/>
          <w:sz w:val="20"/>
          <w:lang w:val="en-US" w:eastAsia="en-US" w:bidi="ar-SA"/>
        </w:rPr>
        <w:t xml:space="preserve">, unless there is binding authority which prevents me from following that decision. Progressive submits that it is apparent that the subcontractor exception argument was not advanced in </w:t>
      </w:r>
      <w:r>
        <w:rPr>
          <w:rFonts w:ascii="arial" w:eastAsia="arial" w:hAnsi="arial" w:cs="arial"/>
          <w:b/>
          <w:i/>
          <w:color w:val="000000"/>
          <w:sz w:val="20"/>
          <w:lang w:val="en-US" w:eastAsia="en-US" w:bidi="ar-SA"/>
        </w:rPr>
        <w:t>Swagger</w:t>
      </w:r>
      <w:r>
        <w:rPr>
          <w:rFonts w:ascii="arial" w:eastAsia="arial" w:hAnsi="arial" w:cs="arial"/>
          <w:color w:val="000000"/>
          <w:sz w:val="20"/>
          <w:lang w:val="en-US" w:eastAsia="en-US" w:bidi="ar-SA"/>
        </w:rPr>
        <w:t xml:space="preserve"> and that the exception to the work exclusion was not considered. Progressive asserts that on this basis alone the decision in </w:t>
      </w:r>
      <w:r>
        <w:rPr>
          <w:rFonts w:ascii="arial" w:eastAsia="arial" w:hAnsi="arial" w:cs="arial"/>
          <w:b/>
          <w:i/>
          <w:color w:val="000000"/>
          <w:sz w:val="20"/>
          <w:lang w:val="en-US" w:eastAsia="en-US" w:bidi="ar-SA"/>
        </w:rPr>
        <w:t>Swagger</w:t>
      </w:r>
      <w:r>
        <w:rPr>
          <w:rFonts w:ascii="arial" w:eastAsia="arial" w:hAnsi="arial" w:cs="arial"/>
          <w:color w:val="000000"/>
          <w:sz w:val="20"/>
          <w:lang w:val="en-US" w:eastAsia="en-US" w:bidi="ar-SA"/>
        </w:rPr>
        <w:t xml:space="preserve"> is distinguishable from the case at bar. According to Progressive, the subcontractor exception should be read so as to permit a distinction to be made between the work done directly by the general contractor and that done on behalf of the general contractor by a subcontractor. Progressive asserts that damage caused to another part of the building by a subcontractor's work is covered under the terms of the insurance contracts. For example, if a window subcontractor installs windows incorrectly and they permit water to leak into the interior components of the building and cause damage, then the general contractor is covered in respect of the damage to the interior of the building.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IX.</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Findings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While the argument advanced by Progressive is compelling, I find that I am nevertheless bound by </w:t>
      </w:r>
      <w:r>
        <w:rPr>
          <w:rFonts w:ascii="arial" w:eastAsia="arial" w:hAnsi="arial" w:cs="arial"/>
          <w:b/>
          <w:i/>
          <w:color w:val="000000"/>
          <w:sz w:val="20"/>
          <w:lang w:val="en-US" w:eastAsia="en-US" w:bidi="ar-SA"/>
        </w:rPr>
        <w:t>Swagger</w:t>
      </w:r>
      <w:r>
        <w:rPr>
          <w:rFonts w:ascii="arial" w:eastAsia="arial" w:hAnsi="arial" w:cs="arial"/>
          <w:color w:val="000000"/>
          <w:sz w:val="20"/>
          <w:lang w:val="en-US" w:eastAsia="en-US" w:bidi="ar-SA"/>
        </w:rPr>
        <w:t xml:space="preserve"> and that based on the analysis and result in </w:t>
      </w:r>
      <w:r>
        <w:rPr>
          <w:rFonts w:ascii="arial" w:eastAsia="arial" w:hAnsi="arial" w:cs="arial"/>
          <w:b/>
          <w:i/>
          <w:color w:val="000000"/>
          <w:sz w:val="20"/>
          <w:lang w:val="en-US" w:eastAsia="en-US" w:bidi="ar-SA"/>
        </w:rPr>
        <w:t>Swagger</w:t>
      </w:r>
      <w:r>
        <w:rPr>
          <w:rFonts w:ascii="arial" w:eastAsia="arial" w:hAnsi="arial" w:cs="arial"/>
          <w:color w:val="000000"/>
          <w:sz w:val="20"/>
          <w:lang w:val="en-US" w:eastAsia="en-US" w:bidi="ar-SA"/>
        </w:rPr>
        <w:t>, Progressive's application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Swagger</w:t>
      </w:r>
      <w:r>
        <w:rPr>
          <w:rFonts w:ascii="arial" w:eastAsia="arial" w:hAnsi="arial" w:cs="arial"/>
          <w:color w:val="000000"/>
          <w:sz w:val="20"/>
          <w:lang w:val="en-US" w:eastAsia="en-US" w:bidi="ar-SA"/>
        </w:rPr>
        <w:t>, N. Smith J. held that the insured had not presented a claim to the insurers which made it past the initial coverage grant because there was no "property damage" alleged in the underlying pleadings. Furthermore, he held that even if there was an iota of "property damage" alleged, it did not constitute an "occurrence" under the policy 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Swagger</w:t>
      </w:r>
      <w:r>
        <w:rPr>
          <w:rFonts w:ascii="arial" w:eastAsia="arial" w:hAnsi="arial" w:cs="arial"/>
          <w:color w:val="000000"/>
          <w:sz w:val="20"/>
          <w:lang w:val="en-US" w:eastAsia="en-US" w:bidi="ar-SA"/>
        </w:rPr>
        <w:t xml:space="preserve">, and in the case at bar, the Court's concern relates to underlying actions in which claims are made against a building contractor for defects and damage to the very building constructed by the contractor. But the Court in </w:t>
      </w:r>
      <w:r>
        <w:rPr>
          <w:rFonts w:ascii="arial" w:eastAsia="arial" w:hAnsi="arial" w:cs="arial"/>
          <w:b/>
          <w:i/>
          <w:color w:val="000000"/>
          <w:sz w:val="20"/>
          <w:lang w:val="en-US" w:eastAsia="en-US" w:bidi="ar-SA"/>
        </w:rPr>
        <w:t>Swagger</w:t>
      </w:r>
      <w:r>
        <w:rPr>
          <w:rFonts w:ascii="arial" w:eastAsia="arial" w:hAnsi="arial" w:cs="arial"/>
          <w:color w:val="000000"/>
          <w:sz w:val="20"/>
          <w:lang w:val="en-US" w:eastAsia="en-US" w:bidi="ar-SA"/>
        </w:rPr>
        <w:t xml:space="preserve"> held that the building represents a single integrated whole and, on the authority of </w:t>
      </w:r>
      <w:r>
        <w:rPr>
          <w:rFonts w:ascii="arial" w:eastAsia="arial" w:hAnsi="arial" w:cs="arial"/>
          <w:b/>
          <w:i/>
          <w:color w:val="000000"/>
          <w:sz w:val="20"/>
          <w:lang w:val="en-US" w:eastAsia="en-US" w:bidi="ar-SA"/>
        </w:rPr>
        <w:t>Winnipeg Condominium</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Bird Construction Co. v. Allstate Insurance Co. of Canada</w:t>
      </w:r>
      <w:r>
        <w:rPr>
          <w:rFonts w:ascii="arial" w:eastAsia="arial" w:hAnsi="arial" w:cs="arial"/>
          <w:color w:val="000000"/>
          <w:sz w:val="20"/>
          <w:lang w:val="en-US" w:eastAsia="en-US" w:bidi="ar-SA"/>
        </w:rPr>
        <w:t xml:space="preserve">, </w:t>
      </w:r>
      <w:hyperlink r:id="rId307" w:history="1">
        <w:r>
          <w:rPr>
            <w:rFonts w:ascii="arial" w:eastAsia="arial" w:hAnsi="arial" w:cs="arial"/>
            <w:i/>
            <w:color w:val="0077CC"/>
            <w:sz w:val="20"/>
            <w:u w:val="single"/>
            <w:shd w:val="clear" w:color="auto" w:fill="FFFFFF"/>
            <w:lang w:val="en-US" w:eastAsia="en-US" w:bidi="ar-SA"/>
          </w:rPr>
          <w:t>[1996] M.J. No. 363</w:t>
        </w:r>
      </w:hyperlink>
      <w:r>
        <w:rPr>
          <w:rFonts w:ascii="arial" w:eastAsia="arial" w:hAnsi="arial" w:cs="arial"/>
          <w:color w:val="000000"/>
          <w:sz w:val="20"/>
          <w:lang w:val="en-US" w:eastAsia="en-US" w:bidi="ar-SA"/>
        </w:rPr>
        <w:t xml:space="preserve"> (C.A.), it is improper to subdivide the work into parts. Indeed, the underlying actions in the case at bar simply allege an underlying deficient structure which, as Lombard asserts, funnels directly into the court's reasoning in </w:t>
      </w:r>
      <w:r>
        <w:rPr>
          <w:rFonts w:ascii="arial" w:eastAsia="arial" w:hAnsi="arial" w:cs="arial"/>
          <w:b/>
          <w:i/>
          <w:color w:val="000000"/>
          <w:sz w:val="20"/>
          <w:lang w:val="en-US" w:eastAsia="en-US" w:bidi="ar-SA"/>
        </w:rPr>
        <w:t>Winnipeg Condominium</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Swagger</w:t>
      </w:r>
      <w:r>
        <w:rPr>
          <w:rFonts w:ascii="arial" w:eastAsia="arial" w:hAnsi="arial" w:cs="arial"/>
          <w:color w:val="000000"/>
          <w:sz w:val="20"/>
          <w:lang w:val="en-US" w:eastAsia="en-US" w:bidi="ar-SA"/>
        </w:rPr>
        <w:t>, the Court stated the following with respect to "property damage":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 It is important to emphasize that the damage alleged is damage to the very building that Swagger contracted to build. There is no allegation of personal injury to anyone, or any allegation of damage to property other than the Forest Science Centre.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 The question is whether there can be any notional division of Swagger's work into separate parts so that a defect in one part can be said to cause property damage to another.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 ... The effect of Winnipeg Condominium and Bird Construction is that, subject to one possible exception that I will discuss below, this basic principle can not be avoided by an artificial division of the insured's work into component parts.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In essence, then, an insured contractor's work cannot be subdivided into component parts, on the basis of </w:t>
      </w:r>
      <w:r>
        <w:rPr>
          <w:rFonts w:ascii="arial" w:eastAsia="arial" w:hAnsi="arial" w:cs="arial"/>
          <w:b/>
          <w:i/>
          <w:color w:val="000000"/>
          <w:sz w:val="20"/>
          <w:lang w:val="en-US" w:eastAsia="en-US" w:bidi="ar-SA"/>
        </w:rPr>
        <w:t>Winnipeg Condominium</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Bird Construction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Where a building represents one integrated whole, it is improper to look to one part as a cause of damage to another part. In the instant case, the underlying actions simply claim for the cost of remediating parts of the unified whole and not "property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As earlier mentioned, the pleadings in </w:t>
      </w:r>
      <w:r>
        <w:rPr>
          <w:rFonts w:ascii="arial" w:eastAsia="arial" w:hAnsi="arial" w:cs="arial"/>
          <w:b/>
          <w:i/>
          <w:color w:val="000000"/>
          <w:sz w:val="20"/>
          <w:lang w:val="en-US" w:eastAsia="en-US" w:bidi="ar-SA"/>
        </w:rPr>
        <w:t>Swagger</w:t>
      </w:r>
      <w:r>
        <w:rPr>
          <w:rFonts w:ascii="arial" w:eastAsia="arial" w:hAnsi="arial" w:cs="arial"/>
          <w:color w:val="000000"/>
          <w:sz w:val="20"/>
          <w:lang w:val="en-US" w:eastAsia="en-US" w:bidi="ar-SA"/>
        </w:rPr>
        <w:t xml:space="preserve"> simply allege "defects and ongoing damage" to the very building that the insured contractor had contracted to build. In the result, N. Smith J. refused to find the existence of an "occurrence". Citing </w:t>
      </w:r>
      <w:r>
        <w:rPr>
          <w:rFonts w:ascii="arial" w:eastAsia="arial" w:hAnsi="arial" w:cs="arial"/>
          <w:b/>
          <w:i/>
          <w:color w:val="000000"/>
          <w:sz w:val="20"/>
          <w:lang w:val="en-US" w:eastAsia="en-US" w:bidi="ar-SA"/>
        </w:rPr>
        <w:t>Harbour Machine Ltd. v. Guardian Insurance Company of Canada</w:t>
      </w:r>
      <w:r>
        <w:rPr>
          <w:rFonts w:ascii="arial" w:eastAsia="arial" w:hAnsi="arial" w:cs="arial"/>
          <w:color w:val="000000"/>
          <w:sz w:val="20"/>
          <w:lang w:val="en-US" w:eastAsia="en-US" w:bidi="ar-SA"/>
        </w:rPr>
        <w:t xml:space="preserve"> </w:t>
      </w:r>
      <w:hyperlink r:id="rId317" w:history="1">
        <w:r>
          <w:rPr>
            <w:rFonts w:ascii="arial" w:eastAsia="arial" w:hAnsi="arial" w:cs="arial"/>
            <w:i/>
            <w:color w:val="0077CC"/>
            <w:sz w:val="20"/>
            <w:u w:val="single"/>
            <w:shd w:val="clear" w:color="auto" w:fill="FFFFFF"/>
            <w:lang w:val="en-US" w:eastAsia="en-US" w:bidi="ar-SA"/>
          </w:rPr>
          <w:t>(1985), 60 B.C.L.R. 360</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Harbour Machine Ltd.</w:t>
      </w:r>
      <w:r>
        <w:rPr>
          <w:rFonts w:ascii="arial" w:eastAsia="arial" w:hAnsi="arial" w:cs="arial"/>
          <w:color w:val="000000"/>
          <w:sz w:val="20"/>
          <w:lang w:val="en-US" w:eastAsia="en-US" w:bidi="ar-SA"/>
        </w:rPr>
        <w:t>"), he explained that, "the improper installation and workmanship could not, in itself, be called either property damage or an accident or occurrence within the meaning of the insurance policy."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review of the pleadings in the underlying actions clearly demonstrates, as Lombard contends, that the allegations were made in the context of one entire and indivisibly defective work. I refer, for example, to the portions of the Burlington Heights pleadings, excerpted above at para. 10 of this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In summary then, when the Court is considering a building which is an integrated whole, and where the entire structure is allegedly defective, it is entirely improper to artificially divide it and claim that one part of the work has caused damage to some other part of the work. The pleadings in the underlying actions create no division, nor can the Court create such an artificial division for insurance cover purposes. Moreover, the claims in the underlying actions seek to recover costs to remediate allegedly faulty buildings that failed to keep out the elements and such allegations do not qualify as an "occurrence" under the insurance contracts. On the basis of the analysis and result in </w:t>
      </w:r>
      <w:r>
        <w:rPr>
          <w:rFonts w:ascii="arial" w:eastAsia="arial" w:hAnsi="arial" w:cs="arial"/>
          <w:b/>
          <w:i/>
          <w:color w:val="000000"/>
          <w:sz w:val="20"/>
          <w:lang w:val="en-US" w:eastAsia="en-US" w:bidi="ar-SA"/>
        </w:rPr>
        <w:t>Swagger</w:t>
      </w:r>
      <w:r>
        <w:rPr>
          <w:rFonts w:ascii="arial" w:eastAsia="arial" w:hAnsi="arial" w:cs="arial"/>
          <w:color w:val="000000"/>
          <w:sz w:val="20"/>
          <w:lang w:val="en-US" w:eastAsia="en-US" w:bidi="ar-SA"/>
        </w:rPr>
        <w:t>, there has been no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Thus, I find that on the basis of the holding in </w:t>
      </w:r>
      <w:r>
        <w:rPr>
          <w:rFonts w:ascii="arial" w:eastAsia="arial" w:hAnsi="arial" w:cs="arial"/>
          <w:b/>
          <w:i/>
          <w:color w:val="000000"/>
          <w:sz w:val="20"/>
          <w:lang w:val="en-US" w:eastAsia="en-US" w:bidi="ar-SA"/>
        </w:rPr>
        <w:t>Swagger</w:t>
      </w:r>
      <w:r>
        <w:rPr>
          <w:rFonts w:ascii="arial" w:eastAsia="arial" w:hAnsi="arial" w:cs="arial"/>
          <w:color w:val="000000"/>
          <w:sz w:val="20"/>
          <w:lang w:val="en-US" w:eastAsia="en-US" w:bidi="ar-SA"/>
        </w:rPr>
        <w:t>, the allegations in the underlying actions do not allege "property damage" (or an "occurrence" or "accident") as those terms are used in the insurance contracts. Accordingly, coverage under the insurance contracts cannot be triggered and Lombard is under no duty to defend Progressive.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Finally, I find that it is improper to look to the exclusions and exceptions to exclusions to find coverage where none exists in the first place. This is because, as Lombard argues, the operative coverage clause in the insurance contracts acts as a condition precedent to determine coverage. The exclusion clauses then act to take coverage away where it might otherwise exist. In this regard, N. Smith J. explained,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The court must first determine whether the claim falls within the insuring agreement contained in the policy. If it does not, that is the end of the matter. If it does, it is necessary to determine if it is excluded by any of the exclusion clauses in the policy. If not, the final question is whether there is a possibility that the claim will succeed at trial: see Ellett Industries Ltd. v. Laurentian P &amp; C Insurance Co. </w:t>
      </w:r>
      <w:hyperlink r:id="rId318" w:history="1">
        <w:r>
          <w:rPr>
            <w:rFonts w:ascii="arial" w:eastAsia="arial" w:hAnsi="arial" w:cs="arial"/>
            <w:i/>
            <w:color w:val="0077CC"/>
            <w:sz w:val="20"/>
            <w:u w:val="single"/>
            <w:shd w:val="clear" w:color="auto" w:fill="FFFFFF"/>
            <w:lang w:val="en-US" w:eastAsia="en-US" w:bidi="ar-SA"/>
          </w:rPr>
          <w:t>(1996), 17 B.C.L.R. (3d) 201</w:t>
        </w:r>
      </w:hyperlink>
      <w:r>
        <w:rPr>
          <w:rFonts w:ascii="arial" w:eastAsia="arial" w:hAnsi="arial" w:cs="arial"/>
          <w:color w:val="000000"/>
          <w:sz w:val="20"/>
          <w:lang w:val="en-US" w:eastAsia="en-US" w:bidi="ar-SA"/>
        </w:rPr>
        <w:t xml:space="preserve">, </w:t>
      </w:r>
      <w:hyperlink r:id="rId318" w:history="1">
        <w:r>
          <w:rPr>
            <w:rFonts w:ascii="arial" w:eastAsia="arial" w:hAnsi="arial" w:cs="arial"/>
            <w:i/>
            <w:color w:val="0077CC"/>
            <w:sz w:val="20"/>
            <w:u w:val="single"/>
            <w:shd w:val="clear" w:color="auto" w:fill="FFFFFF"/>
            <w:lang w:val="en-US" w:eastAsia="en-US" w:bidi="ar-SA"/>
          </w:rPr>
          <w:t>34 C.C.L.I. (2d) 294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Thus, only if Progressive's claim falls within the operative coverage clause can the claim fall within the scope of the insurance contracts. Only then is it proper to consider exclusions and determine whether the claim is "nevertheless excluded": See </w:t>
      </w:r>
      <w:r>
        <w:rPr>
          <w:rFonts w:ascii="arial" w:eastAsia="arial" w:hAnsi="arial" w:cs="arial"/>
          <w:b/>
          <w:i/>
          <w:color w:val="000000"/>
          <w:sz w:val="20"/>
          <w:lang w:val="en-US" w:eastAsia="en-US" w:bidi="ar-SA"/>
        </w:rPr>
        <w:t>Ramsay v. Voyageur Insurance Co.</w:t>
      </w:r>
      <w:r>
        <w:rPr>
          <w:rFonts w:ascii="arial" w:eastAsia="arial" w:hAnsi="arial" w:cs="arial"/>
          <w:color w:val="000000"/>
          <w:sz w:val="20"/>
          <w:lang w:val="en-US" w:eastAsia="en-US" w:bidi="ar-SA"/>
        </w:rPr>
        <w:t xml:space="preserve">, </w:t>
      </w:r>
      <w:hyperlink r:id="rId319" w:history="1">
        <w:r>
          <w:rPr>
            <w:rFonts w:ascii="arial" w:eastAsia="arial" w:hAnsi="arial" w:cs="arial"/>
            <w:i/>
            <w:color w:val="0077CC"/>
            <w:sz w:val="20"/>
            <w:u w:val="single"/>
            <w:shd w:val="clear" w:color="auto" w:fill="FFFFFF"/>
            <w:lang w:val="en-US" w:eastAsia="en-US" w:bidi="ar-SA"/>
          </w:rPr>
          <w:t>[1998] B.C.J. No. 1187</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Moreover, although I am mindful that the Court in </w:t>
      </w:r>
      <w:r>
        <w:rPr>
          <w:rFonts w:ascii="arial" w:eastAsia="arial" w:hAnsi="arial" w:cs="arial"/>
          <w:b/>
          <w:i/>
          <w:color w:val="000000"/>
          <w:sz w:val="20"/>
          <w:lang w:val="en-US" w:eastAsia="en-US" w:bidi="ar-SA"/>
        </w:rPr>
        <w:t>Bridgewood</w:t>
      </w:r>
      <w:r>
        <w:rPr>
          <w:rFonts w:ascii="arial" w:eastAsia="arial" w:hAnsi="arial" w:cs="arial"/>
          <w:color w:val="000000"/>
          <w:sz w:val="20"/>
          <w:lang w:val="en-US" w:eastAsia="en-US" w:bidi="ar-SA"/>
        </w:rPr>
        <w:t xml:space="preserve"> did look to exclusion clauses to find coverage in circumstances which bear a similarity to the terms of the policies in </w:t>
      </w:r>
      <w:r>
        <w:rPr>
          <w:rFonts w:ascii="arial" w:eastAsia="arial" w:hAnsi="arial" w:cs="arial"/>
          <w:b/>
          <w:i/>
          <w:color w:val="000000"/>
          <w:sz w:val="20"/>
          <w:lang w:val="en-US" w:eastAsia="en-US" w:bidi="ar-SA"/>
        </w:rPr>
        <w:t>Swagger</w:t>
      </w:r>
      <w:r>
        <w:rPr>
          <w:rFonts w:ascii="arial" w:eastAsia="arial" w:hAnsi="arial" w:cs="arial"/>
          <w:color w:val="000000"/>
          <w:sz w:val="20"/>
          <w:lang w:val="en-US" w:eastAsia="en-US" w:bidi="ar-SA"/>
        </w:rPr>
        <w:t xml:space="preserve"> and the case at bar, I note that, the Court did not refer to </w:t>
      </w:r>
      <w:r>
        <w:rPr>
          <w:rFonts w:ascii="arial" w:eastAsia="arial" w:hAnsi="arial" w:cs="arial"/>
          <w:b/>
          <w:i/>
          <w:color w:val="000000"/>
          <w:sz w:val="20"/>
          <w:lang w:val="en-US" w:eastAsia="en-US" w:bidi="ar-SA"/>
        </w:rPr>
        <w:t>Swagger</w:t>
      </w:r>
      <w:r>
        <w:rPr>
          <w:rFonts w:ascii="arial" w:eastAsia="arial" w:hAnsi="arial" w:cs="arial"/>
          <w:color w:val="000000"/>
          <w:sz w:val="20"/>
          <w:lang w:val="en-US" w:eastAsia="en-US" w:bidi="ar-SA"/>
        </w:rPr>
        <w:t xml:space="preserve">. In my opinion, and with great respect, I do not consider </w:t>
      </w:r>
      <w:r>
        <w:rPr>
          <w:rFonts w:ascii="arial" w:eastAsia="arial" w:hAnsi="arial" w:cs="arial"/>
          <w:b/>
          <w:i/>
          <w:color w:val="000000"/>
          <w:sz w:val="20"/>
          <w:lang w:val="en-US" w:eastAsia="en-US" w:bidi="ar-SA"/>
        </w:rPr>
        <w:t>Bridgewood</w:t>
      </w:r>
      <w:r>
        <w:rPr>
          <w:rFonts w:ascii="arial" w:eastAsia="arial" w:hAnsi="arial" w:cs="arial"/>
          <w:color w:val="000000"/>
          <w:sz w:val="20"/>
          <w:lang w:val="en-US" w:eastAsia="en-US" w:bidi="ar-SA"/>
        </w:rPr>
        <w:t xml:space="preserve"> to settle the law on this issue in this province. Furthermore, to the extent that the result in </w:t>
      </w:r>
      <w:r>
        <w:rPr>
          <w:rFonts w:ascii="arial" w:eastAsia="arial" w:hAnsi="arial" w:cs="arial"/>
          <w:b/>
          <w:i/>
          <w:color w:val="000000"/>
          <w:sz w:val="20"/>
          <w:lang w:val="en-US" w:eastAsia="en-US" w:bidi="ar-SA"/>
        </w:rPr>
        <w:t>Bridgewood</w:t>
      </w:r>
      <w:r>
        <w:rPr>
          <w:rFonts w:ascii="arial" w:eastAsia="arial" w:hAnsi="arial" w:cs="arial"/>
          <w:color w:val="000000"/>
          <w:sz w:val="20"/>
          <w:lang w:val="en-US" w:eastAsia="en-US" w:bidi="ar-SA"/>
        </w:rPr>
        <w:t xml:space="preserve"> turns on a consideration of redundancy, I agree with Lombard that it is doubtful whether, at least in this province, consideration of redundancy has a proper, or at best, any significant place in determining whether coverage extends under an insurance policy: See </w:t>
      </w:r>
      <w:r>
        <w:rPr>
          <w:rFonts w:ascii="arial" w:eastAsia="arial" w:hAnsi="arial" w:cs="arial"/>
          <w:b/>
          <w:i/>
          <w:color w:val="000000"/>
          <w:sz w:val="20"/>
          <w:lang w:val="en-US" w:eastAsia="en-US" w:bidi="ar-SA"/>
        </w:rPr>
        <w:t>Harbour Machine Ltd.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X.</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Conclusion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Progressive's application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COHEN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5" style="position:absolute;z-index:2518231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20"/>
          <w:headerReference w:type="default" r:id="rId321"/>
          <w:footerReference w:type="even" r:id="rId322"/>
          <w:footerReference w:type="default" r:id="rId323"/>
          <w:headerReference w:type="first" r:id="rId324"/>
          <w:footerReference w:type="first" r:id="rId32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26" w:history="1">
        <w:r>
          <w:rPr>
            <w:rFonts w:ascii="arial" w:eastAsia="arial" w:hAnsi="arial" w:cs="arial"/>
            <w:b/>
            <w:bCs/>
            <w:i/>
            <w:color w:val="0077CC"/>
            <w:kern w:val="32"/>
            <w:sz w:val="28"/>
            <w:szCs w:val="32"/>
            <w:u w:val="single"/>
            <w:shd w:val="clear" w:color="auto" w:fill="FFFFFF"/>
            <w:lang w:val="en-US" w:eastAsia="en-US" w:bidi="ar-SA"/>
          </w:rPr>
          <w:t>Reliable Mortgages Investment Corp. v. Chan, [2016] B.C.J. No. 481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E.J. Adair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8-11 and 14-19,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9,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S115440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481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27" w:history="1">
        <w:r>
          <w:rPr>
            <w:rFonts w:ascii="arial" w:eastAsia="arial" w:hAnsi="arial" w:cs="arial"/>
            <w:i/>
            <w:color w:val="0077CC"/>
            <w:sz w:val="20"/>
            <w:u w:val="single"/>
            <w:shd w:val="clear" w:color="auto" w:fill="FFFFFF"/>
            <w:lang w:val="en-US" w:eastAsia="en-US" w:bidi="ar-SA"/>
          </w:rPr>
          <w:t>2016 BCSC 405</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Reliable Mortgages Investment Corp., Plaintiff, and Sylvia Chan, Alice Lee, Sablok and Sablok and Akash Sablok,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(152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6" style="position:absolute;z-index:251671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83" w:name="Keywords_11"/>
      <w:bookmarkEnd w:id="83"/>
      <w:r>
        <w:rPr>
          <w:rFonts w:ascii="arial" w:eastAsia="arial" w:hAnsi="arial" w:cs="arial"/>
          <w:b/>
          <w:color w:val="000000"/>
          <w:sz w:val="20"/>
          <w:lang w:val="en-US" w:eastAsia="en-US" w:bidi="ar-SA"/>
        </w:rPr>
        <w:t xml:space="preserve">Legal profession — Notaries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Reliable Mortgages against Sablok for negligent misrepresentation dismissed — In 2009, Jason Lee obtained a mortgage on his aunt's home using a fraudulent power of attorney, based on a previous power of attorney notarized by Sablok — Reliable asked Sablok if the document was valid — Sablok advised Reliable that it appeared to be his name and stamp, but that he had no record of the power of attorney — Sablok made no misrepresentations, and Reliable had not been reasonable in relying on his statement as establishing the validity of the power of attorney.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Professional responsibility — Self-Governing professions — Duties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Professions — Legal — Notaries — In 2009, Jason Lee obtained a mortgage on his aunt's home using a fraudulent power of attorney, based on a previous power of attorney notarized by Sablok — Reliable asked Sablok if the document was valid — Sablok advised Reliable that it appeared to be his name and stamp, but that he had no record of the power of attorney — Sablok made no misrepresentations, and Reliable had not been reasonable in relying on his statement as establishing the validity of the power of attorney.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Trespass — Conversion — What constituting --Against particular party — Mortgagor or mortgagee — Wrongful act — Action by Reliable Mortgages Investment (Reliable) for damages for fraud or conversion against the defendants Lee and Chan allowed — Chan and Lee had not acted with reasonable care; Chan had not been entitled to the money Jason Lee deposited into her account and subsequently withdrew in full — Lee had converted the $15,000 Jason Lee placed in her account to her own use — Chan was liable in conversion for the sum of $246,191, and of that sum, Lee was jointly and severally liable for $15,000.</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4" w:name="Case Summary_12"/>
            <w:bookmarkEnd w:id="8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Reliable Mortgages Investment (Reliable) for damages for fraud or conversion against the defendants Lee and Chan. In 2009, Jason Lee, Lee's son, used a power of fraudulent power of attorney to place a mortgage in favour of Reliable on his aunt Chan's home. The power of attorney was based on a valid one previously granted to Jason Lee by his mother, the defendant Lee. That power of attorney was notarized by the defendant Sablok, and had expired. Jason Lee had registered the fraudulent power of attorney at the land title office. He approached Reliable to mortgage Chan's Vancouver house. The broker who arranged the mortgage, Matthysen, contacted the defendant Sablok, the notary noted on the power of attorney, and asked whether it was genuine. Sablok looked in his files and could find no power of attorney prepared or notarized by him by Chan. He informed Matthysen that, while it was his signature and stamp on the power of attorney, he could not confirm its validity. Matthysen and Whyte went ahead with the mortgage, and advanced $262,000 to Jason Lee. Jason Lee transferred $246,191 into Chan's account, requesting that she attend at the bank to allow him to transfer the funds. She did so, but testified that she did not know why he was transferring money into her account, and claimed that she did not understand the papers she signed. Jason Lee then transferred out the entire $262,000, of which he placed $46,182 in his mother Lee's account. He also transferred $15,000 to Lee's other account. Lee was found dead shortly after. The mortgage went into default; Reliable's action on the mortgage was dismissed on the grounds that the mortgage was void and unenforceable. Reliable brought this action for fraud and conversion against Lee and Chan. Reliable argued that it was entitled to the principle of the loan, plus the mortgage interest, for a total of almost $500,000. Reliable also claimed against Sablok for negligent misrepresentation.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85" w:name="Holdings of Court_9"/>
            <w:bookmarkEnd w:id="85"/>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Reliable had not established that Lee or Chan were liable in fraud. The fraud had been perpetrated by Jason Lee, without involvement or knowledge by either Lee or Chan. However, Chan had been willfully blind with respect to Jason Lee's activities, and had no lawful entitlement to the funds he had deposited into her account. Accordingly, her actions in going along with Jason Lee were wrongful and supported a claim for conversion. Lee and Chan were liable in conversion, as they had not acted with reasonable care. However, Reliable was not entitled to interest, but only to the principle amount of the loan. The notary Sablok was not liable for negligent misrepresentation. Sablok had made a reasonable search of his records and determined that he could not say that the document was valid. Reliable's reliance on Sablok's statements, which did not constitute misrepresentation, was not reasonable. The claim against Sablok was dismissed. Chan was liable in conversion for the sum of $246,191, and of that sum, Lee was jointly and severally liable for $15,000.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86" w:name="Legislation Cited_8"/>
      <w:bookmarkEnd w:id="8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87" style="position:absolute;z-index:2517227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Court Order Interest Act,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87" w:name="Counsel_12"/>
      <w:bookmarkEnd w:id="8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8" style="position:absolute;z-index:2517739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Robert J. Ellis.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Sylvia Chan and Alice Lee: Brent Ellingson.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Sablok &amp; Sablok and Akash Sablok: Quang T. Duong.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8" w:name="Judgment_12"/>
      <w:bookmarkEnd w:id="88"/>
      <w:r>
        <w:pict>
          <v:line id="_x0000_s1089" style="position:absolute;z-index:2518241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Background and review of the evidence</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Discussion and analysis</w:t>
      </w:r>
      <w:r>
        <w:rPr>
          <w:rFonts w:ascii="arial" w:eastAsia="arial" w:hAnsi="arial" w:cs="arial"/>
          <w:sz w:val="20"/>
          <w:lang w:val="en-US" w:eastAsia="en-US" w:bidi="ar-SA"/>
        </w:rPr>
        <w:cr/>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Comments on the main witnesses (b) Reliable's claims against Ms. Chan and Ms. Lee (c) Reliable's claims against Mr. Sablok and "Sablok &amp; Sablok"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 and disposition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9" w:name="E.J. ADAIR J."/>
            <w:bookmarkEnd w:id="89"/>
            <w:r>
              <w:rPr>
                <w:rFonts w:ascii="arial" w:eastAsia="arial" w:hAnsi="arial" w:cs="arial"/>
                <w:b/>
                <w:color w:val="000000"/>
                <w:sz w:val="30"/>
                <w:lang w:val="en-US" w:eastAsia="en-US" w:bidi="ar-SA"/>
              </w:rPr>
              <w:t>E.J. ADAIR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Reliable Mortgages Investment Corp. ("Reliable"), is a private mortgage lender and carries on business in the Lower Mainland. The defendants Sylvia Chan and Alice Lee are sisters. They have lived in Vancouver since the mid-1970s. Both of them have worked for many years on the housekeeping staff of a downtown Vancouver hotel, earning modest incomes. However, each of them owns a house on the east side of Vancouver. The houses were purchased when real estate prices were much, much lower than they are today. As of March 2009, Ms. Chan's house on Slocan Street ("Slocan") was mortgage-free and assessed at over $500,000.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March 2009, Ms. Lee's son, Jason Lee, who was then in his late-20s, used a power of attorney in Ms. Chan's name, stated to be given October 8, 2008 and registered in the Land Title Office on February 18, 2009, (the "POA") to place a mortgage in favour of Reliable (the "Mortgage") on Slocan. The defendant Akash Sablok was shown on the POA as the notary who witnessed Ms. Chan's signature.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There is no dispute that the POA was a fraud and forgery perpetrated by Jason Lee.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Jason Lee arranged to have the net proceeds of the Mortgage, approximately $246,000, deposited into a bank account in Ms. Chan's name. He convinced Ms. Chan to allow all of the money to be paid out to him the same day. Jason Lee transferred $15,000 into an account belonging to Ms. Lee and used the rest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Immediately after the Mortgage was registered and funds advanced, the Mortgage went into default.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June 2010, Jason Lee was found dead in the trunk of a car. His hands had been bound and a plastic bag placed over his head, and a blood test revealed heroin in his body. The circumstances of his death remain a mystery. However, there is evidence that, as of 2009, he was mixed up with the wrong people, who (among other things) were after him for money and made threats on his life to Ms. Lee. While alive, Jason Lee was the source of much worry and heartache for his mother. (From time to time in these Reasons, I will refer to Jason Lee by his first name only. I mean no disrespect in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Mortgage was declared void and unenforceable by Mr. Justice N. Smith in reasons for judgment indexed at </w:t>
      </w:r>
      <w:hyperlink r:id="rId328" w:history="1">
        <w:r>
          <w:rPr>
            <w:rFonts w:ascii="arial" w:eastAsia="arial" w:hAnsi="arial" w:cs="arial"/>
            <w:i/>
            <w:color w:val="0077CC"/>
            <w:sz w:val="20"/>
            <w:u w:val="single"/>
            <w:shd w:val="clear" w:color="auto" w:fill="FFFFFF"/>
            <w:lang w:val="en-US" w:eastAsia="en-US" w:bidi="ar-SA"/>
          </w:rPr>
          <w:t>2011 BCSC 1080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Reliable now sues Ms. Chan and Ms. Lee for damages on the grounds of fraud or, alternatively, conversion. In the alternative, Reliable seeks a judgment against them on the basis of unjust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Reliable also sues the Sablok defendants for damages for negligent misstatement, in relation to statements alleged to have been made by Mr. Sablok to Mr. Dale Matthysen (a mortgage broker employed by a company related to Reliable) about the POA, in response to Mr. Matthysen's inquiries prior to the Mortgage funds being advanced. Reliable says that Mr. Sablok failed to take reasonable care in responding to Mr. Matthysen's inquiries, and that, if Mr. Sablok had provided accurate information, Reliable would not have made the Mortgage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Reliable says that Ms. Chan and the Sablok defendants should be found liable for damages in the full amount of loan principal ($262,000) plus interest at the rate payable under the Mortgage, bringing the total owing as of September 8, 2015 to almost $500,000.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Chan and Ms. Lee say that the claims against them must be dismissed. They say that they were victims, rather than perpetrators, of fraud. They say further that Reliable cannot make out the elements of either a conversion or unjust enrichment claim against either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Sablok defendants also say that the claims against them must be dismissed. Mr. Sablok says in particular that Reliable decided to take a calculated business risk and advance funds on the Mortgage loan using the POA. Mr. Sablok says that, in advancing the funds, Reliable has failed to show that it reasonably relied on anything Mr. Sablok did or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 and review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Reliable is a mortgage investment company, and has been in business for over 20 years. Ms. Jessica Whyte is the president. Her father, Mr. Jim Mercier, started the business. Reliable's shareholders (and the persons who provide the capital for the business) are all friends and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Matthysen joined Reliable in May 2008. He and Ms. Whyte had then known one another for about 15 years, and Mr. Matthysen was changing careers after 17 years of selling office supplies. He had completed the mortgage sub-broker's course at the Sauder School of Business and become registered as a mortgage broker in January 2008. He and Ms. Whyte worked together closely on mortgage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Whyte described Reliable as an equity lender. That means, when looking at a potential borrower, Reliable looks at the equity in the borrower's real estate being offered as security, rather than the borrower's debt or ability to pay. Ms. Whyte explained that Reliable's customers are, for the most part, people who do not qualify for conventional lending by a bank or similar financial institution. Reliable makes a lending decision based on a real estate appraisal, an inspection of the property and a meeting with the borrower. An individual's ability to make the monthly mortgage payments is not a consideration. According to Ms. Whyte, as of 2009, Reliable generally funded between 75 and 100 mortgages a year, representing about 20-25% of the applications it received. In 2009 specifically, Reliable funded 77 mortgages. Ms. Whyte explained that she is very particular about what will be funded.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Reliable Mortgages Inc. ("RMI") is a related company. It is a mortgage broker and provides management services to Reliable, for which it receives compensation by way of fees. RMI's employees are sub-brokers, and the majority of Reliable's business comes from RMI's sub-brokers. In 2009, RMI employed three sub-brokers: Ms. Whyte, Mr. Mercier and Mr. Matthysen. Either Ms. Whyte or Mr. Mercier alone could decide to approve and fund a loan transaction. However, in 2009, Mr. Matthysen needed the approval of either Ms. Whyte or Mr. Mercier before a transaction could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Chan and Ms. Lee were born in Burma in 1954 and 1952, respectively. They have two older siblings, who have lived in Hong Kong for many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Lee came to Canada in 1972 and married that year. She and her husband had three children: two daughters (born in 1974 and 1977) and their son, Jason (born in January 1981). Ms. Lee's husband died in 2004. Ms. Lee's older daughter, Tanya, testified at trial and (among other things) described a frightening incident when threats were made against Jason Lee's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1976, Ms. Lee and her husband bought a home on Gladstone St. in Vancouver ("Gladstone"). Ms. Lee remains the registered owner of that property. Her daughters continue to live with her there. Jason Lee also lived there, except for a relatively brief period in the last half of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Lee and Ms. Chan's parents came to Canada with Ms. Chan in 1976. Their parents purchased Slocan and Ms. Chan lived there from time to time. In 1993, Ms. Chan purchased a home on Moss St. in Vancouver, which she sold in July 2001, netting about $100,000. She used the money to invest in mutual funds. Ms. Chan has never married and has no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Lee and Ms. Chan's father died in 1997, and their mother died in 2002. When their mother died, Ms. Chan inherited Slocan and made it her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Lee and Ms. Chan each had a key to the other's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Neither Ms. Chan nor Ms. Lee have much formal education. Their English skills are quite limited, particularly written English. Ms. Lee's husband was more proficient in English, and when he was alive, Ms. Lee relied on him to read and explain documents in English to her. Since his death, Ms. Lee has relied on her daughters for help. Both Ms. Chan and Ms. Lee are most comfortable in Cantonese, although Ms. Chan testified to some difficulties with the written language. Both are on the housekeeping staff at the Empire Landmark Hotel on Robson Street in Vancouver. Ms. Lee has worked there since 1980, and Ms. Chan began working there in 1986. Although both work from 8 a.m. to 4:30 p.m., 5 days a week, Ms. Lee works Monday through Friday, while Ms. Chan works Friday through Tuesday. In 2008 and 2009, they were each earning an annual salary of around $40,000.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Jason Lee's problem behaviour seems to have begun in earnest in his late teens. He completed Grade 11, but then dropped out of school when he was about 17. Ms. Lee described him as basically uncommunicative, and she knew little about what he was doing. She thought that, when he was 19 or 20, he was involved in selling cars. She was not sure how old he was when he started a billiards business. As Ms. Lee recalled, her son did not like being asked questions, and would refuse to respond when she did ask. Jason Lee refused to talk about money, and rarely talked about his life or what he was doing. As Ms. Lee recalled, he slept most days and would be out at night. So far as she was aware, he did not have any reliable source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Lee and her husband had had a joint chequing account at a branch of TD Canada Trust ("TD Account 949"). After her husband's death, Jason Lee asked Ms. Lee to put his name on the account, which she did. According to Ms. Lee, she rarely used TD Account 949, apart from checking to see that there was enough in the account to make the monthly mortgage payment. She mostly used her personal account ("TD Account 543"). That left Jason Lee free to use TD Account 949 more or less however he wished, which is what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Lee ended up being sued, along with her son, in connection with one of Jason Lee's business deals that had gone wrong. In June 2006, a judgment for about $176,000 was registered against Gladstone. Ms. Lee claimed that, at the time, she did not know anything about the registration of this judgment, although her evidence in that regard is suspect.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August 2007, Jason Lee took his mother to see a notary to have his mother sign a power of attorney. Ms. Lee recalled Jason telling her that he needed her to sign a power of attorney, but when she asked him why, he did not respond.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notary that Ms. Lee and Jason Lee saw was Mr. Sablok. This is the only occasion on which Mr. Sablok had any contact with either Jason Lee or Ms. Lee. He never had any contact at all with Ms. Chan.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Sablok was commissioned as a notary in June 1998, and he has been practicing continuously as a notary since then. Although he shares office space with his father, the business is carried on as a sole proprietorship. He and his father are not in partnership.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2003, Mr. Sablok became a member of the Board of the Society of Notaries, and in September 2013, he was elected president.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Sablok described his practice as about 80% real estate conveyances, about 15% wills, and the balance tasks such as statutory declarations, visa declarations and powers of attorney. As he recalled, it was about the same in 2007 through 2009. With respect to powers of attorney, Mr. Sablok explained that his usual practice is to prepare the document, but sometimes the client will bring in something he or she has prepared.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There are conflicts between Ms. Lee's description of what happened when she and Jason Lee attended at Mr. Sablok's office on August 15, 2007, and Mr. Sablok's description. For example, Ms. Lee testified that she never met with Mr. Sablok alone. Mr. Sablok testified that, after being told by Ms. Lee that she was giving a power of attorney to her son, he took her into the office's signing room and closed the door, so that the two of them were alone and able to discuss matters privately. Both Ms. Lee and Mr. Sablok recall Mr. Sablok telling Ms. Lee that a power of attorney is a powerful document and that it could be used to sell Gladstone. Mr. Sablok recalled going beyond that and advising Ms. Lee that it could be used to mortgage Gladstone or empty her bank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power of attorney that Ms. Lee in fact signed was stated to expire on September 30, 2007. Ms. Lee did not recall anything about this. But Mr. Sablok testified she told him that one of the reasons she was giving Jason Lee the power of attorney was that she was going away for a short while, until the end of September. After he and Ms. Lee discussed this and whether she wanted the power of attorney to continue once she returned, Ms. Lee instructed him to insert an expiry date, which Mr. Sablok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There is no dispute that the signatures on the power of attorney dated August 15, 2007 stated to be given by Ms. Lee to Jason Lee and expiring September 30, 2007 (the "August 2007 POA") are genuine. The August 2007 POA is signed by Mr. Sablok. He has affixed his stamp, showing his name, address, telephone and fax numbers. He has also affixed a stamp stating: "No advice sought or given. Attested to only but not drawn." Ms. Lee has initialed these words. Mr. Sablok also witnessed Jason Lee's signature on the declaration, and affixed his stamp.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After everything was signed, Mr. Sablok then made scanned copies of the pages and the identification provided, for his records, and gave the original documents to Ms. Lee. Jason Lee submitted the August 2007 POA for registration in the Land Title Office on August 20,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September 2007, Jason Lee used the August 2007 POA to borrow money from TD Canada Trust and place a mortgage on Gladstone. According to Ms. Lee, she only found out what Jason had done when she went to the bank to deposit her pay cheque and was told that the principal amount of the mortgage (which had been about $200,000) had been increased. The principal amount of the new mortgage was $487,500. The monthly mortgage payment had ballooned to more than $3,000. Ms. Lee was very angry with her son. When Ms. Lee asked Jason about the money, he said nothing. Some of the money was used to pay off the June 2006 Judgment that had been registered against Gladstone. Jason Lee simply took the 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October 2008, Jason Lee created a forged power of attorney (the "Forged 2008 POA") purportedly from Ms. Lee, using the August 2007 POA. One of the changes he made in the forged document was to remove the expiry date that was in the original. He registered the Forged 2008 POA in the Land Title Office on October 14, 2008. He later used the Forged 2008 POA to place additional mortgages (totalling $100,000) on Gladstone in January and March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Lee acknowledged at trial that, by October 2008, she was aware that Jason Lee had caused her losses of several hundreds of thousands of dollars, all without her consent. However, she testified that she did not tell Ms. Chan about what Jason had done. Ms. Lee explained that she considered it her own family's business (rather than her sister's) and that Jason was, after all, her son. She said it did not occur to her to tell her sister. Again, her evidence in this regard is suspect.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October 2008, Ms. Chan was off work with a shoulder injury. She needed some help to complete an Employment Insurance ("EI") claim form. Ms. Lee's daughters were unavailable, so she asked Jason Lee. He agreed to help. As a result, Ms. Chan provided personal information to him in relation to her EI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Apart from this, the relationship between Ms. Chan and Jason Lee at this time was distant at best. For some years, they had little, if any, contact with one another. Jason Lee's behaviour had also put a serious strain on Ms. Chan's relationship with her sister. Ms. Chan was very critical of how Ms. Lee had raised Jason, and told her sister she had done a poor job with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late February 2009, Mr. Matthysen was contacted by e-mail by another mortgage broker, Shannon Kiger at Delta Equities Ltd., about a potential transaction. The subject line in the e-mail provided this description: "Power of Attorney: 50% LTV 1st of $262,000 on Vancouver house." In her message, Ms. Kiger advised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Jason Lee has Power of Attorney for his aunt, and it includes real estate dealings.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wishes to buy an apartment in Hong Kong with the funds.</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has a job at the Empire Landmark hotel as a housekeeper, we are told 23 years. Will confirm.</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Jason Lee will also sign as covenantor. He is self employed as a billiard hall owner.</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House is located at [Slocan Street], in Vancouver</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2009 Assessment shows a value of $549,500. Even if we use a value of $525,000 we are still 50% LTV.</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 Client wants a new first of $262,000.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 House is clear title now.</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We have not yet ordered an appraisal, but will be doing so shortly.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Kindly advise if you would be interested and I will forward a package!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Matthysen explained that he was the "front-line" person at Reliable on this loan. He reviewed Ms. Kiger's e-mail and discussed matters with Ms. Whyte. Reliable was interested, and Mr. Matthysen asked Ms. Kiger to send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Matthysen received application documents from Ms. Kiger by e-mail on February 26, 2009. Ms. Chan was shown as the borrower, and that a power of attorney would be used. Mr. Matthysen explained that, although completing a loan transaction using a power of attorney was not uncommon, it was not something that happened frequently. He asked Ms. Kiger for an explanation why a power of attorney was going to be used and was told that the borrower (Ms. Chan) was out of the country, in Hong Kong, and that she needed the funds from the equity in her house to put a down payment on an apartment there. In fact, all of this was false. Ms. Chan was always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application documents included a statement of Ms. Chan's assets and liabilities, and her employment income. Her employer was shown as the Empire Landmark Hotel (which was true), and her annual income as $41,000. Apart from Slocan, the application showed that Ms. Chan had few other assets (which was also true). However, Mr. Matthysen explained Reliable paid little attention to this information, and was not overly concerned about debt-servicing ratios. As Mr. Matthysen recalled, the stated purpose of the loan (purchase of an apartment in Hong Kong) meant timing of approval and funding of the loan was important.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On February 27, 2009, Mr. Matthysen issued a mortgage commitment to Ms. Kiger, offering mortgage financing of $262,000 to Ms. Chan. The stated interest rate was 10% (compounded monthly, not in advance), and the monthly payments (interest only) were shown as $2,184. A non-refundable fee of $13,100 was payable to RMI for "arranging" the financing (ultimately this was to be shared between RMI and Ms. Kiger's firm). The commitment was subject to a lender inspection and a satisfactory, lender-approved appraisal. Mr. Matthysen also sent a separate fax message to Ms. Kiger, asking for a copy of the POA. He mentioned: "Still wondering why her nephew would sign (with POA) if Ms. Chan lives and works in Vancouver?" This was a reasonable question to ask.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Kiger sent Mr. Matthysen a copy of the POA by e-mail later that day. She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just spoke to Jason Lee: His aunt is in Hong Kong for about another month and wants to buy an apartment there. She will then return here. He states she lives in the house on Slocan and she works here at the Empire Landmark Hotel.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Ms. Kiger also said that "Original of POA would of course be brought to LLB for perusal." Mr. Matthysen understood from this that the original of the POA would be brought to the lawyer or notary acting for the borrower. In fact, this never happened. No one involved in the transaction (apart from Jason Lee) ever saw the original of the POA.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At Ms. Whyte's request, Mr. Matthysen then sent a copy of the POA to Colleen Read, a paralegal at the offices of Spagnuolo &amp; Company ("Spagnuolo"), Reliable's long-time solicitors. At trial, he explained that he wanted some advice about whether the POA was one that could be used for real estate transactions, and he was not expecting Spagnuolo to be able to give any advice about the origin of the POA or its validity. Ms. Read responded: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 Dale, this POA is acceptable -- it's already registered in the Land Title Office as well . . . the only thing we have to watch for is that the name on title matches the name on the POA exactly . . . thanks.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According to Mr. Matthysen, the fact that the POA was already registered with the Land Title Office gave him additional comfort.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On March 2, 2009, Mr. Matthysen and Ms. Kiger exchanged e-mail messages about completion of the appraisal and the lender inspection of Slocan. Mr. Matthysen explained that the lender inspection is more about meeting the borrower, since Reliable relies on the appraisal to determine the market value of the property. He explained that the lender inspection helps Reliable have confidence that the property actually belongs to the borrower.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lender inspection was done on March 5, 2009. Mr. Matthysen met Jason Lee at Slocan, and Jason let Mr. Matthysen into the house. Mr. Matthysen spoke to Jason Lee about the use of the funds, and he repeated the story he had communicated to Ms. Kiger about Ms. Chan being in Hong Kong and wanting to borrow funds to take advantage of a real estate investment opportunity there. Jason Lee told Mr. Matthysen that Ms. Chan had been away for a month, and would be away for another month. All of this was false. According to Mr. Matthysen, Jason Lee also told him about his billiards hall business. Mr. Matthysen asked Jason about the POA and, as he recalled, Jason told him that he had a power of attorney for his aunt, uncle and mother because of language issues. This too was false. Jason gave Mr. Matthysen a cheque for $500 on account of the inspection/commitment deposit required pursuant to the mortgage commitment. The cheque was drawn on TD Account 949.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As Mr. Matthysen recalled, there was nothing about the discussion with Jason Lee or the visit that caused him concern. Apart from Mr. Matthysen, no one at Reliable or RMI ever spoke to Jason Lee.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On March 5, 2009, and at Ms. Whyte's request, Mr. Matthysen contacted Mr. Sablok by phone. According to Mr. Matthysen, his purpose was to have Mr. Sablok "verify" the POA. As Mr. Matthysen recalled, he gave Mr. Sablok some background on Reliable, told Mr. Sablok that they had a deal using a power of attorney and asked Mr. Sablok if he could confirm the validity of the document. Mr. Sablok asked Mr. Matthysen to send him a copy of the document. Mr. Matthysen then sent Mr. Sablok a copy of the POA with a fax message that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are a private mortgage lender and have been approached by Jason Lee (POA) to Sylvia Chan to lend money with Sylvia's property as security. Are you able to confirm that the attached documents match your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Sablok recalled receiving Mr. Matthysen's fax. He understood that Mr. Matthysen was looking to him for some information. As Mr. Sablok recalled, he did not recognize the names on the POA. He did not have the opportunity to review his records right away, but did that a day or two later. The business was organized so that the available records (including scanned documents) were in electronic form. When Mr. Sablok searched those records, he looked for anything around the POA's date or under the last name Chan. The searches turned up nothing. As he had no record of the POA, he concluded that he did not prepare it and did not witness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On March 6, 2009, Mr. Matthysen was out of the office, and Ms. Whyte exchanged e-mail messages with Ms. Kiger concerning the loan to Ms. Chan. Ms. Kiger sent a copy of the appraisal (which came in at $505,000), advised that Jason Lee would sign the documents at the office of Agatha Chang (a notary) and provided what Ms. Kiger had been told was a phone number for Ms. Chan in China. Later that afternoon, Ms. Whyte sent a message back to Ms. Kiger, which said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Also, we have called the notary to verify the POA (all these fraud cases out now so we do this). Once we hear back from him we will let you know on that too. Should go to lawyers on Monday if all else is alright.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On March 9, 2009, Mr. Sablok phoned Mr. Matthysen in response to Mr. Matthysen's March 5 fax message. While there is no dispute that Mr. Sablok contacted Mr. Matthysen, and that the phone call was a brief one, there is a conflict in the evidence about what Mr. Sablok communicated to Mr. Matthysen during the 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Matthysen recalled that Mr. Sablok confirmed he had received Mr. Matthysen's fax and reviewed the POA. Mr. Matthysen recalled that, during the phone call, he "gained a sense of confidence." Mr. Matthysen was asked during his direct examination whether he was relying on Mr. Sablok and Mr. Matthysen said that he was. Immediately after the call, Mr. Matthysen made some notes. His notes read: "Spoke w/ [i.e., with] Akash who confirmed it was his signature &amp; stamp." On cross-examination, Mr. Matthysen conceded that he could not recall specifically what Mr. Sablok said to him. However, as Mr. Matthysen recalled, there was nothing that Mr. Sablok said that concerned him, and he recalled that at the end of the call, he was comfortable and confident Reliable had a valid power of attorney. He recalled that he spoke to Ms. Whyte shortly after the call with Mr. Sablok and told her that Mr. Sablok had confirmed his signature and stamp on the POA. Mr. Matthysen then recommended to Ms. Whyte that they proceed with the loan, on the understanding that the POA was valid. Ms. Whyte agreed.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As Mr. Sablok recalled, he told Mr. Matthysen that he had no record of the POA and could not say whether it was valid or not. He recalled that Mr. Matthysen asked him if it was his signature and stamp. He responded that it appeared to be, but that he had no record of the POA. Mr. Matthysen then thanked him, and the call ended. According to Mr. Sablok, he did not know what stage Mr. Matthysen and Reliable were at in the lending process, or what Mr. Matthysen was going to do with the information he gave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Like Mr. Matthysen, Mr. Sablok made some notes of the conversation, which he wrote on his copy of Mr. Matthysen's March 5 fax. He explained that, after he made the notes, he scanned the document into his record keeping system. There are in fact two versions of Mr. Sablok's notes. The first version (Ex. 10) reads: "Advised Dale that I cannot confirm current validity of the POA." After making these notes, Mr. Sablok then had the document scanned and the original was left for shredding. The second version (Ex. 2 Tab 36) reads: "Advised Dale that I cannot confirm validity of the POA. Appears to be my sig." Mr. Sablok explained that he made the second version shortly after the first, and made it because he wanted to make sure that the notes correctly reflected the discussion. Mr. Sablok explained that it was not unusual for him to think further about something and then change his notes. He said that he recalled telling Mr. Matthysen that it appeared to be his signature on the POA, and he wanted the notes to reflect that. Mr. Sablok explained that the second version of his notes was the more accurate. He "whited out" the word "current" in the first version, and added "Appears to be my sig." He then scanned the second version into the record keeping system. The originals of both documents were shredded after scanning. According to Mr. Sablok, he never told Mr. Matthysen that he had a record of the POA or that the POA was valid.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Matthysen was the only person at Reliable to communicate with Mr. Sablok. Ms. Whyte's knowledge of the communications was based on what Mr. Matthysen told her. At trial, Ms. Whyte was quite insistent that the whole reason for contacting Mr. Sablok was to have him verify the POA. Her evidence in this respect is consistent with her March 6, 2009 e-mail to Ms. Kiger.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On March 9, 2009, Mr. Matthysen sent instructions to Spagnuolo to prepare the documents in connection with the Mortgage. Jason Lee was shown as the guarantor for the loan, and shown as Ms. Chan's nephew and power of attorney. The projected funding date was "ASAP." The brokerage fee of $13,100 was to be paid out of the proceeds, as were the legal fees. Mr. Matthysen noted under "Comments/Special Instructions" that Jason Lee was to sign the documents with Ms. Chang, his notary, and the proceeds were to be deposited directly to Ms. Chan's account with HSBC. Mr. Matthysen explained that he gave the instructions about where the money was to be deposited to confirm that the funds were for Ms. Chan, and to protect her. By e-mail sent later that day, Mr. Matthysen advised Ms. Read that, instead of Ms. Chang, Jason Lee was using Mr. Joseph Ho as his notary.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Spagnuolo proceeded to prepare the necessary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Matthysen acknowledged that, prior to the loan proceeds being advanced, he never took any steps to ask anyone whether Ms. Chan was alive, bankrupt, suffering from any mental infirmity, or to confirm whether the POA had been revoked. Ms. Whyte also took no steps to verify that the POA had not been revoked.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loan proceeds were advanced and the Mortgage registered on March 12, 2009. Spagnuolo sent net proceeds of $246,551.66 to "Joseph Ho 'in trust'," rather than depositing the funds in Ms. Chan's HSBC bank account. This was done pursuant to an "Authority to Pay/Acknowledgement" document signed by Jason Lee under the POA and as guarantor. The funds were deposited to Mr. Ho's trust account at a TD Canada Trust branch.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At this point, neither Ms. Chan nor Ms. Lee knew anything about what was going on or what Jason Lee was doing. Contrary to what Jason Lee had told Ms. Kiger and Mr. Matthysen, Ms. Chan was never in Hong Kong; she had never left Vancouver. Neither Ms. Whyte nor Mr. Matthysen, nor anyone else at Reliable had made any attempt to contact Ms. Chan directly about the loan.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However, as of March 2009, Ms. Lee knew that Jason Lee had serious problems. She knew because, as described above, she had already been the victim of his deceit, to the extent of hundreds of thousands of dollars.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 number of key events occurred on March 13,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Ho prepared a cheque drawn on his trust account at the TD Canada Trust branch at Kingsway and Victoria Drive. The trust cheque in the sum of $246,191.16 was payable to Ms. Chan. The cheque was certified by the branch and then deposited to an account in Ms. Chan's name at TD Canada Trust. Jason Lee signed the deposit slip.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Around this time, Ms. Chan received a phone call from Jason Lee, asking her to go to the bank. He did not say anything else to her. She testified that she had never been to the bank with her nephew before, and they last spoke to one another when he had been helping her with the EI claim form. This was months before. She said that, although she was surprised at Jason's call and his request, she did not ask him why he wanted her to meet him at the bank. She decided to wait until she got to the bank to ask.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"bank" in this case was Ms. Chan's TD Canada Trust branch at E. Hastings St. and Kamloops St. She walked over to the branch. Jason Lee was waiting for her there. She then asked him why he wanted her to come to the bank. As Ms. Chan recalled, he told her a deposit had been made to her account and he wanted to withdraw it. According to Ms. Chan, she asked him why he had deposited money to her account. He gave no real explanation. Ms. Chan recalled that Jason told her it was his company's cheque and he needed the money in a hurry. She asked him if his mother knew that he had deposited money to her account, and Jason said yes. They then went up to the counter and, as Ms. Chan recalled, Jason talked to the bank staff. She recalled that they were speaking, very quickly, in English. She did not know what they were talking about. She recalled that her nephew gave the bank representative a paper; she did not look at it. He then told her to wait outside, which she did. As Ms. Chan recalled, after some time, the bank representative came and told her to go back to the counter. The bank representative wrote something on a paper, and Jason Lee told Ms. Chan to sign it, which Ms. Chan did. She explained that she did not pay any attention to what was on the paper, since, as far as she was concerned, the money in the account was not hers. After signing the paper, she went back home. She never saw Jason Lee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When asked why she went along with what Jason Lee wanted her to do, Ms. Chan explained that she thought the money was her nephew's money, and that she believed what he was telling her. She said Jason was her nephew and she trusted him. Ms. Chan said that she knew the money was not her money. However, Ms. Chan relied on Jason to tell her to whom the money belonged, and the story he told her was preposterous.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 Bank record in evidence shows the balance in Ms. Chan's account, after deposit of $246,191.16 and payment of a small phone bill, as $250,549.32. A further bank record, time stamped about 45 minutes later, shows a credit transfer from Ms. Chan's account to TD Account 949 in the sum of $46,182.50 and a withdrawal of $200,000 for a bank draft payable to Jason Lee. This bank record is signed by Ms. Chan. The net result was that, by 2:16 p.m., all of the funds deposited by Jason Lee about an hour earlier to Ms. Chan's account by way of the certified cheque drawn on Mr. Ho's trust account, and representing the net proceeds of the loan by Reliable, had been withdrawn from her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After taking the money from Ms. Chan's account, Jason Lee then turned his attention to TD Account 949. Within about 15 minutes of the withdrawal of the funds from Ms. Chan's account, he had withdrawn $5,000 in cash from TD Account 949. Over the next few hours, Jason Lee withdrew a total of $16,000 in cash from that account, using different TD Canada Trust branches. He also transferred $15,000 from TD Account 949 to TD Account 543.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Ms. Lee testified that she did not know that $46,182.50 had been deposited to TD Account 949 until sometime later, after looking at documents. Jason Lee often deposited and withdrew thousands of dollars from that account. She explained that, since her son owed her money, she did not pay much attention to the activity in the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As Ms. Chan recalled, she spoke to Ms. Lee a few days later and told her about what had happened on March 13 with Jason Lee, that he had deposited money into her account and then withdrawn it. Shortly afterwards, Ms. Chan learned that something was seriously wrong. She received a letter from the insurance agent for her home insurance, sending her a copy of an "endorsement adding the First Mortgagee," and informing her that her insurance premium would be increased as she no longer qualified for the mortgage-free discount. Ms. Chan could not really understand what the letter was saying. She showed the letter to Ms. Lee. Ms. Lee phoned the insurance agent to try and find out what was going on. She was told that there was now a mortgage on Slocan.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Eventually, Ms. Lee contacted Reliable. She and Mr. Matthysen spoke to one another on March 24, 2009. According to notes Mr. Matthysen made of the phone call, Ms. Lee identified herself as Jason Lee's mother and said that she was calling for Ms. Chan. She told Mr. Matthysen that Ms. Chan had not been aware of Jason Lee's actions, and that she wanted to prevent the Mortgage from being registered and funds being advanced. Ms. Whyte and Mr. Matthysen met with Ms. Chan and Ms. Lee on March 25, 2009, at Reliable's offices. They discussed what had happened and what Jason Lee had done. Both Ms. Whyte and Mr. Matthysen recall that Ms. Lee mentioned Jason Lee had done something similar using a power of attorney in Ms. Lee's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At the meeting, Ms. Lee said she was going to try and convince Jason Lee to pay the money back. Ultimately, that proved fruitless.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On March 26, 2009, Reliable sent a letter to Spagnuolo "to notify you of new information that we have recently acquired regarding" Ms. Chan, Jason Lee and Slocan. The letter described (from Reliable's perspective) events beginning on March 12, 2009 through to the meeting with Ms. Chan and Ms. Lee on March 25. Mr. Matthysen then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what we can tell, Mr. Lee created a fraudulent General Power of Attorney document. We believe he utilized a previous legitimate Power of Attorney in which Mrs. Lee appointed Mr. Lee to act as her attorney. It is our understanding that this legitimate POA was witnessed by Akash Sablok, Notary Public. The same notary's name, stamp and signature was used on the fraudulent POA presented to us. We had contacted Mr. Sablok prior to instructing on our mortgage, to verify the POA Mr. Lee presented to us. Mr. Sablok said it was his signature and stamp on the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 Sablok, Mr. Ho and Ms. Kiger are shown as being copied on the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According to Mr. Sablok, after receiving a copy of the letter, he phoned Mr. Matthysen. As he recalled, he indicated to Mr. Matthysen that it was unclear what Mr. Matthysen wanted him to do, he repeated what he had told Mr. Matthysen on March 9 (that he had no record of the POA), and he asked Mr. Matthysen to keep him updated.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mid-April 2009, Ms. Lee withdrew the balance in TD Account 949, which was then $15,539.18, and closed the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May 2009, Reliable commenced proceedings to foreclose on the Mortgage. Those proceedings resulted in the Judgment of N. Smith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 and analysis</w:t>
      </w:r>
      <w:r>
        <w:rPr>
          <w:rFonts w:ascii="arial" w:eastAsia="arial" w:hAnsi="arial" w:cs="arial"/>
          <w:sz w:val="20"/>
          <w:lang w:val="en-US" w:eastAsia="en-US" w:bidi="ar-SA"/>
        </w:rPr>
        <w:cr/>
      </w:r>
    </w:p>
    <w:p>
      <w:pPr>
        <w:numPr>
          <w:numId w:val="8"/>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Comments on the main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 number of the important issues in this case are factual. For example, key issues in Reliable's claim against the Sablok defendants are whether, in fact, Reliable relied on what Mr. Sablok told Mr. Matthysen on March 9 and, if so, whether Reliable's reliance was reasonable. There are conflicts in the evidence about what Mr. Sablok said to Mr. Matthysen. Ms. Chan's knowledge, prior to March 13, 2009, about Jason Lee's activities and his bad character is an important factual issue, about which both Ms. Chan and Ms. Lee gave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Of course, the court can accept some, all or none of the evidence of a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have concluded that Ms. Whyte is, generally, both a credible and reliable witness. However, she had no personal knowledge of anything Mr. Sablok said, since she never dealt with him directly. Her decisions were being made based on what she was told by Mr. Matthysen. She could not recall whether, for example, at the time, she saw Mr. Matthysen's notes of his discussion with Mr. Sablok on March 9. Based on her March 6 e-mail communication to Ms. Kiger, Ms. Whyte was expecting Mr. Sablok to "verify" the POA. However, that is not what Mr. Matthysen asked for in his March 5 fax message, and in any event, Mr. Sablok was never in a position to "verify" whether the POA was valid as of March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Moreover, Ms. Whyte's evidence to the effect that Reliable proceeded with the loan transaction in reliance on advice Mr. Sablok had given to Mr. Matthysen on March 9 was based on her conclusions about what Mr. Matthysen had asked Mr. Sablok to do (that Mr. Sablok had been asked to "verify" the POA) and her conclusions, based on what Mr. Matthysen told her, about Mr. Sablok's response. These factors affect the weight I am prepared to give Ms. Whyte's evidence on these points. Ms. Whyte's evidence is also, of course, given with the benefit of hindsight, and, in my opinion, hindsight has likely resulted in much more importance being placed on Mr. Sablok's role than was likely the case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 have concluded that Mr. Matthysen is also, generally speaking, a credible and reliable witness. For example, on cross-examination, he was not argumentative and conceded points when it was reasonable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However, when it came to his discussions with Mr. Sablok on March 5 and March 9, his memory of specifics and details was poor. Although Mr. Matthysen testified that, when he spoke to Mr. Sablok on March 5, he asked Mr. Sablok if he could "confirm the validity" of the POA, I have concluded that he is most likely reconstructing what he believes happened, and the reconstruction is based in part on knowing now that the POA is a forgery. If, at the time, Mr. Matthysen wanted Mr. Sablok to "confirm the validity" of the POA, there is no reasonable explanation for why he did not ask for that expressly in his March 5 fax message. Certainly, Mr. Matthysen has now drawn conclusions about what he believes Mr. Sablok must have told him on March 9, and recalls essentially that, after the discussion, he felt confident and not concerned about using the POA. However, that is a weak foundation for me to draw my own conclusions about what in fact happened. Fortunately, however, there is other evidence: Mr. Matthysen created contemporaneous notes on March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During his evidence in chief, Mr. Matthysen was asked: Did you rely on Mr. Sablok? Predictably, Mr. Matthysen answered yes to that question. Questions of a similar type were put to him about his discussion with Mr. Sablok, and he gave the predictable answers. In those circumstances, I cannot place much weight on his responses.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 have concluded that neither Ms. Chan nor Ms. Lee are reliable witnesses, and I need to approach their evidence with considerable caution. Both struck me as guarded and reluctant to be open about their relationship with one another, and about the extent to which Ms. Lee confided in Ms. Chan about Jason Lee. Ms. Chan was also guarded and reluctant to be open about what she knew about Jason Lee.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There were also many inconsistencies between the evidence given by each of Ms. Chan and Ms. Lee under oath on previous occasions, and the evidence each gave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For example, Ms. Lee's evidence at trial concerning why Jason Lee wanted her to sign the August 2007 POA and concerning the new mortgage Jason Lee placed on Gladstone in the fall of 2007, was inconsistent with and contradicted her discovery evidence. She had to modify or correct evidence she gave during her evidence-in-chief (for example, about what happened when she met with Mr. Sablok) when, during cross-examination, documents were put to her. In my view, most of Ms. Lee's evidence given in chief about her meeting with Mr. Sablok in August 2007 was improbable, and contradicted both by Mr. Sablok's evidence and by reliable documentary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Ms. Chan appeared generally to have a poor recollection of events, something she acknowledged both during her examination for discovery and on cross-examination at trial. Her evidence on cross-examination at trial concerning her knowledge of Jason Lee's conduct and affairs, and about the sum that was deposited to her TD account on March 13, was contradicted by her discovery evidence. On the other hand, Ms. Chan's evidence at trial and discovery evidence put to her supports the conclusion that, prior to March 13, she had little contact with Jason Lee.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closing argument, Mr. Ellis, for Reliable, mounted a fierce attack on the credibility and reliability of Mr. Sablok. Mr. Ellis was critical of many things, including Mr. Sablok's record-keeping and billing practices, the manner in which Mr. Sablok made discovery of documents and the fact that he did not respond in writing to Reliable's March 26, 2009 letter. Mr. Ellis was particularly critical of the two versions of Mr. Sablok's notes made on March 9. Mr. Ellis argued that Mr. Sablok had tampered with and changed a critical document in his favour, and argued further that Mr. Sablok's conduct discredited both him and the documents, such that the documents were not reliable. Mr. Ellis argued that, rather than being a contemporary note of a conversation, these were self-serving documents created under very suspicious circumstances. He argues that they can and should be given no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In assessing Mr. Sablok's credibility and reliability, I am not concerned that he did not respond in writing to Reliable's March 26 letter. In the first place, the letter was not addressed to him, but to Reliable's lawyers. Mr. Sablok did contact Mr. Matthysen by phone, after receiving a copy of the letter. Mr. Sablok's description of his meeting with Ms. Lee and Jason Lee in August 2007 was somewhat remarkable in its detail. However, it was consistent with documents that are acknowledged to be genuine, and it is also consistent with the probabilities that a practical and informed person would readily recognize as reasonable in those circumstances. I have no hesitation accepting Mr. Sablok's evidence concerning that meeting in preference to Ms. Lee's evidence. I do not see any inconsistency between Mr. Sablok's ability at trial to testify about the events in August 2007 (having had his memory refreshed through the trial process), and not being able to recall, without checking his records, information Mr. Matthysen asked about in a cold call on March 5,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 am also not prepared to reject Mr. Sablok's evidence about his discussion with Mr. Matthysen on March 9, 2009 or reject Mr. Sablok's notes, as Mr. Ellis urges me to do. The circumstances in which the two versions of the notes were created are a little unusual, but the explanation that Mr. Sablok provided (together with his explanation of his office practices) was reasonable. The documents are in electronic form, but no investigation was done (for example, of metadata) to determine whether there was some foundation for what Mr. Ellis asserts. There are also points on which Mr. Sablok's notes and Mr. Matthysen's notes are consistent with one another, namely, that Mr. Sablok's signature and stamp appear to be on the POA. In my view, therefore, there are reasonable grounds for me to reject Mr. Ellis's submissions that this evidence should be given no weight.</w:t>
      </w:r>
      <w:r>
        <w:rPr>
          <w:rFonts w:ascii="arial" w:eastAsia="arial" w:hAnsi="arial" w:cs="arial"/>
          <w:sz w:val="20"/>
          <w:lang w:val="en-US" w:eastAsia="en-US" w:bidi="ar-SA"/>
        </w:rPr>
        <w:cr/>
      </w:r>
    </w:p>
    <w:p>
      <w:pPr>
        <w:numPr>
          <w:numId w:val="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Reliable's claims against Ms. Chan and Ms. Lee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Reliable seeks judgment against Ms. Chan for $262,000, being the principal amount of the loan advanced, together with interest at the Mortgage rate of 10% annually (compounded monthly), for a total (to September 8, 2015) of $496,814.16. Reliable says the per diem rate thereafter is $135.57.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As against Ms. Lee, Reliable seeks judgment for $46,182.50 (the amount Jason Lee deposited to TD Account 949 on March 13, 2009), plus interest at the Mortgage rate from and after March 13,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As noted above, Reliable says it is entitled to a judgment against each of Ms. Chan and Ms. Lee on three different, alternative legal grounds: fraud, conversion and unjust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The basic elements of a fraud claim are well-known and are described in </w:t>
      </w:r>
      <w:r>
        <w:rPr>
          <w:rFonts w:ascii="arial" w:eastAsia="arial" w:hAnsi="arial" w:cs="arial"/>
          <w:b/>
          <w:i/>
          <w:color w:val="000000"/>
          <w:sz w:val="20"/>
          <w:lang w:val="en-US" w:eastAsia="en-US" w:bidi="ar-SA"/>
        </w:rPr>
        <w:t>Lee v. Li</w:t>
      </w:r>
      <w:r>
        <w:rPr>
          <w:rFonts w:ascii="arial" w:eastAsia="arial" w:hAnsi="arial" w:cs="arial"/>
          <w:color w:val="000000"/>
          <w:sz w:val="20"/>
          <w:lang w:val="en-US" w:eastAsia="en-US" w:bidi="ar-SA"/>
        </w:rPr>
        <w:t xml:space="preserve">, </w:t>
      </w:r>
      <w:hyperlink r:id="rId329" w:history="1">
        <w:r>
          <w:rPr>
            <w:rFonts w:ascii="arial" w:eastAsia="arial" w:hAnsi="arial" w:cs="arial"/>
            <w:i/>
            <w:color w:val="0077CC"/>
            <w:sz w:val="20"/>
            <w:u w:val="single"/>
            <w:shd w:val="clear" w:color="auto" w:fill="FFFFFF"/>
            <w:lang w:val="en-US" w:eastAsia="en-US" w:bidi="ar-SA"/>
          </w:rPr>
          <w:t>2002 BCCA 209</w:t>
        </w:r>
      </w:hyperlink>
      <w:r>
        <w:rPr>
          <w:rFonts w:ascii="arial" w:eastAsia="arial" w:hAnsi="arial" w:cs="arial"/>
          <w:color w:val="000000"/>
          <w:sz w:val="20"/>
          <w:lang w:val="en-US" w:eastAsia="en-US" w:bidi="ar-SA"/>
        </w:rPr>
        <w:t>, at para. 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[28] An actionable fraud contains four elements: </w:t>
      </w:r>
      <w:r>
        <w:rPr>
          <w:rFonts w:ascii="arial" w:eastAsia="arial" w:hAnsi="arial" w:cs="arial"/>
          <w:b/>
          <w:i/>
          <w:color w:val="000000"/>
          <w:sz w:val="20"/>
          <w:lang w:val="en-US" w:eastAsia="en-US" w:bidi="ar-SA"/>
        </w:rPr>
        <w:t>Derry v. Peek</w:t>
      </w:r>
      <w:r>
        <w:rPr>
          <w:rFonts w:ascii="arial" w:eastAsia="arial" w:hAnsi="arial" w:cs="arial"/>
          <w:color w:val="000000"/>
          <w:sz w:val="20"/>
          <w:lang w:val="en-US" w:eastAsia="en-US" w:bidi="ar-SA"/>
        </w:rPr>
        <w:t xml:space="preserve"> (1889), 14 App.Cas. 37 (H.L.). They are succinctly set out in Lewis N. Klar, </w:t>
      </w:r>
      <w:r>
        <w:rPr>
          <w:rFonts w:ascii="arial" w:eastAsia="arial" w:hAnsi="arial" w:cs="arial"/>
          <w:b/>
          <w:i/>
          <w:color w:val="000000"/>
          <w:sz w:val="20"/>
          <w:lang w:val="en-US" w:eastAsia="en-US" w:bidi="ar-SA"/>
        </w:rPr>
        <w:t>Tort Law</w:t>
      </w:r>
      <w:r>
        <w:rPr>
          <w:rFonts w:ascii="arial" w:eastAsia="arial" w:hAnsi="arial" w:cs="arial"/>
          <w:color w:val="000000"/>
          <w:sz w:val="20"/>
          <w:lang w:val="en-US" w:eastAsia="en-US" w:bidi="ar-SA"/>
        </w:rPr>
        <w:t>, 2d ed., 1996 Carswell, at 490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To succeed in deceit, a plaintiff must prove that (1) a false representation or statement was made by the defendant, (2) which was knowingly false, (3) was made with the intention to deceive the plaintiff, and (4) which materially induced the plaintiff to act, resulting in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In my opinion, Reliable has failed to either plead or prove any proper claim in fraud against either Ms. Chan or Ms. Lee. Neither Ms. Chan nor Ms. Lee are alleged to have made any representations -- whether false or otherwise -- to Reliable. On the facts, it is plain that neither of them did so. Neither Ms. Chan nor Ms. Lee had any contact with, or knew anything about, Reliable prior to the loan being advanced. Neither Ms. Chan nor Ms. Lee created, or indeed had any knowledge of, the POA that was used to obtain the loan proceeds. That was Jason Lee's doing, and his alone.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person who deliberately deceived Reliable, with the intention of inducing it to make a loan of $262,000 (which it did), was Jason Lee. It was not Ms. Chan, and it was not Ms. Lee. Ms. Chan and Ms. Lee, like Reliable, have been the victims of Jason Lee's fraud and deceit.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Reliable's claims against Ms. Chan and Ms. Lee based on fraud must, therefore,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 turn next to the claim based on conversion.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The basic elements of such a claim are not in dispute. They are set out in </w:t>
      </w:r>
      <w:r>
        <w:rPr>
          <w:rFonts w:ascii="arial" w:eastAsia="arial" w:hAnsi="arial" w:cs="arial"/>
          <w:b/>
          <w:i/>
          <w:color w:val="000000"/>
          <w:sz w:val="20"/>
          <w:lang w:val="en-US" w:eastAsia="en-US" w:bidi="ar-SA"/>
        </w:rPr>
        <w:t>Boma Manufacturing Ltd. v. Canadian Imperial Bank of Commerce</w:t>
      </w:r>
      <w:r>
        <w:rPr>
          <w:rFonts w:ascii="arial" w:eastAsia="arial" w:hAnsi="arial" w:cs="arial"/>
          <w:color w:val="000000"/>
          <w:sz w:val="20"/>
          <w:lang w:val="en-US" w:eastAsia="en-US" w:bidi="ar-SA"/>
        </w:rPr>
        <w:t xml:space="preserve">, </w:t>
      </w:r>
      <w:hyperlink r:id="rId330" w:history="1">
        <w:r>
          <w:rPr>
            <w:rFonts w:ascii="arial" w:eastAsia="arial" w:hAnsi="arial" w:cs="arial"/>
            <w:i/>
            <w:color w:val="0077CC"/>
            <w:sz w:val="20"/>
            <w:u w:val="single"/>
            <w:shd w:val="clear" w:color="auto" w:fill="FFFFFF"/>
            <w:lang w:val="en-US" w:eastAsia="en-US" w:bidi="ar-SA"/>
          </w:rPr>
          <w:t>[1996] 3 S.C.R. 727</w:t>
        </w:r>
      </w:hyperlink>
      <w:r>
        <w:rPr>
          <w:rFonts w:ascii="arial" w:eastAsia="arial" w:hAnsi="arial" w:cs="arial"/>
          <w:color w:val="000000"/>
          <w:sz w:val="20"/>
          <w:lang w:val="en-US" w:eastAsia="en-US" w:bidi="ar-SA"/>
        </w:rPr>
        <w:t>, one of the leading cases, at para. 31:</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tort of conversion involves a wrongful interference with the goods of another, such as taking, using or destroying these goods in a manner inconsistent with the owner's right of possession. The tort is one of strict liability, and accordingly, it is no defence that the wrongful act was committed in all innocence.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Mr. Ellingson, counsel for Ms. Chan and Ms. Lee, also refers to the useful summary in Professor Fridman's text, </w:t>
      </w:r>
      <w:r>
        <w:rPr>
          <w:rFonts w:ascii="arial" w:eastAsia="arial" w:hAnsi="arial" w:cs="arial"/>
          <w:b/>
          <w:i/>
          <w:color w:val="000000"/>
          <w:sz w:val="20"/>
          <w:lang w:val="en-US" w:eastAsia="en-US" w:bidi="ar-SA"/>
        </w:rPr>
        <w:t>The Law of Torts in Canada</w:t>
      </w:r>
      <w:r>
        <w:rPr>
          <w:rFonts w:ascii="arial" w:eastAsia="arial" w:hAnsi="arial" w:cs="arial"/>
          <w:color w:val="000000"/>
          <w:sz w:val="20"/>
          <w:lang w:val="en-US" w:eastAsia="en-US" w:bidi="ar-SA"/>
        </w:rPr>
        <w:t>, 3d ed. (Toronto: Carswell, 2010), at pp. 117-120 [footnotes omitted]: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Conversion consists in a wrongful taking, using or destroying of goods or the exercise of dominion over them that is inconsistent with the title of the owner. It is an intentional exercise of control over a chattel which seriously interferes with the right of another to control it. . . . Before a person can be found responsible for conversion, the court must be satisfied that he either knowingly or carelessly, without ascertaining or attempting to ascertain who the true owner of the property was, took possession or goods and exercised some dominion over them in the real sense, not merely in the sense of a transporter changing their physical location. Succinctly put, conversion is a "positive wrongful act or dealing with the goods in a manner, and with an intention, inconsistent with the owner's rights."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Such statements indicate the essential elements of the tort of conversion to be: (i) a wrongful act; (ii) involving a chattel; (iii) consisting of handling, disposing or destruction of the chattel; (iv) with the intention or effect of denying or negating the title of another person to such chattel.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Conversion is concerned with interference with chattels. . . . The term "chattels," however, is broader in its meaning than "goods." . . . Other intangibles, such as cheques, insurance policies, or guarantees, can also be converted, even though they do not come within the ambit of the law relating to sale of goods.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Mr. Ellis cites both </w:t>
      </w:r>
      <w:r>
        <w:rPr>
          <w:rFonts w:ascii="arial" w:eastAsia="arial" w:hAnsi="arial" w:cs="arial"/>
          <w:b/>
          <w:i/>
          <w:color w:val="000000"/>
          <w:sz w:val="20"/>
          <w:lang w:val="en-US" w:eastAsia="en-US" w:bidi="ar-SA"/>
        </w:rPr>
        <w:t>Ast v. Mikolas</w:t>
      </w:r>
      <w:r>
        <w:rPr>
          <w:rFonts w:ascii="arial" w:eastAsia="arial" w:hAnsi="arial" w:cs="arial"/>
          <w:color w:val="000000"/>
          <w:sz w:val="20"/>
          <w:lang w:val="en-US" w:eastAsia="en-US" w:bidi="ar-SA"/>
        </w:rPr>
        <w:t xml:space="preserve">, </w:t>
      </w:r>
      <w:hyperlink r:id="rId331" w:history="1">
        <w:r>
          <w:rPr>
            <w:rFonts w:ascii="arial" w:eastAsia="arial" w:hAnsi="arial" w:cs="arial"/>
            <w:i/>
            <w:color w:val="0077CC"/>
            <w:sz w:val="20"/>
            <w:u w:val="single"/>
            <w:shd w:val="clear" w:color="auto" w:fill="FFFFFF"/>
            <w:lang w:val="en-US" w:eastAsia="en-US" w:bidi="ar-SA"/>
          </w:rPr>
          <w:t>2010 BCSC 127</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Columere Park Developments Ltd. v. Enviro Custom Homes Inc.</w:t>
      </w:r>
      <w:r>
        <w:rPr>
          <w:rFonts w:ascii="arial" w:eastAsia="arial" w:hAnsi="arial" w:cs="arial"/>
          <w:color w:val="000000"/>
          <w:sz w:val="20"/>
          <w:lang w:val="en-US" w:eastAsia="en-US" w:bidi="ar-SA"/>
        </w:rPr>
        <w:t xml:space="preserve">, </w:t>
      </w:r>
      <w:hyperlink r:id="rId332" w:history="1">
        <w:r>
          <w:rPr>
            <w:rFonts w:ascii="arial" w:eastAsia="arial" w:hAnsi="arial" w:cs="arial"/>
            <w:i/>
            <w:color w:val="0077CC"/>
            <w:sz w:val="20"/>
            <w:u w:val="single"/>
            <w:shd w:val="clear" w:color="auto" w:fill="FFFFFF"/>
            <w:lang w:val="en-US" w:eastAsia="en-US" w:bidi="ar-SA"/>
          </w:rPr>
          <w:t>2010 BCSC 1248</w:t>
        </w:r>
      </w:hyperlink>
      <w:r>
        <w:rPr>
          <w:rFonts w:ascii="arial" w:eastAsia="arial" w:hAnsi="arial" w:cs="arial"/>
          <w:color w:val="000000"/>
          <w:sz w:val="20"/>
          <w:lang w:val="en-US" w:eastAsia="en-US" w:bidi="ar-SA"/>
        </w:rPr>
        <w:t>, for the proposition that funds or money can be the subject of a conversion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Ast</w:t>
      </w:r>
      <w:r>
        <w:rPr>
          <w:rFonts w:ascii="arial" w:eastAsia="arial" w:hAnsi="arial" w:cs="arial"/>
          <w:color w:val="000000"/>
          <w:sz w:val="20"/>
          <w:lang w:val="en-US" w:eastAsia="en-US" w:bidi="ar-SA"/>
        </w:rPr>
        <w:t>, Cullen J. (as he then was) wrote, at para. 128: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[128] Clearly, if proven, the defendant Michelle Mikolas' act of taking the plaintiff's money without his consent and using it for her benefit and that of her family meets the definition of a conversion. I am satisfied that funds can be the subject of a conversion: See </w:t>
      </w:r>
      <w:r>
        <w:rPr>
          <w:rFonts w:ascii="arial" w:eastAsia="arial" w:hAnsi="arial" w:cs="arial"/>
          <w:i/>
          <w:color w:val="000000"/>
          <w:sz w:val="20"/>
          <w:lang w:val="en-US" w:eastAsia="en-US" w:bidi="ar-SA"/>
        </w:rPr>
        <w:t>Drucker, Inc. v. Gui</w:t>
      </w:r>
      <w:r>
        <w:rPr>
          <w:rFonts w:ascii="arial" w:eastAsia="arial" w:hAnsi="arial" w:cs="arial"/>
          <w:color w:val="000000"/>
          <w:sz w:val="20"/>
          <w:lang w:val="en-US" w:eastAsia="en-US" w:bidi="ar-SA"/>
        </w:rPr>
        <w:t xml:space="preserve"> </w:t>
      </w:r>
      <w:hyperlink r:id="rId333" w:history="1">
        <w:r>
          <w:rPr>
            <w:rFonts w:ascii="arial" w:eastAsia="arial" w:hAnsi="arial" w:cs="arial"/>
            <w:i/>
            <w:color w:val="0077CC"/>
            <w:sz w:val="20"/>
            <w:u w:val="single"/>
            <w:shd w:val="clear" w:color="auto" w:fill="FFFFFF"/>
            <w:lang w:val="en-US" w:eastAsia="en-US" w:bidi="ar-SA"/>
          </w:rPr>
          <w:t>2009 BCSC 542</w:t>
        </w:r>
      </w:hyperlink>
      <w:r>
        <w:rPr>
          <w:rFonts w:ascii="arial" w:eastAsia="arial" w:hAnsi="arial" w:cs="arial"/>
          <w:color w:val="000000"/>
          <w:sz w:val="20"/>
          <w:lang w:val="en-US" w:eastAsia="en-US" w:bidi="ar-SA"/>
        </w:rPr>
        <w:t xml:space="preserve"> at para. 58; </w:t>
      </w:r>
      <w:r>
        <w:rPr>
          <w:rFonts w:ascii="arial" w:eastAsia="arial" w:hAnsi="arial" w:cs="arial"/>
          <w:i/>
          <w:color w:val="000000"/>
          <w:sz w:val="20"/>
          <w:lang w:val="en-US" w:eastAsia="en-US" w:bidi="ar-SA"/>
        </w:rPr>
        <w:t>Dhothar v. Atwal</w:t>
      </w:r>
      <w:r>
        <w:rPr>
          <w:rFonts w:ascii="arial" w:eastAsia="arial" w:hAnsi="arial" w:cs="arial"/>
          <w:color w:val="000000"/>
          <w:sz w:val="20"/>
          <w:lang w:val="en-US" w:eastAsia="en-US" w:bidi="ar-SA"/>
        </w:rPr>
        <w:t xml:space="preserve">, </w:t>
      </w:r>
      <w:hyperlink r:id="rId334" w:history="1">
        <w:r>
          <w:rPr>
            <w:rFonts w:ascii="arial" w:eastAsia="arial" w:hAnsi="arial" w:cs="arial"/>
            <w:i/>
            <w:color w:val="0077CC"/>
            <w:sz w:val="20"/>
            <w:u w:val="single"/>
            <w:shd w:val="clear" w:color="auto" w:fill="FFFFFF"/>
            <w:lang w:val="en-US" w:eastAsia="en-US" w:bidi="ar-SA"/>
          </w:rPr>
          <w:t>2009 BCSC 1203</w:t>
        </w:r>
      </w:hyperlink>
      <w:r>
        <w:rPr>
          <w:rFonts w:ascii="arial" w:eastAsia="arial" w:hAnsi="arial" w:cs="arial"/>
          <w:color w:val="000000"/>
          <w:sz w:val="20"/>
          <w:lang w:val="en-US" w:eastAsia="en-US" w:bidi="ar-SA"/>
        </w:rPr>
        <w:t xml:space="preserve"> at para.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Columere Park</w:t>
      </w:r>
      <w:r>
        <w:rPr>
          <w:rFonts w:ascii="arial" w:eastAsia="arial" w:hAnsi="arial" w:cs="arial"/>
          <w:color w:val="000000"/>
          <w:sz w:val="20"/>
          <w:lang w:val="en-US" w:eastAsia="en-US" w:bidi="ar-SA"/>
        </w:rPr>
        <w:t>, Melnick J. wrote, at para. 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An important point to be made before going further is that the subject chattel of the tort of conversion can be funds. This is made explicit in recent jurisprudence: </w:t>
      </w:r>
      <w:r>
        <w:rPr>
          <w:rFonts w:ascii="arial" w:eastAsia="arial" w:hAnsi="arial" w:cs="arial"/>
          <w:i/>
          <w:color w:val="000000"/>
          <w:sz w:val="20"/>
          <w:lang w:val="en-US" w:eastAsia="en-US" w:bidi="ar-SA"/>
        </w:rPr>
        <w:t>Ast</w:t>
      </w:r>
      <w:r>
        <w:rPr>
          <w:rFonts w:ascii="arial" w:eastAsia="arial" w:hAnsi="arial" w:cs="arial"/>
          <w:color w:val="000000"/>
          <w:sz w:val="20"/>
          <w:lang w:val="en-US" w:eastAsia="en-US" w:bidi="ar-SA"/>
        </w:rPr>
        <w:t xml:space="preserve"> at para. 128; </w:t>
      </w:r>
      <w:r>
        <w:rPr>
          <w:rFonts w:ascii="arial" w:eastAsia="arial" w:hAnsi="arial" w:cs="arial"/>
          <w:i/>
          <w:color w:val="000000"/>
          <w:sz w:val="20"/>
          <w:lang w:val="en-US" w:eastAsia="en-US" w:bidi="ar-SA"/>
        </w:rPr>
        <w:t>Drucker, Inc. v. Gui</w:t>
      </w:r>
      <w:r>
        <w:rPr>
          <w:rFonts w:ascii="arial" w:eastAsia="arial" w:hAnsi="arial" w:cs="arial"/>
          <w:color w:val="000000"/>
          <w:sz w:val="20"/>
          <w:lang w:val="en-US" w:eastAsia="en-US" w:bidi="ar-SA"/>
        </w:rPr>
        <w:t xml:space="preserve">, </w:t>
      </w:r>
      <w:hyperlink r:id="rId333" w:history="1">
        <w:r>
          <w:rPr>
            <w:rFonts w:ascii="arial" w:eastAsia="arial" w:hAnsi="arial" w:cs="arial"/>
            <w:i/>
            <w:color w:val="0077CC"/>
            <w:sz w:val="20"/>
            <w:u w:val="single"/>
            <w:shd w:val="clear" w:color="auto" w:fill="FFFFFF"/>
            <w:lang w:val="en-US" w:eastAsia="en-US" w:bidi="ar-SA"/>
          </w:rPr>
          <w:t>2009 BCSC 542</w:t>
        </w:r>
      </w:hyperlink>
      <w:r>
        <w:rPr>
          <w:rFonts w:ascii="arial" w:eastAsia="arial" w:hAnsi="arial" w:cs="arial"/>
          <w:color w:val="000000"/>
          <w:sz w:val="20"/>
          <w:lang w:val="en-US" w:eastAsia="en-US" w:bidi="ar-SA"/>
        </w:rPr>
        <w:t xml:space="preserve"> at para. 58; </w:t>
      </w:r>
      <w:r>
        <w:rPr>
          <w:rFonts w:ascii="arial" w:eastAsia="arial" w:hAnsi="arial" w:cs="arial"/>
          <w:i/>
          <w:color w:val="000000"/>
          <w:sz w:val="20"/>
          <w:lang w:val="en-US" w:eastAsia="en-US" w:bidi="ar-SA"/>
        </w:rPr>
        <w:t>Dhothar v. Atwal</w:t>
      </w:r>
      <w:r>
        <w:rPr>
          <w:rFonts w:ascii="arial" w:eastAsia="arial" w:hAnsi="arial" w:cs="arial"/>
          <w:color w:val="000000"/>
          <w:sz w:val="20"/>
          <w:lang w:val="en-US" w:eastAsia="en-US" w:bidi="ar-SA"/>
        </w:rPr>
        <w:t xml:space="preserve">, </w:t>
      </w:r>
      <w:hyperlink r:id="rId334" w:history="1">
        <w:r>
          <w:rPr>
            <w:rFonts w:ascii="arial" w:eastAsia="arial" w:hAnsi="arial" w:cs="arial"/>
            <w:i/>
            <w:color w:val="0077CC"/>
            <w:sz w:val="20"/>
            <w:u w:val="single"/>
            <w:shd w:val="clear" w:color="auto" w:fill="FFFFFF"/>
            <w:lang w:val="en-US" w:eastAsia="en-US" w:bidi="ar-SA"/>
          </w:rPr>
          <w:t>2009 BCSC 1203</w:t>
        </w:r>
      </w:hyperlink>
      <w:r>
        <w:rPr>
          <w:rFonts w:ascii="arial" w:eastAsia="arial" w:hAnsi="arial" w:cs="arial"/>
          <w:color w:val="000000"/>
          <w:sz w:val="20"/>
          <w:lang w:val="en-US" w:eastAsia="en-US" w:bidi="ar-SA"/>
        </w:rPr>
        <w:t xml:space="preserve"> at para. 16. The apposite passage comes from </w:t>
      </w:r>
      <w:r>
        <w:rPr>
          <w:rFonts w:ascii="arial" w:eastAsia="arial" w:hAnsi="arial" w:cs="arial"/>
          <w:i/>
          <w:color w:val="000000"/>
          <w:sz w:val="20"/>
          <w:lang w:val="en-US" w:eastAsia="en-US" w:bidi="ar-SA"/>
        </w:rPr>
        <w:t>Royal Canadian Legion, Branch No. 15 v. Burkitt</w:t>
      </w:r>
      <w:r>
        <w:rPr>
          <w:rFonts w:ascii="arial" w:eastAsia="arial" w:hAnsi="arial" w:cs="arial"/>
          <w:color w:val="000000"/>
          <w:sz w:val="20"/>
          <w:lang w:val="en-US" w:eastAsia="en-US" w:bidi="ar-SA"/>
        </w:rPr>
        <w:t xml:space="preserve">, </w:t>
      </w:r>
      <w:hyperlink r:id="rId335" w:history="1">
        <w:r>
          <w:rPr>
            <w:rFonts w:ascii="arial" w:eastAsia="arial" w:hAnsi="arial" w:cs="arial"/>
            <w:i/>
            <w:color w:val="0077CC"/>
            <w:sz w:val="20"/>
            <w:u w:val="single"/>
            <w:shd w:val="clear" w:color="auto" w:fill="FFFFFF"/>
            <w:lang w:val="en-US" w:eastAsia="en-US" w:bidi="ar-SA"/>
          </w:rPr>
          <w:t>2005 BCSC 1752</w:t>
        </w:r>
      </w:hyperlink>
      <w:r>
        <w:rPr>
          <w:rFonts w:ascii="arial" w:eastAsia="arial" w:hAnsi="arial" w:cs="arial"/>
          <w:color w:val="000000"/>
          <w:sz w:val="20"/>
          <w:lang w:val="en-US" w:eastAsia="en-US" w:bidi="ar-SA"/>
        </w:rPr>
        <w:t xml:space="preserve"> at para. 104: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conversion is made out where there is a positive wrongful act of dealing with goods, or in this case, funds, in a manner, and with an intention, inconsistent with the owner's rights.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the bulk of jurisprudence about conversion does not deal with funds (as is the issue at bar) but rather goods or other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Mr. Ellingson urges me not to follow these decisions, because </w:t>
      </w:r>
      <w:r>
        <w:rPr>
          <w:rFonts w:ascii="arial" w:eastAsia="arial" w:hAnsi="arial" w:cs="arial"/>
          <w:b/>
          <w:i/>
          <w:color w:val="000000"/>
          <w:sz w:val="20"/>
          <w:lang w:val="en-US" w:eastAsia="en-US" w:bidi="ar-SA"/>
        </w:rPr>
        <w:t>Columere Park</w:t>
      </w:r>
      <w:r>
        <w:rPr>
          <w:rFonts w:ascii="arial" w:eastAsia="arial" w:hAnsi="arial" w:cs="arial"/>
          <w:color w:val="000000"/>
          <w:sz w:val="20"/>
          <w:lang w:val="en-US" w:eastAsia="en-US" w:bidi="ar-SA"/>
        </w:rPr>
        <w:t xml:space="preserve"> did not cite </w:t>
      </w:r>
      <w:r>
        <w:rPr>
          <w:rFonts w:ascii="arial" w:eastAsia="arial" w:hAnsi="arial" w:cs="arial"/>
          <w:b/>
          <w:i/>
          <w:color w:val="000000"/>
          <w:sz w:val="20"/>
          <w:lang w:val="en-US" w:eastAsia="en-US" w:bidi="ar-SA"/>
        </w:rPr>
        <w:t>Boma</w:t>
      </w:r>
      <w:r>
        <w:rPr>
          <w:rFonts w:ascii="arial" w:eastAsia="arial" w:hAnsi="arial" w:cs="arial"/>
          <w:color w:val="000000"/>
          <w:sz w:val="20"/>
          <w:lang w:val="en-US" w:eastAsia="en-US" w:bidi="ar-SA"/>
        </w:rPr>
        <w:t xml:space="preserve"> at all, and, although </w:t>
      </w:r>
      <w:r>
        <w:rPr>
          <w:rFonts w:ascii="arial" w:eastAsia="arial" w:hAnsi="arial" w:cs="arial"/>
          <w:b/>
          <w:i/>
          <w:color w:val="000000"/>
          <w:sz w:val="20"/>
          <w:lang w:val="en-US" w:eastAsia="en-US" w:bidi="ar-SA"/>
        </w:rPr>
        <w:t>Boma</w:t>
      </w:r>
      <w:r>
        <w:rPr>
          <w:rFonts w:ascii="arial" w:eastAsia="arial" w:hAnsi="arial" w:cs="arial"/>
          <w:color w:val="000000"/>
          <w:sz w:val="20"/>
          <w:lang w:val="en-US" w:eastAsia="en-US" w:bidi="ar-SA"/>
        </w:rPr>
        <w:t xml:space="preserve"> was quoted in </w:t>
      </w:r>
      <w:r>
        <w:rPr>
          <w:rFonts w:ascii="arial" w:eastAsia="arial" w:hAnsi="arial" w:cs="arial"/>
          <w:b/>
          <w:i/>
          <w:color w:val="000000"/>
          <w:sz w:val="20"/>
          <w:lang w:val="en-US" w:eastAsia="en-US" w:bidi="ar-SA"/>
        </w:rPr>
        <w:t>Ast</w:t>
      </w:r>
      <w:r>
        <w:rPr>
          <w:rFonts w:ascii="arial" w:eastAsia="arial" w:hAnsi="arial" w:cs="arial"/>
          <w:color w:val="000000"/>
          <w:sz w:val="20"/>
          <w:lang w:val="en-US" w:eastAsia="en-US" w:bidi="ar-SA"/>
        </w:rPr>
        <w:t xml:space="preserve">, the quote referred to "goods." In Mr. Ellingson's submission, </w:t>
      </w:r>
      <w:r>
        <w:rPr>
          <w:rFonts w:ascii="arial" w:eastAsia="arial" w:hAnsi="arial" w:cs="arial"/>
          <w:b/>
          <w:i/>
          <w:color w:val="000000"/>
          <w:sz w:val="20"/>
          <w:lang w:val="en-US" w:eastAsia="en-US" w:bidi="ar-SA"/>
        </w:rPr>
        <w:t>Boma</w:t>
      </w:r>
      <w:r>
        <w:rPr>
          <w:rFonts w:ascii="arial" w:eastAsia="arial" w:hAnsi="arial" w:cs="arial"/>
          <w:color w:val="000000"/>
          <w:sz w:val="20"/>
          <w:lang w:val="en-US" w:eastAsia="en-US" w:bidi="ar-SA"/>
        </w:rPr>
        <w:t xml:space="preserve"> is not about whether funds can be converted but whether conversion can apply to cheques. Therefore, it is not authority for the proposition that funds (or money) can be wrongfully converted, and the question can be considered afresh. He refers to the following passage from </w:t>
      </w:r>
      <w:r>
        <w:rPr>
          <w:rFonts w:ascii="arial" w:eastAsia="arial" w:hAnsi="arial" w:cs="arial"/>
          <w:b/>
          <w:i/>
          <w:color w:val="000000"/>
          <w:sz w:val="20"/>
          <w:lang w:val="en-US" w:eastAsia="en-US" w:bidi="ar-SA"/>
        </w:rPr>
        <w:t>Boma</w:t>
      </w:r>
      <w:r>
        <w:rPr>
          <w:rFonts w:ascii="arial" w:eastAsia="arial" w:hAnsi="arial" w:cs="arial"/>
          <w:color w:val="000000"/>
          <w:sz w:val="20"/>
          <w:lang w:val="en-US" w:eastAsia="en-US" w:bidi="ar-SA"/>
        </w:rPr>
        <w:t xml:space="preserve"> to make his point:</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seminal discussion of conversion of cheques is found in Crawford and Falconbridge, </w:t>
      </w:r>
      <w:r>
        <w:rPr>
          <w:rFonts w:ascii="arial" w:eastAsia="arial" w:hAnsi="arial" w:cs="arial"/>
          <w:i/>
          <w:color w:val="000000"/>
          <w:sz w:val="20"/>
          <w:lang w:val="en-US" w:eastAsia="en-US" w:bidi="ar-SA"/>
        </w:rPr>
        <w:t>Banking and Bills of Exchange</w:t>
      </w:r>
      <w:r>
        <w:rPr>
          <w:rFonts w:ascii="arial" w:eastAsia="arial" w:hAnsi="arial" w:cs="arial"/>
          <w:color w:val="000000"/>
          <w:sz w:val="20"/>
          <w:lang w:val="en-US" w:eastAsia="en-US" w:bidi="ar-SA"/>
        </w:rPr>
        <w:t xml:space="preserve"> (8th ed. 1986), vol. 2, at p. 1386: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Conversion is the remedy of the lawful possessor of chattels to have their value paid to him by a wrongful dispossessor. It is normally applied to goods and there might appear to be some difficulty in holding that a bank that has paid part of what it owes to a customer to some other person not entitled to receive it is guilty of a conversion of the customer's chattel. But any such apparent difficulty has been surmounted by treating the conversion as being of the instrument itself, that is, of the piece of paper in respect of which the payment is made. Similarly a bank that collects a sum of money under an instrument for a person not entitled to it is treated as having converted the instrument. It has been repeatedly held that a bank converts an instrument by dealing with it under the direction of one not authorized, either by collecting it or, semble (although this has not yet actually been decided) by paying it and in either case, making the proceeds available to someone other than the person rightfully entitled to possession.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Mr. Ellingson argues that, based on </w:t>
      </w:r>
      <w:r>
        <w:rPr>
          <w:rFonts w:ascii="arial" w:eastAsia="arial" w:hAnsi="arial" w:cs="arial"/>
          <w:b/>
          <w:i/>
          <w:color w:val="000000"/>
          <w:sz w:val="20"/>
          <w:lang w:val="en-US" w:eastAsia="en-US" w:bidi="ar-SA"/>
        </w:rPr>
        <w:t>Boma</w:t>
      </w:r>
      <w:r>
        <w:rPr>
          <w:rFonts w:ascii="arial" w:eastAsia="arial" w:hAnsi="arial" w:cs="arial"/>
          <w:color w:val="000000"/>
          <w:sz w:val="20"/>
          <w:lang w:val="en-US" w:eastAsia="en-US" w:bidi="ar-SA"/>
        </w:rPr>
        <w:t>, funds in a bank account are not chattels. They are not "the piece of paper in respect of which the payment is made." Therefore, they cannot come within the definition of a "chattel" for purposes of a conversion claim, and Reliable's claim for damages for conversion must fail on the facts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Mr. Ellingson's argument has not persuaded me that there is any inconsistency between the discussion of the elements of conversion in </w:t>
      </w:r>
      <w:r>
        <w:rPr>
          <w:rFonts w:ascii="arial" w:eastAsia="arial" w:hAnsi="arial" w:cs="arial"/>
          <w:b/>
          <w:i/>
          <w:color w:val="000000"/>
          <w:sz w:val="20"/>
          <w:lang w:val="en-US" w:eastAsia="en-US" w:bidi="ar-SA"/>
        </w:rPr>
        <w:t>Boma</w:t>
      </w:r>
      <w:r>
        <w:rPr>
          <w:rFonts w:ascii="arial" w:eastAsia="arial" w:hAnsi="arial" w:cs="arial"/>
          <w:color w:val="000000"/>
          <w:sz w:val="20"/>
          <w:lang w:val="en-US" w:eastAsia="en-US" w:bidi="ar-SA"/>
        </w:rPr>
        <w:t xml:space="preserve">, and the conclusions reached in </w:t>
      </w:r>
      <w:r>
        <w:rPr>
          <w:rFonts w:ascii="arial" w:eastAsia="arial" w:hAnsi="arial" w:cs="arial"/>
          <w:b/>
          <w:i/>
          <w:color w:val="000000"/>
          <w:sz w:val="20"/>
          <w:lang w:val="en-US" w:eastAsia="en-US" w:bidi="ar-SA"/>
        </w:rPr>
        <w:t>Ast</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Columere Park</w:t>
      </w:r>
      <w:r>
        <w:rPr>
          <w:rFonts w:ascii="arial" w:eastAsia="arial" w:hAnsi="arial" w:cs="arial"/>
          <w:color w:val="000000"/>
          <w:sz w:val="20"/>
          <w:lang w:val="en-US" w:eastAsia="en-US" w:bidi="ar-SA"/>
        </w:rPr>
        <w:t xml:space="preserve"> (and the cases cited therein) that funds are chattels that can be the subject of a claim for conversion. In my opinion, it would be unreasonable to treat the cheque as a chattel that can be the subject of a claim for conversion, but if the cheque is cashed and converted into money (which is what happened here), the money is not a chattel and there can be no claim for conversion in respect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Mr. Ellingson then submits that, on March 13, 2009, Ms. Chan did not commit any wrongful act in relation to the funds deposited to her account. He points out that she was the payee on Mr. Ho's trust cheque, and the cheque was deposited to her account by Jason Lee, without her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However, Ms. Chan had no lawful entitlement to the funds in her account. I find, therefore, that her actions, in relation to the funds in her account and in going along with what Jason Lee asked her to do, were wrongful in the sense required to ground a claim for conversion.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In my opinion, Ms. Chan's explanation for why she did as Jason Lee asked her to do does not make sense. On the contrary, I find that Ms. Chan was willfully blind to conduct and a situation that should immediately have aroused a great deal of suspicion and the realization that Jason Lee very likely had obtained hundreds of thousands of dollars by perpetrating a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Jason Lee's call to her, asking her to meet him at her bank, came completely out of nowhere. It should have placed Ms. Chan very much on her guard in dealing with Jason Lee. Yet, based on Ms. Chan's evidence, she never questioned what was going on, and said that she trusted her nephew. However, even if Ms. Chan did not know all of the details about what Jason Lee had done to her sister, I find that she knew enough to be critical of Jason Lee's character and she ought to have known that, although he was her nephew, he was not a person to be trusted with anything. Once Ms. Chan arrived at her branch, Jason Lee told her a story about how the money ended up in her account, and what he wanted her to do with it. Based on her evidence, it did not occur to Ms. Chan to question how Jason Lee was able to deposit money into her bank account in the first place. Moreover, the story that Jason Lee told her (as Ms. Chan described it) was one that no reasonable person would ever believe. It was preposterous and should have placed Ms. Chan even further on guard. A great deal of money was involved, and Jason Lee provided no reasonable explanation for its origins. Based on what Ms. Chan knew about Jason Lee, she had no reason to believe he had acquired the money lawfully. Yet, she did nothing, not even contact her sister to see whether Ms. Lee could shed any light on what was an extremely unusual situation. I find that, by signing the bank slip that allowed Jason Lee to withdraw $246,182.50 from her account, Ms. Chan committed a wrongful act in relation to funds that lawfully belonged to Reliable and she disposed of those funds. Her actions had the effect of interfering with Reliable's right and title to the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Reliable seeks to have Ms. Chan found liable for the full amount of the loan ($262,000), plus interest at the Mortgage rate and other damages. However, in my opinion, Ms. Chan's liability for conversion cannot extend beyond the money that was deposited to her account and she allowed to be withdrawn from her account. She was never in possession of the full loan proceeds. Indeed, $13,100 of those proceeds were paid to RMI and shared with Ms. Kiger's firm. At most, $246,191.16 (the amount of Mr. Ho's trust cheque) was deposited to her account, and Ms. Chan permitted Jason Lee to withdraw $246,190.00 from her account. I find that the extent of her liability to Reliable in conversion is for the funds in fact deposited to her account on March 13,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From Ms. Chan's perspective, this is a harsh result. She was a victim of her nephew's deliberate lies and deceit. However, as between herself and Reliable, on March 13, 2009, it was her willful blindness that allowed her nephew to continue to perpetrate a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Reliable provided little justification (and no authority) to support the conclusion that Ms. Chan should be liable for interest at the Mortgage rate. Typically, conversion will result in a "forced sale" which allows the plaintiff to recover the market value of the chattel at the time of conversion. In addition, where the chattel is a profit-earning chattel, the plaintiff may be entitled to additional damages for the loss of use of the chattel, limited to the amount of time reasonably required to find a replacement. Whether this, or something else, was the legal theory on which Reliable's claim for interest at the Mortgage rate was based was essentially unarticulated.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In any event, in my opinion, the facts do not justify such a remedy. Ms. Whyte testified about Reliable's approach in making loans and about the number of loans that were made in 2009. In my view, that evidence (together with Ms. Whyte's evidence that she is very particular about what will be funded) is insufficient to justify the conclusion that, in 2009, if the loan secured on Slocan had not been made, Reliable nevertheless would have made another loan earning the same interest rate, and therefore Ms. Chan should be found liable for damages for conversion to include interest at the Mortgage rate. In my opinion, Reliable has failed to demonstrate that, on the facts and the law, it is entitled to recover such damages from Ms. Chan.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 turn then to the conversion claim against Ms. Lee.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Reliable's position is that when the sum of $46,182.50 was transferred to TD Account 949, Ms. Lee, as a joint account holder, converted those funds to her own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 do not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On March 13, 2009, Ms. Lee knew nothing about the transfer of those funds to TD Account 949. While, notionally, the funds could be said to be in her possession as joint account holder, she did nothing in relation to them. Jason Lee carried out all of the wrongful acts without her knowledge. I am not prepared to conclude that Ms. Lee was willfully blind in relation to what her son was doing with that account on March 13,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However, I find the situation to be different with respect to the $15,000 that Jason Lee transferred to TD Account 543 on March 13. The transfer was an unusually large amount for that account. Ms. Lee knew the source (TD Account 949) and knew very well that Jason Lee could not be trusted. Yet, she asked no questions and made no inquiries. I find that, in the circumstances, she was willfully blind to her son's activities in relation to the deposit to TD Account 543. After the funds were transferred to TD Account 543, Ms. Lee treated the funds as her own. I find that, in doing so, Ms. Lee's actions were wrongful and had the effect of interfering with and denying Reliable's right and title to the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Based on the statements for TD Account 949, all of the $46,182.50 had been transferred from or withdrawn by Jason Lee from that account by April 1, 2009. The funds remaining in the account when Ms. Lee closed it on April 15, 2009, were not funds that had been converted from Reliable, and I find that Ms. Lee is not liable to Reliable in respect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For the reasons discussed above in relation to Reliable's claim against Ms. Chan for interest at the Mortgage rate on funds converted, Reliable's claim for the same relief against Ms. Lee must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In closing submissions, Mr. Ellingson advanced an argument based on an exception to the rule that conversion is a strict liability tort, namely, that each of Ms. Chan and Ms. Lee was in the position of an involuntary bailee. In support of this argument, he cited </w:t>
      </w:r>
      <w:r>
        <w:rPr>
          <w:rFonts w:ascii="arial" w:eastAsia="arial" w:hAnsi="arial" w:cs="arial"/>
          <w:b/>
          <w:i/>
          <w:color w:val="000000"/>
          <w:sz w:val="20"/>
          <w:lang w:val="en-US" w:eastAsia="en-US" w:bidi="ar-SA"/>
        </w:rPr>
        <w:t>Stevenson Estate v. Siewert</w:t>
      </w:r>
      <w:r>
        <w:rPr>
          <w:rFonts w:ascii="arial" w:eastAsia="arial" w:hAnsi="arial" w:cs="arial"/>
          <w:color w:val="000000"/>
          <w:sz w:val="20"/>
          <w:lang w:val="en-US" w:eastAsia="en-US" w:bidi="ar-SA"/>
        </w:rPr>
        <w:t xml:space="preserve">, </w:t>
      </w:r>
      <w:hyperlink r:id="rId336" w:history="1">
        <w:r>
          <w:rPr>
            <w:rFonts w:ascii="arial" w:eastAsia="arial" w:hAnsi="arial" w:cs="arial"/>
            <w:i/>
            <w:color w:val="0077CC"/>
            <w:sz w:val="20"/>
            <w:u w:val="single"/>
            <w:shd w:val="clear" w:color="auto" w:fill="FFFFFF"/>
            <w:lang w:val="en-US" w:eastAsia="en-US" w:bidi="ar-SA"/>
          </w:rPr>
          <w:t>2000 ABCA 222</w:t>
        </w:r>
      </w:hyperlink>
      <w:r>
        <w:rPr>
          <w:rFonts w:ascii="arial" w:eastAsia="arial" w:hAnsi="arial" w:cs="arial"/>
          <w:color w:val="000000"/>
          <w:sz w:val="20"/>
          <w:lang w:val="en-US" w:eastAsia="en-US" w:bidi="ar-SA"/>
        </w:rPr>
        <w:t>, where Russell J.A. (for the court) writes:</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Further to the issue of intent, it has been noted that reasonable attempts to ascertain proper ownership will suffice to alleviate individuals from responsibility in certain circumstances. J.G. Fleming, in his text, </w:t>
      </w:r>
      <w:r>
        <w:rPr>
          <w:rFonts w:ascii="arial" w:eastAsia="arial" w:hAnsi="arial" w:cs="arial"/>
          <w:i/>
          <w:color w:val="000000"/>
          <w:sz w:val="20"/>
          <w:lang w:val="en-US" w:eastAsia="en-US" w:bidi="ar-SA"/>
        </w:rPr>
        <w:t>The Law of Torts</w:t>
      </w:r>
      <w:r>
        <w:rPr>
          <w:rFonts w:ascii="arial" w:eastAsia="arial" w:hAnsi="arial" w:cs="arial"/>
          <w:color w:val="000000"/>
          <w:sz w:val="20"/>
          <w:lang w:val="en-US" w:eastAsia="en-US" w:bidi="ar-SA"/>
        </w:rPr>
        <w:t>, 8th ed. (Sydney: The Law Book Company Limited, 1992), says at p. 60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although misdelivery is ordinarily treated as conversion, this is considered too harsh for one who deals with goods he did not ask for, in a reasonable manner and solely with the aim of restoring them to the true owner, especially if the latter was himself responsible for investing him with the power of thus disposing of them. An involuntary bailee at least, that is one who comes into possession of a chattel against his wish, though now responsible for due care in its custody, may acquit himself by delivering it to one whom he reasonably believes to be entitled to possession or to his apparently trustworthy agent.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N.E. Palmer, in his text, </w:t>
      </w:r>
      <w:r>
        <w:rPr>
          <w:rFonts w:ascii="arial" w:eastAsia="arial" w:hAnsi="arial" w:cs="arial"/>
          <w:i/>
          <w:color w:val="000000"/>
          <w:sz w:val="20"/>
          <w:lang w:val="en-US" w:eastAsia="en-US" w:bidi="ar-SA"/>
        </w:rPr>
        <w:t>Bailment</w:t>
      </w:r>
      <w:r>
        <w:rPr>
          <w:rFonts w:ascii="arial" w:eastAsia="arial" w:hAnsi="arial" w:cs="arial"/>
          <w:color w:val="000000"/>
          <w:sz w:val="20"/>
          <w:lang w:val="en-US" w:eastAsia="en-US" w:bidi="ar-SA"/>
        </w:rPr>
        <w:t>, 2nd ed. (Sydney: The Law Book Company Limited, 1991) also affirms, at p. 690, the notion that an involuntary bailee who performs a good faith act will not be liable in conversion unless that performance was accompanied by a lack of reasonable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 find that neither Ms. Chan nor Ms. Lee acted with reasonable care in the circumstances. On March 13, Ms. Chan accepted without question an incredible, preposterous story told by Jason Lee. There was no reasonable basis for her to believe what he was telling her, and every reason in the circumstances to be highly suspicious. Instead, she was willfully -- indeed, recklessly -- blind. Ms. Lee, knowing what she knew about her son, and what he had already done to her personally, also had no reasonable basis to believe anything Jason Lee told her or to trust anything he did as legitimate. She, too, was willfully blind.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In the light of my findings and conclusions concerning Reliable's conversion claim, it is unnecessary for me to address its alternative unjust enrichment claim. However, I will note that here, too, Reliable sought to recover interest at the Mortgage rate on the amount of the asserted "enrichment." No authority was provided to justify such a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In summary, I find that Ms. Chan is liable in conversion to Reliable for the sum of $246,191.16, and of that sum, Ms. Lee is jointly and severally liable in conversion for $15,000.00. Reliable's claim for interest on the judgment amount at the Mortgage rate is dismissed.</w:t>
      </w:r>
      <w:r>
        <w:rPr>
          <w:rFonts w:ascii="arial" w:eastAsia="arial" w:hAnsi="arial" w:cs="arial"/>
          <w:sz w:val="20"/>
          <w:lang w:val="en-US" w:eastAsia="en-US" w:bidi="ar-SA"/>
        </w:rPr>
        <w:cr/>
      </w:r>
    </w:p>
    <w:p>
      <w:pPr>
        <w:numPr>
          <w:numId w:val="1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Reliable's claims against Mr. Sablok and "Sablok &amp; Sablok"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 will deal first with Reliable's claim against "Sablok &amp; Sablok." This was alleged by Reliable to be a partnership, and liable as such. However, I find that no such partnership existed. Mr. Sablok carried on business as a sole proprietorship. The action as against "Sablok &amp; Sablok" is therefore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In closing argument, Mr. Ellis clarified that the claim against Mr. Sablok was for damages for negligent misrepresentation, in relation to what he told Mr. Matthysen on March 9,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The basic elements of a negligent misrepresentation claim are well known. First, there must be a duty of care based on a "special relationship" between the representor and the representee. Second, the representation in question must be untrue, inaccurate, or misleading. Third, the representor (in this case, Mr. Sablok) must have acted negligently in making the misrepresentation. Fourth, the representee must have relied, in a reasonable manner, on the negligent misrepresentation. Fifth, the reliance must have been detrimental to the representee in the sense that damages resulted. See, for example, </w:t>
      </w:r>
      <w:r>
        <w:rPr>
          <w:rFonts w:ascii="arial" w:eastAsia="arial" w:hAnsi="arial" w:cs="arial"/>
          <w:b/>
          <w:i/>
          <w:color w:val="000000"/>
          <w:sz w:val="20"/>
          <w:lang w:val="en-US" w:eastAsia="en-US" w:bidi="ar-SA"/>
        </w:rPr>
        <w:t>Queen v. Cognos Inc.</w:t>
      </w:r>
      <w:r>
        <w:rPr>
          <w:rFonts w:ascii="arial" w:eastAsia="arial" w:hAnsi="arial" w:cs="arial"/>
          <w:color w:val="000000"/>
          <w:sz w:val="20"/>
          <w:lang w:val="en-US" w:eastAsia="en-US" w:bidi="ar-SA"/>
        </w:rPr>
        <w:t xml:space="preserve">, </w:t>
      </w:r>
      <w:hyperlink r:id="rId337"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 at p. 110.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 find first that Mr. Sablok owed a duty of care to Reliance in relation to the inquiry made in Mr. Matthysen's March 5 fax. Mr. Duong did not seriously contest otherwise. Rather, he argued that the scope of the duty was limited. I agree. I find that it was limited by the question posed in Mr. Matthysen's fax: "Are you able to confirm that the attached documents match your records?" That is what Mr. Sablok was asked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In my opinion, Mr. Matthysen's fax is the most reliable piece of evidence concerning what Reliable wanted Mr. Sablok to do. Although Mr. Matthysen and Mr. Sablok agree that they had a phone call before Mr. Matthysen sent the fax, neither had a particularly good recollection of the specifics of the discussion. The fax was Mr. Matthysen's opportunity to state clearly what he wanted from Mr. Sablok. He did not ask Mr. Sablok to confirm whether the POA was "valid," nor was that a question that Mr. Sablok could answer, based on his records. If Ms. Chan was no longer alive, for example, a legal power of attorney she had given before her death would no longer be valid. If she had made an assignment in bankruptcy, a legal power of attorney would no longer be valid.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Moreover, I note that there is no allegation in Reliable's amended notice of civil claim that Mr. Sablok was asked by Reliable to verify the validity of the POA. Rather, Reliable alleges (Part 1, para. 10) that: "The Plaintiff asked Akash Sablok if he was able to confirm that the attached documents (i.e., the Power of Attorney) 'match your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 find that Mr. Sablok did in fact search his records after receiving Mr. Matthysen's fax. I accept his evidence in this respect. While Mr. Ellis was very critical of various aspects of Mr. Sablok's practice, there was no evidence that a reasonably competent notary, asked to do what Mr. Sablok was asked to do, would have done something more or materially different than what Mr. Sablok described. The standard is not perfection, nor is it represented by Mr. Ellis's view of how records ought to be kept or searched. I find, as Mr. Sablok testified, that his searches turned up no record of the POA. Mr. Sablok's evidence in that respect is unchallenged.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 turn next to March 9. I find that it was Mr. Sablok who phoned Mr. Matthysen, and not the reverse. This is consistent with the evidence from both Mr. Sablok and Mr. Matthysen.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What representations did Mr. Sablok make?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At trial, Mr. Matthysen had no real memory of what he was told. At best, he was able to say that, whatever Mr. Sablok said to him, after the call, he was comfortable and confident that the POA was valid. That is what he communicated to Ms. Whyte.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However, Mr. Matthysen went to the trouble of making notes of his discussion with Mr. Sablok. At trial, Mr. Matthysen implied that his notes were just brief jottings and not intended to capture everything that was said. However, he acknowledged that he was careful when he made his notes and wanted to reflect in his notes what was important. I conclude the notes were, in fact, not intended to capture everything. However, I conclude that Mr. Matthysen intended to make note of what he considered was the key information communicated to him by Mr. Sablok. For Mr. Matthysen, that was that Mr. Sablok "confirmed it was his signature and stamp." Based on this, Mr. Matthysen then drew his own conclusions, namely, that the POA was valid and could be used for the loan transaction. This is what he then communicated to Ms. Whyte.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statement that it was (or appeared to be) Mr. Sablok's signature and stamp was true. However, if the goal was to confirm that the POA was valid as of March 9, 2009, the information Mr. Matthysen recorded in his notes would not achieve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Mr. Sablok also gave evidence about the discussion on March 9. I agree with Mr. Duong that it would make little sense for Mr. Sablok to phone Mr. Matthysen only to concoct an inaccurate response, having done no search of his records. This is essentially the scenario advanced by Mr. Ellis in closing submissions, and I reject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I find that, as he testified, Mr. Sablok told Mr. Matthysen that he could not confirm the validity of the POA. There was no reason for Mr. Sablok not to communicate this to Mr. Matthysen, since it represented the results of the search of his records, and reporting on the search was the primary reason for the call. The statement was true. I find that Mr. Sablok also told Mr. Matthysen that it appeared to be his signature and stamp on the POA. This statement was also true, and it is consistent with the notes Mr. Matthysen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Both Mr. Matthysen and Ms. Whyte say that they relied on what Mr. Sablok said. However, did Reliable, in proceeding with the loan transaction, </w:t>
      </w:r>
      <w:r>
        <w:rPr>
          <w:rFonts w:ascii="arial" w:eastAsia="arial" w:hAnsi="arial" w:cs="arial"/>
          <w:color w:val="000000"/>
          <w:sz w:val="20"/>
          <w:u w:val="single"/>
          <w:lang w:val="en-US" w:eastAsia="en-US" w:bidi="ar-SA"/>
        </w:rPr>
        <w:t>reasonably</w:t>
      </w:r>
      <w:r>
        <w:rPr>
          <w:rFonts w:ascii="arial" w:eastAsia="arial" w:hAnsi="arial" w:cs="arial"/>
          <w:color w:val="000000"/>
          <w:sz w:val="20"/>
          <w:lang w:val="en-US" w:eastAsia="en-US" w:bidi="ar-SA"/>
        </w:rPr>
        <w:t xml:space="preserve"> rely on Mr. Sablok's statement to the effect that it was (or appeared to be) his signature and stamp on the POA? In Mr. Duong's submission, this (rather than the conflict in the evidence between Mr. Matthysen and Mr. Sablok) is the controlling issue in the case against Mr. Sablok. I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 find that, when Mr. Sablok advised Mr. Matthysen that it appeared to be his signature and stamp on the POA, a decision was then made within Reliable (ultimately, by Ms. Whyte) that the current validity of the POA had been confirmed. However, in fact, it had not been. I reject the proposition advanced by Mr. Ellis in argument that Mr. Sablok was the only person in the world who could verify if the POA was valid. Clearly, he was not. The only person who could in fact verify the current validity of the POA was Ms. Chan herself, and no one at Reliable made any effort to contact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Ms. Whyte acknowledged that, prior to funding, she took no steps to verify that the POA had not been revoked. Mr. Matthysen acknowledged that he did not ask Mr. Sablok (or anyone else) if he knew: whether Ms. Chan was still alive; whether she was bankrupt; whether she had any mental infirmity; whether the POA had been revoked; or whether Ms. Chan had executed a subsequent power of attorney. These are each matters that could affect the validity of the POA. Mr. Matthysen acknowledged on cross-examination that he believed he knew that in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 find, therefore, that Reliable relied on Mr. Sablok's statement in order to confirm the current validity of the POA. However, I find that Reliable had never communicated clearly that this was what it was expecting from Mr. Sablok. I find that, in those circumstances, Reliable's reliance on Mr. Sablok's statement to confirm the current validity of the POA was not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Accordingly, I find that Reliable has failed to make out the essential elements of a negligent misrepresentation claim against Mr. Sablok. In particular, it has failed to prove that Mr. Sablok made a representation that was false, inaccurate or misleading and it has failed to prove that it reasonably relied on Mr. Sablok's statement in proceeding with the loan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 and 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In summary, I find that Ms. Chan is liable to Reliable for the sum of $246,191.16 and Ms. Lee is jointly and severally liable to Reliable for $15,000 of that amount. Reliable is entitled to interest pursuant to the </w:t>
      </w:r>
      <w:r>
        <w:rPr>
          <w:rFonts w:ascii="arial" w:eastAsia="arial" w:hAnsi="arial" w:cs="arial"/>
          <w:b/>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 The action is dismissed as against the defendants Sablok &amp; Sablok and Akash Sablok.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If the parties are unable to agree on costs and wish to make submissions, they should contact Scheduling within the next 30 days to make arrangements for a hearing at a date and time convenient to counsel and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E.J. ADAIR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0" style="position:absolute;z-index:2518702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38"/>
          <w:headerReference w:type="default" r:id="rId339"/>
          <w:footerReference w:type="even" r:id="rId340"/>
          <w:footerReference w:type="default" r:id="rId341"/>
          <w:headerReference w:type="first" r:id="rId342"/>
          <w:footerReference w:type="first" r:id="rId34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44" w:history="1">
        <w:r>
          <w:rPr>
            <w:rFonts w:ascii="arial" w:eastAsia="arial" w:hAnsi="arial" w:cs="arial"/>
            <w:b/>
            <w:bCs/>
            <w:i/>
            <w:color w:val="0077CC"/>
            <w:kern w:val="32"/>
            <w:sz w:val="28"/>
            <w:szCs w:val="32"/>
            <w:u w:val="single"/>
            <w:shd w:val="clear" w:color="auto" w:fill="FFFFFF"/>
            <w:lang w:val="en-US" w:eastAsia="en-US" w:bidi="ar-SA"/>
          </w:rPr>
          <w:t>Royal &amp; Sun Alliance Insurance Co. of Canada v. Araujo, [2012] B.C.J. No. 1677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 Fisher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14-15,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9,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S097714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1677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45" w:history="1">
        <w:r>
          <w:rPr>
            <w:rFonts w:ascii="arial" w:eastAsia="arial" w:hAnsi="arial" w:cs="arial"/>
            <w:i/>
            <w:color w:val="0077CC"/>
            <w:sz w:val="20"/>
            <w:u w:val="single"/>
            <w:shd w:val="clear" w:color="auto" w:fill="FFFFFF"/>
            <w:lang w:val="en-US" w:eastAsia="en-US" w:bidi="ar-SA"/>
          </w:rPr>
          <w:t>2012 BCSC 1203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345" w:history="1">
        <w:r>
          <w:rPr>
            <w:rFonts w:ascii="arial" w:eastAsia="arial" w:hAnsi="arial" w:cs="arial"/>
            <w:i/>
            <w:color w:val="0077CC"/>
            <w:sz w:val="20"/>
            <w:u w:val="single"/>
            <w:shd w:val="clear" w:color="auto" w:fill="FFFFFF"/>
            <w:lang w:val="en-US" w:eastAsia="en-US" w:bidi="ar-SA"/>
          </w:rPr>
          <w:t>[2012] I.L.R. I-5320</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Royal &amp; Sun Alliance Insurance Company of Canada, Plaintiff, and Alfredo P. Araujo, Fernanda L. Araujo, Fernando M. Araujo, Alfredo Jr. Araujo and Matthew Demelo Araujo,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1" style="position:absolute;z-index:251672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90" w:name="Keywords_12"/>
      <w:bookmarkEnd w:id="90"/>
      <w:r>
        <w:rPr>
          <w:rFonts w:ascii="arial" w:eastAsia="arial" w:hAnsi="arial" w:cs="arial"/>
          <w:b/>
          <w:color w:val="000000"/>
          <w:sz w:val="20"/>
          <w:lang w:val="en-US" w:eastAsia="en-US" w:bidi="ar-SA"/>
        </w:rPr>
        <w:t>Insurance law — Insurers — Duties — Duty to defend — Application by insurer for declaration that it had no duty to defend dismissed — Insured's grandson was injured when insured's home was firebombed by third party arsonists — Grandson's father lived with insureds and was exercising access at time of fire — Policy excluded coverage for unnamed insureds and persons residing in home — Grandson did not reside in insured's home as visits were at his choice and were short — As grandson was not person residing or living in household at the relevant time, he was not unnamed insured under policy and exclusion did not apply.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Insurance law — Property insurance — Exclusions — Household or homeowner's policies — Application by insurer for declaration that it had no duty to defend dismissed — Insured's grandson was injured when insured's home was firebombed by third party arsonists — Grandson's father lived with insureds and was exercising access at time of fire — Policy excluded coverage for unnamed insureds and persons residing in home — Grandson did not reside in insured's home as visits were at his choice and were short — As grandson was not person residing or living in household at the relevant time, he was not unnamed insured under policy and exclusion did not apply.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91" w:name="Case Summary_13"/>
            <w:bookmarkEnd w:id="9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insurer for summary judgment for declarations that it had no duty to defend the insureds in a personal injury action commenced against them. The insureds, Alfredo and Fernanda Araujo, were the grandparents of the defendant Matthew Araujo and the parents of the defendants Fernando Araujo and Alfredo Araujo Jr. Alfredo, Fernanda, Fernando and Alfredo Jr. lived together in a house owned by Alfredo and Fernanda. Fernando and Matthew's mother, who were divorced, had joint custody and guardianship of Matthew, with Matthew's mother having primary residence. While Matthew was at his father's residence, the house was fire bombed by third party arsonists. Matthew was injured in the fire, suffering serious burns. As a result of his injuries, Matthew commenced an action against a number of defendants, including his grandparents, his father and his uncle. His claim against his family members was based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well as statutory duties under the Occupiers Liability Act. He alleged that because of an incident the previous day involving a fire in a shed at the back of the house, his family members knew or ought to have known of the risk that the house would not be safe for him and they unreasonably exposed him to a risk of injury. At the time of the fire, Matthew's grandparents had a homeowner's insurance policy which included coverage for property and personal liability. However, the policy excluded coverage for liability that resulted from the insured's personal actions or their ownership, use or occupancy of the premises and for bodily injury to the insureds or any person residing in their home. Matthew's grandparents, father and uncle sought coverage under the grandparents' homeowner's insurance policy requiring the insurer to defend them in Matthew's action. The insurer disputed that the policy required it to indemnify and defend.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2" w:name="Holdings of Court_10"/>
            <w:bookmarkEnd w:id="92"/>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exclusion was ambiguous. Matthew did not reside in his grandparent's home as he lived with his mother, who was responsible for his care. His visits with his father were at his choice and were short, and he did not maintain a physical presence in his grandparent's home. As Matthew was not a person residing or living in the household at the relevant time, he was not an unnamed insured under the policy and the exclusion clause did not apply to him.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93" w:name="Legislation Cited_9"/>
      <w:bookmarkEnd w:id="9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92" style="position:absolute;z-index:2517237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Occupiers Liability Act, </w:t>
      </w:r>
      <w:r>
        <w:rPr>
          <w:rFonts w:ascii="arial" w:eastAsia="arial" w:hAnsi="arial" w:cs="arial"/>
          <w:i/>
          <w:color w:val="000000"/>
          <w:sz w:val="20"/>
          <w:lang w:val="en-US" w:eastAsia="en-US" w:bidi="ar-SA"/>
        </w:rPr>
        <w:t>RSBC 1996, CHAPTER 337</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94" w:name="Counsel_13"/>
      <w:bookmarkEnd w:id="9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3" style="position:absolute;z-index:2517749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 Mohamed.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Matthew Demelo Araujo: V.J. LeBlanc.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A.P. Araujo, F.L. Araujo, F.M. Araujo, A.Jr. Araujo: J.G. Mendes.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5" w:name="Judgment_13"/>
      <w:bookmarkEnd w:id="95"/>
      <w:r>
        <w:pict>
          <v:line id="_x0000_s1094" style="position:absolute;z-index:251825152"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correction was released by the Court August 15, 2012; the change has been made to the text and the correction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6" w:name="B. FISHER J."/>
            <w:bookmarkEnd w:id="96"/>
            <w:r>
              <w:rPr>
                <w:rFonts w:ascii="arial" w:eastAsia="arial" w:hAnsi="arial" w:cs="arial"/>
                <w:b/>
                <w:color w:val="000000"/>
                <w:sz w:val="30"/>
                <w:lang w:val="en-US" w:eastAsia="en-US" w:bidi="ar-SA"/>
              </w:rPr>
              <w:t>B. FISHER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a summary trial, the plaintiff, Royal &amp; Sun Alliance Insurance Company of Canada (Royal), seeks declarations that a homeowner's insurance policy excludes a bodily injury claim made by the defendant Matthew Araujo against the other defendants, and that the plaintiff has no duty to defend or indemnify the other defendants in respect of that claim. The defendants Alfredo Araujo, Fernanda Araujo, Fernando Araujo and Alfredo Jr. Araujo seek a declaration that Royal is obligated to defend and indemnify them for the claim made by Matthew Araujo.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factual basis for this matter is undisputed. For ease of reference, I will refer to the defendants by their first names or their family relationship. I intend no disrespect in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Alfredo and Fernanda Araujo are the grandparents of the defendant Matthew Araujo. The defendant Fernando Araujo is Matthew's father and the defendant Alfredo Jr. Araujo is Fernando's brother and Matthew's uncle. Alfredo, Fernanda, Fernando and Alfredo Jr. live together in a house owned by the grandparents Alfredo and Fernanda.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Fernando separated from his wife, Matthew's mother, in 1998 and they divorced in 2008. Pursuant to a separation agreement dated June 15, 2004, Fernando and his wife have joint custody and guardianship of Matthew, with the wife having primary residence and Fernando having reasonable and liberal access to Matthew. Fernando exercised regular access at the grandparents' house two to three times per month for one night, usually from Friday evening to Saturday morning.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On Saturday, August 14, 2004, the grandparents' house was fire bombed by third party arsonists. At the time, Matthew was at the residence, sleeping on the living room sofa. He was injured in the fire, suffering serious burns. He was 15 years old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As a result of his injuries, Matthew commenced an action against a number of defendants, including his grandparents, his father and his uncle. His claim against his family members is based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well as statutory duties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He alleged that because of an incident the previous day involving a fire in a shed at the back of the house, his grandparents, father and uncle knew or ought to have known of the risk that the house would not be safe for him and they unreasonably exposed him to a risk of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grandparents, Fernando and Alfredo Jr. seek coverage under the grandparents' homeowner's insurance policy (the Policy) which would require Royal to defend them in Matthew's action. Royal disputes that the Policy requires it to indemnify and defend these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Policy includes Property Coverages in Section I and Personal Liability Protection in Section II. Personal liability coverage is excluded for some bodily injury claims. Coverage E - Personal Liability provides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the part of the policy you look to for protection if you are sued.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will pay all sums which you become legally liable to pay as compensatory damages because of unintentional bodily injury or property damage arising out of:</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your personal actions anywhere in the world</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your ownership, use or occupancy of the premises defined in Section II.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do not insure claims made against you arising from ...</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bodily injury to </w:t>
      </w:r>
      <w:r>
        <w:rPr>
          <w:rFonts w:ascii="arial" w:eastAsia="arial" w:hAnsi="arial" w:cs="arial"/>
          <w:color w:val="000000"/>
          <w:sz w:val="20"/>
          <w:u w:val="single"/>
          <w:lang w:val="en-US" w:eastAsia="en-US" w:bidi="ar-SA"/>
        </w:rPr>
        <w:t>you</w:t>
      </w:r>
      <w:r>
        <w:rPr>
          <w:rFonts w:ascii="arial" w:eastAsia="arial" w:hAnsi="arial" w:cs="arial"/>
          <w:color w:val="000000"/>
          <w:sz w:val="20"/>
          <w:lang w:val="en-US" w:eastAsia="en-US" w:bidi="ar-SA"/>
        </w:rPr>
        <w:t xml:space="preserve"> or to any person </w:t>
      </w:r>
      <w:r>
        <w:rPr>
          <w:rFonts w:ascii="arial" w:eastAsia="arial" w:hAnsi="arial" w:cs="arial"/>
          <w:color w:val="000000"/>
          <w:sz w:val="20"/>
          <w:u w:val="single"/>
          <w:lang w:val="en-US" w:eastAsia="en-US" w:bidi="ar-SA"/>
        </w:rPr>
        <w:t>residing in your household</w:t>
      </w:r>
      <w:r>
        <w:rPr>
          <w:rFonts w:ascii="arial" w:eastAsia="arial" w:hAnsi="arial" w:cs="arial"/>
          <w:color w:val="000000"/>
          <w:sz w:val="20"/>
          <w:lang w:val="en-US" w:eastAsia="en-US" w:bidi="ar-SA"/>
        </w:rPr>
        <w:t xml:space="preserve"> other than a residence employee;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word "you" is given the same meaning as that defined in Section I:</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You or Your means the person(s) named as Insured on the Coverage Summary page and, </w:t>
      </w:r>
      <w:r>
        <w:rPr>
          <w:rFonts w:ascii="arial" w:eastAsia="arial" w:hAnsi="arial" w:cs="arial"/>
          <w:color w:val="000000"/>
          <w:sz w:val="20"/>
          <w:u w:val="single"/>
          <w:lang w:val="en-US" w:eastAsia="en-US" w:bidi="ar-SA"/>
        </w:rPr>
        <w:t>while living in the same household</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his or her spouse;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the relatives of either</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any person under 21 in their care.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primary issue is whether the Policy excludes coverage to the grandparents, Fernando and Alfredo Jr. for the bodily injury claim made against them by Matthew. The question to be determined is whether Matthew was either an unnamed insured or a person residing in their household at the time of the fire bomb incident, within the meaning of the exclusion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Principles for interpreting insurance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legal principles for interpreting insurance contracts are nicely summarized in </w:t>
      </w:r>
      <w:r>
        <w:rPr>
          <w:rFonts w:ascii="arial" w:eastAsia="arial" w:hAnsi="arial" w:cs="arial"/>
          <w:i/>
          <w:color w:val="000000"/>
          <w:sz w:val="20"/>
          <w:lang w:val="en-US" w:eastAsia="en-US" w:bidi="ar-SA"/>
        </w:rPr>
        <w:t>Progressive Homes. Ltd. v. Lombard General Insurance Co. of Canada,</w:t>
      </w:r>
      <w:r>
        <w:rPr>
          <w:rFonts w:ascii="arial" w:eastAsia="arial" w:hAnsi="arial" w:cs="arial"/>
          <w:color w:val="000000"/>
          <w:sz w:val="20"/>
          <w:lang w:val="en-US" w:eastAsia="en-US" w:bidi="ar-SA"/>
        </w:rPr>
        <w:t xml:space="preserve"> </w:t>
      </w:r>
      <w:hyperlink r:id="rId346" w:history="1">
        <w:r>
          <w:rPr>
            <w:rFonts w:ascii="arial" w:eastAsia="arial" w:hAnsi="arial" w:cs="arial"/>
            <w:i/>
            <w:color w:val="0077CC"/>
            <w:sz w:val="20"/>
            <w:u w:val="single"/>
            <w:shd w:val="clear" w:color="auto" w:fill="FFFFFF"/>
            <w:lang w:val="en-US" w:eastAsia="en-US" w:bidi="ar-SA"/>
          </w:rPr>
          <w:t>2010 SCC 33</w:t>
        </w:r>
      </w:hyperlink>
      <w:r>
        <w:rPr>
          <w:rFonts w:ascii="arial" w:eastAsia="arial" w:hAnsi="arial" w:cs="arial"/>
          <w:color w:val="000000"/>
          <w:sz w:val="20"/>
          <w:lang w:val="en-US" w:eastAsia="en-US" w:bidi="ar-SA"/>
        </w:rPr>
        <w:t xml:space="preserve"> at paras. 22-24: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The primary interpretive principle is that when the language of the policy is unambiguous, the court should give effect to clear language, reading the contract as a whole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Where the language of the insurance policy is ambiguous, the courts rely on general rules of contract construction ... For example, courts should prefer interpretations that are consistent with the reasonable expectations of the parties ... so long as such an interpretation can be supported by the text of the policy. Courts should avoid interpretations that would give rise to an unrealistic result or that would not have been in the contemplation of the parties at the time the policy was concluded ... Courts should also strive to ensure that similar insurance policies are construed consistently ... These rules of construction are applied to resolve ambiguity. They do not operate to create ambiguity where there is none in the first place.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When these rules of construction fail to resolve the ambiguity, courts will construe the policy </w:t>
      </w:r>
      <w:r>
        <w:rPr>
          <w:rFonts w:ascii="arial" w:eastAsia="arial" w:hAnsi="arial" w:cs="arial"/>
          <w:i/>
          <w:color w:val="000000"/>
          <w:sz w:val="20"/>
          <w:lang w:val="en-US" w:eastAsia="en-US" w:bidi="ar-SA"/>
        </w:rPr>
        <w:t>contra proferentem</w:t>
      </w:r>
      <w:r>
        <w:rPr>
          <w:rFonts w:ascii="arial" w:eastAsia="arial" w:hAnsi="arial" w:cs="arial"/>
          <w:color w:val="000000"/>
          <w:sz w:val="20"/>
          <w:lang w:val="en-US" w:eastAsia="en-US" w:bidi="ar-SA"/>
        </w:rPr>
        <w:t xml:space="preserve"> -- against the insurer ... One corollary of the </w:t>
      </w:r>
      <w:r>
        <w:rPr>
          <w:rFonts w:ascii="arial" w:eastAsia="arial" w:hAnsi="arial" w:cs="arial"/>
          <w:i/>
          <w:color w:val="000000"/>
          <w:sz w:val="20"/>
          <w:lang w:val="en-US" w:eastAsia="en-US" w:bidi="ar-SA"/>
        </w:rPr>
        <w:t>contra proferentem</w:t>
      </w:r>
      <w:r>
        <w:rPr>
          <w:rFonts w:ascii="arial" w:eastAsia="arial" w:hAnsi="arial" w:cs="arial"/>
          <w:color w:val="000000"/>
          <w:sz w:val="20"/>
          <w:lang w:val="en-US" w:eastAsia="en-US" w:bidi="ar-SA"/>
        </w:rPr>
        <w:t xml:space="preserve"> rule is that coverage provisions are interpreted broadly, and exclusion clauses narrowly ... [citations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Reid Crowther &amp; Partners v. Simcoe &amp; Erie Insurance Co. Ltd.</w:t>
      </w:r>
      <w:r>
        <w:rPr>
          <w:rFonts w:ascii="arial" w:eastAsia="arial" w:hAnsi="arial" w:cs="arial"/>
          <w:color w:val="000000"/>
          <w:sz w:val="20"/>
          <w:lang w:val="en-US" w:eastAsia="en-US" w:bidi="ar-SA"/>
        </w:rPr>
        <w:t xml:space="preserve"> </w:t>
      </w:r>
      <w:hyperlink r:id="rId347" w:history="1">
        <w:r>
          <w:rPr>
            <w:rFonts w:ascii="arial" w:eastAsia="arial" w:hAnsi="arial" w:cs="arial"/>
            <w:i/>
            <w:color w:val="0077CC"/>
            <w:sz w:val="20"/>
            <w:u w:val="single"/>
            <w:shd w:val="clear" w:color="auto" w:fill="FFFFFF"/>
            <w:lang w:val="en-US" w:eastAsia="en-US" w:bidi="ar-SA"/>
          </w:rPr>
          <w:t>[1993] 1 S.C.R. 252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Royal submits that Matthew is an unnamed insured under the Policy because he fits within the definition of "you" and "your" as a relative of the named insureds (the grandparents) living in the same household. It says that the Policy does not permit one insured to sue another insured. Royal also submits that in any event, Matthew's claim is excluded because he was residing in the grandparents' household at the time of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defendants submit that the exclusion clause does not apply because Matthew cannot be said to be an unnamed insured under the Policy and he was not residing in the household at the relevant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All parties agree that the words "living in the same household" used in the definition provision of the Policy have the same meaning as the words "residing in their household" used in the exclusion provision. Generally, I agree with this, as there is no logical distinction between the words "living" and "residing" in this context.</w:t>
      </w:r>
      <w:bookmarkStart w:id="97" w:name="Backward_fnref_fnr-1"/>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97"/>
      <w:r>
        <w:rPr>
          <w:rFonts w:ascii="arial" w:eastAsia="arial" w:hAnsi="arial" w:cs="arial"/>
          <w:color w:val="000000"/>
          <w:sz w:val="20"/>
          <w:lang w:val="en-US" w:eastAsia="en-US" w:bidi="ar-SA"/>
        </w:rPr>
        <w:t xml:space="preserve"> However, these terms are not defined in the Policy and their meaning is ambiguous. Royal says that the words "living" and "residing" can apply where a person has dual residency, a situation that is common with respect to children of separated or divorced parents. The defendants say that Royal could have defined such a situation clearly in the Policy and the ambiguity should be resolved in favour of the insured, particularly since exclusion clauses are to be interpreted narrowly.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Royal characterizes the issue as requiring the court to first determine if Matthew is included within the definition of "you" and "your" as defined in Section I such that he is an unnamed insured under the Policy. In this sense, it is asking the court to interpret a coverage provision. The defendants characterize the issue differently. They say that the court must first determine if Matthew's claim against the other defendants is excluded in Section 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agree with the defendants. This is not a case where Matthew is seeking coverage under the Policy but rather where the other defendants are seeking coverage for Matthew's claim against them. The other defendants are clearly insureds under the Policy. The issue I must determine is whether Matthew's claim is excluded in Section 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exclusion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exclusion clause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do not insure claims made against you arising from ...</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bodily injury to you or to any person residing in your household other than a residence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There are two parts to this clause: the first excludes claims arising from bodily injury to "you" and the second excludes claims arising from bodily injury to "any person residing in your household".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1.</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Bodily injury to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Royal submits that the use of "you" and "your" in this provision means the named and unnamed insureds as defined in Section I. The Policy states that this definition applies to Section II but the use of "you" in this particular exclusion clause is confusing. It can be interpreted to refer only to each insured making the claim or to any insured under the Policy. The first interpretation can lead to an absurdity; for example: We do not insure claims made against you (the grandparents) arising from bodily injury to you (the grandparents). The second interpretation is consistent with the extended meaning given to "you" in the definition; for example: We do not insure claims made against you (the grandparents, father and/or uncle) arising from bodily injury to you (the grandparents, father and/or uncle).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Royal suggests that "you" must be given different meanings depending on the context; in this case, for example: We do not insure claims made against you (the grandparents, father and uncle) arising from bodily injury to you (Matthew).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A similar argument was considered in </w:t>
      </w:r>
      <w:r>
        <w:rPr>
          <w:rFonts w:ascii="arial" w:eastAsia="arial" w:hAnsi="arial" w:cs="arial"/>
          <w:i/>
          <w:color w:val="000000"/>
          <w:sz w:val="20"/>
          <w:lang w:val="en-US" w:eastAsia="en-US" w:bidi="ar-SA"/>
        </w:rPr>
        <w:t>Wawanesa Mutual Insurance Co. v. Hewson</w:t>
      </w:r>
      <w:r>
        <w:rPr>
          <w:rFonts w:ascii="arial" w:eastAsia="arial" w:hAnsi="arial" w:cs="arial"/>
          <w:color w:val="000000"/>
          <w:sz w:val="20"/>
          <w:lang w:val="en-US" w:eastAsia="en-US" w:bidi="ar-SA"/>
        </w:rPr>
        <w:t xml:space="preserve">, </w:t>
      </w:r>
      <w:hyperlink r:id="rId348" w:history="1">
        <w:r>
          <w:rPr>
            <w:rFonts w:ascii="arial" w:eastAsia="arial" w:hAnsi="arial" w:cs="arial"/>
            <w:i/>
            <w:color w:val="0077CC"/>
            <w:sz w:val="20"/>
            <w:u w:val="single"/>
            <w:shd w:val="clear" w:color="auto" w:fill="FFFFFF"/>
            <w:lang w:val="en-US" w:eastAsia="en-US" w:bidi="ar-SA"/>
          </w:rPr>
          <w:t>2004 SKCA 112</w:t>
        </w:r>
      </w:hyperlink>
      <w:r>
        <w:rPr>
          <w:rFonts w:ascii="arial" w:eastAsia="arial" w:hAnsi="arial" w:cs="arial"/>
          <w:color w:val="000000"/>
          <w:sz w:val="20"/>
          <w:lang w:val="en-US" w:eastAsia="en-US" w:bidi="ar-SA"/>
        </w:rPr>
        <w:t xml:space="preserve">, where a similar exclusion clause was in issue. At para. 22 the Court noted the difficulty with an interpretation where "you" is given different meanings in different places and referred to these comments in </w:t>
      </w:r>
      <w:r>
        <w:rPr>
          <w:rFonts w:ascii="arial" w:eastAsia="arial" w:hAnsi="arial" w:cs="arial"/>
          <w:i/>
          <w:color w:val="000000"/>
          <w:sz w:val="20"/>
          <w:lang w:val="en-US" w:eastAsia="en-US" w:bidi="ar-SA"/>
        </w:rPr>
        <w:t>Fitzgerald v. Co-operators Insurance Co.,</w:t>
      </w:r>
      <w:r>
        <w:rPr>
          <w:rFonts w:ascii="arial" w:eastAsia="arial" w:hAnsi="arial" w:cs="arial"/>
          <w:color w:val="000000"/>
          <w:sz w:val="20"/>
          <w:lang w:val="en-US" w:eastAsia="en-US" w:bidi="ar-SA"/>
        </w:rPr>
        <w:t xml:space="preserve"> </w:t>
      </w:r>
      <w:hyperlink r:id="rId349" w:history="1">
        <w:r>
          <w:rPr>
            <w:rFonts w:ascii="arial" w:eastAsia="arial" w:hAnsi="arial" w:cs="arial"/>
            <w:i/>
            <w:color w:val="0077CC"/>
            <w:sz w:val="20"/>
            <w:u w:val="single"/>
            <w:shd w:val="clear" w:color="auto" w:fill="FFFFFF"/>
            <w:lang w:val="en-US" w:eastAsia="en-US" w:bidi="ar-SA"/>
          </w:rPr>
          <w:t>2003 NSSC 129</w:t>
        </w:r>
      </w:hyperlink>
      <w:r>
        <w:rPr>
          <w:rFonts w:ascii="arial" w:eastAsia="arial" w:hAnsi="arial" w:cs="arial"/>
          <w:color w:val="000000"/>
          <w:sz w:val="20"/>
          <w:lang w:val="en-US" w:eastAsia="en-US" w:bidi="ar-SA"/>
        </w:rPr>
        <w:t xml:space="preserve"> at paras. 18-19: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Mr. Beckett's suggested interpretation of the policy requires that the word "you" have different meanings in different parts of the policy. Sometimes it will be the singular you in either of two senses: "one of you" or "any of you". Other times it will be the collective, all of you. This is a sensible approach although different meanings for the same word are usually avoided in contracts and statutes. However, the opposite is also arguable.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In English, the second person pronouns are inherently ambiguous because the same word and sound signify different meanings: the second person singular or the second person plural. Contractual intent is at its most fictional with adhesion contacts. Desirable though it is to have contacts that are more inviting to read, it is certainly arguable that the insurer cannot provide a policy that uses the inherently ambiguous second person pronoun and expect the courts to call the pronoun singular or plural according to the insurer's interest. . . . It all depends on where the policy is speaking of a singular insured and where the policy is speaking of the plural you. A most reasonable conclusion could be that </w:t>
      </w:r>
      <w:r>
        <w:rPr>
          <w:rFonts w:ascii="arial" w:eastAsia="arial" w:hAnsi="arial" w:cs="arial"/>
          <w:i/>
          <w:color w:val="000000"/>
          <w:sz w:val="20"/>
          <w:lang w:val="en-US" w:eastAsia="en-US" w:bidi="ar-SA"/>
        </w:rPr>
        <w:t>contra proferentum</w:t>
      </w:r>
      <w:r>
        <w:rPr>
          <w:rFonts w:ascii="arial" w:eastAsia="arial" w:hAnsi="arial" w:cs="arial"/>
          <w:color w:val="000000"/>
          <w:sz w:val="20"/>
          <w:lang w:val="en-US" w:eastAsia="en-US" w:bidi="ar-SA"/>
        </w:rPr>
        <w:t xml:space="preserve"> resolves the question in favour of the broadest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this Policy, the term "you" is used generally throughout Coverage E to refer to the person or persons against whom a claim is brought. The defendants submit that this usage is inconsistent with the extended meaning given to "you" in the definition and gives rise to an uncertainty of its meaning in this exclusion clause. Royal submits that there is no ambiguity if "you" is interpreted in context as outlined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Sheppard v. Co-operator's General Insurance Co.</w:t>
      </w:r>
      <w:r>
        <w:rPr>
          <w:rFonts w:ascii="arial" w:eastAsia="arial" w:hAnsi="arial" w:cs="arial"/>
          <w:color w:val="000000"/>
          <w:sz w:val="20"/>
          <w:lang w:val="en-US" w:eastAsia="en-US" w:bidi="ar-SA"/>
        </w:rPr>
        <w:t xml:space="preserve"> </w:t>
      </w:r>
      <w:hyperlink r:id="rId350" w:history="1">
        <w:r>
          <w:rPr>
            <w:rFonts w:ascii="arial" w:eastAsia="arial" w:hAnsi="arial" w:cs="arial"/>
            <w:i/>
            <w:color w:val="0077CC"/>
            <w:sz w:val="20"/>
            <w:u w:val="single"/>
            <w:shd w:val="clear" w:color="auto" w:fill="FFFFFF"/>
            <w:lang w:val="en-US" w:eastAsia="en-US" w:bidi="ar-SA"/>
          </w:rPr>
          <w:t>(1997), 33 O.R. (3d) 362</w:t>
        </w:r>
      </w:hyperlink>
      <w:r>
        <w:rPr>
          <w:rFonts w:ascii="arial" w:eastAsia="arial" w:hAnsi="arial" w:cs="arial"/>
          <w:color w:val="000000"/>
          <w:sz w:val="20"/>
          <w:lang w:val="en-US" w:eastAsia="en-US" w:bidi="ar-SA"/>
        </w:rPr>
        <w:t xml:space="preserve"> (CA), the court interpreted the same exclusion clause in the manner suggested by Royal and found it "precisely focused". However, it was not clear if the court was referring to the bodily injury as being to the named claimant because she was a "you" or because she was a "person residing" in the household. There was no issue that the claimant in that case was residing in the household.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agree with Royal that a reasonable way to interpret the use of "you" in the exclusion clause is as the context requires but I also agree with the defendants that the use of "you" as a defined term is inconsistent with the extended meaning given to it in the definition, which brings in all of the named and unnamed insureds. I appreciate the objective of "plain language" contracts but the use of pronouns such as "you" and "your" are inherently ambiguous and the application of a definition that uses them invites ambiguity where the court is asked to interpret which "you" is being referred to in each context. In this Policy, I consider the use of the definition of "you" and "your" in the exclusion clause to be ambiguous.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However, even if it is not ambiguous and the use of "you" is interpreted as Royal suggests, Matthew must be a person "living in the same household" as the other defendants. For the reasons set out below, I find that Matthew was not a person "residing" in the household. For the same reasons, I find that Matthew was not a person "living" in the household at the relevant time. Accordingly, Matthew is not a "you" or "your" as defined in the Policy as these words are used in the exclusion clause.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Bodily injury to "any person residing in your household"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second part of the exclusion clause requires this Court to determine whether Matthew was residing in the household of the other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Both elements of residence and household are required. There are cases where individuals are clearly residing in a place but they are not part of a household: </w:t>
      </w:r>
      <w:r>
        <w:rPr>
          <w:rFonts w:ascii="arial" w:eastAsia="arial" w:hAnsi="arial" w:cs="arial"/>
          <w:i/>
          <w:color w:val="000000"/>
          <w:sz w:val="20"/>
          <w:lang w:val="en-US" w:eastAsia="en-US" w:bidi="ar-SA"/>
        </w:rPr>
        <w:t>Aviva Canada Inc. v. Yaehne</w:t>
      </w:r>
      <w:r>
        <w:rPr>
          <w:rFonts w:ascii="arial" w:eastAsia="arial" w:hAnsi="arial" w:cs="arial"/>
          <w:color w:val="000000"/>
          <w:sz w:val="20"/>
          <w:lang w:val="en-US" w:eastAsia="en-US" w:bidi="ar-SA"/>
        </w:rPr>
        <w:t xml:space="preserve">, </w:t>
      </w:r>
      <w:hyperlink r:id="rId351" w:history="1">
        <w:r>
          <w:rPr>
            <w:rFonts w:ascii="arial" w:eastAsia="arial" w:hAnsi="arial" w:cs="arial"/>
            <w:i/>
            <w:color w:val="0077CC"/>
            <w:sz w:val="20"/>
            <w:u w:val="single"/>
            <w:shd w:val="clear" w:color="auto" w:fill="FFFFFF"/>
            <w:lang w:val="en-US" w:eastAsia="en-US" w:bidi="ar-SA"/>
          </w:rPr>
          <w:t>2005 SKQB 553</w:t>
        </w:r>
      </w:hyperlink>
      <w:r>
        <w:rPr>
          <w:rFonts w:ascii="arial" w:eastAsia="arial" w:hAnsi="arial" w:cs="arial"/>
          <w:color w:val="000000"/>
          <w:sz w:val="20"/>
          <w:lang w:val="en-US" w:eastAsia="en-US" w:bidi="ar-SA"/>
        </w:rPr>
        <w:t xml:space="preserve"> (son renting basement of mother's house); </w:t>
      </w:r>
      <w:r>
        <w:rPr>
          <w:rFonts w:ascii="arial" w:eastAsia="arial" w:hAnsi="arial" w:cs="arial"/>
          <w:i/>
          <w:color w:val="000000"/>
          <w:sz w:val="20"/>
          <w:lang w:val="en-US" w:eastAsia="en-US" w:bidi="ar-SA"/>
        </w:rPr>
        <w:t>Wade v. Canadian Northern Shield Insurance Co.</w:t>
      </w:r>
      <w:r>
        <w:rPr>
          <w:rFonts w:ascii="arial" w:eastAsia="arial" w:hAnsi="arial" w:cs="arial"/>
          <w:color w:val="000000"/>
          <w:sz w:val="20"/>
          <w:lang w:val="en-US" w:eastAsia="en-US" w:bidi="ar-SA"/>
        </w:rPr>
        <w:t xml:space="preserve"> </w:t>
      </w:r>
      <w:hyperlink r:id="rId352" w:history="1">
        <w:r>
          <w:rPr>
            <w:rFonts w:ascii="arial" w:eastAsia="arial" w:hAnsi="arial" w:cs="arial"/>
            <w:i/>
            <w:color w:val="0077CC"/>
            <w:sz w:val="20"/>
            <w:u w:val="single"/>
            <w:shd w:val="clear" w:color="auto" w:fill="FFFFFF"/>
            <w:lang w:val="en-US" w:eastAsia="en-US" w:bidi="ar-SA"/>
          </w:rPr>
          <w:t>(1986), 5 B.C.L.R. (2d) 62</w:t>
        </w:r>
      </w:hyperlink>
      <w:r>
        <w:rPr>
          <w:rFonts w:ascii="arial" w:eastAsia="arial" w:hAnsi="arial" w:cs="arial"/>
          <w:color w:val="000000"/>
          <w:sz w:val="20"/>
          <w:lang w:val="en-US" w:eastAsia="en-US" w:bidi="ar-SA"/>
        </w:rPr>
        <w:t xml:space="preserve"> (SC) (son temporarily house-sitting for parents); </w:t>
      </w:r>
      <w:r>
        <w:rPr>
          <w:rFonts w:ascii="arial" w:eastAsia="arial" w:hAnsi="arial" w:cs="arial"/>
          <w:i/>
          <w:color w:val="000000"/>
          <w:sz w:val="20"/>
          <w:lang w:val="en-US" w:eastAsia="en-US" w:bidi="ar-SA"/>
        </w:rPr>
        <w:t>Wright v. Canadian Group Underwriters</w:t>
      </w:r>
      <w:r>
        <w:rPr>
          <w:rFonts w:ascii="arial" w:eastAsia="arial" w:hAnsi="arial" w:cs="arial"/>
          <w:color w:val="000000"/>
          <w:sz w:val="20"/>
          <w:lang w:val="en-US" w:eastAsia="en-US" w:bidi="ar-SA"/>
        </w:rPr>
        <w:t xml:space="preserve">, </w:t>
      </w:r>
      <w:hyperlink r:id="rId353" w:history="1">
        <w:r>
          <w:rPr>
            <w:rFonts w:ascii="arial" w:eastAsia="arial" w:hAnsi="arial" w:cs="arial"/>
            <w:i/>
            <w:color w:val="0077CC"/>
            <w:sz w:val="20"/>
            <w:u w:val="single"/>
            <w:shd w:val="clear" w:color="auto" w:fill="FFFFFF"/>
            <w:lang w:val="en-US" w:eastAsia="en-US" w:bidi="ar-SA"/>
          </w:rPr>
          <w:t>2002 BCCA 254</w:t>
        </w:r>
      </w:hyperlink>
      <w:r>
        <w:rPr>
          <w:rFonts w:ascii="arial" w:eastAsia="arial" w:hAnsi="arial" w:cs="arial"/>
          <w:color w:val="000000"/>
          <w:sz w:val="20"/>
          <w:lang w:val="en-US" w:eastAsia="en-US" w:bidi="ar-SA"/>
        </w:rPr>
        <w:t xml:space="preserve"> (individual renting a portion of insured's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word "household" has been described as having a flexible meaning. In </w:t>
      </w:r>
      <w:r>
        <w:rPr>
          <w:rFonts w:ascii="arial" w:eastAsia="arial" w:hAnsi="arial" w:cs="arial"/>
          <w:i/>
          <w:color w:val="000000"/>
          <w:sz w:val="20"/>
          <w:lang w:val="en-US" w:eastAsia="en-US" w:bidi="ar-SA"/>
        </w:rPr>
        <w:t>Wawanesa Mutual Insurance Company v. Bell</w:t>
      </w:r>
      <w:r>
        <w:rPr>
          <w:rFonts w:ascii="arial" w:eastAsia="arial" w:hAnsi="arial" w:cs="arial"/>
          <w:color w:val="000000"/>
          <w:sz w:val="20"/>
          <w:lang w:val="en-US" w:eastAsia="en-US" w:bidi="ar-SA"/>
        </w:rPr>
        <w:t xml:space="preserve">, </w:t>
      </w:r>
      <w:hyperlink r:id="rId354" w:history="1">
        <w:r>
          <w:rPr>
            <w:rFonts w:ascii="arial" w:eastAsia="arial" w:hAnsi="arial" w:cs="arial"/>
            <w:i/>
            <w:color w:val="0077CC"/>
            <w:sz w:val="20"/>
            <w:u w:val="single"/>
            <w:shd w:val="clear" w:color="auto" w:fill="FFFFFF"/>
            <w:lang w:val="en-US" w:eastAsia="en-US" w:bidi="ar-SA"/>
          </w:rPr>
          <w:t>[1957] S.C.R. 581</w:t>
        </w:r>
      </w:hyperlink>
      <w:r>
        <w:rPr>
          <w:rFonts w:ascii="arial" w:eastAsia="arial" w:hAnsi="arial" w:cs="arial"/>
          <w:color w:val="000000"/>
          <w:sz w:val="20"/>
          <w:lang w:val="en-US" w:eastAsia="en-US" w:bidi="ar-SA"/>
        </w:rPr>
        <w:t xml:space="preserve"> Rand J. held that ordinary aids to interpretation should be applied to define its scope as used in a particular policy. He described "household", in the broad sense of a family, as a collective group living together in a home (at p. 584):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acknowledging the authority of a head, the members of which, with few exceptions, are bound by marriage, blood, affinity or other bond, between whom there is an intimacy and by whom there is felt a concern with and an interest in the life of all that gives it a unity. It may, for example, include such persons as domestic servants, and distant relatives permanently residing within it. To some degree they are all admitted and submit to the collective body, its unity and its conditions, particularly that of the general discipline of the family head. They do not share fully in the more restricted family intimacy or interest or concern, but they participate to a substantial degree in the general life of the household and form part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have no doubt that Matthew, when he was in his grandparents' home, was generally treated as part of the household. The real issue here is whether Matthew was residing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word "reside" has been the subject of much litigation, as it is not possible to give it a precise definition. As Rand J. explained in </w:t>
      </w:r>
      <w:r>
        <w:rPr>
          <w:rFonts w:ascii="arial" w:eastAsia="arial" w:hAnsi="arial" w:cs="arial"/>
          <w:i/>
          <w:color w:val="000000"/>
          <w:sz w:val="20"/>
          <w:lang w:val="en-US" w:eastAsia="en-US" w:bidi="ar-SA"/>
        </w:rPr>
        <w:t>Thomson v. Minister of National Revenue</w:t>
      </w:r>
      <w:r>
        <w:rPr>
          <w:rFonts w:ascii="arial" w:eastAsia="arial" w:hAnsi="arial" w:cs="arial"/>
          <w:color w:val="000000"/>
          <w:sz w:val="20"/>
          <w:lang w:val="en-US" w:eastAsia="en-US" w:bidi="ar-SA"/>
        </w:rPr>
        <w:t xml:space="preserve">, </w:t>
      </w:r>
      <w:hyperlink r:id="rId355" w:history="1">
        <w:r>
          <w:rPr>
            <w:rFonts w:ascii="arial" w:eastAsia="arial" w:hAnsi="arial" w:cs="arial"/>
            <w:i/>
            <w:color w:val="0077CC"/>
            <w:sz w:val="20"/>
            <w:u w:val="single"/>
            <w:shd w:val="clear" w:color="auto" w:fill="FFFFFF"/>
            <w:lang w:val="en-US" w:eastAsia="en-US" w:bidi="ar-SA"/>
          </w:rPr>
          <w:t>[1946] S.C.R. 209</w:t>
        </w:r>
      </w:hyperlink>
      <w:r>
        <w:rPr>
          <w:rFonts w:ascii="arial" w:eastAsia="arial" w:hAnsi="arial" w:cs="arial"/>
          <w:color w:val="000000"/>
          <w:sz w:val="20"/>
          <w:lang w:val="en-US" w:eastAsia="en-US" w:bidi="ar-SA"/>
        </w:rPr>
        <w:t xml:space="preserve"> at p. 224: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highly flexible, and its many shades of meaning vary not only in the contexts of different matters, but also in different aspects of the same matter. In one case it is satisfied by certain elements, in another by others, some common, some new.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"Reside" is defined in the Oxford English Dictionary as "to dwell permanently or for a considerable time, to have one's settled or usual abode, to live, in or at a particular place." "Residing" has been interpreted as importing a connotation of at least an extended stay or something beyond a temporary or transient visit: </w:t>
      </w:r>
      <w:r>
        <w:rPr>
          <w:rFonts w:ascii="arial" w:eastAsia="arial" w:hAnsi="arial" w:cs="arial"/>
          <w:i/>
          <w:color w:val="000000"/>
          <w:sz w:val="20"/>
          <w:lang w:val="en-US" w:eastAsia="en-US" w:bidi="ar-SA"/>
        </w:rPr>
        <w:t>Appel v. Dominion of Canada General Ins. Co.</w:t>
      </w:r>
      <w:r>
        <w:rPr>
          <w:rFonts w:ascii="arial" w:eastAsia="arial" w:hAnsi="arial" w:cs="arial"/>
          <w:color w:val="000000"/>
          <w:sz w:val="20"/>
          <w:lang w:val="en-US" w:eastAsia="en-US" w:bidi="ar-SA"/>
        </w:rPr>
        <w:t xml:space="preserve"> </w:t>
      </w:r>
      <w:hyperlink r:id="rId356" w:history="1">
        <w:r>
          <w:rPr>
            <w:rFonts w:ascii="arial" w:eastAsia="arial" w:hAnsi="arial" w:cs="arial"/>
            <w:i/>
            <w:color w:val="0077CC"/>
            <w:sz w:val="20"/>
            <w:u w:val="single"/>
            <w:shd w:val="clear" w:color="auto" w:fill="FFFFFF"/>
            <w:lang w:val="en-US" w:eastAsia="en-US" w:bidi="ar-SA"/>
          </w:rPr>
          <w:t>(1997) 39 B.C.L.R. (3d) 113</w:t>
        </w:r>
      </w:hyperlink>
      <w:r>
        <w:rPr>
          <w:rFonts w:ascii="arial" w:eastAsia="arial" w:hAnsi="arial" w:cs="arial"/>
          <w:color w:val="000000"/>
          <w:sz w:val="20"/>
          <w:lang w:val="en-US" w:eastAsia="en-US" w:bidi="ar-SA"/>
        </w:rPr>
        <w:t xml:space="preserve"> (CA) at para. 69; </w:t>
      </w:r>
      <w:r>
        <w:rPr>
          <w:rFonts w:ascii="arial" w:eastAsia="arial" w:hAnsi="arial" w:cs="arial"/>
          <w:i/>
          <w:color w:val="000000"/>
          <w:sz w:val="20"/>
          <w:lang w:val="en-US" w:eastAsia="en-US" w:bidi="ar-SA"/>
        </w:rPr>
        <w:t>Tannahill v. Lanark Mutual Insurance Co.</w:t>
      </w:r>
      <w:r>
        <w:rPr>
          <w:rFonts w:ascii="arial" w:eastAsia="arial" w:hAnsi="arial" w:cs="arial"/>
          <w:color w:val="000000"/>
          <w:sz w:val="20"/>
          <w:lang w:val="en-US" w:eastAsia="en-US" w:bidi="ar-SA"/>
        </w:rPr>
        <w:t xml:space="preserve">, </w:t>
      </w:r>
      <w:hyperlink r:id="rId357" w:history="1">
        <w:r>
          <w:rPr>
            <w:rFonts w:ascii="arial" w:eastAsia="arial" w:hAnsi="arial" w:cs="arial"/>
            <w:i/>
            <w:color w:val="0077CC"/>
            <w:sz w:val="20"/>
            <w:u w:val="single"/>
            <w:shd w:val="clear" w:color="auto" w:fill="FFFFFF"/>
            <w:lang w:val="en-US" w:eastAsia="en-US" w:bidi="ar-SA"/>
          </w:rPr>
          <w:t>2010 ONSC 3623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Indiana Farmers Mutual Ins. Co. v. Imel</w:t>
      </w:r>
      <w:r>
        <w:rPr>
          <w:rFonts w:ascii="arial" w:eastAsia="arial" w:hAnsi="arial" w:cs="arial"/>
          <w:color w:val="000000"/>
          <w:sz w:val="20"/>
          <w:lang w:val="en-US" w:eastAsia="en-US" w:bidi="ar-SA"/>
        </w:rPr>
        <w:t>, 817 N.E. 2d 299 (2004) (Ind. CA) [</w:t>
      </w:r>
      <w:r>
        <w:rPr>
          <w:rFonts w:ascii="arial" w:eastAsia="arial" w:hAnsi="arial" w:cs="arial"/>
          <w:i/>
          <w:color w:val="000000"/>
          <w:sz w:val="20"/>
          <w:lang w:val="en-US" w:eastAsia="en-US" w:bidi="ar-SA"/>
        </w:rPr>
        <w:t>Imel</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Royal says that the word "residing" as used in this Policy does not require that a person have only one residence. It relies on a number of cases where children of separated or divorced parents were found to have dual residences for insurance purposes. In </w:t>
      </w:r>
      <w:r>
        <w:rPr>
          <w:rFonts w:ascii="arial" w:eastAsia="arial" w:hAnsi="arial" w:cs="arial"/>
          <w:i/>
          <w:color w:val="000000"/>
          <w:sz w:val="20"/>
          <w:lang w:val="en-US" w:eastAsia="en-US" w:bidi="ar-SA"/>
        </w:rPr>
        <w:t>Harris v. Pilot Insurance Company et al.</w:t>
      </w:r>
      <w:r>
        <w:rPr>
          <w:rFonts w:ascii="arial" w:eastAsia="arial" w:hAnsi="arial" w:cs="arial"/>
          <w:color w:val="000000"/>
          <w:sz w:val="20"/>
          <w:lang w:val="en-US" w:eastAsia="en-US" w:bidi="ar-SA"/>
        </w:rPr>
        <w:t xml:space="preserve"> </w:t>
      </w:r>
      <w:hyperlink r:id="rId358" w:history="1">
        <w:r>
          <w:rPr>
            <w:rFonts w:ascii="arial" w:eastAsia="arial" w:hAnsi="arial" w:cs="arial"/>
            <w:i/>
            <w:color w:val="0077CC"/>
            <w:sz w:val="20"/>
            <w:u w:val="single"/>
            <w:shd w:val="clear" w:color="auto" w:fill="FFFFFF"/>
            <w:lang w:val="en-US" w:eastAsia="en-US" w:bidi="ar-SA"/>
          </w:rPr>
          <w:t>(1997), 34 OR (3d) 633</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Arsenault v. Fitzgerald,</w:t>
      </w:r>
      <w:r>
        <w:rPr>
          <w:rFonts w:ascii="arial" w:eastAsia="arial" w:hAnsi="arial" w:cs="arial"/>
          <w:color w:val="000000"/>
          <w:sz w:val="20"/>
          <w:lang w:val="en-US" w:eastAsia="en-US" w:bidi="ar-SA"/>
        </w:rPr>
        <w:t xml:space="preserve"> </w:t>
      </w:r>
      <w:hyperlink r:id="rId359" w:history="1">
        <w:r>
          <w:rPr>
            <w:rFonts w:ascii="arial" w:eastAsia="arial" w:hAnsi="arial" w:cs="arial"/>
            <w:i/>
            <w:color w:val="0077CC"/>
            <w:sz w:val="20"/>
            <w:u w:val="single"/>
            <w:shd w:val="clear" w:color="auto" w:fill="FFFFFF"/>
            <w:lang w:val="en-US" w:eastAsia="en-US" w:bidi="ar-SA"/>
          </w:rPr>
          <w:t>(1985), 66 NBR (2d) 232</w:t>
        </w:r>
      </w:hyperlink>
      <w:r>
        <w:rPr>
          <w:rFonts w:ascii="arial" w:eastAsia="arial" w:hAnsi="arial" w:cs="arial"/>
          <w:color w:val="000000"/>
          <w:sz w:val="20"/>
          <w:lang w:val="en-US" w:eastAsia="en-US" w:bidi="ar-SA"/>
        </w:rPr>
        <w:t xml:space="preserve"> (QB), the child in question lived with one parent during the school year and the other during holidays. In </w:t>
      </w:r>
      <w:r>
        <w:rPr>
          <w:rFonts w:ascii="arial" w:eastAsia="arial" w:hAnsi="arial" w:cs="arial"/>
          <w:i/>
          <w:color w:val="000000"/>
          <w:sz w:val="20"/>
          <w:lang w:val="en-US" w:eastAsia="en-US" w:bidi="ar-SA"/>
        </w:rPr>
        <w:t>Miller v. United States Fidelity and Guaranty Co.,</w:t>
      </w:r>
      <w:r>
        <w:rPr>
          <w:rFonts w:ascii="arial" w:eastAsia="arial" w:hAnsi="arial" w:cs="arial"/>
          <w:color w:val="000000"/>
          <w:sz w:val="20"/>
          <w:lang w:val="en-US" w:eastAsia="en-US" w:bidi="ar-SA"/>
        </w:rPr>
        <w:t xml:space="preserve"> 127 N.J. Super. 37 (App. Div. 1974) and </w:t>
      </w:r>
      <w:r>
        <w:rPr>
          <w:rFonts w:ascii="arial" w:eastAsia="arial" w:hAnsi="arial" w:cs="arial"/>
          <w:i/>
          <w:color w:val="000000"/>
          <w:sz w:val="20"/>
          <w:lang w:val="en-US" w:eastAsia="en-US" w:bidi="ar-SA"/>
        </w:rPr>
        <w:t>Alava v. Allstate Insurance Company,</w:t>
      </w:r>
      <w:r>
        <w:rPr>
          <w:rFonts w:ascii="arial" w:eastAsia="arial" w:hAnsi="arial" w:cs="arial"/>
          <w:color w:val="000000"/>
          <w:sz w:val="20"/>
          <w:lang w:val="en-US" w:eastAsia="en-US" w:bidi="ar-SA"/>
        </w:rPr>
        <w:t xml:space="preserve"> 497 So.2d 1286 (Fla.Dist.Ct.App.1986), the child lived with the mother during the week and the father on weekends. A finding of dual residency in each case depended on the child's settled pattern of returning to each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 agree that it is possible for a person to have more than one residence for insurance purposes, depending of course on the interpretation of residence in a particular policy. However, there are two things that distinguish these cases from this case. First, they all involved the interpretation of coverage provisions, where the court was required to construe them broadly. It is clear that the meaning of a word is affected by the context of the provision containing it. In G. Hilliker, </w:t>
      </w:r>
      <w:r>
        <w:rPr>
          <w:rFonts w:ascii="arial" w:eastAsia="arial" w:hAnsi="arial" w:cs="arial"/>
          <w:i/>
          <w:color w:val="000000"/>
          <w:sz w:val="20"/>
          <w:lang w:val="en-US" w:eastAsia="en-US" w:bidi="ar-SA"/>
        </w:rPr>
        <w:t>Liability Insurance Law in Canada</w:t>
      </w:r>
      <w:r>
        <w:rPr>
          <w:rFonts w:ascii="arial" w:eastAsia="arial" w:hAnsi="arial" w:cs="arial"/>
          <w:color w:val="000000"/>
          <w:sz w:val="20"/>
          <w:lang w:val="en-US" w:eastAsia="en-US" w:bidi="ar-SA"/>
        </w:rPr>
        <w:t>, 3d ed. (Toronto: Butterworths, 2001), the learned author discusses this at p. 255: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has been considerable litigation over the meaning of the terms "household" and "resident", for, in addition to being used in an exclusion clause, these terms are often used to extend coverage by defining the class of insured persons covered by the liability portion of the policy. Of course, the meaning of a word is affected by the context in which it is found; therefore, a decision interpreting "household" in a provision extending coverage may not be authority for the interpretation of the same term in an exclusionary provision, and vice versa.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same can be said for a decision interpreting "residing". While certainly relevant for consideration, none of these cases are authority for a broad interpretation of the word "residing" in an exclusion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contrast, </w:t>
      </w:r>
      <w:r>
        <w:rPr>
          <w:rFonts w:ascii="arial" w:eastAsia="arial" w:hAnsi="arial" w:cs="arial"/>
          <w:i/>
          <w:color w:val="000000"/>
          <w:sz w:val="20"/>
          <w:lang w:val="en-US" w:eastAsia="en-US" w:bidi="ar-SA"/>
        </w:rPr>
        <w:t>Appel</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Imel,</w:t>
      </w:r>
      <w:r>
        <w:rPr>
          <w:rFonts w:ascii="arial" w:eastAsia="arial" w:hAnsi="arial" w:cs="arial"/>
          <w:color w:val="000000"/>
          <w:sz w:val="20"/>
          <w:lang w:val="en-US" w:eastAsia="en-US" w:bidi="ar-SA"/>
        </w:rPr>
        <w:t xml:space="preserve"> where residency was not found, involved the interpretation of "residing" in exclusion clauses. In </w:t>
      </w:r>
      <w:r>
        <w:rPr>
          <w:rFonts w:ascii="arial" w:eastAsia="arial" w:hAnsi="arial" w:cs="arial"/>
          <w:i/>
          <w:color w:val="000000"/>
          <w:sz w:val="20"/>
          <w:lang w:val="en-US" w:eastAsia="en-US" w:bidi="ar-SA"/>
        </w:rPr>
        <w:t>Appel</w:t>
      </w:r>
      <w:r>
        <w:rPr>
          <w:rFonts w:ascii="arial" w:eastAsia="arial" w:hAnsi="arial" w:cs="arial"/>
          <w:color w:val="000000"/>
          <w:sz w:val="20"/>
          <w:lang w:val="en-US" w:eastAsia="en-US" w:bidi="ar-SA"/>
        </w:rPr>
        <w:t xml:space="preserve">, a mother and her young son were temporarily staying with the mother's parents until the mother was able to find work in another city. In </w:t>
      </w:r>
      <w:r>
        <w:rPr>
          <w:rFonts w:ascii="arial" w:eastAsia="arial" w:hAnsi="arial" w:cs="arial"/>
          <w:i/>
          <w:color w:val="000000"/>
          <w:sz w:val="20"/>
          <w:lang w:val="en-US" w:eastAsia="en-US" w:bidi="ar-SA"/>
        </w:rPr>
        <w:t>Imel</w:t>
      </w:r>
      <w:r>
        <w:rPr>
          <w:rFonts w:ascii="arial" w:eastAsia="arial" w:hAnsi="arial" w:cs="arial"/>
          <w:color w:val="000000"/>
          <w:sz w:val="20"/>
          <w:lang w:val="en-US" w:eastAsia="en-US" w:bidi="ar-SA"/>
        </w:rPr>
        <w:t xml:space="preserve">, a boy regularly visited his grandparents on their farm about twice a month. He brought his own things on each visit and slept in a guest room. The court found the boy's temporary stays were no more than family visits and refused to make a finding of dual residency. The significance of the context in which the words were interpreted is reflected in these comments at p. 305 of </w:t>
      </w:r>
      <w:r>
        <w:rPr>
          <w:rFonts w:ascii="arial" w:eastAsia="arial" w:hAnsi="arial" w:cs="arial"/>
          <w:i/>
          <w:color w:val="000000"/>
          <w:sz w:val="20"/>
          <w:lang w:val="en-US" w:eastAsia="en-US" w:bidi="ar-SA"/>
        </w:rPr>
        <w:t>Imel</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we have previously held that "at least for some purposes a person may have more than one residence," we are mindful that the case at bar involves an exclusion provision, and accordingly, the term resident should be construed narrowly.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Second, it was clear in each of these cases that both of the parents had set up their own separate households of which the child was a part, and in </w:t>
      </w:r>
      <w:r>
        <w:rPr>
          <w:rFonts w:ascii="arial" w:eastAsia="arial" w:hAnsi="arial" w:cs="arial"/>
          <w:i/>
          <w:color w:val="000000"/>
          <w:sz w:val="20"/>
          <w:lang w:val="en-US" w:eastAsia="en-US" w:bidi="ar-SA"/>
        </w:rPr>
        <w:t>Miller</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Alava,</w:t>
      </w:r>
      <w:r>
        <w:rPr>
          <w:rFonts w:ascii="arial" w:eastAsia="arial" w:hAnsi="arial" w:cs="arial"/>
          <w:color w:val="000000"/>
          <w:sz w:val="20"/>
          <w:lang w:val="en-US" w:eastAsia="en-US" w:bidi="ar-SA"/>
        </w:rPr>
        <w:t xml:space="preserve"> where the child was with his father on weekends, there was direct evidence that the child considered himself to live with both parents. In my view, the evidence in this case does not establish that Matthew was residing with his father at the grandparents' house at the time of the incident. It establishes only that he regularly visited him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Matthew lived with his mother and sister in a townhouse, which was a 15 to 20 minute walk from the grandparents' house in Surrey. His visits to his father were at his choice. In the two years prior to the firebombing incident, Matthew's visits to his father at his grandparents' house were regular but short. He typically arrived on Friday evening and left on Saturday morning. He did this two to three times per month. He did not stay longer during holiday periods. Importantly, he did not have a room of his own nor did he keep any belongings there. He slept on the sofa in the living room. He did not have a key to the house and he did not know the access code to the security system, so he could only visit when others were home. He was not required to do any chores around the house and his time there was devoted primarily to recreational activities such as watching television or going out for a meal with his father.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Matthew's mother was responsible for most aspects of his care. She set up the townhouse and furnished a room for Matthew. She drove him to and from school and to things like medical appointments and she enrolled him in extracurricular activities. Matthew's father's participation in his school and other activities was only occasional.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While he considered himself to be part of the household when he was there, Matthew did not consider his grandparents' house to be his home. He considered his home to be at the townhouse where he lived with his mother and sister.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Royal argued that in the context of this case, Matthew's regular pattern and intention of returning to the grandparents' house forms the necessary attachment to the insured premises and meets the definition of "residing" as used in this exclusion clause. With respect, I cannot agree. The evidence does not establish an attachment to the grandparents' house sufficient to show that Matthew was residing there as part of the household at the relevant time. I found the approach taken by the Court of Appeals of Indiana in </w:t>
      </w:r>
      <w:r>
        <w:rPr>
          <w:rFonts w:ascii="arial" w:eastAsia="arial" w:hAnsi="arial" w:cs="arial"/>
          <w:i/>
          <w:color w:val="000000"/>
          <w:sz w:val="20"/>
          <w:lang w:val="en-US" w:eastAsia="en-US" w:bidi="ar-SA"/>
        </w:rPr>
        <w:t>Imel</w:t>
      </w:r>
      <w:r>
        <w:rPr>
          <w:rFonts w:ascii="arial" w:eastAsia="arial" w:hAnsi="arial" w:cs="arial"/>
          <w:color w:val="000000"/>
          <w:sz w:val="20"/>
          <w:lang w:val="en-US" w:eastAsia="en-US" w:bidi="ar-SA"/>
        </w:rPr>
        <w:t xml:space="preserve"> to be helpful to the 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order to be a resident of the Imel household, we consider the following elements: 1) whether the claimant maintained a physical presence in the insured's home; 2) whether he had the subjective intent to reside there; and 3) the nature of his access to the insured's home and its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Here, Matthew did not maintain a physical presence in the grandparents' home as he had no room of his own and kept none of his possessions there, he did not have the subjective intent to reside there, and his access to the home was dependent on those who lived there on a continuous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Finally, Royal submitted that the purpose of the exclusion clause is to prevent insureds and family members "residing in their household" from making claims against each other. As the court in </w:t>
      </w:r>
      <w:r>
        <w:rPr>
          <w:rFonts w:ascii="arial" w:eastAsia="arial" w:hAnsi="arial" w:cs="arial"/>
          <w:i/>
          <w:color w:val="000000"/>
          <w:sz w:val="20"/>
          <w:lang w:val="en-US" w:eastAsia="en-US" w:bidi="ar-SA"/>
        </w:rPr>
        <w:t>Appel</w:t>
      </w:r>
      <w:r>
        <w:rPr>
          <w:rFonts w:ascii="arial" w:eastAsia="arial" w:hAnsi="arial" w:cs="arial"/>
          <w:color w:val="000000"/>
          <w:sz w:val="20"/>
          <w:lang w:val="en-US" w:eastAsia="en-US" w:bidi="ar-SA"/>
        </w:rPr>
        <w:t xml:space="preserve"> noted, the perceived need for such protection may be the potential for collusive claims in such circumstances. The defendants challenged this, submitting that the Policy does not prevent one insured from making a claim against another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 agree with Royal on this issue. There is a clause in the Policy that separates the interests of each insured against whom a claim is made or action is brought but this is not a cross-liability provision that permits one insured to sue and recover against another insured. The exclusion clause in this case is the same as the clause considered in </w:t>
      </w:r>
      <w:r>
        <w:rPr>
          <w:rFonts w:ascii="arial" w:eastAsia="arial" w:hAnsi="arial" w:cs="arial"/>
          <w:i/>
          <w:color w:val="000000"/>
          <w:sz w:val="20"/>
          <w:lang w:val="en-US" w:eastAsia="en-US" w:bidi="ar-SA"/>
        </w:rPr>
        <w:t>Appel</w:t>
      </w:r>
      <w:r>
        <w:rPr>
          <w:rFonts w:ascii="arial" w:eastAsia="arial" w:hAnsi="arial" w:cs="arial"/>
          <w:color w:val="000000"/>
          <w:sz w:val="20"/>
          <w:lang w:val="en-US" w:eastAsia="en-US" w:bidi="ar-SA"/>
        </w:rPr>
        <w:t xml:space="preserve"> and I adopt the court's description of its purpose at para. 45: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[45] In this case, Coverage E provides the insured with coverage for sums they become legally liable to pay for loss arising from bodily injury or property damage. It is an indemnity provision intended to protect the insured against liability to third parties. The exclusion clause with which we are concerned provides, however, that the insurer is only liable to indemnify the insured where bodily injury is occasioned to what I will refer to as "true" third parties; that is, to parties other than the insured, who are not residing in the household of the insured, with the exception of residence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this case, Matthew is not a "you" under the exclusion clause, nor is he a person residing in the household. He is a true third party who was in no position to assess the risk of a fire bombing incident taking place. This is the interpretation that, in my opinion, gives effect to the reasonable expectations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Royal's application is dismissed. The defendants Alfredo Araujo, Fernanda Araujo, Fernando Araujo and Alfredo Jr. Araujo are entitled to a declaration that Royal is obligated to defend and indemnify them for any and all claims made by Matthew Araujo in Action No. S-085619.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Costs may be spoken to if the parties are unable to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 FISHER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Correction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August 15,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Reasons for Judgment of Madam Justice Fisher dated August 9, 2012 have been amended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On the first page of the judgment an additional counsel needed to be added for one of the defendants, Matthew Demelo Araujo.</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first page by adding "V.J. LeBlanc" as counsel for Matthew Demelo Araujo.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 FISHER J.</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095" style="position:absolute;z-index:251871232"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98" w:name="Forward_fnref_fnr-1"/>
      <w:hyperlink w:anchor="Backward_fnref_fnr-1" w:history="1">
        <w:r>
          <w:rPr>
            <w:rFonts w:ascii="arial" w:eastAsia="arial" w:hAnsi="arial" w:cs="arial"/>
            <w:b/>
            <w:color w:val="BE161D"/>
            <w:sz w:val="18"/>
            <w:shd w:val="clear" w:color="auto" w:fill="FFFFFF"/>
            <w:lang w:val="en-US" w:eastAsia="en-US" w:bidi="ar-SA"/>
          </w:rPr>
          <w:t>1</w:t>
        </w:r>
      </w:hyperlink>
      <w:bookmarkEnd w:id="98"/>
      <w:r>
        <w:rPr>
          <w:rFonts w:ascii="arial" w:eastAsia="arial" w:hAnsi="arial" w:cs="arial"/>
          <w:sz w:val="20"/>
          <w:lang w:val="en-US" w:eastAsia="en-US" w:bidi="ar-SA"/>
        </w:rPr>
        <w:tab/>
      </w:r>
      <w:r>
        <w:rPr>
          <w:rFonts w:ascii="arial" w:eastAsia="arial" w:hAnsi="arial" w:cs="arial"/>
          <w:color w:val="6D6E71"/>
          <w:sz w:val="18"/>
          <w:lang w:val="en-US" w:eastAsia="en-US" w:bidi="ar-SA"/>
        </w:rPr>
        <w:t>However, this is not entirely clear when both provisions are considered. If they mean the same thing, the addition of "any person residing in your household" in the exclusion clause would seem to be redundant.</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6" style="position:absolute;z-index:2518999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60"/>
          <w:headerReference w:type="default" r:id="rId361"/>
          <w:footerReference w:type="even" r:id="rId362"/>
          <w:footerReference w:type="default" r:id="rId363"/>
          <w:headerReference w:type="first" r:id="rId364"/>
          <w:footerReference w:type="first" r:id="rId36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66" w:history="1">
        <w:r>
          <w:rPr>
            <w:rFonts w:ascii="arial" w:eastAsia="arial" w:hAnsi="arial" w:cs="arial"/>
            <w:b/>
            <w:bCs/>
            <w:i/>
            <w:color w:val="0077CC"/>
            <w:kern w:val="32"/>
            <w:sz w:val="28"/>
            <w:szCs w:val="32"/>
            <w:u w:val="single"/>
            <w:shd w:val="clear" w:color="auto" w:fill="FFFFFF"/>
            <w:lang w:val="en-US" w:eastAsia="en-US" w:bidi="ar-SA"/>
          </w:rPr>
          <w:t>Singh v. Soper, [2012] B.C.J. No. 1846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E.A. Arnold-Bailey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9,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6,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M111521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1846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1312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Surinder Singh and Surinder Singh operating a business known as "Surinder Singh Owner &amp; Operator", Plaintiffs, and Robert Timothy Soper and D &amp; R Sand and Gravel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7" style="position:absolute;z-index:251673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99" w:name="Keywords_13"/>
      <w:bookmarkEnd w:id="99"/>
      <w:r>
        <w:rPr>
          <w:rFonts w:ascii="arial" w:eastAsia="arial" w:hAnsi="arial" w:cs="arial"/>
          <w:b/>
          <w:color w:val="000000"/>
          <w:sz w:val="20"/>
          <w:lang w:val="en-US" w:eastAsia="en-US" w:bidi="ar-SA"/>
        </w:rPr>
        <w:t>Civil litigation — Civil procedure — Disposition without trial — Dismissal of action — Frivolous, vexatious or abuse of process — Application by defendants to have plaintiff's personal injury and economic loss action dismissed as statute-barred allowed in part — Following motor vehicle accident with defendant driver, who was operating employer's vehicle, plaintiff elected to receive workers' compensation benefits for injuries — After plaintiff commenced action, defendant obtained s. 257 certificate stating plaintiff was worker injured in course of employment, and defendants were employer and employee under Act — While certificate and s. 10(1) barred plaintiff from bringing action for personal and emotional injuries, he was not barred from claiming damages for business losses, which were not covered by election.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driver — Liability of owner — Application by defendants to have plaintiff's personal injury and economic loss action dismissed as statute-barred allowed in part — Following motor vehicle accident with defendant driver, who was operating employer's vehicle, plaintiff elected to receive workers' compensation benefits for injuries — After plaintiff commenced action, defendant obtained s. 257 certificate stating plaintiff was worker injured in course of employment, and defendants were employer and employee under Act — While certificate and s. 10(1) barred plaintiff from bringing action for personal and emotional injuries, he was not barred from claiming damages for business losses, which were not covered by election.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Workplace health, safety and compensation law — Workers' compensation — Election by claimant — To make claim in tort — After election to receive benefits — Circumstances when allowed — To receive benefits — Legislation — Effect of statute on other causes of action — Application by defendants to have plaintiff's personal injury and economic loss action dismissed as statute-barred allowed in part — Following motor vehicle accident with defendant driver, who was operating employer's vehicle, plaintiff elected to receive workers' compensation benefits for injuries — After plaintiff commenced action, defendant obtained s. 257 certificate stating plaintiff was worker injured in course of employment, and defendants were employer and employee under Act — While certificate and s. 10(1) barred plaintiff from bringing action for personal and emotional injuries, he was not barred from claiming damages for business losses, which were not covered by election.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0" w:name="Case Summary_14"/>
            <w:bookmarkEnd w:id="10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to have the plaintiff's personal injury and economic loss claim dismissed as statute-barred. The plaintiff operated a sole proprietorship and had optional workers' compensation coverage. The plaintiff was driving a truck when he was rear-ended by the defendant employee, who was driving the defendant employer's vehicle. The plaintiff submitted an independent operator's application for compensation and the Board accepted the plaintiff's claim for soft tissue injuries to his rib cage. The plaintiff received benefits. The plaintiff commenced this action in 2008, claiming the defendants were negligent and the accident caused personal injuries and business losses, including loss of his truck, profits and equipment. The defendants obtained a s. 257 certificate from the WCAT, which stated the plaintiff was a worker who suffered injuries in the course of his employment and the defendants were an employer and employee under the Act. The plaintiff argued he should be able to proceed with his action because the WCAT erred in finding he was a worker when he owned and operated a business. The defendant argued s. 10(1) of the Workers Compensation Act provided a complete bar to the action.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01" w:name="Holdings of Court_11"/>
            <w:bookmarkEnd w:id="101"/>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sole proprietorship was not a separate entity from himself. The plaintiff elected to receive workers' compensation benefits for personal injuries and wage loss. Once the s. 257 certificate was issued, the plaintiff was barred from bringing an action against the defendants for personal and emotional injuries. However, the certificate and s. 10(1) did not act as a complete bar. The plaintiff was not barred from maintaining an action for business-related losses as those were not covered by his election.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2" w:name="Legislation Cited_10"/>
      <w:bookmarkEnd w:id="10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98" style="position:absolute;z-index:2517248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Court Order Interest Act, </w:t>
      </w:r>
      <w:r>
        <w:rPr>
          <w:rFonts w:ascii="arial" w:eastAsia="arial" w:hAnsi="arial" w:cs="arial"/>
          <w:i/>
          <w:color w:val="000000"/>
          <w:sz w:val="20"/>
          <w:lang w:val="en-US" w:eastAsia="en-US" w:bidi="ar-SA"/>
        </w:rPr>
        <w:t>RSBC 1996, CHAPTER 79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Insurance (Motor Vehicle) Act, </w:t>
      </w:r>
      <w:hyperlink r:id="rId367" w:history="1">
        <w:r>
          <w:rPr>
            <w:rFonts w:ascii="arial" w:eastAsia="arial" w:hAnsi="arial" w:cs="arial"/>
            <w:i/>
            <w:color w:val="0077CC"/>
            <w:sz w:val="20"/>
            <w:u w:val="single"/>
            <w:shd w:val="clear" w:color="auto" w:fill="FFFFFF"/>
            <w:lang w:val="en-US" w:eastAsia="en-US" w:bidi="ar-SA"/>
          </w:rPr>
          <w:t>RSBC 1996, CHAPTER 231, s. 52</w:t>
        </w:r>
      </w:hyperlink>
      <w:r>
        <w:rPr>
          <w:rFonts w:ascii="arial" w:eastAsia="arial" w:hAnsi="arial" w:cs="arial"/>
          <w:color w:val="000000"/>
          <w:sz w:val="20"/>
          <w:lang w:val="en-US" w:eastAsia="en-US" w:bidi="ar-SA"/>
        </w:rPr>
        <w:t>, s. 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Insurance (Vehicle) Act, </w:t>
      </w:r>
      <w:hyperlink r:id="rId368" w:history="1">
        <w:r>
          <w:rPr>
            <w:rFonts w:ascii="arial" w:eastAsia="arial" w:hAnsi="arial" w:cs="arial"/>
            <w:i/>
            <w:color w:val="0077CC"/>
            <w:sz w:val="20"/>
            <w:u w:val="single"/>
            <w:shd w:val="clear" w:color="auto" w:fill="FFFFFF"/>
            <w:lang w:val="en-US" w:eastAsia="en-US" w:bidi="ar-SA"/>
          </w:rPr>
          <w:t>RSBC 1996, CHAPTER 231, s. 95</w:t>
        </w:r>
      </w:hyperlink>
      <w:r>
        <w:rPr>
          <w:rFonts w:ascii="arial" w:eastAsia="arial" w:hAnsi="arial" w:cs="arial"/>
          <w:color w:val="000000"/>
          <w:sz w:val="20"/>
          <w:lang w:val="en-US" w:eastAsia="en-US" w:bidi="ar-SA"/>
        </w:rPr>
        <w:t>, s. 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Workers Compensation Act, RSBC 1996, CHAPTER 492, s. 1(a), s. 1(f), s. 2(2), s. 9(1), s. 10, s. 254, s. 257(a)-(d)</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03" w:name="Counsel_14"/>
      <w:bookmarkEnd w:id="10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9" style="position:absolute;z-index:2517760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Surindra Singh: 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Brendan D. Home.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4" w:name="Judgment_14"/>
      <w:bookmarkEnd w:id="104"/>
      <w:r>
        <w:pict>
          <v:line id="_x0000_s1100" style="position:absolute;z-index:251826176"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correction was released by the Court August 1, 2013; the change has been made to the text and the correction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7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5" w:name="E.A. ARNOLD-BAILEY J."/>
            <w:bookmarkEnd w:id="105"/>
            <w:r>
              <w:rPr>
                <w:rFonts w:ascii="arial" w:eastAsia="arial" w:hAnsi="arial" w:cs="arial"/>
                <w:b/>
                <w:color w:val="000000"/>
                <w:sz w:val="30"/>
                <w:lang w:val="en-US" w:eastAsia="en-US" w:bidi="ar-SA"/>
              </w:rPr>
              <w:t>E.A. ARNOLD-BAILEY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defendants seek to have the plaintiff's action dismissed under R 9-6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as they submit that the plaintiff's personal injury and claim for economic loss due to his personal injury is statute-barred by virtue of ss. 10 and 257 of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492</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WCA</w:t>
      </w:r>
      <w:r>
        <w:rPr>
          <w:rFonts w:ascii="arial" w:eastAsia="arial" w:hAnsi="arial" w:cs="arial"/>
          <w:color w:val="000000"/>
          <w:sz w:val="20"/>
          <w:lang w:val="en-US" w:eastAsia="en-US" w:bidi="ar-SA"/>
        </w:rPr>
        <w:t>]. Mr. Surindra Singh and the same Mr. Singh operating a sole proprietorship known as "Surinder Singh Owner &amp; Operator" is opposed to his action being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Although the style of cause has not been amended, the Workers' Compensation Appeal Tribunal ("WCAT") decision dated September 23, 2011, refers to Mr. Singh's correct name as "Surindra Singh"; I will therefore refer to Mr. Singh by his correct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Materials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this application, the defendants seek the following:</w:t>
      </w:r>
      <w:r>
        <w:rPr>
          <w:rFonts w:ascii="arial" w:eastAsia="arial" w:hAnsi="arial" w:cs="arial"/>
          <w:sz w:val="20"/>
          <w:lang w:val="en-US" w:eastAsia="en-US" w:bidi="ar-SA"/>
        </w:rPr>
        <w:cr/>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action against the defendants be dismissed, as the plaintiff's claim is barred pursuant to ss. 10 and 257 of the </w:t>
      </w:r>
      <w:r>
        <w:rPr>
          <w:rFonts w:ascii="arial" w:eastAsia="arial" w:hAnsi="arial" w:cs="arial"/>
          <w:i/>
          <w:color w:val="000000"/>
          <w:sz w:val="20"/>
          <w:lang w:val="en-US" w:eastAsia="en-US" w:bidi="ar-SA"/>
        </w:rPr>
        <w:t>WCA</w:t>
      </w:r>
      <w:r>
        <w:rPr>
          <w:rFonts w:ascii="arial" w:eastAsia="arial" w:hAnsi="arial" w:cs="arial"/>
          <w:color w:val="000000"/>
          <w:sz w:val="20"/>
          <w:lang w:val="en-US" w:eastAsia="en-US" w:bidi="ar-SA"/>
        </w:rPr>
        <w:t>;</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costs of this application be awarded to the defendants; and</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costs of the within action be awarded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materials relied on by the defendants is the Affidavit #1 of Karen Chan sworn January 10, 2012, to which is attached the writ of summons and statement of claim filed February 26, 2008; the statement of defence filed January 28, 2009; and the WCAT certificate and decision dated September 23,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response, the plaintiff argues the following:</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SS. 10 and 257 of the [</w:t>
      </w:r>
      <w:r>
        <w:rPr>
          <w:rFonts w:ascii="arial" w:eastAsia="arial" w:hAnsi="arial" w:cs="arial"/>
          <w:i/>
          <w:color w:val="000000"/>
          <w:sz w:val="20"/>
          <w:lang w:val="en-US" w:eastAsia="en-US" w:bidi="ar-SA"/>
        </w:rPr>
        <w:t>WCA</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As the WCAT Determination did not decide the status of the plaintiff Surindra Singh operating a business known as "SURINDRA SINGH OWNER AND OPERATOR", the plaintiff should not be barred from pursuing claims for damages as set out in the Writ of Summons and Statement of Claim.</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Registration of a Sole Proprietorship or General Partnership</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If you choose to carry on a business under a name other than your own personal name and are engaged in business for trading, manufacturing or mining purposes, you must register with the BC Registry Services within three months of your business date.</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Retrieved from BC Registry Online Official Website</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Dated May 27, 2012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(Surindra Singh) was operating business as an owner operator/ independent operator in his personal name and did not engage in business for trading, manufacturing or mining purposes. The Plaintiff, Surindra Singh's business was not required to register with BC Registry Services. The Plaintiff should not be barred under SS. 10 and S. 257 of the [</w:t>
      </w:r>
      <w:r>
        <w:rPr>
          <w:rFonts w:ascii="arial" w:eastAsia="arial" w:hAnsi="arial" w:cs="arial"/>
          <w:i/>
          <w:color w:val="000000"/>
          <w:sz w:val="20"/>
          <w:lang w:val="en-US" w:eastAsia="en-US" w:bidi="ar-SA"/>
        </w:rPr>
        <w:t>WCA</w:t>
      </w:r>
      <w:r>
        <w:rPr>
          <w:rFonts w:ascii="arial" w:eastAsia="arial" w:hAnsi="arial" w:cs="arial"/>
          <w:color w:val="000000"/>
          <w:sz w:val="20"/>
          <w:lang w:val="en-US" w:eastAsia="en-US" w:bidi="ar-SA"/>
        </w:rPr>
        <w:t>] from pursuing claims for damages as set out in the Writ of Summons and Statement of Claim.</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(Surindra Singh) was determined an independent operator under S. 39 of [</w:t>
      </w:r>
      <w:r>
        <w:rPr>
          <w:rFonts w:ascii="arial" w:eastAsia="arial" w:hAnsi="arial" w:cs="arial"/>
          <w:i/>
          <w:color w:val="000000"/>
          <w:sz w:val="20"/>
          <w:lang w:val="en-US" w:eastAsia="en-US" w:bidi="ar-SA"/>
        </w:rPr>
        <w:t>WCA</w:t>
      </w:r>
      <w:r>
        <w:rPr>
          <w:rFonts w:ascii="arial" w:eastAsia="arial" w:hAnsi="arial" w:cs="arial"/>
          <w:color w:val="000000"/>
          <w:sz w:val="20"/>
          <w:lang w:val="en-US" w:eastAsia="en-US" w:bidi="ar-SA"/>
        </w:rPr>
        <w:t>] and charged the cost of claim according to RSCM VOLUME I CHAPTER 17: CHARGING COST OF CLAIM POLICY ITEM # 113.00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Plaintiff should not be barred under SS. 10 and S. 257 of the [</w:t>
      </w:r>
      <w:r>
        <w:rPr>
          <w:rFonts w:ascii="arial" w:eastAsia="arial" w:hAnsi="arial" w:cs="arial"/>
          <w:i/>
          <w:color w:val="000000"/>
          <w:sz w:val="20"/>
          <w:lang w:val="en-US" w:eastAsia="en-US" w:bidi="ar-SA"/>
        </w:rPr>
        <w:t>WCA</w:t>
      </w:r>
      <w:r>
        <w:rPr>
          <w:rFonts w:ascii="arial" w:eastAsia="arial" w:hAnsi="arial" w:cs="arial"/>
          <w:color w:val="000000"/>
          <w:sz w:val="20"/>
          <w:lang w:val="en-US" w:eastAsia="en-US" w:bidi="ar-SA"/>
        </w:rPr>
        <w:t>] from pursuing claims for damages as set out in the Writ of Summons and Statement of Claim.</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Defendants did not comply with orders of Supreme Court of British Columbia and WCAT.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relies on his own affidavit sworn on June 12, 2012, to which he attached a letter from Mahbub &amp; Company (Public Accountants) dated May 17, 2012; a copy of a lease from Howard Carter Lease Ltd. dated February 15, 2005; an agreement he signed as consideration for the Workers' Compensation Board ("WCB") granting permission to pursue legal action dated June 10, 2010; an Owner's Certificate of Insurance and Vehicle Licence from ICBC; a letter from the WCB dated June 12, 2006; the decision of the WCAT #2007-03449 dated November 5, 2007; and online information from the BC Registry official website accessed on May 27,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Neither the self-represented plaintiff, Mr. Singh, appearing on his own behalf and on behalf of his business, nor counsel for the defendants provided the Court with anything other than the most summary and general submissions. No case authority was provided by either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commenced an action against Robert Timothy Soper and D&amp;R Sand and Gravel Ltd. (collectively "the defendants") for negligent driving that resulted in a motor vehicle accident on or about February 27, 2006 near the intersection of Nordel Way and Scott Road in the City of Surrey. The plaintiff, Mr. Singh, was travelling in his leased 2005 five-ton Mitsubishi truck when he was rear-ended by the defendant Mr. Soper, driving a Kenworth tractor trailer dump truck owned by his employer, D&amp;R Sand and Gravel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Following the February 27, 2006 accident, the plaintiff submitted an independent operator's application for compensation and report of injury or occupational disease form dated March 5, 2006 and thereby elected to claim compensation. The WCB accepted Mr. Singh's claim for soft tissue injuries to the neck and chest. Subsequently, as a result of the WCAT decision dated August 17, 2007, the WCB accepted his claim for soft tissue injuries to the rib cage. According to the WCAT decision dated September 23, 2011, Mr. Singh's claim was accepted by the WCB and compensation was paid to him; however, no details are provided as to what that compensation entails.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By decision dated April 28, 2006, a case manager advised Mr. Singh that he had no right of action against the defendants as the other driver was also in the course of employment at the time of the accident. By decision dated October 25, 2006, a review officer confirmed the April 28, 2006 decision. On appeal to WCAT dated August 17, 2007, the WCAT panel cancelled the October 25, 2006 review decision as being outside of the WCB's jurisdiction: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as part of its acceptance of the worker's claim the Board has the jurisdiction to determine if the worker was a worker who suffered an injury arising out of and in the course of his employment, it lacks the legal authority to determine that the worker is barred from bringing a lawsuit arising out of the motor vehicle accident. The language of item #111.10 of the RSCM II explains the effect of subsection 10(1) of the Act; it does not give the Board the power to determine whether an action is 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 this decision, the WCAT confirmed that the plaintiff's wage rate was properly set and that his temporary disability benefits were properly terminated effective May 31,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In its decision dated November 5, 2007, the WCAT determined that Mr. Singh was not entitled to relief for costs associated with his temporary disability under s. 39(1)(e) of the </w:t>
      </w:r>
      <w:r>
        <w:rPr>
          <w:rFonts w:ascii="arial" w:eastAsia="arial" w:hAnsi="arial" w:cs="arial"/>
          <w:i/>
          <w:color w:val="000000"/>
          <w:sz w:val="20"/>
          <w:lang w:val="en-US" w:eastAsia="en-US" w:bidi="ar-SA"/>
        </w:rPr>
        <w:t>WCA</w:t>
      </w:r>
      <w:r>
        <w:rPr>
          <w:rFonts w:ascii="arial" w:eastAsia="arial" w:hAnsi="arial" w:cs="arial"/>
          <w:color w:val="000000"/>
          <w:sz w:val="20"/>
          <w:lang w:val="en-US" w:eastAsia="en-US" w:bidi="ar-SA"/>
        </w:rPr>
        <w:t xml:space="preserve"> as he did not have a pre-existing disease, condition or disability that has enhanced the disability under the claim. He was charged costs of the claim to his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Singh commenced this legal action by filing a writ of summons and a statement of claim on February 26,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his statement of claim, the plaintiff claims that Mr. Soper caused the collision and his employer is vicariously liable for his negligent driving. In addition to sustaining personal injury in the motor vehicle accident that gives rise to the plaintiff's health related claims, Mr. Singh claims for: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loss of the truck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loss of good will and past and future profits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loss of $40,000 equity in the truck;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loss of equipment;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employer "costs of the claim" pursuant to the [</w:t>
      </w:r>
      <w:r>
        <w:rPr>
          <w:rFonts w:ascii="arial" w:eastAsia="arial" w:hAnsi="arial" w:cs="arial"/>
          <w:i/>
          <w:color w:val="000000"/>
          <w:sz w:val="20"/>
          <w:lang w:val="en-US" w:eastAsia="en-US" w:bidi="ar-SA"/>
        </w:rPr>
        <w:t>WCA</w:t>
      </w:r>
      <w:r>
        <w:rPr>
          <w:rFonts w:ascii="arial" w:eastAsia="arial" w:hAnsi="arial" w:cs="arial"/>
          <w:color w:val="000000"/>
          <w:sz w:val="20"/>
          <w:lang w:val="en-US" w:eastAsia="en-US" w:bidi="ar-SA"/>
        </w:rPr>
        <w:t>] and subsequent amendments thereto;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other economic loss, to be adduced in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Singh asks that the court order for each Mr. Singh and for his business against the defendants, jointly and severally: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general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special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interest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 xml:space="preserve"> and amendments thereto;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such further and other relief as to this Honourable Court may seem [fit].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Counsel for the defendants made an application to WCAT for a s. 257 certificate on October 13, 2009. The WCAT considered all of the evidence and argument afresh, regardless of its prior decisions. On September 23, 2011, the WCAT issued a certificate in which it determined the following:</w:t>
      </w:r>
      <w:r>
        <w:rPr>
          <w:rFonts w:ascii="arial" w:eastAsia="arial" w:hAnsi="arial" w:cs="arial"/>
          <w:sz w:val="20"/>
          <w:lang w:val="en-US" w:eastAsia="en-US" w:bidi="ar-SA"/>
        </w:rPr>
        <w:cr/>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SURINDRA SINGH, was a worker within the meaning of Part 1 of the </w:t>
      </w:r>
      <w:r>
        <w:rPr>
          <w:rFonts w:ascii="arial" w:eastAsia="arial" w:hAnsi="arial" w:cs="arial"/>
          <w:i/>
          <w:color w:val="000000"/>
          <w:sz w:val="20"/>
          <w:lang w:val="en-US" w:eastAsia="en-US" w:bidi="ar-SA"/>
        </w:rPr>
        <w:t>Workers Compensation Act.</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injuries suffered by the Plaintiff, SURINDRA SINGH, arose out of and in the course of his employment within the scope of Part 1 of the </w:t>
      </w:r>
      <w:r>
        <w:rPr>
          <w:rFonts w:ascii="arial" w:eastAsia="arial" w:hAnsi="arial" w:cs="arial"/>
          <w:i/>
          <w:color w:val="000000"/>
          <w:sz w:val="20"/>
          <w:lang w:val="en-US" w:eastAsia="en-US" w:bidi="ar-SA"/>
        </w:rPr>
        <w:t>Workers Compensation Act.</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D&amp;R SAND AND GRAVEL LTD., was an employer engaged in an industry within the meaning of Part 1 of the </w:t>
      </w:r>
      <w:r>
        <w:rPr>
          <w:rFonts w:ascii="arial" w:eastAsia="arial" w:hAnsi="arial" w:cs="arial"/>
          <w:i/>
          <w:color w:val="000000"/>
          <w:sz w:val="20"/>
          <w:lang w:val="en-US" w:eastAsia="en-US" w:bidi="ar-SA"/>
        </w:rPr>
        <w:t>Workers Compensation Act.</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ROBERT TIMOTHY SOPER, was a worker within the meaning of Part 1 of the </w:t>
      </w:r>
      <w:r>
        <w:rPr>
          <w:rFonts w:ascii="arial" w:eastAsia="arial" w:hAnsi="arial" w:cs="arial"/>
          <w:i/>
          <w:color w:val="000000"/>
          <w:sz w:val="20"/>
          <w:lang w:val="en-US" w:eastAsia="en-US" w:bidi="ar-SA"/>
        </w:rPr>
        <w:t>Workers Compensation Act.</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Any action or conduct of the Defendant, ROBERT TIMOTHY SOPER, which caused the alleged breach of duty of care, arose out of and in the course of his employment within the scope of Part 1 of the </w:t>
      </w:r>
      <w:r>
        <w:rPr>
          <w:rFonts w:ascii="arial" w:eastAsia="arial" w:hAnsi="arial" w:cs="arial"/>
          <w:i/>
          <w:color w:val="000000"/>
          <w:sz w:val="20"/>
          <w:lang w:val="en-US" w:eastAsia="en-US" w:bidi="ar-SA"/>
        </w:rPr>
        <w:t>Workers Compensation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his reasons (</w:t>
      </w:r>
      <w:r>
        <w:rPr>
          <w:rFonts w:ascii="arial" w:eastAsia="arial" w:hAnsi="arial" w:cs="arial"/>
          <w:i/>
          <w:color w:val="000000"/>
          <w:sz w:val="20"/>
          <w:lang w:val="en-US" w:eastAsia="en-US" w:bidi="ar-SA"/>
        </w:rPr>
        <w:t>WCAT-2011-02374</w:t>
      </w:r>
      <w:r>
        <w:rPr>
          <w:rFonts w:ascii="arial" w:eastAsia="arial" w:hAnsi="arial" w:cs="arial"/>
          <w:color w:val="000000"/>
          <w:sz w:val="20"/>
          <w:lang w:val="en-US" w:eastAsia="en-US" w:bidi="ar-SA"/>
        </w:rPr>
        <w:t>), Mr. Herb Morton, Vice Chair of the WCAT, agreed with the previous decision of the panel with respect to the effect of a certificate issued by WCAT on a legal action. He stated at para. 22: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Neither the Board nor WCAT has jurisdiction to determine the effect of a status determination under section 257 on the legal action, in respect of the effect of the section 10 bar. The court determines the effect of the certificate on the legal action: see </w:t>
      </w:r>
      <w:r>
        <w:rPr>
          <w:rFonts w:ascii="arial" w:eastAsia="arial" w:hAnsi="arial" w:cs="arial"/>
          <w:i/>
          <w:color w:val="000000"/>
          <w:sz w:val="20"/>
          <w:lang w:val="en-US" w:eastAsia="en-US" w:bidi="ar-SA"/>
        </w:rPr>
        <w:t>Clapp v. Macro Industries Inc.</w:t>
      </w:r>
      <w:r>
        <w:rPr>
          <w:rFonts w:ascii="arial" w:eastAsia="arial" w:hAnsi="arial" w:cs="arial"/>
          <w:color w:val="000000"/>
          <w:sz w:val="20"/>
          <w:lang w:val="en-US" w:eastAsia="en-US" w:bidi="ar-SA"/>
        </w:rPr>
        <w:t xml:space="preserve">, </w:t>
      </w:r>
      <w:hyperlink r:id="rId369" w:history="1">
        <w:r>
          <w:rPr>
            <w:rFonts w:ascii="arial" w:eastAsia="arial" w:hAnsi="arial" w:cs="arial"/>
            <w:i/>
            <w:color w:val="0077CC"/>
            <w:sz w:val="20"/>
            <w:u w:val="single"/>
            <w:shd w:val="clear" w:color="auto" w:fill="FFFFFF"/>
            <w:lang w:val="en-US" w:eastAsia="en-US" w:bidi="ar-SA"/>
          </w:rPr>
          <w:t>2007 BCSC 840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plaintiff's position is that he should be able to proceed with his action because when the WCAT made its s. 254 determination, it erred because it referred to him as a worker whereas he had a business as an owner and operator. He further submits that WCAT said he was an independent owner operator in their decision (November 5, 2007) but in their earlier decision (June 12, 2006) he had been found to be a worker. As I understand his position, it is that the WCAT could not properly refer to him as both. The plaintiff also points to the fact that he was not required to register his business, a sole proprietorship, with BC Registry Services. He had apparently been previously registered with the WCB as an owner operator. By way of his concluding statement in court, the plaintiff stated that his status as an independent operator was not taken into account by WCAT and that he was not required to register that status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defendants' position is that s. 10 of the </w:t>
      </w:r>
      <w:r>
        <w:rPr>
          <w:rFonts w:ascii="arial" w:eastAsia="arial" w:hAnsi="arial" w:cs="arial"/>
          <w:i/>
          <w:color w:val="000000"/>
          <w:sz w:val="20"/>
          <w:lang w:val="en-US" w:eastAsia="en-US" w:bidi="ar-SA"/>
        </w:rPr>
        <w:t>WCA</w:t>
      </w:r>
      <w:r>
        <w:rPr>
          <w:rFonts w:ascii="arial" w:eastAsia="arial" w:hAnsi="arial" w:cs="arial"/>
          <w:color w:val="000000"/>
          <w:sz w:val="20"/>
          <w:lang w:val="en-US" w:eastAsia="en-US" w:bidi="ar-SA"/>
        </w:rPr>
        <w:t xml:space="preserve"> is a complete bar to the plaintiffs' action, which includes any claim for past or future wage loss or economic loss. They submit that no head of damages survives the s. 257 certificate issued by the WCAT. Counsel did not provide any case authority but relies on the previously cited sections of the </w:t>
      </w:r>
      <w:r>
        <w:rPr>
          <w:rFonts w:ascii="arial" w:eastAsia="arial" w:hAnsi="arial" w:cs="arial"/>
          <w:i/>
          <w:color w:val="000000"/>
          <w:sz w:val="20"/>
          <w:lang w:val="en-US" w:eastAsia="en-US" w:bidi="ar-SA"/>
        </w:rPr>
        <w:t>WCA</w:t>
      </w:r>
      <w:r>
        <w:rPr>
          <w:rFonts w:ascii="arial" w:eastAsia="arial" w:hAnsi="arial" w:cs="arial"/>
          <w:color w:val="000000"/>
          <w:sz w:val="20"/>
          <w:lang w:val="en-US" w:eastAsia="en-US" w:bidi="ar-SA"/>
        </w:rPr>
        <w:t xml:space="preserve">. He stated that based on s. 254 of the </w:t>
      </w:r>
      <w:r>
        <w:rPr>
          <w:rFonts w:ascii="arial" w:eastAsia="arial" w:hAnsi="arial" w:cs="arial"/>
          <w:i/>
          <w:color w:val="000000"/>
          <w:sz w:val="20"/>
          <w:lang w:val="en-US" w:eastAsia="en-US" w:bidi="ar-SA"/>
        </w:rPr>
        <w:t>WCA</w:t>
      </w:r>
      <w:r>
        <w:rPr>
          <w:rFonts w:ascii="arial" w:eastAsia="arial" w:hAnsi="arial" w:cs="arial"/>
          <w:color w:val="000000"/>
          <w:sz w:val="20"/>
          <w:lang w:val="en-US" w:eastAsia="en-US" w:bidi="ar-SA"/>
        </w:rPr>
        <w:t xml:space="preserve">, the WCAT has exclusive jurisdiction to determine matters relating to injuries arising out of and in the course of employment that are governed under Part 4 of the </w:t>
      </w:r>
      <w:r>
        <w:rPr>
          <w:rFonts w:ascii="arial" w:eastAsia="arial" w:hAnsi="arial" w:cs="arial"/>
          <w:i/>
          <w:color w:val="000000"/>
          <w:sz w:val="20"/>
          <w:lang w:val="en-US" w:eastAsia="en-US" w:bidi="ar-SA"/>
        </w:rPr>
        <w:t>WCA</w:t>
      </w:r>
      <w:r>
        <w:rPr>
          <w:rFonts w:ascii="arial" w:eastAsia="arial" w:hAnsi="arial" w:cs="arial"/>
          <w:color w:val="000000"/>
          <w:sz w:val="20"/>
          <w:lang w:val="en-US" w:eastAsia="en-US" w:bidi="ar-SA"/>
        </w:rPr>
        <w:t xml:space="preserve">. Mr. Singh elected to receive benefits under s. 9(1) of the </w:t>
      </w:r>
      <w:r>
        <w:rPr>
          <w:rFonts w:ascii="arial" w:eastAsia="arial" w:hAnsi="arial" w:cs="arial"/>
          <w:i/>
          <w:color w:val="000000"/>
          <w:sz w:val="20"/>
          <w:lang w:val="en-US" w:eastAsia="en-US" w:bidi="ar-SA"/>
        </w:rPr>
        <w:t>WCA</w:t>
      </w:r>
      <w:r>
        <w:rPr>
          <w:rFonts w:ascii="arial" w:eastAsia="arial" w:hAnsi="arial" w:cs="arial"/>
          <w:color w:val="000000"/>
          <w:sz w:val="20"/>
          <w:lang w:val="en-US" w:eastAsia="en-US" w:bidi="ar-SA"/>
        </w:rPr>
        <w:t xml:space="preserve">. He was compensated by the WCB (now WorkSafeBC) for his wage loss and that concludes his right to compensation for his injuries and damages. Counsel for the defendants also submits that Mr. Singh and his business are one entity and that any business loss flowed from his personal injury. He pointed out that the definition of "worker" in s. 1(f) of the </w:t>
      </w:r>
      <w:r>
        <w:rPr>
          <w:rFonts w:ascii="arial" w:eastAsia="arial" w:hAnsi="arial" w:cs="arial"/>
          <w:i/>
          <w:color w:val="000000"/>
          <w:sz w:val="20"/>
          <w:lang w:val="en-US" w:eastAsia="en-US" w:bidi="ar-SA"/>
        </w:rPr>
        <w:t>WCA</w:t>
      </w:r>
      <w:r>
        <w:rPr>
          <w:rFonts w:ascii="arial" w:eastAsia="arial" w:hAnsi="arial" w:cs="arial"/>
          <w:color w:val="000000"/>
          <w:sz w:val="20"/>
          <w:lang w:val="en-US" w:eastAsia="en-US" w:bidi="ar-SA"/>
        </w:rPr>
        <w:t xml:space="preserve"> includes an independent operator.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r>
        <w:rPr>
          <w:rFonts w:ascii="arial" w:eastAsia="arial" w:hAnsi="arial" w:cs="arial"/>
          <w:sz w:val="20"/>
          <w:lang w:val="en-US" w:eastAsia="en-US" w:bidi="ar-SA"/>
        </w:rPr>
        <w:cr/>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WCAT err in referring to Mr. Singh as both a worker and an independent operator?</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plaintiff's business, a sole proprietorship under the name of "Surinder Singh Owner &amp; Operator", a separate legal entity from the plaintiff?</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Can the plaintiff bring an action against the defendants for damages or is he barred from doing so under s. 10(1) of the </w:t>
      </w:r>
      <w:r>
        <w:rPr>
          <w:rFonts w:ascii="arial" w:eastAsia="arial" w:hAnsi="arial" w:cs="arial"/>
          <w:i/>
          <w:color w:val="000000"/>
          <w:sz w:val="20"/>
          <w:lang w:val="en-US" w:eastAsia="en-US" w:bidi="ar-SA"/>
        </w:rPr>
        <w:t>WCA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Statutory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relevant sections of the </w:t>
      </w:r>
      <w:r>
        <w:rPr>
          <w:rFonts w:ascii="arial" w:eastAsia="arial" w:hAnsi="arial" w:cs="arial"/>
          <w:i/>
          <w:color w:val="000000"/>
          <w:sz w:val="20"/>
          <w:lang w:val="en-US" w:eastAsia="en-US" w:bidi="ar-SA"/>
        </w:rPr>
        <w:t>WCA</w:t>
      </w:r>
      <w:r>
        <w:rPr>
          <w:rFonts w:ascii="arial" w:eastAsia="arial" w:hAnsi="arial" w:cs="arial"/>
          <w:color w:val="000000"/>
          <w:sz w:val="20"/>
          <w:lang w:val="en-US" w:eastAsia="en-US" w:bidi="ar-SA"/>
        </w:rPr>
        <w:t xml:space="preserve"> are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 "worker" includes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who has entered into or works under a contract of service or apprenticeship, written or oral, express or implied, whether by way of manual labour or otherwise;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independent operator admitted by the Board under section 2 (2);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(2) The Board may direct that this Part applies on the terms specified in the Board's direction</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an independent operator who is neither an employer nor a worker as though the independent operator was a worker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(1) Where by the law of the country or place in which the injury or occupational disease occurs the worker or the worker's dependants are entitled to compensation in respect of it, they must elect whether they will claim compensation under the law of that country or place or under this Part, and to give notice of the election. If the election is not made and notice given, it must be presumed that they have elected not to claim compensation under this Part; but if there is in existence an agreement entered into, or arrangement made, under section 8.1, any right of election is subject to the terms of that agreement or arrangement.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(1) The provisions of this Part are in lieu of any right and rights of action, statutory or otherwise, founded on a breach of duty of care or any other cause of action, whether that duty or cause of action is imposed by or arises by reason of law or contract, express or implied, to which a worker, dependant or member of the family of the worker is or may be entitled against the employer of the worker, or against any employer within the scope of this Part, or against any worker, in respect of any personal injury, disablement or death arising out of and in the course of employment and no action in respect of it lies. This provision applies only when the action or conduct of the employer, the employer's servant or agent, or the worker, which caused the breach of duty arose out of and in the course of employment within the scope of this Part.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cause of the injury, disablement or death of a worker is such that an action lies against some person, other than an employer or worker within the scope of this Part, the worker or dependant may claim compensation or may bring an action. If the worker or dependant elects to claim compensation, he or she must do so within 3 months of the occurrence of the injury or any longer period that the Board allows.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worker or dependant applies to the Board claiming compensation under this Part, neither the making of the application nor the payment of compensation under it restricts or impairs any right of action against the party liable, but as to every such claim the Board is subrogated to the rights of the worker or dependant and may maintain an action in the name of the worker or dependant or in the name of the Board; and if more is recovered and collected than the amount of the compensation to which the worker or dependant would be entitled under this Part, the amount of the excess, less costs and administration charges, must be paid to the worker or dependant. The Board has exclusive jurisdiction to determine whether to maintain an action or compromise the right of action, and its decision is final and conclusive.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an action is commenced based on</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disability caused by occupational disease,</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personal injury, or</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death,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or a party to the action may request the appeal tribunal to make a determination under subsection (2) and to certify that determination to the court.</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subsection (1), the appeal tribunal may determine any matter that is relevant to the action and within the Board's jurisdiction under this Act, including determining whether</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was, at the time the cause of action arose, a worker,</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injury, disability or death of a worker arose out of, and in the course of, the worker's employment,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employer or the employer's servant or agent was, at the time the cause of action arose, employed by another employer, or</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employer was, at the time the cause of action arose, engaged in an industry within the meaning of Part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r>
        <w:rPr>
          <w:rFonts w:ascii="arial" w:eastAsia="arial" w:hAnsi="arial" w:cs="arial"/>
          <w:sz w:val="20"/>
          <w:lang w:val="en-US" w:eastAsia="en-US" w:bidi="ar-SA"/>
        </w:rPr>
        <w:cr/>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WCAT err in referring to Mr. Singh as both a worker and an independent operator?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is of the opinion that the WCAT has erred by referring to him as a worker and then as an independent operator in their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WCAT decision dated September 23, 2011, addressed this issue. After quoting the definition of "worker" under s. 1(f) and s. 2 of the </w:t>
      </w:r>
      <w:r>
        <w:rPr>
          <w:rFonts w:ascii="arial" w:eastAsia="arial" w:hAnsi="arial" w:cs="arial"/>
          <w:i/>
          <w:color w:val="000000"/>
          <w:sz w:val="20"/>
          <w:lang w:val="en-US" w:eastAsia="en-US" w:bidi="ar-SA"/>
        </w:rPr>
        <w:t>WCA</w:t>
      </w:r>
      <w:r>
        <w:rPr>
          <w:rFonts w:ascii="arial" w:eastAsia="arial" w:hAnsi="arial" w:cs="arial"/>
          <w:color w:val="000000"/>
          <w:sz w:val="20"/>
          <w:lang w:val="en-US" w:eastAsia="en-US" w:bidi="ar-SA"/>
        </w:rPr>
        <w:t>, the WCAT says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 Accordingly, the combined effect of these provisions provides a statutory basis for finding that the plaintiff is a worker, even though this is based on his purchase of POP coverage as an independent operator. The plaintiff does meet a definition of the term "worker" contained in section 1 of the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 While not necessary to my decision, I note that section 10(9) of the Act provides: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For the purpose of this section, "worker" includes an employer admitted under section 2 (2).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[27] Accordingly, it would appear that a determination of "worker" status would also be made in respect of an employer with POP coverage. To illustrate, WCAT-2009-01068 / WCAT-2009-01069, cited section 10(9) of the Act and reasoned as follows in relation to the status of the defendant Martens: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find that Martens was a worker within the meaning of Part 1 of the Act. The same conclusion would apply whether he was characterized as an independent operator/employer who had registered for POP coverage, or whether he was a worker of Rona.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At the time of the accident, policy in the Assessment Manual at AP1-1-7 concerning labour contractors provided: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Labour contractors may voluntarily choose to register as an employer (proprietorship or partnership) if they have workers or obtain Personal Optional Protection as an independent operator if they do not have workers. A labour contractor who takes one of these actions is an "independent firm" for purposes of Item AP1-1-3.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Labour contractors who choose not to register as an employer (if they have workers) or obtain Personal Optional Protection as an independent operator (if they do not have workers) are considered workers of the firm for whom they are contracting, and that firm is responsible for assessments. Any persons employed by the labour contractor to assist them are also considered workers of the firm with whom the labour contractor is contracting. A worker cannot be an "independent firm".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If the labour contractor is registered, the proprietor or partner is not covered unless Personal Optional Protection is in effect.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Labour contractors include proprietors or partners who:</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8"/>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b/>
          <w:color w:val="000000"/>
          <w:sz w:val="20"/>
          <w:lang w:val="en-US" w:eastAsia="en-US" w:bidi="ar-SA"/>
        </w:rPr>
        <w:t>may or may not have workers but contract a service including one piece of major revenue-producing equipment to a firm or individual.</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Persons who are normally labour contractors and who employ a worker are considered independent firms for any period of time that they are not contracting with another person or entity.</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[Emphasis added in original.]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 As the plaintiff was contracting a service including one piece of major revenue-producing equipment (a five-ton cube van) to a firm, he was eligible to register with the Board for POP as an owner operator. The plaintiff had in fact purchased POP coverage from the Board. As he had purchased POP coverage, I find that he was a worker pursuant to section 2(2)(a) and item (f) of the definition of "worker" in section 1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Section 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defines "worker" to include an independent operator admitted by the WCB under s. 2(2). This applies to the plaintiff as he purchased Personal Optional Protection ("POP") coverage as an independent operator in order to be eligible for workers' compensation benefits in case of an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agree with the WCAT that the plaintiff meets the definition of a "worker". I find that the WCAT did not err in using either of these terms to describe Mr. Singh.</w:t>
      </w:r>
      <w:r>
        <w:rPr>
          <w:rFonts w:ascii="arial" w:eastAsia="arial" w:hAnsi="arial" w:cs="arial"/>
          <w:sz w:val="20"/>
          <w:lang w:val="en-US" w:eastAsia="en-US" w:bidi="ar-SA"/>
        </w:rPr>
        <w:cr/>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plaintiff's sole proprietorship a separate legal entity from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has a business known as "Surinder Singh Owner &amp; Operator". Since Mr. Singh's business is not under a name other than his own personal name and he is not engaged in business for trading, manufacturing or mining purposes, he is not required to register with the BC Registry Services. As he submitted at the hearing, his business is not registered with BC Registry Services as it is a sole proprietorship operating under his personal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It is well established that a sole proprietorship is not a separate legal entity from the individual operating the business: "As a matter of legal status, a sole proprietorship has no legal status separate from the individual who is the sole proprietor" (</w:t>
      </w:r>
      <w:r>
        <w:rPr>
          <w:rFonts w:ascii="arial" w:eastAsia="arial" w:hAnsi="arial" w:cs="arial"/>
          <w:i/>
          <w:color w:val="000000"/>
          <w:sz w:val="20"/>
          <w:lang w:val="en-US" w:eastAsia="en-US" w:bidi="ar-SA"/>
        </w:rPr>
        <w:t>Kingsway General Insurance Co. v. Gore Mutual Insurance Co.</w:t>
      </w:r>
      <w:r>
        <w:rPr>
          <w:rFonts w:ascii="arial" w:eastAsia="arial" w:hAnsi="arial" w:cs="arial"/>
          <w:color w:val="000000"/>
          <w:sz w:val="20"/>
          <w:lang w:val="en-US" w:eastAsia="en-US" w:bidi="ar-SA"/>
        </w:rPr>
        <w:t xml:space="preserve">, </w:t>
      </w:r>
      <w:hyperlink r:id="rId370" w:history="1">
        <w:r>
          <w:rPr>
            <w:rFonts w:ascii="arial" w:eastAsia="arial" w:hAnsi="arial" w:cs="arial"/>
            <w:i/>
            <w:color w:val="0077CC"/>
            <w:sz w:val="20"/>
            <w:u w:val="single"/>
            <w:shd w:val="clear" w:color="auto" w:fill="FFFFFF"/>
            <w:lang w:val="en-US" w:eastAsia="en-US" w:bidi="ar-SA"/>
          </w:rPr>
          <w:t>2010 ONSC 5308</w:t>
        </w:r>
      </w:hyperlink>
      <w:r>
        <w:rPr>
          <w:rFonts w:ascii="arial" w:eastAsia="arial" w:hAnsi="arial" w:cs="arial"/>
          <w:color w:val="000000"/>
          <w:sz w:val="20"/>
          <w:lang w:val="en-US" w:eastAsia="en-US" w:bidi="ar-SA"/>
        </w:rPr>
        <w:t xml:space="preserve"> at para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fact, under Canadian law, even a partnership is not a separate legal entity as is, for example, a corporation (</w:t>
      </w:r>
      <w:r>
        <w:rPr>
          <w:rFonts w:ascii="arial" w:eastAsia="arial" w:hAnsi="arial" w:cs="arial"/>
          <w:i/>
          <w:color w:val="000000"/>
          <w:sz w:val="20"/>
          <w:lang w:val="en-US" w:eastAsia="en-US" w:bidi="ar-SA"/>
        </w:rPr>
        <w:t>Fasken Martineau DuMoulin LLP v. British Columbia (Human Rights Tribunal</w:t>
      </w:r>
      <w:r>
        <w:rPr>
          <w:rFonts w:ascii="arial" w:eastAsia="arial" w:hAnsi="arial" w:cs="arial"/>
          <w:color w:val="000000"/>
          <w:sz w:val="20"/>
          <w:lang w:val="en-US" w:eastAsia="en-US" w:bidi="ar-SA"/>
        </w:rPr>
        <w:t xml:space="preserve">, </w:t>
      </w:r>
      <w:hyperlink r:id="rId371" w:history="1">
        <w:r>
          <w:rPr>
            <w:rFonts w:ascii="arial" w:eastAsia="arial" w:hAnsi="arial" w:cs="arial"/>
            <w:i/>
            <w:color w:val="0077CC"/>
            <w:sz w:val="20"/>
            <w:u w:val="single"/>
            <w:shd w:val="clear" w:color="auto" w:fill="FFFFFF"/>
            <w:lang w:val="en-US" w:eastAsia="en-US" w:bidi="ar-SA"/>
          </w:rPr>
          <w:t>2012 BCCA 313</w:t>
        </w:r>
      </w:hyperlink>
      <w:r>
        <w:rPr>
          <w:rFonts w:ascii="arial" w:eastAsia="arial" w:hAnsi="arial" w:cs="arial"/>
          <w:color w:val="000000"/>
          <w:sz w:val="20"/>
          <w:lang w:val="en-US" w:eastAsia="en-US" w:bidi="ar-SA"/>
        </w:rPr>
        <w:t xml:space="preserve"> at para.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Thus, the plaintiff's sole proprietorship is not a separate legal entity of the plaintiff and his argument to the contrary must fail.</w:t>
      </w:r>
      <w:r>
        <w:rPr>
          <w:rFonts w:ascii="arial" w:eastAsia="arial" w:hAnsi="arial" w:cs="arial"/>
          <w:sz w:val="20"/>
          <w:lang w:val="en-US" w:eastAsia="en-US" w:bidi="ar-SA"/>
        </w:rPr>
        <w:cr/>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Can the plaintiff bring an action against the defendants for damages or is he barred from doing so under s. 10(1) of the </w:t>
      </w:r>
      <w:r>
        <w:rPr>
          <w:rFonts w:ascii="arial" w:eastAsia="arial" w:hAnsi="arial" w:cs="arial"/>
          <w:i/>
          <w:color w:val="000000"/>
          <w:sz w:val="20"/>
          <w:lang w:val="en-US" w:eastAsia="en-US" w:bidi="ar-SA"/>
        </w:rPr>
        <w:t>WCA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says that the WCAT determination related to his personal workers' compensation claim but it did not decide the status of his business, and he should not be barred from pursuing claims for damages as set out in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Yaremy v. Insurance Corporation of British Columbia</w:t>
      </w:r>
      <w:r>
        <w:rPr>
          <w:rFonts w:ascii="arial" w:eastAsia="arial" w:hAnsi="arial" w:cs="arial"/>
          <w:color w:val="000000"/>
          <w:sz w:val="20"/>
          <w:lang w:val="en-US" w:eastAsia="en-US" w:bidi="ar-SA"/>
        </w:rPr>
        <w:t xml:space="preserve">, </w:t>
      </w:r>
      <w:hyperlink r:id="rId372" w:history="1">
        <w:r>
          <w:rPr>
            <w:rFonts w:ascii="arial" w:eastAsia="arial" w:hAnsi="arial" w:cs="arial"/>
            <w:i/>
            <w:color w:val="0077CC"/>
            <w:sz w:val="20"/>
            <w:u w:val="single"/>
            <w:shd w:val="clear" w:color="auto" w:fill="FFFFFF"/>
            <w:lang w:val="en-US" w:eastAsia="en-US" w:bidi="ar-SA"/>
          </w:rPr>
          <w:t>2010 BCCA 418</w:t>
        </w:r>
      </w:hyperlink>
      <w:r>
        <w:rPr>
          <w:rFonts w:ascii="arial" w:eastAsia="arial" w:hAnsi="arial" w:cs="arial"/>
          <w:color w:val="000000"/>
          <w:sz w:val="20"/>
          <w:lang w:val="en-US" w:eastAsia="en-US" w:bidi="ar-SA"/>
        </w:rPr>
        <w:t xml:space="preserve">, the British Columbia Court of Appeal discussed the issue of whether the provisions of s. 10 of the </w:t>
      </w:r>
      <w:r>
        <w:rPr>
          <w:rFonts w:ascii="arial" w:eastAsia="arial" w:hAnsi="arial" w:cs="arial"/>
          <w:i/>
          <w:color w:val="000000"/>
          <w:sz w:val="20"/>
          <w:lang w:val="en-US" w:eastAsia="en-US" w:bidi="ar-SA"/>
        </w:rPr>
        <w:t>WCA</w:t>
      </w:r>
      <w:r>
        <w:rPr>
          <w:rFonts w:ascii="arial" w:eastAsia="arial" w:hAnsi="arial" w:cs="arial"/>
          <w:color w:val="000000"/>
          <w:sz w:val="20"/>
          <w:lang w:val="en-US" w:eastAsia="en-US" w:bidi="ar-SA"/>
        </w:rPr>
        <w:t xml:space="preserve"> preclude the issuance of a writ of summons either before or after an injured worker makes an election to apply for workers' compensation benefits. The majority of the Court explained that once a worker under the </w:t>
      </w:r>
      <w:r>
        <w:rPr>
          <w:rFonts w:ascii="arial" w:eastAsia="arial" w:hAnsi="arial" w:cs="arial"/>
          <w:i/>
          <w:color w:val="000000"/>
          <w:sz w:val="20"/>
          <w:lang w:val="en-US" w:eastAsia="en-US" w:bidi="ar-SA"/>
        </w:rPr>
        <w:t>WCA</w:t>
      </w:r>
      <w:r>
        <w:rPr>
          <w:rFonts w:ascii="arial" w:eastAsia="arial" w:hAnsi="arial" w:cs="arial"/>
          <w:color w:val="000000"/>
          <w:sz w:val="20"/>
          <w:lang w:val="en-US" w:eastAsia="en-US" w:bidi="ar-SA"/>
        </w:rPr>
        <w:t xml:space="preserve"> elects to claim compensation, an action cannot be commenced by an injured person: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[80] In my view, ss. 9(1), 9(2), 10(2) and 10(6) must be interpreted in a manner that is consistent with the scheme and purpose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which is to give carriage of any action to the Board during the currency of the compensation claim, and to avoid the plaintiff pursuing both a compensation claim and a civil claim at the same time. I do not agree with my colleague that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would permit a plaintiff to simultaneously claim compensation and sue for damages in a court. That conclusion seems inconsistent with the plain language of ss. 9 and 10, and would, with respect, rob the mandatory election contained in those sections of any meaning. The election of compensation is an encumbrance on the ability of an injured worker to commence an action. The plain meaning of the provision in s. 10(6) that "[t]he Board has exclusive jurisdiction to determine whether to maintain an action or compromise the right of action, and its decision is final and conclusive" if compensation is claimed, supports the interpretation that once benefits are elected, an action cannot be commenced by the injured person.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[81] I find further support for this conclusion in the judgment of the Ontario Court of Appeal, in </w:t>
      </w:r>
      <w:r>
        <w:rPr>
          <w:rFonts w:ascii="arial" w:eastAsia="arial" w:hAnsi="arial" w:cs="arial"/>
          <w:i/>
          <w:color w:val="000000"/>
          <w:sz w:val="20"/>
          <w:lang w:val="en-US" w:eastAsia="en-US" w:bidi="ar-SA"/>
        </w:rPr>
        <w:t>Sutor v. Workplace Safety and Insurance Board</w:t>
      </w:r>
      <w:r>
        <w:rPr>
          <w:rFonts w:ascii="arial" w:eastAsia="arial" w:hAnsi="arial" w:cs="arial"/>
          <w:color w:val="000000"/>
          <w:sz w:val="20"/>
          <w:lang w:val="en-US" w:eastAsia="en-US" w:bidi="ar-SA"/>
        </w:rPr>
        <w:t xml:space="preserve"> </w:t>
      </w:r>
      <w:hyperlink r:id="rId373" w:history="1">
        <w:r>
          <w:rPr>
            <w:rFonts w:ascii="arial" w:eastAsia="arial" w:hAnsi="arial" w:cs="arial"/>
            <w:i/>
            <w:color w:val="0077CC"/>
            <w:sz w:val="20"/>
            <w:u w:val="single"/>
            <w:shd w:val="clear" w:color="auto" w:fill="FFFFFF"/>
            <w:lang w:val="en-US" w:eastAsia="en-US" w:bidi="ar-SA"/>
          </w:rPr>
          <w:t>(2003), 63 O.R. (3d) 257</w:t>
        </w:r>
      </w:hyperlink>
      <w:r>
        <w:rPr>
          <w:rFonts w:ascii="arial" w:eastAsia="arial" w:hAnsi="arial" w:cs="arial"/>
          <w:color w:val="000000"/>
          <w:sz w:val="20"/>
          <w:lang w:val="en-US" w:eastAsia="en-US" w:bidi="ar-SA"/>
        </w:rPr>
        <w:t xml:space="preserve">, interpreting similar wording in the Ontario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 R.S.O. 1990, C. W-11. Under the Ontario legislation, the court found the legislation to require a choice from the injured person: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has been a fundamental principle of workers' compensation in Ontario since January 1, 1915 that a worker covered by the legislation who is injured in circumstances giving rise to a cause of action has a choice. The worker can claim the benefits provided by the legislation or s/he can sue. The language of S.O. 1914, c. 25, s. 9(1), "may claim such benefits </w:t>
      </w:r>
      <w:r>
        <w:rPr>
          <w:rFonts w:ascii="arial" w:eastAsia="arial" w:hAnsi="arial" w:cs="arial"/>
          <w:i/>
          <w:color w:val="000000"/>
          <w:sz w:val="20"/>
          <w:lang w:val="en-US" w:eastAsia="en-US" w:bidi="ar-SA"/>
        </w:rPr>
        <w:t>or</w:t>
      </w:r>
      <w:r>
        <w:rPr>
          <w:rFonts w:ascii="arial" w:eastAsia="arial" w:hAnsi="arial" w:cs="arial"/>
          <w:color w:val="000000"/>
          <w:sz w:val="20"/>
          <w:lang w:val="en-US" w:eastAsia="en-US" w:bidi="ar-SA"/>
        </w:rPr>
        <w:t xml:space="preserve"> may bring such action" is carried forward in s. 10(1) of </w:t>
      </w:r>
      <w:r>
        <w:rPr>
          <w:rFonts w:ascii="arial" w:eastAsia="arial" w:hAnsi="arial" w:cs="arial"/>
          <w:color w:val="000000"/>
          <w:sz w:val="20"/>
          <w:u w:val="single"/>
          <w:lang w:val="en-US" w:eastAsia="en-US" w:bidi="ar-SA"/>
        </w:rPr>
        <w:t>WCA</w:t>
      </w:r>
      <w:r>
        <w:rPr>
          <w:rFonts w:ascii="arial" w:eastAsia="arial" w:hAnsi="arial" w:cs="arial"/>
          <w:color w:val="000000"/>
          <w:sz w:val="20"/>
          <w:lang w:val="en-US" w:eastAsia="en-US" w:bidi="ar-SA"/>
        </w:rPr>
        <w:t xml:space="preserve">, 1990. </w:t>
      </w:r>
      <w:r>
        <w:rPr>
          <w:rFonts w:ascii="arial" w:eastAsia="arial" w:hAnsi="arial" w:cs="arial"/>
          <w:color w:val="000000"/>
          <w:sz w:val="20"/>
          <w:u w:val="single"/>
          <w:lang w:val="en-US" w:eastAsia="en-US" w:bidi="ar-SA"/>
        </w:rPr>
        <w:t>There is no suggestion that an injured worker may do both</w:t>
      </w:r>
      <w:r>
        <w:rPr>
          <w:rFonts w:ascii="arial" w:eastAsia="arial" w:hAnsi="arial" w:cs="arial"/>
          <w:color w:val="000000"/>
          <w:sz w:val="20"/>
          <w:lang w:val="en-US" w:eastAsia="en-US" w:bidi="ar-SA"/>
        </w:rPr>
        <w:t>. Such a suggestion would be entirely at odds with the principle of choice expressed in s. 10(1)." [para. 43]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in italics in original. Underlined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[82] I read "maintain an action" to include commencement of an action. In </w:t>
      </w:r>
      <w:r>
        <w:rPr>
          <w:rFonts w:ascii="arial" w:eastAsia="arial" w:hAnsi="arial" w:cs="arial"/>
          <w:i/>
          <w:color w:val="000000"/>
          <w:sz w:val="20"/>
          <w:lang w:val="en-US" w:eastAsia="en-US" w:bidi="ar-SA"/>
        </w:rPr>
        <w:t>McRae</w:t>
      </w:r>
      <w:r>
        <w:rPr>
          <w:rFonts w:ascii="arial" w:eastAsia="arial" w:hAnsi="arial" w:cs="arial"/>
          <w:color w:val="000000"/>
          <w:sz w:val="20"/>
          <w:lang w:val="en-US" w:eastAsia="en-US" w:bidi="ar-SA"/>
        </w:rPr>
        <w:t xml:space="preserve">, Finch J.A. (as he then was) adopted for the court the ratio in the Ontario Court of Appeal decision in </w:t>
      </w:r>
      <w:r>
        <w:rPr>
          <w:rFonts w:ascii="arial" w:eastAsia="arial" w:hAnsi="arial" w:cs="arial"/>
          <w:i/>
          <w:color w:val="000000"/>
          <w:sz w:val="20"/>
          <w:lang w:val="en-US" w:eastAsia="en-US" w:bidi="ar-SA"/>
        </w:rPr>
        <w:t>MacIntosh v. Gzowski</w:t>
      </w:r>
      <w:r>
        <w:rPr>
          <w:rFonts w:ascii="arial" w:eastAsia="arial" w:hAnsi="arial" w:cs="arial"/>
          <w:color w:val="000000"/>
          <w:sz w:val="20"/>
          <w:lang w:val="en-US" w:eastAsia="en-US" w:bidi="ar-SA"/>
        </w:rPr>
        <w:t xml:space="preserve"> </w:t>
      </w:r>
      <w:hyperlink r:id="rId374" w:history="1">
        <w:r>
          <w:rPr>
            <w:rFonts w:ascii="arial" w:eastAsia="arial" w:hAnsi="arial" w:cs="arial"/>
            <w:i/>
            <w:color w:val="0077CC"/>
            <w:sz w:val="20"/>
            <w:u w:val="single"/>
            <w:shd w:val="clear" w:color="auto" w:fill="FFFFFF"/>
            <w:lang w:val="en-US" w:eastAsia="en-US" w:bidi="ar-SA"/>
          </w:rPr>
          <w:t>(1979), 105 D.L.R. (3d) 721</w:t>
        </w:r>
      </w:hyperlink>
      <w:r>
        <w:rPr>
          <w:rFonts w:ascii="arial" w:eastAsia="arial" w:hAnsi="arial" w:cs="arial"/>
          <w:color w:val="000000"/>
          <w:sz w:val="20"/>
          <w:lang w:val="en-US" w:eastAsia="en-US" w:bidi="ar-SA"/>
        </w:rPr>
        <w:t>, that when one action was commenced by the Workers Compensation Board and one by the worker, the worker's action should be dismissed or stayed. The Board is able to commence an action and is indeed the correct party to bring the action once benefits are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At para. 89 of </w:t>
      </w:r>
      <w:r>
        <w:rPr>
          <w:rFonts w:ascii="arial" w:eastAsia="arial" w:hAnsi="arial" w:cs="arial"/>
          <w:i/>
          <w:color w:val="000000"/>
          <w:sz w:val="20"/>
          <w:lang w:val="en-US" w:eastAsia="en-US" w:bidi="ar-SA"/>
        </w:rPr>
        <w:t>Yaremy</w:t>
      </w:r>
      <w:r>
        <w:rPr>
          <w:rFonts w:ascii="arial" w:eastAsia="arial" w:hAnsi="arial" w:cs="arial"/>
          <w:color w:val="000000"/>
          <w:sz w:val="20"/>
          <w:lang w:val="en-US" w:eastAsia="en-US" w:bidi="ar-SA"/>
        </w:rPr>
        <w:t>, the Court of Appeal contemplates that with permission by the WCB, a plaintiff can start a legal action and claim benefits: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[89] Mr. Yaremy understood that he could not </w:t>
      </w:r>
      <w:r>
        <w:rPr>
          <w:rFonts w:ascii="arial" w:eastAsia="arial" w:hAnsi="arial" w:cs="arial"/>
          <w:color w:val="000000"/>
          <w:sz w:val="20"/>
          <w:u w:val="single"/>
          <w:lang w:val="en-US" w:eastAsia="en-US" w:bidi="ar-SA"/>
        </w:rPr>
        <w:t>without the Board's approval</w:t>
      </w:r>
      <w:r>
        <w:rPr>
          <w:rFonts w:ascii="arial" w:eastAsia="arial" w:hAnsi="arial" w:cs="arial"/>
          <w:color w:val="000000"/>
          <w:sz w:val="20"/>
          <w:lang w:val="en-US" w:eastAsia="en-US" w:bidi="ar-SA"/>
        </w:rPr>
        <w:t xml:space="preserve"> pursue a civil claim and at the same time claim benefits.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After the accident, the plaintiff elected to receive compensation for his personal injury and wage loss from the WCB. He chose not to start a legal action at that time. His claim was accepted and compensation was paid to him. On February 26, 2008, the plaintiff started a legal action against the defendants to recover damages associated with his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consideration of the WCB granting permission to pursue the action, Mr. Singh signed an agreement dated June 10, 2010 that any funds recovered by him through negotiation, settlement or otherwise as a result of injuries sustained in the accident be distributed in the following manner:</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Firstly, to pay all reasonable legal fees and disbursements incurred in pursuing the legal action;</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Secondly, to reimburse the Board for the amounts paid to him or on his behalf for the injuries, including but not limited to the Board's administration fee pursuant to Claim No. 06126293;</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Thirdly, the excess, if any, to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Board's expenses as of May 25, 2010 were $9,499.44, inclusive of administrative fees. Moreover, he agreed that the Board's expenses may increase from the amount listed above and he will confirm with the Board the amount of the Board's expenses, prior to accepting any settlement proposal or proceeding to trial. It is unclear on the evidence what this amount represents.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This procedure is in agreement with the requirements set out in policy #111.25, "Pursuing of Subrogated Actions by the Board", </w:t>
      </w:r>
      <w:r>
        <w:rPr>
          <w:rFonts w:ascii="arial" w:eastAsia="arial" w:hAnsi="arial" w:cs="arial"/>
          <w:i/>
          <w:color w:val="000000"/>
          <w:sz w:val="20"/>
          <w:lang w:val="en-US" w:eastAsia="en-US" w:bidi="ar-SA"/>
        </w:rPr>
        <w:t>Rehabilitation Services and Claims Manual</w:t>
      </w:r>
      <w:r>
        <w:rPr>
          <w:rFonts w:ascii="arial" w:eastAsia="arial" w:hAnsi="arial" w:cs="arial"/>
          <w:color w:val="000000"/>
          <w:sz w:val="20"/>
          <w:lang w:val="en-US" w:eastAsia="en-US" w:bidi="ar-SA"/>
        </w:rPr>
        <w:t>, Volume II, which has been in effect since June 30, 2002: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the Board is subrogated to an action following a claimant's election to claim compensation, it has exclusive jurisdiction to determine whether it shall maintain or compromise the right of action, and the decision of the Board is final and conclusive. (8) The Legal Services Division of the Board determines whether there is a cause of action against a third party, and whether it is one that is worth pursuing.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Legal Services Division concludes that there is no claim worth pursuing, but </w:t>
      </w:r>
      <w:r>
        <w:rPr>
          <w:rFonts w:ascii="arial" w:eastAsia="arial" w:hAnsi="arial" w:cs="arial"/>
          <w:color w:val="000000"/>
          <w:sz w:val="20"/>
          <w:u w:val="single"/>
          <w:lang w:val="en-US" w:eastAsia="en-US" w:bidi="ar-SA"/>
        </w:rPr>
        <w:t>the claimant or the claimant's lawyer disagrees, the claimant may be permitted to select a lawyer to conduct an action</w:t>
      </w:r>
      <w:r>
        <w:rPr>
          <w:rFonts w:ascii="arial" w:eastAsia="arial" w:hAnsi="arial" w:cs="arial"/>
          <w:color w:val="000000"/>
          <w:sz w:val="20"/>
          <w:lang w:val="en-US" w:eastAsia="en-US" w:bidi="ar-SA"/>
        </w:rPr>
        <w:t xml:space="preserve"> and the lawyer will be advised:</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action is one the Legal Services Division does not consider worth pursuing;</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if the lawyer is of a different opinion, he or she may be authorized to pursue an action on behalf of the Board and the claimant on the terms that if there is a successful recovery, the full recovery is to be paid to the Board, subject to recognition of a lien for fees and disbursements; Further, that if the action is not successful, the Board will not be responsible for fees and disbursements;</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of the amount of the Board's claim or, if that is not possible, of an indication that the amount of the Board's claim remains to be determined.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This procedure will not be followed where it is felt that the risk of liability for costs clearly exceeds any likelihood of recovery</w:t>
      </w:r>
      <w:r>
        <w:rPr>
          <w:rFonts w:ascii="arial" w:eastAsia="arial" w:hAnsi="arial" w:cs="arial"/>
          <w:color w:val="000000"/>
          <w:sz w:val="20"/>
          <w:lang w:val="en-US" w:eastAsia="en-US" w:bidi="ar-SA"/>
        </w:rPr>
        <w: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After the plaintiff commenced this action, the defendants applied to the WCAT for a s. 257 certificate. As cited above, the WCAT decided all issues under its jurisdiction in the affirmative on September 23,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Mr. Justice Halfyard of this Court recently explained in </w:t>
      </w:r>
      <w:r>
        <w:rPr>
          <w:rFonts w:ascii="arial" w:eastAsia="arial" w:hAnsi="arial" w:cs="arial"/>
          <w:i/>
          <w:color w:val="000000"/>
          <w:sz w:val="20"/>
          <w:lang w:val="en-US" w:eastAsia="en-US" w:bidi="ar-SA"/>
        </w:rPr>
        <w:t>Aitken v. Bethell</w:t>
      </w:r>
      <w:r>
        <w:rPr>
          <w:rFonts w:ascii="arial" w:eastAsia="arial" w:hAnsi="arial" w:cs="arial"/>
          <w:color w:val="000000"/>
          <w:sz w:val="20"/>
          <w:lang w:val="en-US" w:eastAsia="en-US" w:bidi="ar-SA"/>
        </w:rPr>
        <w:t xml:space="preserve">, </w:t>
      </w:r>
      <w:hyperlink r:id="rId375" w:history="1">
        <w:r>
          <w:rPr>
            <w:rFonts w:ascii="arial" w:eastAsia="arial" w:hAnsi="arial" w:cs="arial"/>
            <w:i/>
            <w:color w:val="0077CC"/>
            <w:sz w:val="20"/>
            <w:u w:val="single"/>
            <w:shd w:val="clear" w:color="auto" w:fill="FFFFFF"/>
            <w:lang w:val="en-US" w:eastAsia="en-US" w:bidi="ar-SA"/>
          </w:rPr>
          <w:t>2012 BCSC 260</w:t>
        </w:r>
      </w:hyperlink>
      <w:r>
        <w:rPr>
          <w:rFonts w:ascii="arial" w:eastAsia="arial" w:hAnsi="arial" w:cs="arial"/>
          <w:color w:val="000000"/>
          <w:sz w:val="20"/>
          <w:lang w:val="en-US" w:eastAsia="en-US" w:bidi="ar-SA"/>
        </w:rPr>
        <w:t xml:space="preserve">, that once the WCAT determines the issues outlined in s. 257(2)(a) through (d) in the affirmative, the defendants can rely on s. 10(1) of Part I of the </w:t>
      </w:r>
      <w:r>
        <w:rPr>
          <w:rFonts w:ascii="arial" w:eastAsia="arial" w:hAnsi="arial" w:cs="arial"/>
          <w:i/>
          <w:color w:val="000000"/>
          <w:sz w:val="20"/>
          <w:lang w:val="en-US" w:eastAsia="en-US" w:bidi="ar-SA"/>
        </w:rPr>
        <w:t>WCA</w:t>
      </w:r>
      <w:r>
        <w:rPr>
          <w:rFonts w:ascii="arial" w:eastAsia="arial" w:hAnsi="arial" w:cs="arial"/>
          <w:color w:val="000000"/>
          <w:sz w:val="20"/>
          <w:lang w:val="en-US" w:eastAsia="en-US" w:bidi="ar-SA"/>
        </w:rPr>
        <w:t xml:space="preserve"> to bar an action brought against them by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[66] I have attached s. 10(1) of the Act as an appendix to these reasons. It seems to me that, in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for damages for personal injury, in order for a defendant to succeed in this defence, it must be established:</w:t>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plaintiff, at the time of the alleged injury, was a "worker;"</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alleged injury "[arose] out of and in the course of [the plaintiff's] employment;"</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defendant was the plaintiff's employer, or the plaintiff's co-worker, or "any employer within the scope of this Part" (i.e., Part 1 of the Act), or "any worker;" and</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conduct of the defendant which is alleged to have caused the injury "arose out of and in the course of employment within the scope of this Part" (i.e. Part 1 of the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[67] Where the statutory bar applies in favour of a defendant, the plaintiff cannot maintain his or her action as against that defendant. The plaintiff is restricted to making a claim for workers compensation in respect of the injury caused by that defendant.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[68] It appeared to be common ground that, if the Minister was an employer within the meaning of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 then s. 10(1) would be an absolute bar to any action being brought against him by the plaintiff, i.e., a "worker," (for any tort allegedly committed by him or by a police officer), even though neither the government nor the Minister was the employer of the police officers involved. The potential scope of the statutory bar appears to be broad.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Similarly, Macaulay J. in </w:t>
      </w:r>
      <w:r>
        <w:rPr>
          <w:rFonts w:ascii="arial" w:eastAsia="arial" w:hAnsi="arial" w:cs="arial"/>
          <w:i/>
          <w:color w:val="000000"/>
          <w:sz w:val="20"/>
          <w:lang w:val="en-US" w:eastAsia="en-US" w:bidi="ar-SA"/>
        </w:rPr>
        <w:t>Downs Construction Ltd. v. British Columbia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Workers' Compensation Appeal Tribunal</w:t>
      </w:r>
      <w:r>
        <w:rPr>
          <w:rFonts w:ascii="arial" w:eastAsia="arial" w:hAnsi="arial" w:cs="arial"/>
          <w:color w:val="000000"/>
          <w:sz w:val="20"/>
          <w:lang w:val="en-US" w:eastAsia="en-US" w:bidi="ar-SA"/>
        </w:rPr>
        <w:t xml:space="preserve">), </w:t>
      </w:r>
      <w:hyperlink r:id="rId376" w:history="1">
        <w:r>
          <w:rPr>
            <w:rFonts w:ascii="arial" w:eastAsia="arial" w:hAnsi="arial" w:cs="arial"/>
            <w:i/>
            <w:color w:val="0077CC"/>
            <w:sz w:val="20"/>
            <w:u w:val="single"/>
            <w:shd w:val="clear" w:color="auto" w:fill="FFFFFF"/>
            <w:lang w:val="en-US" w:eastAsia="en-US" w:bidi="ar-SA"/>
          </w:rPr>
          <w:t>2011 BCSC 1129</w:t>
        </w:r>
      </w:hyperlink>
      <w:r>
        <w:rPr>
          <w:rFonts w:ascii="arial" w:eastAsia="arial" w:hAnsi="arial" w:cs="arial"/>
          <w:color w:val="000000"/>
          <w:sz w:val="20"/>
          <w:lang w:val="en-US" w:eastAsia="en-US" w:bidi="ar-SA"/>
        </w:rPr>
        <w:t>, makes clear that a WCAT s. 257 certificate, answering each issue in the affirmative, could be used to bar a plaintiff from bringing a civil claim against the defendants: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 Section 257(2) of the </w:t>
      </w:r>
      <w:r>
        <w:rPr>
          <w:rFonts w:ascii="arial" w:eastAsia="arial" w:hAnsi="arial" w:cs="arial"/>
          <w:i/>
          <w:color w:val="000000"/>
          <w:sz w:val="20"/>
          <w:lang w:val="en-US" w:eastAsia="en-US" w:bidi="ar-SA"/>
        </w:rPr>
        <w:t>WCA</w:t>
      </w:r>
      <w:r>
        <w:rPr>
          <w:rFonts w:ascii="arial" w:eastAsia="arial" w:hAnsi="arial" w:cs="arial"/>
          <w:color w:val="000000"/>
          <w:sz w:val="20"/>
          <w:lang w:val="en-US" w:eastAsia="en-US" w:bidi="ar-SA"/>
        </w:rPr>
        <w:t xml:space="preserve"> permits WCAT to determine, upon the request of a party to an action based on personal injury, whether:</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was, at the time the cause of action arose, a worker,</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injury, disability or death of a worker arose out of, and in the course of, the worker's employment,</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employer or the employer's servant or agent was, at the time the cause of action arose, employed by another employer, or</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employer was, at the time the cause of action arose, engaged in an industry within the meaning of Part 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WCAT determined all these issues in the affirmative, the defendants to the action could then rely on the prohibition against suing employers and co-workers found in s. 10(1) of Part 1 of the </w:t>
      </w:r>
      <w:r>
        <w:rPr>
          <w:rFonts w:ascii="arial" w:eastAsia="arial" w:hAnsi="arial" w:cs="arial"/>
          <w:i/>
          <w:color w:val="000000"/>
          <w:sz w:val="20"/>
          <w:lang w:val="en-US" w:eastAsia="en-US" w:bidi="ar-SA"/>
        </w:rPr>
        <w:t>WCA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Therefore, in the present case once the WCAT certificate was issued determining that both drivers were workers under Part 1 of the </w:t>
      </w:r>
      <w:r>
        <w:rPr>
          <w:rFonts w:ascii="arial" w:eastAsia="arial" w:hAnsi="arial" w:cs="arial"/>
          <w:i/>
          <w:color w:val="000000"/>
          <w:sz w:val="20"/>
          <w:lang w:val="en-US" w:eastAsia="en-US" w:bidi="ar-SA"/>
        </w:rPr>
        <w:t>WCA</w:t>
      </w:r>
      <w:r>
        <w:rPr>
          <w:rFonts w:ascii="arial" w:eastAsia="arial" w:hAnsi="arial" w:cs="arial"/>
          <w:color w:val="000000"/>
          <w:sz w:val="20"/>
          <w:lang w:val="en-US" w:eastAsia="en-US" w:bidi="ar-SA"/>
        </w:rPr>
        <w:t>, and the injury arose during the course of their employment, Mr. Singh is barred from bringing an action against the defendants for damages relating to his personal injuries resulting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At the time of the accident, Mr. Singh was registered for POP coverage from the WCB as an owner/operator. He was eligible with the WCB to register for POP as an owner operator because he was contracting a service including one piece of major revenue-producing equipment (a five-ton cube van) to a firm (as was required at the time in the </w:t>
      </w:r>
      <w:r>
        <w:rPr>
          <w:rFonts w:ascii="arial" w:eastAsia="arial" w:hAnsi="arial" w:cs="arial"/>
          <w:i/>
          <w:color w:val="000000"/>
          <w:sz w:val="20"/>
          <w:lang w:val="en-US" w:eastAsia="en-US" w:bidi="ar-SA"/>
        </w:rPr>
        <w:t>Assessment Manual</w:t>
      </w:r>
      <w:r>
        <w:rPr>
          <w:rFonts w:ascii="arial" w:eastAsia="arial" w:hAnsi="arial" w:cs="arial"/>
          <w:color w:val="000000"/>
          <w:sz w:val="20"/>
          <w:lang w:val="en-US" w:eastAsia="en-US" w:bidi="ar-SA"/>
        </w:rPr>
        <w:t>, AP1-1-7).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POP is an optional workplace disability insurance plan for those individuals not automatically covered under the </w:t>
      </w:r>
      <w:r>
        <w:rPr>
          <w:rFonts w:ascii="arial" w:eastAsia="arial" w:hAnsi="arial" w:cs="arial"/>
          <w:i/>
          <w:color w:val="000000"/>
          <w:sz w:val="20"/>
          <w:lang w:val="en-US" w:eastAsia="en-US" w:bidi="ar-SA"/>
        </w:rPr>
        <w:t>WCA.</w:t>
      </w:r>
      <w:r>
        <w:rPr>
          <w:rFonts w:ascii="arial" w:eastAsia="arial" w:hAnsi="arial" w:cs="arial"/>
          <w:color w:val="000000"/>
          <w:sz w:val="20"/>
          <w:lang w:val="en-US" w:eastAsia="en-US" w:bidi="ar-SA"/>
        </w:rPr>
        <w:t xml:space="preserve"> This plan covers lost salary and medical expenses if a person with this coverage is injured on the job (see WorkSafeBC, "Personal Optional Protection", online: &lt;http://www.worksafebc.com&gt; (August 14,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Singh elected to receive compensation for his lost salary and medical expenses and compensation was paid to him. He is barred from bringing an action with respect to his physical and emotional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However, a s. 257 certificate determined in the affirmative is not necessarily a complete and automatic bar to a civil action brought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This issue has been considered by the Supreme Court of British Columbia in </w:t>
      </w:r>
      <w:r>
        <w:rPr>
          <w:rFonts w:ascii="arial" w:eastAsia="arial" w:hAnsi="arial" w:cs="arial"/>
          <w:i/>
          <w:color w:val="000000"/>
          <w:sz w:val="20"/>
          <w:lang w:val="en-US" w:eastAsia="en-US" w:bidi="ar-SA"/>
        </w:rPr>
        <w:t>Hommel v. Cooke</w:t>
      </w:r>
      <w:r>
        <w:rPr>
          <w:rFonts w:ascii="arial" w:eastAsia="arial" w:hAnsi="arial" w:cs="arial"/>
          <w:color w:val="000000"/>
          <w:sz w:val="20"/>
          <w:lang w:val="en-US" w:eastAsia="en-US" w:bidi="ar-SA"/>
        </w:rPr>
        <w:t xml:space="preserve">, </w:t>
      </w:r>
      <w:hyperlink r:id="rId377" w:history="1">
        <w:r>
          <w:rPr>
            <w:rFonts w:ascii="arial" w:eastAsia="arial" w:hAnsi="arial" w:cs="arial"/>
            <w:i/>
            <w:color w:val="0077CC"/>
            <w:sz w:val="20"/>
            <w:u w:val="single"/>
            <w:shd w:val="clear" w:color="auto" w:fill="FFFFFF"/>
            <w:lang w:val="en-US" w:eastAsia="en-US" w:bidi="ar-SA"/>
          </w:rPr>
          <w:t>2005 BCSC 658</w:t>
        </w:r>
      </w:hyperlink>
      <w:r>
        <w:rPr>
          <w:rFonts w:ascii="arial" w:eastAsia="arial" w:hAnsi="arial" w:cs="arial"/>
          <w:color w:val="000000"/>
          <w:sz w:val="20"/>
          <w:lang w:val="en-US" w:eastAsia="en-US" w:bidi="ar-SA"/>
        </w:rPr>
        <w:t>, where Madam Justice Wedge said the following with respect to the effect of a s. 257 certificate on a court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 As is made clear by s. 254, the Workers' Compensation Board (and, specifically, WCAT) continues to enjoy exclusive jurisdiction to determine whether an action is statute-barred. Section 257 merely describes the procedure by which a party to the action or the court, on its own motion, may refer a question to WCAT once a civil action is commenced. </w:t>
      </w:r>
      <w:r>
        <w:rPr>
          <w:rFonts w:ascii="arial" w:eastAsia="arial" w:hAnsi="arial" w:cs="arial"/>
          <w:color w:val="000000"/>
          <w:sz w:val="20"/>
          <w:u w:val="single"/>
          <w:lang w:val="en-US" w:eastAsia="en-US" w:bidi="ar-SA"/>
        </w:rPr>
        <w:t>The court remains the master of its own procedure, and, having received a ruling from WCAT, is the entity that ultimately decides whether to stay the civil action in light of that ruling. Nevertheless, the court is clearly bound by whatever determinations WCAT makes under s. 257</w:t>
      </w:r>
      <w:r>
        <w:rPr>
          <w:rFonts w:ascii="arial" w:eastAsia="arial" w:hAnsi="arial" w:cs="arial"/>
          <w:color w:val="000000"/>
          <w:sz w:val="20"/>
          <w:lang w:val="en-US" w:eastAsia="en-US" w:bidi="ar-SA"/>
        </w:rPr>
        <w: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Mr. Justice Parrett also discussed this issue in </w:t>
      </w:r>
      <w:r>
        <w:rPr>
          <w:rFonts w:ascii="arial" w:eastAsia="arial" w:hAnsi="arial" w:cs="arial"/>
          <w:i/>
          <w:color w:val="000000"/>
          <w:sz w:val="20"/>
          <w:lang w:val="en-US" w:eastAsia="en-US" w:bidi="ar-SA"/>
        </w:rPr>
        <w:t>Clapp v. Macro Industries Inc.</w:t>
      </w:r>
      <w:r>
        <w:rPr>
          <w:rFonts w:ascii="arial" w:eastAsia="arial" w:hAnsi="arial" w:cs="arial"/>
          <w:color w:val="000000"/>
          <w:sz w:val="20"/>
          <w:lang w:val="en-US" w:eastAsia="en-US" w:bidi="ar-SA"/>
        </w:rPr>
        <w:t xml:space="preserve">, </w:t>
      </w:r>
      <w:hyperlink r:id="rId369" w:history="1">
        <w:r>
          <w:rPr>
            <w:rFonts w:ascii="arial" w:eastAsia="arial" w:hAnsi="arial" w:cs="arial"/>
            <w:i/>
            <w:color w:val="0077CC"/>
            <w:sz w:val="20"/>
            <w:u w:val="single"/>
            <w:shd w:val="clear" w:color="auto" w:fill="FFFFFF"/>
            <w:lang w:val="en-US" w:eastAsia="en-US" w:bidi="ar-SA"/>
          </w:rPr>
          <w:t>2007 BCSC 840</w:t>
        </w:r>
      </w:hyperlink>
      <w:r>
        <w:rPr>
          <w:rFonts w:ascii="arial" w:eastAsia="arial" w:hAnsi="arial" w:cs="arial"/>
          <w:color w:val="000000"/>
          <w:sz w:val="20"/>
          <w:lang w:val="en-US" w:eastAsia="en-US" w:bidi="ar-SA"/>
        </w:rPr>
        <w:t xml:space="preserve"> at paras. 34- 39: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The very process contemplated by s. 257 is that the Appeal Tribunal will determine the issues entrusted to it " . . . and to certify that determination to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 Mr. Morton, the vice Chair of the Workers Compensation Appeal Tribunal, and the author of the decision in the present case recognizes that distinction clearly at p. 2 of his reasons when he writes: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 Section 254(c) provides that WCAT has exclusive jurisdiction to inquire into, hear and determine all those matters and questions of fact, law and discretion arising or required to be determined under Part 4 of the Act, including all matters that WCAT is requested to determine under section 257. The WCAT decision is final and conclusive and is not open to question or review in any court (section 255(1)). </w:t>
      </w:r>
      <w:r>
        <w:rPr>
          <w:rFonts w:ascii="arial" w:eastAsia="arial" w:hAnsi="arial" w:cs="arial"/>
          <w:color w:val="000000"/>
          <w:sz w:val="20"/>
          <w:u w:val="single"/>
          <w:lang w:val="en-US" w:eastAsia="en-US" w:bidi="ar-SA"/>
        </w:rPr>
        <w:t>The court determines the effect of the certificate on the legal action</w:t>
      </w: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added in original.]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[36] This specifically recognizes the fact that it is for the court to control its process and to determine the effect of the certificate, once it is issued and filed, on the legal proceedings in this court. It is, with respect, not a part of WCAT's jurisdiction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to determine if an action commenced in this court is statute barred although that may be the end result of the findings they are empowered to make.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[37] The process in this court encompasses, in my view, not simply a determination of costs in the proceedings which have taken place, but </w:t>
      </w:r>
      <w:r>
        <w:rPr>
          <w:rFonts w:ascii="arial" w:eastAsia="arial" w:hAnsi="arial" w:cs="arial"/>
          <w:color w:val="000000"/>
          <w:sz w:val="20"/>
          <w:u w:val="single"/>
          <w:lang w:val="en-US" w:eastAsia="en-US" w:bidi="ar-SA"/>
        </w:rPr>
        <w:t>also the possibility that the WCAT findings and certificate does not dispose of the whole of the issues raised in the action brought in this court. These issues, and others, are properly within the jurisdiction of this court to be determined</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[38] </w:t>
      </w:r>
      <w:r>
        <w:rPr>
          <w:rFonts w:ascii="arial" w:eastAsia="arial" w:hAnsi="arial" w:cs="arial"/>
          <w:color w:val="000000"/>
          <w:sz w:val="20"/>
          <w:u w:val="single"/>
          <w:lang w:val="en-US" w:eastAsia="en-US" w:bidi="ar-SA"/>
        </w:rPr>
        <w:t>In my view, even actions determined by the findings under s. 257 are subject to a final decision of the court as to the effect of the certificate.</w:t>
      </w:r>
      <w:r>
        <w:rPr>
          <w:rFonts w:ascii="arial" w:eastAsia="arial" w:hAnsi="arial" w:cs="arial"/>
          <w:color w:val="000000"/>
          <w:sz w:val="20"/>
          <w:lang w:val="en-US" w:eastAsia="en-US" w:bidi="ar-SA"/>
        </w:rPr>
        <w:t xml:space="preserve"> In these circumstances it is perhaps inaccurate and unwise to refer to the underlying action as being a nullity or as being void </w:t>
      </w:r>
      <w:r>
        <w:rPr>
          <w:rFonts w:ascii="arial" w:eastAsia="arial" w:hAnsi="arial" w:cs="arial"/>
          <w:i/>
          <w:color w:val="000000"/>
          <w:sz w:val="20"/>
          <w:lang w:val="en-US" w:eastAsia="en-US" w:bidi="ar-SA"/>
        </w:rPr>
        <w:t>ab initio</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[39] If the WCAT findings determine the issues entrusted to them and if that Tribunal as it did in </w:t>
      </w:r>
      <w:r>
        <w:rPr>
          <w:rFonts w:ascii="arial" w:eastAsia="arial" w:hAnsi="arial" w:cs="arial"/>
          <w:i/>
          <w:color w:val="000000"/>
          <w:sz w:val="20"/>
          <w:lang w:val="en-US" w:eastAsia="en-US" w:bidi="ar-SA"/>
        </w:rPr>
        <w:t>Davidson</w:t>
      </w:r>
      <w:r>
        <w:rPr>
          <w:rFonts w:ascii="arial" w:eastAsia="arial" w:hAnsi="arial" w:cs="arial"/>
          <w:color w:val="000000"/>
          <w:sz w:val="20"/>
          <w:lang w:val="en-US" w:eastAsia="en-US" w:bidi="ar-SA"/>
        </w:rPr>
        <w:t xml:space="preserve"> is at liberty to reconsider and change its findings, it is perhaps equally unwise to speak of giving those decisions retrospective effect, for that would appear to potentially preclude the court's proper consideration of issues that remain before it.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Although Mr. Singh's business is a sole proprietorship and is therefore not a separate legal entity, Mr. Singh is not statute barred by virtue of the s. 257 certificate and s. 10(1) of the </w:t>
      </w:r>
      <w:r>
        <w:rPr>
          <w:rFonts w:ascii="arial" w:eastAsia="arial" w:hAnsi="arial" w:cs="arial"/>
          <w:i/>
          <w:color w:val="000000"/>
          <w:sz w:val="20"/>
          <w:lang w:val="en-US" w:eastAsia="en-US" w:bidi="ar-SA"/>
        </w:rPr>
        <w:t>WCA</w:t>
      </w:r>
      <w:r>
        <w:rPr>
          <w:rFonts w:ascii="arial" w:eastAsia="arial" w:hAnsi="arial" w:cs="arial"/>
          <w:color w:val="000000"/>
          <w:sz w:val="20"/>
          <w:lang w:val="en-US" w:eastAsia="en-US" w:bidi="ar-SA"/>
        </w:rPr>
        <w:t xml:space="preserve"> from maintaining an action for his business- related losses as his election for compensation did not cover those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With respect to para. 13 of the statement of defence, the defendants rely on ss. 52 and 54 of the </w:t>
      </w:r>
      <w:r>
        <w:rPr>
          <w:rFonts w:ascii="arial" w:eastAsia="arial" w:hAnsi="arial" w:cs="arial"/>
          <w:i/>
          <w:color w:val="000000"/>
          <w:sz w:val="20"/>
          <w:lang w:val="en-US" w:eastAsia="en-US" w:bidi="ar-SA"/>
        </w:rPr>
        <w:t>Insurance (Motor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which have been repealed effective June 1, 2007, to answer the whole of the plaintiff's statement of claim. These sections are equivalent to ss. 95 and 98 of the current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xml:space="preserve">. Counsel did not provide submissions as to the effect of these provisions on the application before me. I therefore limit my consideration to ss. 10(1) and 257 of the </w:t>
      </w:r>
      <w:r>
        <w:rPr>
          <w:rFonts w:ascii="arial" w:eastAsia="arial" w:hAnsi="arial" w:cs="arial"/>
          <w:i/>
          <w:color w:val="000000"/>
          <w:sz w:val="20"/>
          <w:lang w:val="en-US" w:eastAsia="en-US" w:bidi="ar-SA"/>
        </w:rPr>
        <w:t>WCA.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It may be that the plaintiff will fail in recovering his business-related losses; however, he is not statute barred by virtue of ss. 10(1) and 257 from bringing an action for his business losses arising out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note that the plaintiff did not tender any evidence with respect to repairs to his truck or what claims, if any, were advanced on his ICBC insurance policy. Although he mentions that he had RBC Insurance as well at the time, I am not provided with details as to what that policy covered and what was recovered by him under any of his insurance policies. These factors may also play a role in the court action with respect to his business related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As the successful party the plaintiff is entitled to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E.A. ARNOLD-BAILEY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CORRECTION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August 1,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Please be advised that the attached Reasons for Judgment of Madam Justice Arnold-Bailey dated September 6, 2012 have been edited at para. 5 to correct the first word in the quote at para. 3 from "he" to "The", and to correct the formatting in the quoted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E.A. ARNOLD-BAILEY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1" style="position:absolute;z-index:2518722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378"/>
          <w:headerReference w:type="default" r:id="rId379"/>
          <w:footerReference w:type="even" r:id="rId380"/>
          <w:footerReference w:type="default" r:id="rId381"/>
          <w:headerReference w:type="first" r:id="rId382"/>
          <w:footerReference w:type="first" r:id="rId38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84" w:history="1">
        <w:r>
          <w:rPr>
            <w:rFonts w:ascii="arial" w:eastAsia="arial" w:hAnsi="arial" w:cs="arial"/>
            <w:b/>
            <w:bCs/>
            <w:i/>
            <w:color w:val="0077CC"/>
            <w:kern w:val="32"/>
            <w:sz w:val="28"/>
            <w:szCs w:val="32"/>
            <w:u w:val="single"/>
            <w:shd w:val="clear" w:color="auto" w:fill="FFFFFF"/>
            <w:lang w:val="en-US" w:eastAsia="en-US" w:bidi="ar-SA"/>
          </w:rPr>
          <w:t>Smith v. Both, [2013] B.C.J. No. 2406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L.D. Russell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4-7,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1,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M112032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2406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1995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Courtenay Smith, Plaintiff, and Rhea Kelsie Both,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(166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2" style="position:absolute;z-index:251674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6" w:name="Keywords_14"/>
      <w:bookmarkEnd w:id="106"/>
      <w:r>
        <w:rPr>
          <w:rFonts w:ascii="arial" w:eastAsia="arial" w:hAnsi="arial" w:cs="arial"/>
          <w:b/>
          <w:color w:val="000000"/>
          <w:sz w:val="20"/>
          <w:lang w:val="en-US" w:eastAsia="en-US" w:bidi="ar-SA"/>
        </w:rPr>
        <w:t>Damages — Physical and psychological injuries — Physical injuries — Body injuries — Back and spine — Neck — Action by 24-year-old plaintiff for damages for personal injuries arising from motor vehicle accident in 2009 allowed — Liability admitted for low velocity rear-end collision — Plaintiff's pain in neck, shoulders and lower back caused by accident — Condition likely to improve — Delay in rehabilitation treatment not failure to mitigate — Non-pecuniary damages of $45,000 awarded — $4,000 for past loss of income awarded — Not entitled to compensation for time attended nail technician school — Future loss of earning capacity assessed at $40,000 — Awarded $4,500 for cost of future care, including rehabilitation training and pulse signal therapy.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Cost of future care — Loss of earning capacity — Special damages — Past loss of income — Employment income — Action by 24-year-old plaintiff for damages for personal injuries arising from motor vehicle accident in 2009 allowed — Liability admitted for low velocity rear-end collision — Plaintiff's pain in neck, shoulders and lower back caused by accident — Condition likely to improve — Delay in rehabilitation treatment not failure to mitigate — Non-pecuniary damages of $45,000 awarded — $4,000 for past loss of income awarded — Not entitled to compensation for time attended nail technician school — Future loss of earning capacity assessed at $40,000 — Awarded $4,500 for cost of future care, including rehabilitation training and pulse signal therapy.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7" w:name="Case Summary_15"/>
            <w:bookmarkEnd w:id="10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24-year-old plaintiff for damages for personal injuries arising from a motor vehicle accident in 2009. Liability was admitted for the low velocity rear-end collision. Neither vehicle needed repairs. The plaintiff received massage therapy and chiropractic treatments for her injuries. She underwent physiotherapy and a rehabilitation program two years after they were recommended. At trial, four years post-accident, the plaintiff testified she continued to experience pain in her neck and shoulders and to a lesser extent in her lower back. At the time of the accident, the plaintiff worked as a cashier. She testified her employer asked her to leave her job because of her injuries. She provided a confused and incomplete work history. In 2010, the plaintiff injured her shoulder. In 2011, she completed a nail technician course and in 2012, began a mobile nail technician business. She claimed she could only conduct one or two nail appointments a day before her pain and fatigue interfered with her ability to work. Her current annual income was $10,000. She claimed her injuries led to the breakup with her long-term partner.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08" w:name="Holdings of Court_12"/>
            <w:bookmarkEnd w:id="108"/>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accident was not responsible for the breakdown in the plaintiff's relationship with her partner. The plaintiff's pain in her neck, shoulders and lower back were caused by the accident. The injury to her shoulder in 2010 was not a contributing factor to her ongoing pain. It was likely the plaintiff would continue to have some pain resulting from her soft tissue injuries, however, it would likely improve. Beginning the exercise rehabilitation program immediately after it was recommended would not have reduced the plaintiff's symptoms. The delay was not a failure to mitigate her damages. Non-pecuniary damages of $45,000 were awarded. The evidence established the plaintiff lost wages for the 10-week period immediately following the accident. She was awarded $4,000 for past loss of income. She was not entitled to be compensated for the period of time when she attended nail technician school. There was a real and substantial possibility of a diminution of future earning capacity that would lead to a pecuniary loss. The plaintiff would need to continue to work on a part-time basis and make other accommodations that affected her earning capacity. Given it was likely the plaintiff's condition would improve, she would have a future loss of earning capacity of $10,000 annually for four years, for a total of $40,000. She was awarded $4,500 for cost of future care, including rehabilitation training and pulse signal therapy.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9" w:name="Legislation Cited_11"/>
      <w:bookmarkEnd w:id="10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03" style="position:absolute;z-index:2517258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Supreme Court Rules, Rule 15-1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10" w:name="Counsel_15"/>
      <w:bookmarkEnd w:id="11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4" style="position:absolute;z-index:2517770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A.N. Epstein, A.P. Lam.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J.W. Burgoyne.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1" w:name="Judgment_15"/>
      <w:bookmarkEnd w:id="111"/>
      <w:r>
        <w:pict>
          <v:line id="_x0000_s1105" style="position:absolute;z-index:25182720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2" w:name="L.D. RUSSELL J._0"/>
            <w:bookmarkEnd w:id="112"/>
            <w:r>
              <w:rPr>
                <w:rFonts w:ascii="arial" w:eastAsia="arial" w:hAnsi="arial" w:cs="arial"/>
                <w:b/>
                <w:color w:val="000000"/>
                <w:sz w:val="30"/>
                <w:lang w:val="en-US" w:eastAsia="en-US" w:bidi="ar-SA"/>
              </w:rPr>
              <w:t>L.D. RUSSELL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arises from a motor vehicle accident ("the Accident") that occurred on July 11, 2009 in the Township of Langley,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has admitted liability for the Accident, but the parties take substantially different positions regarding the quantum of damages to be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July 11, 2009 at around 7:00 p.m. Courtenay Smith, the plaintiff, was stopped at a red light at the intersection of 88 Avenue and 204 Street in Langley. Ms. Smith was in the curb lane of 88 Avenue in the westbound direction. The defendant, Ms. Rhea Both, was stopped directly behind Ms. 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When the light turned green the westbound traffic began to move forward. The car in front of Ms. Smith stopped before crossing the intersection because a bus in the same lane had stopped to let off passengers on the other side of the intersection. Ms. Smith stopped behind that vehicle. The curb lane traffic could not proceed through the intersection while the bus was at its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When the traffic began to move forward Ms. Both took her foot off the brake and her car began to roll forward. She did not accelerate by pressing on the gas pedal. She testified that when she realized the traffic was not proceeding through the intersection she "slammed" her foot on the brake. However, her vehicle was already so close to Ms. Smith's that she hit the back of Ms. Smith's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Smith testified that her body moved forward and backward on impact. Her vehicle moved forward but did not hit the car stopped in front of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Both testified that she felt a jolt as her vehicle tapped Ms. Smith's. Her seatbelt did not lock. Her airbags did not deploy.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and the defendant stopped in a nearby parking lot and exchanged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No emergency vehicles attended at the Accident. There was no damage to the defendant's vehicle. The plaintiff's vehicle had an imprint of the defendant's license plate bolt in the paint on the rear end. The plaintiff conceded on cross-examination that the damage was so minimal that she did not have her vehicle repaired.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Smith was 21 years old at the time of the Accident and was 24 years old at the time of trial. She needs one more course to complete her high school diploma.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She testified that prior to the Accident she had no medical problems and was happy and healthy. She described her physical activity level as "medium". She sometimes played softball in the park, went on walks, and went swimming, camping, and out dancing with friends. She often spent social time with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Smith was involved in a car accident with her mother at the age of 10, which resulted in injuries to her right shoulder and right knee. She testified that those injuries healed within a year. She reported having some anxiety about driving due to this accident, however, she took driving lessons and obtained her driving license at the age of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 few months before the Accident, the plaintiff saw her family doctor regarding some digestive problems she was having. During the visit the doctor recorded that she mentioned she was experiencing some neck pain. The plaintiff stated in her testimony that the pain must have been temporary and she does not remember discussing it with her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plaintiff's family has a history of Marfan Syndrome, a connective tissue disorder, however, an echo cardiogram performed in 2010 indicated that Ms. Smith does not have this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Smith testified that she had plans to start her own nail technician business that preceded the accident. She and her friend, Hayley Peet, discussed trying to open a business together in which Ms. Peet did hairstyling and she did nails.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testified that on the night of the Accident she felt shocked and shaken and was not thinking clearly. She called her friend, calmed herself, and then proceeded to her intended destination - her brother's residence - which was a three-minute drive.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At her brother's residence, she began to feel sharp pain between her shoulder blades and in her neck. She also started getting numbness in her right arm. She took Advil and used some ice on her neck and shoulders that evening.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next day she felt very sore in her neck and shoulders and the numbness in her arm continued as well. She called her family doctor the morning after the Accident and went to see him the following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Smith tried several forms of treatment to relieve her symptoms. Following the Accident, she saw her family doctor 28 times. She saw a physiatrist in the fall of 2010 and again in the fall of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August 2009, she began massage therapy, which she continued until February 2011, when her physiatrist recommended that she stop. She testified that massage therapy provided little relief, and sometimes worsened her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From August 2011 to April 2012, she tried treatments with a chiropractor. She found the chiropractic treatment provided only temporary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March 2012, the plaintiff began a physiotherapy and rehabilitation program, which helped her with an exercise program to increase her strength. She stated that this program provided her with significant relief from her symptoms. She continues to do the exercises on a daily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Smith testified that at the time of the trial, approximately four years after the Accident, she still has pain in her neck and shoulders and, to a lesser extent, in her lower back. This pain means that she has restricted use of her arms. She experiences headaches and migraines occasionally.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Smith stated that because of her pain levels she tires more easily and does not socialize as often as she did prior to the Accident. She testified that her pain also interferes with her ability to be physically active. She also claims that her injuries negatively impacted her relationship with her long term partner and caused that relationship to break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At the time of the Accident Ms. Smith was working at a dollar store as a cashier, clerk, and shelf stocker. When she returned to work following the Accident she was in too much pain to complete the work day and left halfway through her shift. She testified that her employer asked her to leave her job because of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Ms. Smith's accounts of her employment history in the period between July 2009 and May 2011 are varied and difficult to follow. It is sufficient to say here that during that time she worked at a number of entry level positions and took some grade 11 and 12 courses. I will discuss her employment history during this period when discussing damages for 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June 30, 2010, Ms. Smith was working as a server at the Fort Langley Golf Course when she injured her shoulder while setting up a patio table umbrella. She said when she was reaching up to click the umbrella into place she felt a pain in her shoulder. The pain from that injury subsided within three weeks. Although her manager filed a Worksafe BC Employer's Report of Injury or Occupational Disease, Ms. Smith did not fill out the forms necessary to complete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May 2011, Ms. Smith applied to the Roggendorf Nail School. By all accounts, she excelled at and enjoyed her nail technician course and completed the program in November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January 2012, the plaintiff began a mobile nail technician business. Through this business, Ms. Smith travels to clients' homes to provide manicure and pedicure services. She also gathers together groups of clients for "nail party" events. She advertises through a Facebook page she established to market her business and through word of mouth.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Smith testified that her pain levels have a significant impact on her ability to conduct her business. She can only conduct one or two nail appointments a day before her pain and fatigue interfere with her ability to work. She often has to cancel appointments when she wakes up with a migraine or she has a flare-up in her pain level. She testified that cancelling appointments negatively affects her ability to build and maintain a client base.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When Ms. Smith provides services to two or three women at a nail party she usually experiences increased pain levels. She testified that she would not be able to complete the nail parties without the assistance of Ms. Peet. When Ms. Peet accompanies Ms. Smith to nail parties she loads and unloads the supplies from the car, fills, empties, and carries footbaths, and hands Ms. Smith her tools as she works so she does not have to reach for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Ms. Smith testified that she currently earns approximately $200 per week with her business, which is approximately $10,000 per year. In 2012, she reported a $9000 yearly income from the business.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Sean Parhar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Parhar and Ms. Smith were in a relationship for approximately eight years. They lived together at the plaintiff's mother's house when they were teenagers and approximately one year before the Accident they moved into a townhouse that Mr. Parhar purchased.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Parhar testified that after the Accident the plaintiff lost interest in doing activities they used to enjoy together, such as camping and hiking. He also said that the plaintiff had difficulty with household work, such as vacuuming and scrubbing the bathroom. He claimed that his frustration with the plaintiff's limitations caused him to cheat on her and their relationship subsequently broke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did not find Mr. Parhar's evidence helpful and I do not accept the argument that the Accident is responsible for the breakdown of their relationship. I find that there are other explanations for why their relationship ended that are just as likely to account for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For example, Mr. Parhar was very concerned with money. He stressed that one of the reasons that he became frustrated with Ms. Smith after the Accident was that she was not earning very much money. In fact, the evidence shows that the plaintiff's income was lower the year prior to the Accident than the year following the Accident. It appears from the plaintiff's evidence that she would never have been a major wage earner, even if the Accident had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 temporary inability to perform certain forms of housework and certain physical activities cannot be responsible for Mr. Parhar's decision to be unfaithful to his partner. It appears that the relationship died a natural death.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Hayley Peet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Peet has been Ms. Smith's close friend for eight years. She testified that the plaintiff has been less active since the Accident and holds back from doing certain activities, such as hiking, throwing a ball around, or going tubing at the lake. She also stated that Ms. Smith has been less cheerful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Peet recalled that prior to the Accident she and the plaintiff discussed plans to open a business together in which the plaintiff would provide nail services and she would provide hair-styling services. Ms. Peet, now 26 years old, has not taken any steps towards this goal and is currently unemployed.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Peet also testified about the assistance she provides to Ms. Smith during nail parties. She estimated that without her help, the plaintiff could only see two clients per day, whereas with her help she can see three or four clients per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Ms. Peet testified that she has seen the plaintiff cancelling nail appointments when she wakes up with a migraine.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Peet conceded on cross-examination that as her best friend, she would like to see the plaintiff do well in this litigation.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Terrence Greer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Greer has been the plaintiff's friend for approximately eight years. He stated that prior to the Accident the plaintiff was ambitious and enjoyed life, whereas now she is testy and complains a lot. He also said the plaintiff does not go out with friends or participate in activities as often.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Greer confirmed that the plaintiff had discussed owning her own business prior to the Accident. He testified that when he saw her at a nail party she seemed "really fatigued".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Greer also agreed that he was hopeful that the plaintiff will do well in this litigation.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Christopher Tyler 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Smith is the plaintiff's brother. He testified that when the plaintiff arrived at his house on the night of the Accident she was trembling and that after an hour she developed some stiffness in her shoulders and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Smith also testified that since the Accident Ms. Smith has seemed less motivated and that many things have been difficult for her. He conceded on cross-examination that Ms. Smith was quite affected by her break-up with Mr. Parhar and that he could not distinguish which changes in her mood were brought about by the Accident and which were brought about by the break up.</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Van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Do was one of the plaintiff's teachers at the Roggendorf Nail School. She recalled that the plaintiff was a very good student and that she showed patience and focus in completing her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accept her evidence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She testified that in her experience a nail technician can earn between $2000 and $3000 a month if they work full-time. She stated that her impression was that approximately 10% of her students opened their own businesses, but admitted that she only heard back from approximately half of the graduating students.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do not understand that any expert report was served.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Ms. Do's evidence on the earning capacity of a nail technician cannot be given any weight. She was not qualified as an expert and her evidence constitutes hearsay.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She did not suggest that she had had such earnings as a nail technician and she cannot give evidence of what other nail technicians earned.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Jasper Burger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Burger has been the plaintiff's general practitioner since 2007. He saw her on July 13, 2009, two days after the Accident, and has seen her periodically since then.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Burger testified that the injuries the plaintiff sustained from a motor vehicle accident when she was 10 years old were not still present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He reported that Ms. Smith saw him for some digestive problems in October 2008, at which time she told him she was experiencing some neck pain. He recommended rest, ice, compression and elevation, but no further treatment. He testified that he did not think this neck pain was related to her injuries following the Accident. Dr. Burger noted that in October 2008, Ms. Smith had a normal range of motion in her neck, whereas she had a decreased range of motion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Burger also testified that the plaintiff's echo cardiogram presented as normal, which indicated that she does not have Marfan Syndrome as some members of the her family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Burger testified that on Ms. Smith's first post-Accident visit she reported pain in her trapezius muscles and on the left side of her lower back, decreased range of motion in her neck, and tingling in her right hand. Dr. Burger prescribed an antispasmodic drug to use along with the Advil she was already taking.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Ms. Smith continued to complain of neck and shoulder pain over the next three years that she saw Dr. Burger. She reported that she continued to experience difficulties with sitting, standing, walking, and doing her hair.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Burger has provided Ms. Smith with referrals to massage therapy and chiropractic treatments when she requested it. On May 28, 2012, Dr. Burger requested an MRI for the plaintiff to investigate her neck and shoulder pain.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Cecil Hershler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Dr. Hershler is a physiatrist who examined the plaintiff on October 7, 2010 and November 21, 2012. Dr. Hershler was qualified as an expert in physical medicine and rehabilitation and his expert report was served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During his first assessment in October 2010, Dr. Hershler found that the plaintiff had moderate soft tissue injuries in her neck and shoulders. At the time, Ms. Smith told him that she had constant pain in the neck and shoulders, although her lower back pain had resolved and her headaches were less frequent. She reported that her pain caused interruptions in her sleep and made some activities that involved raising her arms difficult.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Hershler was of the opinion that the injuries were caused by the Accident, since the symptoms began after the Accident. He estimated at that time that she would remain symptomatic for another one or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Hershler recommended at the end of this assessment that she decrease the frequency of her massage therapy treatments and that she engage in a core strengthening rehabilitation program. The plaintiff followed both of these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Dr. Hershler found that the plaintiff was still reporting pain during his second assessment on November 21, 2012, particularly with certain physical activities, such as prolonged sitting.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radiologist who reviewed Ms. Smith's MRI findings observed a mild loss of disc height at C5-6 of her spine and a small midline focal disc protrusion that did not deform the cord or result in nerve root contact. Dr. Hershler opined that the disc protrusion was likely due to weakening of the fibrous lining surrounding the disc. He stated that this protrusion could be contributing to the pain the plaintiff experiences.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Dr. Hershler acknowledged that there is no way to be sure what caused the protrusion. However, he testified that given her youth and the fact it is so close to the area in which she reported pain following the Accident that the disc protrusion was likely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At the end of this assessment, Dr. Hershler recommended that the plaintiff undertake pulse signal therapy treatment, which he would provide. From his clinical experience, 70% of patients who undergo this treatment experience some improvement in their pain levels. Dr. Hershler also recommended that the plaintiff continue with her core strengthening exercises.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Hershler testified that based on his experience, 80% of patients recover from injuries within two to three years and are able to function with tolerable pain levels. Another 10% will take four to five years to recover, and the final 10% will have pain permanently. Ms. Smith is still experiencing pain approximately four years after the Accident. Based on this model, Dr. Hershler opined that Ms. Smith will remain symptomatic for at least one more year and perhaps into the foreseeable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However, Dr. Hershler's evidence was somewhat equivocal in this regard. He testified that her pain appeared to have remained essentially the same for two years between his assessments. Yet in his report to the Court, he records her reported pain levels at his first assessment as 8 out of 10 and at his second assessment as 5 or 6 out of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While I appreciate estimating pain levels on a numerical scale is an inexact exercise, this indicates that the plaintiff reported some improvement in her pain levels over this two-year period, notwithstanding Dr. Hershler's gloomy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Based on Dr. Hershler's clinical model, of patients who continue to experience pain four years after the onset of their injuries, half will experience pain permanently and half will still go on to experience improvement. Dr. Hershler did not say that he knew with any degree of certainty whether the plaintiff would fall into the former or latter category.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Dianna Robertson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Ms. Robertson is an occupational therapist who was qualified as an expert witness and her expert report was served. Ms. Robertson conducted a functional capacity assessment of Ms. Smith in February 2013, shortly after she completed her rehabilitation program. The assessment involved a battery of tests conducted over the course of six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Ms. Robertson concluded that the plaintiff is able to function in work activities in the sedentary to light work levels. She identified some restrictions on Ms. Smith's physical abilities, such as lifting and carrying heavy items and kneeling, crouching, standing, or sitting for extended periods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Ms. Robertson opined that Ms. Smith is employable, provided that her work is limited to sedentary or light occupations and that her employer provides some accommodations. She testified that Ms. Smith's current occupation as a self-employed, part-time nail technician provides the flexibility she requires.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If the plaintiff wishes to continue operating her business, Ms. Robertson recommended that she change the provision of mobile services to working from home. It was Ms. Robertson's opinion that being able to work from an ergonomically set up work station at home, rather than having to drive to clients' homes and carry supplies would help Ms. Smith cope with her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However, Ms. Robertson acknowledged on cross-examination that this part of her opinion was speculation, since she did not have any information on the actual set up of either the home environment or the mobile setup the plaintiff worked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find it surprising that Ms. Robertson would provide an opinion about the set up of the plaintiff's work station when she had not seen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Derek Nordin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 Nordin was qualified as a certified vocational evaluator and served an expert report at trial. Mr. Nordin conducted a vocational assessment of Ms. Smith in February 2013. He performed a battery of vocational tests with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Nordin testified that based on her employment history and her education level, the most likely employment open to Ms. Smith would be in areas that required skills she could learn through experience. He identified a sample of occupations that Ms. Smith could have been employed in had she not sustained injuries from the Accident, such as food counter attendant, customer service representative, and office clerk. The salary range for these jobs is between $24,000 and $44,000.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 Nordin testified that a nail technician is one of the most sedentary jobs to be found in today's economy. He estimated that nail technicians would earn a full-time annual salary in the range of $20,000 to $24,000.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He opines that it is unlikely the plaintiff could retrain for a more intellectually demanding but even less physically demanding job and believes it very unlikely that the plaintiff would complete college level education.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Nordin's opinion with respect to her vocation was that continuing part-time with her business was the plaintiff's best option. Since the plaintiff has difficulty with coping with this flexible, part-time, sedentary work, Mr. Nordin does not believe heavier work on a full-time basis is an option for her while she experiences the pain levels that she currently reports.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Darren Benning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Benning is an economist whose expert report was served, but did not appear for cross-examination at trial. He created projections of Ms. Smith's future loss of income at the request of plaintiff's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plaintiff submits that the Court should rely on Mr. Benning's projections in calculating Ms. Smith's loss of future earning capacity based on a number of assumptions.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Benning has calculated the projected losses on the basis that the plaintiff will suffer loss to the end of her working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defendant submits that Mr. Benning's report is of no use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Defendant's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Kendall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Dr. Kendall is an orthopaedic surgeon and a clinical assistant professor in the Faculty of Orthopaedics at the University of British Columbia. His practice includes trauma care for patients with injuries similar to the type the plaintiff sustained. He was qualified as an expert and served an expert report to the Court on the basis of an assessment of the plaintiff performed in March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Dr. Kendall reported that Ms. Smith's injuries were consistent with soft tissue injuries of her neck, upper back, and, to a lesser extent, her lower back. He testified that the plaintiff had slightly reduced rotation and lateral bending flexibility in her neck for someone of her age, which is consistent with someone who has neck pain. He noted that her pain levels increase when her arms are raised, which is a position she has to assume when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He concurred with the opinion of Dr. Hershler that there was no evidence of fracture-dislocation, nerve root injury, or spinal cord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Dr. Kendall stated in his report that the slight loss of disc height and the disc protrusion detected on Ms. Smith's MRI does not indicate injury, as these findings are not associated with definite symptoms. He does not believe that the MRI revealed anything that is responsible for the pain the plaintiff is experiencing.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Dr. Kendall found that Ms. Smith appeared severely deconditioned from her physical examination. He stated that deconditioning may be an indication of ongoing soft tissue injury. Based on the review of her functional testing and the progress noted from her rehabilitation program, Dr. Kendall was of the opinion that these benefits were not maintained. He opined that she has not continued with her self-directed strengthening program and recommended that she undergo a strengthening program with a personal trainer.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Dr. Kendall testified that the part time nature of the plaintiff's business is due to the fact that she has not been able to find enough clients for full time work, rather than any physical disability. While this may seem an obvious conclusion, it is not one for Dr. Kendall to make and I do not accept Dr. Kendall's opinion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Liability for the Accident has been admitted by the Defendant. Ms. Both is solely responsible for the injuries Ms. Smith sustained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The plaintiff must establish on a balance of probabilities that but for the negligent actions of the defendant she would not have suffered the injuries that she did. The negligent conduct must be substantially connected to the injuries. This test was recently articulated in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385"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at paras. 8-10, 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The test for showing causation is the "but for" test. The plaintiff must show on a balance of probabilities that "but for" the defendant's negligent act, the injury would not have occurred. Inherent in the phrase "but for" is the requirement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w:t>
      </w:r>
      <w:r>
        <w:rPr>
          <w:rFonts w:ascii="arial" w:eastAsia="arial" w:hAnsi="arial" w:cs="arial"/>
          <w:i/>
          <w:color w:val="000000"/>
          <w:sz w:val="20"/>
          <w:lang w:val="en-US" w:eastAsia="en-US" w:bidi="ar-SA"/>
        </w:rPr>
        <w:t>necessary</w:t>
      </w:r>
      <w:r>
        <w:rPr>
          <w:rFonts w:ascii="arial" w:eastAsia="arial" w:hAnsi="arial" w:cs="arial"/>
          <w:color w:val="000000"/>
          <w:sz w:val="20"/>
          <w:lang w:val="en-US" w:eastAsia="en-US" w:bidi="ar-SA"/>
        </w:rPr>
        <w:t xml:space="preserve"> to bring about the injury - in other words that the injury would not have occurred without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This is a factual inquiry. If the plaintiff does not establish this on a balance of probabilities, having regard to all the evidence, her action against the defendant fails.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The "but for" causation test must be applied in a robust common sense fashion. There is no need for scientific evidence of the precise contribution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made to the injury. See </w:t>
      </w:r>
      <w:r>
        <w:rPr>
          <w:rFonts w:ascii="arial" w:eastAsia="arial" w:hAnsi="arial" w:cs="arial"/>
          <w:i/>
          <w:color w:val="000000"/>
          <w:sz w:val="20"/>
          <w:lang w:val="en-US" w:eastAsia="en-US" w:bidi="ar-SA"/>
        </w:rPr>
        <w:t>Wilsher v. Essex Area Health Authority</w:t>
      </w:r>
      <w:r>
        <w:rPr>
          <w:rFonts w:ascii="arial" w:eastAsia="arial" w:hAnsi="arial" w:cs="arial"/>
          <w:color w:val="000000"/>
          <w:sz w:val="20"/>
          <w:lang w:val="en-US" w:eastAsia="en-US" w:bidi="ar-SA"/>
        </w:rPr>
        <w:t xml:space="preserve">, [1988] A.C. 1074 (H.L.), at p. 1090,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Lord Bridge;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386"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A common sense inference of "but for" causation from proof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usually flows without difficulty. Evidence connecting the breach of duty to the injury suffered may permit the judge, depending on the circumstances, to infer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probably caused the loss. See </w:t>
      </w:r>
      <w:r>
        <w:rPr>
          <w:rFonts w:ascii="arial" w:eastAsia="arial" w:hAnsi="arial" w:cs="arial"/>
          <w:i/>
          <w:color w:val="000000"/>
          <w:sz w:val="20"/>
          <w:lang w:val="en-US" w:eastAsia="en-US" w:bidi="ar-SA"/>
        </w:rPr>
        <w:t>Snell</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67"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See also the discussion on this issue by the Australian courts: </w:t>
      </w:r>
      <w:r>
        <w:rPr>
          <w:rFonts w:ascii="arial" w:eastAsia="arial" w:hAnsi="arial" w:cs="arial"/>
          <w:i/>
          <w:color w:val="000000"/>
          <w:sz w:val="20"/>
          <w:lang w:val="en-US" w:eastAsia="en-US" w:bidi="ar-SA"/>
        </w:rPr>
        <w:t>Betts v. Whittingslowe</w:t>
      </w:r>
      <w:r>
        <w:rPr>
          <w:rFonts w:ascii="arial" w:eastAsia="arial" w:hAnsi="arial" w:cs="arial"/>
          <w:color w:val="000000"/>
          <w:sz w:val="20"/>
          <w:lang w:val="en-US" w:eastAsia="en-US" w:bidi="ar-SA"/>
        </w:rPr>
        <w:t xml:space="preserve"> (1945), 71 C.L.R. 637 (H.C.), at p. 649; </w:t>
      </w:r>
      <w:r>
        <w:rPr>
          <w:rFonts w:ascii="arial" w:eastAsia="arial" w:hAnsi="arial" w:cs="arial"/>
          <w:i/>
          <w:color w:val="000000"/>
          <w:sz w:val="20"/>
          <w:lang w:val="en-US" w:eastAsia="en-US" w:bidi="ar-SA"/>
        </w:rPr>
        <w:t>Bennett v. Minister of Community Welfare</w:t>
      </w:r>
      <w:r>
        <w:rPr>
          <w:rFonts w:ascii="arial" w:eastAsia="arial" w:hAnsi="arial" w:cs="arial"/>
          <w:color w:val="000000"/>
          <w:sz w:val="20"/>
          <w:lang w:val="en-US" w:eastAsia="en-US" w:bidi="ar-SA"/>
        </w:rPr>
        <w:t xml:space="preserve"> (1992), 176 C.L.R. 408 (H.C.), at pp. 415-16; </w:t>
      </w:r>
      <w:r>
        <w:rPr>
          <w:rFonts w:ascii="arial" w:eastAsia="arial" w:hAnsi="arial" w:cs="arial"/>
          <w:i/>
          <w:color w:val="000000"/>
          <w:sz w:val="20"/>
          <w:lang w:val="en-US" w:eastAsia="en-US" w:bidi="ar-SA"/>
        </w:rPr>
        <w:t>Flounders v. Millar</w:t>
      </w:r>
      <w:r>
        <w:rPr>
          <w:rFonts w:ascii="arial" w:eastAsia="arial" w:hAnsi="arial" w:cs="arial"/>
          <w:color w:val="000000"/>
          <w:sz w:val="20"/>
          <w:lang w:val="en-US" w:eastAsia="en-US" w:bidi="ar-SA"/>
        </w:rPr>
        <w:t xml:space="preserve">, [2007] NSWCA 238, 49 M.V.R. 53; </w:t>
      </w:r>
      <w:r>
        <w:rPr>
          <w:rFonts w:ascii="arial" w:eastAsia="arial" w:hAnsi="arial" w:cs="arial"/>
          <w:i/>
          <w:color w:val="000000"/>
          <w:sz w:val="20"/>
          <w:lang w:val="en-US" w:eastAsia="en-US" w:bidi="ar-SA"/>
        </w:rPr>
        <w:t>Roads and Traffic Authority v. Royal</w:t>
      </w:r>
      <w:r>
        <w:rPr>
          <w:rFonts w:ascii="arial" w:eastAsia="arial" w:hAnsi="arial" w:cs="arial"/>
          <w:color w:val="000000"/>
          <w:sz w:val="20"/>
          <w:lang w:val="en-US" w:eastAsia="en-US" w:bidi="ar-SA"/>
        </w:rPr>
        <w:t>, [2008] HCA 19, 245 A.L.R. 653, at paras. 137-44.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...A trial judge is to take a robust and pragmatic approach to determining if a plaintiff has established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her loss. Scientific proof of causation is not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The plaintiff must also satisfy the Court on a balance of probabilities that her injuries were a reasonably foreseeable consequence of the defendant's negligent actions. To demonstrate that the injuries she suffered are not too remote to be viewed as legally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Ms. Smith must show that it was foreseeable that a person of ordinary fortitude would suffer the injuries she did: </w:t>
      </w:r>
      <w:r>
        <w:rPr>
          <w:rFonts w:ascii="arial" w:eastAsia="arial" w:hAnsi="arial" w:cs="arial"/>
          <w:i/>
          <w:color w:val="000000"/>
          <w:sz w:val="20"/>
          <w:lang w:val="en-US" w:eastAsia="en-US" w:bidi="ar-SA"/>
        </w:rPr>
        <w:t>Mustapha v. Culligan of Canada Ltd</w:t>
      </w:r>
      <w:r>
        <w:rPr>
          <w:rFonts w:ascii="arial" w:eastAsia="arial" w:hAnsi="arial" w:cs="arial"/>
          <w:color w:val="000000"/>
          <w:sz w:val="20"/>
          <w:lang w:val="en-US" w:eastAsia="en-US" w:bidi="ar-SA"/>
        </w:rPr>
        <w:t xml:space="preserve">., </w:t>
      </w:r>
      <w:hyperlink r:id="rId387" w:history="1">
        <w:r>
          <w:rPr>
            <w:rFonts w:ascii="arial" w:eastAsia="arial" w:hAnsi="arial" w:cs="arial"/>
            <w:i/>
            <w:color w:val="0077CC"/>
            <w:sz w:val="20"/>
            <w:u w:val="single"/>
            <w:shd w:val="clear" w:color="auto" w:fill="FFFFFF"/>
            <w:lang w:val="en-US" w:eastAsia="en-US" w:bidi="ar-SA"/>
          </w:rPr>
          <w:t>2008 SCC 27</w:t>
        </w:r>
      </w:hyperlink>
      <w:r>
        <w:rPr>
          <w:rFonts w:ascii="arial" w:eastAsia="arial" w:hAnsi="arial" w:cs="arial"/>
          <w:color w:val="000000"/>
          <w:sz w:val="20"/>
          <w:lang w:val="en-US" w:eastAsia="en-US" w:bidi="ar-SA"/>
        </w:rPr>
        <w:t xml:space="preserve"> at paras. 12,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Although the severity of the impact was minimal in this Accident, that does not mean the plaintiff could not have suffered the injuries she alleges. I find Madam Justice Dardi's comments in </w:t>
      </w:r>
      <w:r>
        <w:rPr>
          <w:rFonts w:ascii="arial" w:eastAsia="arial" w:hAnsi="arial" w:cs="arial"/>
          <w:i/>
          <w:color w:val="000000"/>
          <w:sz w:val="20"/>
          <w:lang w:val="en-US" w:eastAsia="en-US" w:bidi="ar-SA"/>
        </w:rPr>
        <w:t>Midgley v Nguyen</w:t>
      </w:r>
      <w:r>
        <w:rPr>
          <w:rFonts w:ascii="arial" w:eastAsia="arial" w:hAnsi="arial" w:cs="arial"/>
          <w:color w:val="000000"/>
          <w:sz w:val="20"/>
          <w:lang w:val="en-US" w:eastAsia="en-US" w:bidi="ar-SA"/>
        </w:rPr>
        <w:t xml:space="preserve">, </w:t>
      </w:r>
      <w:hyperlink r:id="rId388" w:history="1">
        <w:r>
          <w:rPr>
            <w:rFonts w:ascii="arial" w:eastAsia="arial" w:hAnsi="arial" w:cs="arial"/>
            <w:i/>
            <w:color w:val="0077CC"/>
            <w:sz w:val="20"/>
            <w:u w:val="single"/>
            <w:shd w:val="clear" w:color="auto" w:fill="FFFFFF"/>
            <w:lang w:val="en-US" w:eastAsia="en-US" w:bidi="ar-SA"/>
          </w:rPr>
          <w:t>2013 BCSC 693</w:t>
        </w:r>
      </w:hyperlink>
      <w:r>
        <w:rPr>
          <w:rFonts w:ascii="arial" w:eastAsia="arial" w:hAnsi="arial" w:cs="arial"/>
          <w:color w:val="000000"/>
          <w:sz w:val="20"/>
          <w:lang w:val="en-US" w:eastAsia="en-US" w:bidi="ar-SA"/>
        </w:rPr>
        <w:t xml:space="preserve"> at para. 175 helpful in this regard: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[175] There is no legal principle that holds that if a collision is not severely violent or if there is no significant damage to a motor vehicle, the individual seated within that vehicle at the time of the impact cannot have sustained injuries. The authorities clearly establish that, while the lack of vehicle damage may be a relevant consideration, the extent of the injuries suffered by a plaintiff is not to be measured by the severity of the force in a collision or the degree of the vehicle's damage. Rather, the existence and extent of a plaintiff's injuries is to be determined on the basis of the evidentiary record at trial: see </w:t>
      </w:r>
      <w:r>
        <w:rPr>
          <w:rFonts w:ascii="arial" w:eastAsia="arial" w:hAnsi="arial" w:cs="arial"/>
          <w:i/>
          <w:color w:val="000000"/>
          <w:sz w:val="20"/>
          <w:lang w:val="en-US" w:eastAsia="en-US" w:bidi="ar-SA"/>
        </w:rPr>
        <w:t>Gordon v. Palmer</w:t>
      </w:r>
      <w:r>
        <w:rPr>
          <w:rFonts w:ascii="arial" w:eastAsia="arial" w:hAnsi="arial" w:cs="arial"/>
          <w:color w:val="000000"/>
          <w:sz w:val="20"/>
          <w:lang w:val="en-US" w:eastAsia="en-US" w:bidi="ar-SA"/>
        </w:rPr>
        <w:t xml:space="preserve"> </w:t>
      </w:r>
      <w:hyperlink r:id="rId389" w:history="1">
        <w:r>
          <w:rPr>
            <w:rFonts w:ascii="arial" w:eastAsia="arial" w:hAnsi="arial" w:cs="arial"/>
            <w:i/>
            <w:color w:val="0077CC"/>
            <w:sz w:val="20"/>
            <w:u w:val="single"/>
            <w:shd w:val="clear" w:color="auto" w:fill="FFFFFF"/>
            <w:lang w:val="en-US" w:eastAsia="en-US" w:bidi="ar-SA"/>
          </w:rPr>
          <w:t>(1993), 78 B.C.L.R. (2d) 236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defendant concedes that the plaintiff sustained injuries as a result of the Accident. However, the defendant submits that the causation and extent of the injuries must be assessed on the whole of the evidence, which includes evidence of the severity of the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It is clear from the evidence that the impact in the Accident was not particularly severe. In coming to this conclusion, I have considered the fact that the damage to the vehicles was negligible, neither vehicles' airbags deployed, the defendant's seatbelt did not lock, and the plaintiff's car did not move forward far enough to hit the car in front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However, on the basis of the evidence before me I find that the plaintiff has demonstrated that the pain in her neck, shoulders, and lower back, as well as headaches, were caused by the Accident. These symptoms emerged after the Accident, and according to both the plaintiff's and the defendant's medical experts, these pain symptoms are consistent with soft tissue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 find that the neck pain the plaintiff reported to Dr. Burger a few months prior to the Accident was not a pre-existing condition that has impacted her injuries. One complaint of an episode of neck pain is not uncommon and is insufficient to indicate that she had a pre-existing condition that caused neck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medical evidence presented at trial indicated that the plaintiff does not suffer from Marfan's Syndrome, therefore I do not consider this a contributing factor to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 find that the plaintiff's injury to her right shoulder sustained while setting up a patio umbrella is not a contributing factor in her ongoing pain. The plaintiff testified that this injury stopped causing her pain within three weeks. Dr. Kendall stated in cross-examination that this injury is not related to the injuries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 find it is likely she will continue to have some pain resulting from the soft tissue injuries she suffered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However, I am not satisfied the plaintiff has demonstrated that this pain will not improve or that the residual pain will be severe.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expert evidence regarding whether her MRI revealed an abnormality that could account for her pain was equivocal and it does not form part of my conclusion regarding her past, current, or future condition.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Failure to Mitigate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defendant argues that the plaintiff failed to mitigate her damages by not following the recommendations for treatment made by her health care providers. Specifically, the defendant alleges that if Ms. Smith had begun a physiotherapy and rehabilitation program immediately after it was recommended by Dr. Hershler in October 2010, rather than beginning as she did in March 2012, that her pain levels would have improved sooner.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Chiu v Chiu</w:t>
      </w:r>
      <w:r>
        <w:rPr>
          <w:rFonts w:ascii="arial" w:eastAsia="arial" w:hAnsi="arial" w:cs="arial"/>
          <w:color w:val="000000"/>
          <w:sz w:val="20"/>
          <w:lang w:val="en-US" w:eastAsia="en-US" w:bidi="ar-SA"/>
        </w:rPr>
        <w:t xml:space="preserve">, </w:t>
      </w:r>
      <w:hyperlink r:id="rId390"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 the court set out the relevant principles in considering whether a plaintiff had failed to mitigate damages at para. 53: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onus is on the defendant to prove that the plaintiff could have avoided all or a portion of his loss. In a personal injury case in which the plaintiff has not pursued a course of medical treatment recommended to him by doctors, the defendant must prove two things: (1) that the plaintiff acted unreasonably in eschewing the recommended treatment, and (2) the extent, if any, to which the plaintiff's damages would have been reduced had he acted reasonably. These principles are found in </w:t>
      </w:r>
      <w:r>
        <w:rPr>
          <w:rFonts w:ascii="arial" w:eastAsia="arial" w:hAnsi="arial" w:cs="arial"/>
          <w:i/>
          <w:color w:val="000000"/>
          <w:sz w:val="20"/>
          <w:lang w:val="en-US" w:eastAsia="en-US" w:bidi="ar-SA"/>
        </w:rPr>
        <w:t>Janiak v. Ippolito</w:t>
      </w:r>
      <w:r>
        <w:rPr>
          <w:rFonts w:ascii="arial" w:eastAsia="arial" w:hAnsi="arial" w:cs="arial"/>
          <w:color w:val="000000"/>
          <w:sz w:val="20"/>
          <w:lang w:val="en-US" w:eastAsia="en-US" w:bidi="ar-SA"/>
        </w:rPr>
        <w:t xml:space="preserve">, </w:t>
      </w:r>
      <w:hyperlink r:id="rId391" w:history="1">
        <w:r>
          <w:rPr>
            <w:rFonts w:ascii="arial" w:eastAsia="arial" w:hAnsi="arial" w:cs="arial"/>
            <w:i/>
            <w:color w:val="0077CC"/>
            <w:sz w:val="20"/>
            <w:u w:val="single"/>
            <w:shd w:val="clear" w:color="auto" w:fill="FFFFFF"/>
            <w:lang w:val="en-US" w:eastAsia="en-US" w:bidi="ar-SA"/>
          </w:rPr>
          <w:t>[1985] 1 S.C.R. 146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392"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paras. 57-59, the court overturned the trial judge's decision to reduce the plaintiff's damages for failure to mitigate. In that case, the trial judge found that the plaintiff had acted unreasonably by not following a recommended course of cortisone injections that may have provided relief. The appeal court found that the trial judge had misapplied the </w:t>
      </w:r>
      <w:r>
        <w:rPr>
          <w:rFonts w:ascii="arial" w:eastAsia="arial" w:hAnsi="arial" w:cs="arial"/>
          <w:i/>
          <w:color w:val="000000"/>
          <w:sz w:val="20"/>
          <w:lang w:val="en-US" w:eastAsia="en-US" w:bidi="ar-SA"/>
        </w:rPr>
        <w:t>Chiu</w:t>
      </w:r>
      <w:r>
        <w:rPr>
          <w:rFonts w:ascii="arial" w:eastAsia="arial" w:hAnsi="arial" w:cs="arial"/>
          <w:color w:val="000000"/>
          <w:sz w:val="20"/>
          <w:lang w:val="en-US" w:eastAsia="en-US" w:bidi="ar-SA"/>
        </w:rPr>
        <w:t xml:space="preserve"> test, as the plaintiff reasonably believed the injections would not help and the trial judge "did not find that the treatment </w:t>
      </w:r>
      <w:r>
        <w:rPr>
          <w:rFonts w:ascii="arial" w:eastAsia="arial" w:hAnsi="arial" w:cs="arial"/>
          <w:color w:val="000000"/>
          <w:sz w:val="20"/>
          <w:u w:val="single"/>
          <w:lang w:val="en-US" w:eastAsia="en-US" w:bidi="ar-SA"/>
        </w:rPr>
        <w:t>would have</w:t>
      </w:r>
      <w:r>
        <w:rPr>
          <w:rFonts w:ascii="arial" w:eastAsia="arial" w:hAnsi="arial" w:cs="arial"/>
          <w:color w:val="000000"/>
          <w:sz w:val="20"/>
          <w:lang w:val="en-US" w:eastAsia="en-US" w:bidi="ar-SA"/>
        </w:rPr>
        <w:t xml:space="preserve"> reduced the symptoms" (at para. 57,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It is possible that Ms. Smith may have experienced improvement in her symptoms sooner if she had begun a rehabilitation program earlier. I note that both Dr. Hershler and Dr. Kendall emphasized the importance of Ms. Smith learning and maintaining a strengthening rehabilitation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However, the evidence does not establish that beginning an exercise rehabilitation program immediately after it was recommended </w:t>
      </w:r>
      <w:r>
        <w:rPr>
          <w:rFonts w:ascii="arial" w:eastAsia="arial" w:hAnsi="arial" w:cs="arial"/>
          <w:color w:val="000000"/>
          <w:sz w:val="20"/>
          <w:u w:val="single"/>
          <w:lang w:val="en-US" w:eastAsia="en-US" w:bidi="ar-SA"/>
        </w:rPr>
        <w:t>would have</w:t>
      </w:r>
      <w:r>
        <w:rPr>
          <w:rFonts w:ascii="arial" w:eastAsia="arial" w:hAnsi="arial" w:cs="arial"/>
          <w:color w:val="000000"/>
          <w:sz w:val="20"/>
          <w:lang w:val="en-US" w:eastAsia="en-US" w:bidi="ar-SA"/>
        </w:rPr>
        <w:t xml:space="preserve"> reduced Ms. Smith's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The plaintiff in </w:t>
      </w:r>
      <w:r>
        <w:rPr>
          <w:rFonts w:ascii="arial" w:eastAsia="arial" w:hAnsi="arial" w:cs="arial"/>
          <w:i/>
          <w:color w:val="000000"/>
          <w:sz w:val="20"/>
          <w:lang w:val="en-US" w:eastAsia="en-US" w:bidi="ar-SA"/>
        </w:rPr>
        <w:t>Manson v. Kalar</w:t>
      </w:r>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2011 BCSC 373</w:t>
        </w:r>
      </w:hyperlink>
      <w:r>
        <w:rPr>
          <w:rFonts w:ascii="arial" w:eastAsia="arial" w:hAnsi="arial" w:cs="arial"/>
          <w:color w:val="000000"/>
          <w:sz w:val="20"/>
          <w:lang w:val="en-US" w:eastAsia="en-US" w:bidi="ar-SA"/>
        </w:rPr>
        <w:t xml:space="preserve"> faced a similar claim that he had failed to mitigate his damages by not following his doctor's recommendations that he attend physiotherapy and strengthen his core muscles by undergoing an exercise program under the supervision of a personal trainer. Although he attended some physiotherapy, he did not undertake any kind of exercise program, nor did he take another form of treatment, such as chiropractic, acupuncture, or massage therapy. Nevertheless, in the absence of any certainty that the recommended course of treatment would have reduced the plaintiff's pain, the court rejected the defendant's claim of failure to mitigate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 note that besides the physiotherapy and rehabilitation program, Ms. Smith tried other courses of treatment to reduce her pain, including massage therapy and chiropractic treatment. Many people who suffer injuries in motor vehicle accidents find relief from their symptoms through these courses of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Ms. Smith's conduct is not to be compared to a standard of perfection, but to a standard of reasonableness.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defendant has not met her onus of establishing that the plaintiff has failed to mitigate her damages. Ms. Smith did not ignore Dr. Hershler's recommendation, but followed it by engaging in a physiotherapy and rehabilitation program from March 2012 to January 2013. The fact that there was a delay before she began the program does not amount to an unreasonable failure to mitigate.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Damages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1.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Non-pecuniary damages compensate the plaintiff for pain, suffering, loss of enjoyment of life and loss of amenities.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Although a non-pecuniary damages award must turn on the circumstances of the case, the following list of relevant factors discussed by Madam Justice Kirkpatrick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394"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are helpful to consider: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[46] The inexhaustive list of common factors ... that influence an award of non-pecuniary damages includes:</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stoicism (as a factor that should not, generally speaking, penalize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At the time of the Accident the plaintiff was 21 years old, had an active social life and engaged in a moderate level of physical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As a result of the Accident, the plaintiff continues to have headaches and pain symptoms in her shoulders and neck. Although she had some pain in her lower back following the Accident, the plaintiff testified that her lower back pain has largely resolved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Her ongoing pain interferes with her ability to work and her goal of operating a nail technician business has been detrimentally impacted as a result. The plaintiff's injuries prevent her from working full-time and cause her to cancel appointments. The plaintiff would not be able to offer several people nail services at parties without the assistance of her friend, Ms. Peet.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plaintiff and her witnesses testified that she has been unable to participate in social and physical activities to the extent she did prior to the Accident. Her pain levels have caused her stress and impacted her mood.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Following the Accident, Ms. Smith found certain household work too painful, although with the improvement of her pain over time she has been able to resume more of this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 accept that Ms. Smith has suffered these losses, and all of these factors will be considered in calculating her non-pecuniary damages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However, the plaintiff has not established that she lost her relationship with her long-term partner because of the injuries she sustained in the accident. I find that this loss is not substantially connected to the negligent conduct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 also do not accept that the plaintiff will experience pain permanently and instead, I find that there is a possibility that her pain will improve with time. I rely on the plaintiff's past acknowledged improvement with the active rehabilitation program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The plaintiff submits that an appropriate range for a non-pecuniary damage award is $65,000 to $80,000. The plaintiff provided several cases for the Court's consideration, including </w:t>
      </w:r>
      <w:r>
        <w:rPr>
          <w:rFonts w:ascii="arial" w:eastAsia="arial" w:hAnsi="arial" w:cs="arial"/>
          <w:i/>
          <w:color w:val="000000"/>
          <w:sz w:val="20"/>
          <w:lang w:val="en-US" w:eastAsia="en-US" w:bidi="ar-SA"/>
        </w:rPr>
        <w:t>Azuma-Dao v. MKA Leasing Ltd.</w:t>
      </w:r>
      <w:r>
        <w:rPr>
          <w:rFonts w:ascii="arial" w:eastAsia="arial" w:hAnsi="arial" w:cs="arial"/>
          <w:color w:val="000000"/>
          <w:sz w:val="20"/>
          <w:lang w:val="en-US" w:eastAsia="en-US" w:bidi="ar-SA"/>
        </w:rPr>
        <w:t xml:space="preserve">, </w:t>
      </w:r>
      <w:hyperlink r:id="rId395" w:history="1">
        <w:r>
          <w:rPr>
            <w:rFonts w:ascii="arial" w:eastAsia="arial" w:hAnsi="arial" w:cs="arial"/>
            <w:i/>
            <w:color w:val="0077CC"/>
            <w:sz w:val="20"/>
            <w:u w:val="single"/>
            <w:shd w:val="clear" w:color="auto" w:fill="FFFFFF"/>
            <w:lang w:val="en-US" w:eastAsia="en-US" w:bidi="ar-SA"/>
          </w:rPr>
          <w:t>2012 BCSC 10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Bergman v. Standen</w:t>
      </w:r>
      <w:r>
        <w:rPr>
          <w:rFonts w:ascii="arial" w:eastAsia="arial" w:hAnsi="arial" w:cs="arial"/>
          <w:color w:val="000000"/>
          <w:sz w:val="20"/>
          <w:lang w:val="en-US" w:eastAsia="en-US" w:bidi="ar-SA"/>
        </w:rPr>
        <w:t xml:space="preserve">, </w:t>
      </w:r>
      <w:hyperlink r:id="rId396" w:history="1">
        <w:r>
          <w:rPr>
            <w:rFonts w:ascii="arial" w:eastAsia="arial" w:hAnsi="arial" w:cs="arial"/>
            <w:i/>
            <w:color w:val="0077CC"/>
            <w:sz w:val="20"/>
            <w:u w:val="single"/>
            <w:shd w:val="clear" w:color="auto" w:fill="FFFFFF"/>
            <w:lang w:val="en-US" w:eastAsia="en-US" w:bidi="ar-SA"/>
          </w:rPr>
          <w:t>2010 BCSC 1692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Guthrie v. Narayan</w:t>
      </w:r>
      <w:r>
        <w:rPr>
          <w:rFonts w:ascii="arial" w:eastAsia="arial" w:hAnsi="arial" w:cs="arial"/>
          <w:color w:val="000000"/>
          <w:sz w:val="20"/>
          <w:lang w:val="en-US" w:eastAsia="en-US" w:bidi="ar-SA"/>
        </w:rPr>
        <w:t xml:space="preserve">, </w:t>
      </w:r>
      <w:hyperlink r:id="rId397" w:history="1">
        <w:r>
          <w:rPr>
            <w:rFonts w:ascii="arial" w:eastAsia="arial" w:hAnsi="arial" w:cs="arial"/>
            <w:i/>
            <w:color w:val="0077CC"/>
            <w:sz w:val="20"/>
            <w:u w:val="single"/>
            <w:shd w:val="clear" w:color="auto" w:fill="FFFFFF"/>
            <w:lang w:val="en-US" w:eastAsia="en-US" w:bidi="ar-SA"/>
          </w:rPr>
          <w:t>2012 BCSC 734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Kardum v. Asadi-Moghadam</w:t>
      </w:r>
      <w:r>
        <w:rPr>
          <w:rFonts w:ascii="arial" w:eastAsia="arial" w:hAnsi="arial" w:cs="arial"/>
          <w:color w:val="000000"/>
          <w:sz w:val="20"/>
          <w:lang w:val="en-US" w:eastAsia="en-US" w:bidi="ar-SA"/>
        </w:rPr>
        <w:t xml:space="preserve">, </w:t>
      </w:r>
      <w:hyperlink r:id="rId398" w:history="1">
        <w:r>
          <w:rPr>
            <w:rFonts w:ascii="arial" w:eastAsia="arial" w:hAnsi="arial" w:cs="arial"/>
            <w:i/>
            <w:color w:val="0077CC"/>
            <w:sz w:val="20"/>
            <w:u w:val="single"/>
            <w:shd w:val="clear" w:color="auto" w:fill="FFFFFF"/>
            <w:lang w:val="en-US" w:eastAsia="en-US" w:bidi="ar-SA"/>
          </w:rPr>
          <w:t>2011 BCSC 1566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McKay v. Powell</w:t>
      </w:r>
      <w:r>
        <w:rPr>
          <w:rFonts w:ascii="arial" w:eastAsia="arial" w:hAnsi="arial" w:cs="arial"/>
          <w:color w:val="000000"/>
          <w:sz w:val="20"/>
          <w:lang w:val="en-US" w:eastAsia="en-US" w:bidi="ar-SA"/>
        </w:rPr>
        <w:t xml:space="preserve">, </w:t>
      </w:r>
      <w:hyperlink r:id="rId399" w:history="1">
        <w:r>
          <w:rPr>
            <w:rFonts w:ascii="arial" w:eastAsia="arial" w:hAnsi="arial" w:cs="arial"/>
            <w:i/>
            <w:color w:val="0077CC"/>
            <w:sz w:val="20"/>
            <w:u w:val="single"/>
            <w:shd w:val="clear" w:color="auto" w:fill="FFFFFF"/>
            <w:lang w:val="en-US" w:eastAsia="en-US" w:bidi="ar-SA"/>
          </w:rPr>
          <w:t>2012 BCSC 1935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Rayner v. David</w:t>
      </w:r>
      <w:r>
        <w:rPr>
          <w:rFonts w:ascii="arial" w:eastAsia="arial" w:hAnsi="arial" w:cs="arial"/>
          <w:color w:val="000000"/>
          <w:sz w:val="20"/>
          <w:lang w:val="en-US" w:eastAsia="en-US" w:bidi="ar-SA"/>
        </w:rPr>
        <w:t xml:space="preserve">, </w:t>
      </w:r>
      <w:hyperlink r:id="rId400" w:history="1">
        <w:r>
          <w:rPr>
            <w:rFonts w:ascii="arial" w:eastAsia="arial" w:hAnsi="arial" w:cs="arial"/>
            <w:i/>
            <w:color w:val="0077CC"/>
            <w:sz w:val="20"/>
            <w:u w:val="single"/>
            <w:shd w:val="clear" w:color="auto" w:fill="FFFFFF"/>
            <w:lang w:val="en-US" w:eastAsia="en-US" w:bidi="ar-SA"/>
          </w:rPr>
          <w:t>2012 BCSC 2048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401"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I have summarized the three I find most comparable to this case:</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Azuma-Dao v. MKA Leasing Ltd.</w:t>
      </w:r>
      <w:r>
        <w:rPr>
          <w:rFonts w:ascii="arial" w:eastAsia="arial" w:hAnsi="arial" w:cs="arial"/>
          <w:color w:val="000000"/>
          <w:sz w:val="20"/>
          <w:lang w:val="en-US" w:eastAsia="en-US" w:bidi="ar-SA"/>
        </w:rPr>
        <w:t xml:space="preserve">, </w:t>
      </w:r>
      <w:hyperlink r:id="rId395" w:history="1">
        <w:r>
          <w:rPr>
            <w:rFonts w:ascii="arial" w:eastAsia="arial" w:hAnsi="arial" w:cs="arial"/>
            <w:i/>
            <w:color w:val="0077CC"/>
            <w:sz w:val="20"/>
            <w:u w:val="single"/>
            <w:shd w:val="clear" w:color="auto" w:fill="FFFFFF"/>
            <w:lang w:val="en-US" w:eastAsia="en-US" w:bidi="ar-SA"/>
          </w:rPr>
          <w:t>2012 BCSC 10</w:t>
        </w:r>
      </w:hyperlink>
      <w:r>
        <w:rPr>
          <w:rFonts w:ascii="arial" w:eastAsia="arial" w:hAnsi="arial" w:cs="arial"/>
          <w:color w:val="000000"/>
          <w:sz w:val="20"/>
          <w:lang w:val="en-US" w:eastAsia="en-US" w:bidi="ar-SA"/>
        </w:rPr>
        <w:t xml:space="preserve"> - $65,000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was a 28-year-old who experienced pain in her neck and shoulders, tingling down to her fingers, numbness and sharp pains in her lower back, daily headaches, and difficulty sleeping. She was very active prior to the accident and participated in many sports with a group of friends. By the time of trial the range of movement in her neck had improved, although certain activities still caused pain and tingling in her arms. Her headaches still occurred daily and she still had difficulty sleeping.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 </w:t>
      </w:r>
      <w:r>
        <w:rPr>
          <w:rFonts w:ascii="arial" w:eastAsia="arial" w:hAnsi="arial" w:cs="arial"/>
          <w:i/>
          <w:color w:val="000000"/>
          <w:sz w:val="20"/>
          <w:lang w:val="en-US" w:eastAsia="en-US" w:bidi="ar-SA"/>
        </w:rPr>
        <w:t>Bergman v. Standen</w:t>
      </w:r>
      <w:r>
        <w:rPr>
          <w:rFonts w:ascii="arial" w:eastAsia="arial" w:hAnsi="arial" w:cs="arial"/>
          <w:color w:val="000000"/>
          <w:sz w:val="20"/>
          <w:lang w:val="en-US" w:eastAsia="en-US" w:bidi="ar-SA"/>
        </w:rPr>
        <w:t xml:space="preserve">, </w:t>
      </w:r>
      <w:hyperlink r:id="rId396" w:history="1">
        <w:r>
          <w:rPr>
            <w:rFonts w:ascii="arial" w:eastAsia="arial" w:hAnsi="arial" w:cs="arial"/>
            <w:i/>
            <w:color w:val="0077CC"/>
            <w:sz w:val="20"/>
            <w:u w:val="single"/>
            <w:shd w:val="clear" w:color="auto" w:fill="FFFFFF"/>
            <w:lang w:val="en-US" w:eastAsia="en-US" w:bidi="ar-SA"/>
          </w:rPr>
          <w:t>2010 BCSC 1692</w:t>
        </w:r>
      </w:hyperlink>
      <w:r>
        <w:rPr>
          <w:rFonts w:ascii="arial" w:eastAsia="arial" w:hAnsi="arial" w:cs="arial"/>
          <w:color w:val="000000"/>
          <w:sz w:val="20"/>
          <w:lang w:val="en-US" w:eastAsia="en-US" w:bidi="ar-SA"/>
        </w:rPr>
        <w:t xml:space="preserve"> - $75,000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was 27 years old at the time of the accident. She suffered a whiplash injury to her neck, a contusion to her nose, discomfort in her chest, and a sore wrist, all of which resolved within about six months of the accident. Before the accident she was active and loved playing soccer, but her injuries interfered with her ability to participate in this sport and do house work. At the time of trial she still had persistent pain in her lower back, which interrupted her sleep. Her pain and fatigue reduced the patience she had with her children and contributed to feelings of guilt.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 </w:t>
      </w:r>
      <w:r>
        <w:rPr>
          <w:rFonts w:ascii="arial" w:eastAsia="arial" w:hAnsi="arial" w:cs="arial"/>
          <w:i/>
          <w:color w:val="000000"/>
          <w:sz w:val="20"/>
          <w:lang w:val="en-US" w:eastAsia="en-US" w:bidi="ar-SA"/>
        </w:rPr>
        <w:t>Guthrie v. Narayan</w:t>
      </w:r>
      <w:r>
        <w:rPr>
          <w:rFonts w:ascii="arial" w:eastAsia="arial" w:hAnsi="arial" w:cs="arial"/>
          <w:color w:val="000000"/>
          <w:sz w:val="20"/>
          <w:lang w:val="en-US" w:eastAsia="en-US" w:bidi="ar-SA"/>
        </w:rPr>
        <w:t xml:space="preserve">, </w:t>
      </w:r>
      <w:hyperlink r:id="rId397" w:history="1">
        <w:r>
          <w:rPr>
            <w:rFonts w:ascii="arial" w:eastAsia="arial" w:hAnsi="arial" w:cs="arial"/>
            <w:i/>
            <w:color w:val="0077CC"/>
            <w:sz w:val="20"/>
            <w:u w:val="single"/>
            <w:shd w:val="clear" w:color="auto" w:fill="FFFFFF"/>
            <w:lang w:val="en-US" w:eastAsia="en-US" w:bidi="ar-SA"/>
          </w:rPr>
          <w:t>2012 BCSC 734</w:t>
        </w:r>
      </w:hyperlink>
      <w:r>
        <w:rPr>
          <w:rFonts w:ascii="arial" w:eastAsia="arial" w:hAnsi="arial" w:cs="arial"/>
          <w:color w:val="000000"/>
          <w:sz w:val="20"/>
          <w:lang w:val="en-US" w:eastAsia="en-US" w:bidi="ar-SA"/>
        </w:rPr>
        <w:t xml:space="preserve"> - $65,000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was 26 years old at the time of the accident and suffered soft tissue injuries to her neck and shoulders. Prior to the accident she was very active, participating in numerous activities such as softball, waterskiing, tubing, hiking and kick-boxing. Her injuries prevented her from participating in these physical activities, reduced the amount of social events she could attend, restricted her ability to perform household work, impacted her relationship with her partner, and made accommodation at her workplace necessary. At the time of trial she was still in pain on a daily basis and future improvement was unlikely.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defendant submits that an appropriate award for non-pecuniary damages is in the range of $25,000 to $30,000. The defendant asks the Court to use the following cases as its guide for non-pecuniary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w:t>
      </w:r>
      <w:r>
        <w:rPr>
          <w:rFonts w:ascii="arial" w:eastAsia="arial" w:hAnsi="arial" w:cs="arial"/>
          <w:i/>
          <w:color w:val="000000"/>
          <w:sz w:val="20"/>
          <w:lang w:val="en-US" w:eastAsia="en-US" w:bidi="ar-SA"/>
        </w:rPr>
        <w:t>Manson v. Kalar</w:t>
      </w:r>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2011 BCSC 373</w:t>
        </w:r>
      </w:hyperlink>
      <w:r>
        <w:rPr>
          <w:rFonts w:ascii="arial" w:eastAsia="arial" w:hAnsi="arial" w:cs="arial"/>
          <w:color w:val="000000"/>
          <w:sz w:val="20"/>
          <w:lang w:val="en-US" w:eastAsia="en-US" w:bidi="ar-SA"/>
        </w:rPr>
        <w:t xml:space="preserve"> - $25,000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was a 52 year old automobile salesperson who sustained mild to moderate soft tissue injuries to his neck, upper back, and lower back in a rear end collision that created approximately $5000 worth of damage to his truck. He did not take any time off work, but his pain made some aspects of his job difficult. The plaintiff had experienced his symptoms for three years and they had not resolved by the time of the trial, but it was expected that he would recover in the foreseeable future. The plaintiff did not lead sufficient evidence to persuade the court that he had a significant change in his activities and general lifestyle as a result of his injuries.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 </w:t>
      </w:r>
      <w:r>
        <w:rPr>
          <w:rFonts w:ascii="arial" w:eastAsia="arial" w:hAnsi="arial" w:cs="arial"/>
          <w:i/>
          <w:color w:val="000000"/>
          <w:sz w:val="20"/>
          <w:lang w:val="en-US" w:eastAsia="en-US" w:bidi="ar-SA"/>
        </w:rPr>
        <w:t>Olianka v. Spagnol</w:t>
      </w:r>
      <w:r>
        <w:rPr>
          <w:rFonts w:ascii="arial" w:eastAsia="arial" w:hAnsi="arial" w:cs="arial"/>
          <w:color w:val="000000"/>
          <w:sz w:val="20"/>
          <w:lang w:val="en-US" w:eastAsia="en-US" w:bidi="ar-SA"/>
        </w:rPr>
        <w:t xml:space="preserve">, </w:t>
      </w:r>
      <w:hyperlink r:id="rId402" w:history="1">
        <w:r>
          <w:rPr>
            <w:rFonts w:ascii="arial" w:eastAsia="arial" w:hAnsi="arial" w:cs="arial"/>
            <w:i/>
            <w:color w:val="0077CC"/>
            <w:sz w:val="20"/>
            <w:u w:val="single"/>
            <w:shd w:val="clear" w:color="auto" w:fill="FFFFFF"/>
            <w:lang w:val="en-US" w:eastAsia="en-US" w:bidi="ar-SA"/>
          </w:rPr>
          <w:t>2011 BCSC 1013</w:t>
        </w:r>
      </w:hyperlink>
      <w:r>
        <w:rPr>
          <w:rFonts w:ascii="arial" w:eastAsia="arial" w:hAnsi="arial" w:cs="arial"/>
          <w:color w:val="000000"/>
          <w:sz w:val="20"/>
          <w:lang w:val="en-US" w:eastAsia="en-US" w:bidi="ar-SA"/>
        </w:rPr>
        <w:t xml:space="preserve"> - $30,000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was a 53-year-old man employed as a maintenance and renovations worker. He was rear ended with sufficient force to push his vehicle into the vehicle in front of his. He sustained moderate soft tissue injuries to his neck and mid-back and mild soft tissue injury to his low back. The plaintiff took four months off work due to his injuries and continued to experience pain once he returned to work. His injuries impaired his work and recreational activities for 27 months, although by trial he had begun participating in physical activities once more. At the time of trial, he was still in intermittent pain, but his pain was expected to gradually subside in intensity and frequency.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 </w:t>
      </w:r>
      <w:r>
        <w:rPr>
          <w:rFonts w:ascii="arial" w:eastAsia="arial" w:hAnsi="arial" w:cs="arial"/>
          <w:i/>
          <w:color w:val="000000"/>
          <w:sz w:val="20"/>
          <w:lang w:val="en-US" w:eastAsia="en-US" w:bidi="ar-SA"/>
        </w:rPr>
        <w:t>Ludwig v. Freghetto</w:t>
      </w:r>
      <w:r>
        <w:rPr>
          <w:rFonts w:ascii="arial" w:eastAsia="arial" w:hAnsi="arial" w:cs="arial"/>
          <w:color w:val="000000"/>
          <w:sz w:val="20"/>
          <w:lang w:val="en-US" w:eastAsia="en-US" w:bidi="ar-SA"/>
        </w:rPr>
        <w:t xml:space="preserve">, </w:t>
      </w:r>
      <w:hyperlink r:id="rId403" w:history="1">
        <w:r>
          <w:rPr>
            <w:rFonts w:ascii="arial" w:eastAsia="arial" w:hAnsi="arial" w:cs="arial"/>
            <w:i/>
            <w:color w:val="0077CC"/>
            <w:sz w:val="20"/>
            <w:u w:val="single"/>
            <w:shd w:val="clear" w:color="auto" w:fill="FFFFFF"/>
            <w:lang w:val="en-US" w:eastAsia="en-US" w:bidi="ar-SA"/>
          </w:rPr>
          <w:t>2012 BCSC 1721</w:t>
        </w:r>
      </w:hyperlink>
      <w:r>
        <w:rPr>
          <w:rFonts w:ascii="arial" w:eastAsia="arial" w:hAnsi="arial" w:cs="arial"/>
          <w:color w:val="000000"/>
          <w:sz w:val="20"/>
          <w:lang w:val="en-US" w:eastAsia="en-US" w:bidi="ar-SA"/>
        </w:rPr>
        <w:t>- $30,000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was a 40-year-old delivery driver who was involved in a rear end collision that resulted in soft tissue injuries to his neck, shoulders, and back. Although it was recommended that he take time off work, his employer's attitude prevented him from taking more than minimal time off. His return to work exacerbated his symptoms. His injuries interfered with his enjoyment of leisure activities and playing with his children. At the time of trial, his symptoms had substantially improved, but were not completely resolved. His prognosis for full recovery was promising but still uncertain.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The cases referred to by the defendant involve plaintiffs who are much older than Ms. Smith. As plaintiff's counsel argues, Ms. Smith's youth means that there is a possibility that she will experience symptoms for a significant length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 also note that the plaintiffs in the cases referred to by the defendant did not have significant interruptions in their lifestyle and had recovered or were expected to recover to a greater extent than Ms. 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cases referred to by the plaintiff involve plaintiffs who were more active prior to the Accident than Ms. Smith and who sustained more serious injuries than Ms. Smith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In the circumstances of this case, considering Ms. Smith's age, pre-Accident activity level, injuries, severity and duration of pain, interference with lifestyle, and impairment of life and of social relationships, I award the plaintiff $45,000 in non-pecuniary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2. Past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plaintiff submits that her past loss of income is as much as $27,200, based on the calculation that she was earning approximately $400 per week and was off work for a total of 68 weeks in the period between the Accident and July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defendant argues that the plaintiff's evidence regarding past loss of income is incomprehensible and she has identified no income loss. The defendant states in closing arguments that at most there was evidence to indicate that the plaintiff was off for 10 weeks immediately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In a document she prepared for her examination for discovery, the plaintiff reported that after she was asked to leave her job at the dollar store she began working at Champers Salon in August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During her examination for discovery she discussed working two jobs at once - both while working at the Champers Salon and at the Fort Langley Golf Course. In cross-examination, she admitted that she had never worked two jobs of any kind at once.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In the document of her work history that she prepared for the Court, Ms. Smith reported that she began working at the Zennkai Salon on July 20, 2009, approximately one week after the Accident. She confirmed this during her testimony and stated that she began working at Zennkai Salon "a week or two" after being asked to leave the dollar store because she thought she would just have to answer phones, rather than stock shelves, which was painful for her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 permitted the plaintiff to be recalled to correct an inaccuracy in the work history document that she provided to the Court. During that examination, she clarified that she actually worked at the Zennkai Salon from July 20, 2010 to October 29, 2010 and had made a mistake in the document she submitted to the Court. This clarification gave rise to more questions than answers. For instance, this correction would mean that she was working at the Champers Salon and the Zennkai Salon simultaneously, which does not appear to be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plaintiff's general practitioner, Dr. Burger, recorded that she returned to work on September 18, 2009, although the plaintiff does not recall telling him that and is not sure what this would be a reference to. The plaintiff reported to Dr. Kendall that she was off work for six to seven months. She reported to Ms. Robertson that she was off work for 6 months. She reported to Dr. Hershler that she was off work for four months. She provided Mr. Nordin with a confused and incomplete work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In cross-examination, the plaintiff denied telling expert witnesses that she was off work for approximately six to seven months. She agreed that she did not know what basis there was for any past income loss. Later in recall examination, she claimed that she lost wages for 6 to 12 months, but that she was unsure about that length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 do not believe the plaintiff was trying to actively mislead the Court, but she had a great deal of trouble documenting her work history and appeared careless in the documents she prepared and in the evidence she gave.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evidence establishes that the plaintiff lost wages for the 10-week period immediately following the Accident. I award the plaintiff compensation for lost wages between the Accident and September 18, 2009. At a rate of $400 per week, this results in a damages award in this category for $4,000.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 do not accept the plaintiff's argument that she should be compensated for the seven month period of time during which she attended nail technician school. The plaintiff stressed in her evidence that her plan to become trained as a nail technician predated the Accident. I therefore cannot find that she would not have lost the wages during the time period that she was attending school but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It is entirely possible that the plaintiff had more than 10 weeks of lost wages following the Accident, but the evidence before the Court is so contradictory and confused that I cannot draw any conclusions from it. The plaintiff has not met her burden of proof to establish that she lost income beyond the time period immediately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Plaintiff's counsel did not make a claim for wage loss between January 2012 and the date of trial. Without argument or evidence on what the plaintiff could have been earning at her nail business between January 2012 and the trial but for the Accident, I cannot make a finding for this period of time.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3.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A plaintiff is entitled to compensation for a loss of earning capacity attributable to the injuries she sustained in the Accident: </w:t>
      </w:r>
      <w:r>
        <w:rPr>
          <w:rFonts w:ascii="arial" w:eastAsia="arial" w:hAnsi="arial" w:cs="arial"/>
          <w:i/>
          <w:color w:val="000000"/>
          <w:sz w:val="20"/>
          <w:lang w:val="en-US" w:eastAsia="en-US" w:bidi="ar-SA"/>
        </w:rPr>
        <w:t>Gregory</w:t>
      </w:r>
      <w:r>
        <w:rPr>
          <w:rFonts w:ascii="arial" w:eastAsia="arial" w:hAnsi="arial" w:cs="arial"/>
          <w:color w:val="000000"/>
          <w:sz w:val="20"/>
          <w:lang w:val="en-US" w:eastAsia="en-US" w:bidi="ar-SA"/>
        </w:rPr>
        <w:t xml:space="preserve"> at para. 32. In </w:t>
      </w:r>
      <w:r>
        <w:rPr>
          <w:rFonts w:ascii="arial" w:eastAsia="arial" w:hAnsi="arial" w:cs="arial"/>
          <w:i/>
          <w:color w:val="000000"/>
          <w:sz w:val="20"/>
          <w:lang w:val="en-US" w:eastAsia="en-US" w:bidi="ar-SA"/>
        </w:rPr>
        <w:t>Falati v. Smith</w:t>
      </w:r>
      <w:r>
        <w:rPr>
          <w:rFonts w:ascii="arial" w:eastAsia="arial" w:hAnsi="arial" w:cs="arial"/>
          <w:color w:val="000000"/>
          <w:sz w:val="20"/>
          <w:lang w:val="en-US" w:eastAsia="en-US" w:bidi="ar-SA"/>
        </w:rPr>
        <w:t xml:space="preserve">, </w:t>
      </w:r>
      <w:hyperlink r:id="rId404" w:history="1">
        <w:r>
          <w:rPr>
            <w:rFonts w:ascii="arial" w:eastAsia="arial" w:hAnsi="arial" w:cs="arial"/>
            <w:i/>
            <w:color w:val="0077CC"/>
            <w:sz w:val="20"/>
            <w:u w:val="single"/>
            <w:shd w:val="clear" w:color="auto" w:fill="FFFFFF"/>
            <w:lang w:val="en-US" w:eastAsia="en-US" w:bidi="ar-SA"/>
          </w:rPr>
          <w:t>2010 BCSC 465</w:t>
        </w:r>
      </w:hyperlink>
      <w:r>
        <w:rPr>
          <w:rFonts w:ascii="arial" w:eastAsia="arial" w:hAnsi="arial" w:cs="arial"/>
          <w:color w:val="000000"/>
          <w:sz w:val="20"/>
          <w:lang w:val="en-US" w:eastAsia="en-US" w:bidi="ar-SA"/>
        </w:rPr>
        <w:t xml:space="preserve"> at para. 41, aff'd </w:t>
      </w:r>
      <w:hyperlink r:id="rId405" w:history="1">
        <w:r>
          <w:rPr>
            <w:rFonts w:ascii="arial" w:eastAsia="arial" w:hAnsi="arial" w:cs="arial"/>
            <w:i/>
            <w:color w:val="0077CC"/>
            <w:sz w:val="20"/>
            <w:u w:val="single"/>
            <w:shd w:val="clear" w:color="auto" w:fill="FFFFFF"/>
            <w:lang w:val="en-US" w:eastAsia="en-US" w:bidi="ar-SA"/>
          </w:rPr>
          <w:t>2011 BCCA 45</w:t>
        </w:r>
      </w:hyperlink>
      <w:r>
        <w:rPr>
          <w:rFonts w:ascii="arial" w:eastAsia="arial" w:hAnsi="arial" w:cs="arial"/>
          <w:color w:val="000000"/>
          <w:sz w:val="20"/>
          <w:lang w:val="en-US" w:eastAsia="en-US" w:bidi="ar-SA"/>
        </w:rPr>
        <w:t>, Mr. Justice Saunders set out the principles which inform the assessment of loss of earning capacity:</w:t>
      </w:r>
      <w:r>
        <w:rPr>
          <w:rFonts w:ascii="arial" w:eastAsia="arial" w:hAnsi="arial" w:cs="arial"/>
          <w:sz w:val="20"/>
          <w:lang w:val="en-US" w:eastAsia="en-US" w:bidi="ar-SA"/>
        </w:rPr>
        <w:cr/>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task of a court is to assess damages, rather than to calculate them mathematically -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406"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at para. 43;</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standard of proof is not the balance of probabilities; the plaintiff need only establish a real and substantial possibility of loss, one which is not mere speculation, and hypothetical events are to be weighed according to their relative likelihood -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67"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hyperlink r:id="rId267" w:history="1">
        <w:r>
          <w:rPr>
            <w:rFonts w:ascii="arial" w:eastAsia="arial" w:hAnsi="arial" w:cs="arial"/>
            <w:i/>
            <w:color w:val="0077CC"/>
            <w:sz w:val="20"/>
            <w:u w:val="single"/>
            <w:shd w:val="clear" w:color="auto" w:fill="FFFFFF"/>
            <w:lang w:val="en-US" w:eastAsia="en-US" w:bidi="ar-SA"/>
          </w:rPr>
          <w:t>140 D.L.R. (4th) 235</w:t>
        </w:r>
      </w:hyperlink>
      <w:r>
        <w:rPr>
          <w:rFonts w:ascii="arial" w:eastAsia="arial" w:hAnsi="arial" w:cs="arial"/>
          <w:color w:val="000000"/>
          <w:sz w:val="20"/>
          <w:lang w:val="en-US" w:eastAsia="en-US" w:bidi="ar-SA"/>
        </w:rPr>
        <w:t>, at para. 27;</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Allowances must be made for the contingencies that the assumptions upon which an award is based may prove to be wrong -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407"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79 (S.C.), aff'd </w:t>
      </w:r>
      <w:hyperlink r:id="rId408"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Any assessment is to be evaluated in view of its overall fairness and reasonableness - </w:t>
      </w:r>
      <w:r>
        <w:rPr>
          <w:rFonts w:ascii="arial" w:eastAsia="arial" w:hAnsi="arial" w:cs="arial"/>
          <w:i/>
          <w:color w:val="000000"/>
          <w:sz w:val="20"/>
          <w:lang w:val="en-US" w:eastAsia="en-US" w:bidi="ar-SA"/>
        </w:rPr>
        <w:t>Rosvold</w:t>
      </w:r>
      <w:r>
        <w:rPr>
          <w:rFonts w:ascii="arial" w:eastAsia="arial" w:hAnsi="arial" w:cs="arial"/>
          <w:color w:val="000000"/>
          <w:sz w:val="20"/>
          <w:lang w:val="en-US" w:eastAsia="en-US" w:bidi="ar-SA"/>
        </w:rPr>
        <w:t xml:space="preserve">, </w:t>
      </w:r>
      <w:hyperlink r:id="rId173" w:history="1">
        <w:r>
          <w:rPr>
            <w:rFonts w:ascii="arial" w:eastAsia="arial" w:hAnsi="arial" w:cs="arial"/>
            <w:i/>
            <w:color w:val="0077CC"/>
            <w:sz w:val="20"/>
            <w:u w:val="single"/>
            <w:shd w:val="clear" w:color="auto" w:fill="FFFFFF"/>
            <w:lang w:val="en-US" w:eastAsia="en-US" w:bidi="ar-SA"/>
          </w:rPr>
          <w:t>[2001] B.C.J. No. 4</w:t>
        </w:r>
      </w:hyperlink>
      <w:r>
        <w:rPr>
          <w:rFonts w:ascii="arial" w:eastAsia="arial" w:hAnsi="arial" w:cs="arial"/>
          <w:color w:val="000000"/>
          <w:sz w:val="20"/>
          <w:lang w:val="en-US" w:eastAsia="en-US" w:bidi="ar-SA"/>
        </w:rPr>
        <w:t>,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The plaintiff may demonstrate the amount of loss by one of two calculation approaches, as set out by the British Columbia Court of Appeal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409"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A plaintiff must </w:t>
      </w:r>
      <w:r>
        <w:rPr>
          <w:rFonts w:ascii="arial" w:eastAsia="arial" w:hAnsi="arial" w:cs="arial"/>
          <w:color w:val="000000"/>
          <w:sz w:val="20"/>
          <w:u w:val="single"/>
          <w:lang w:val="en-US" w:eastAsia="en-US" w:bidi="ar-SA"/>
        </w:rPr>
        <w:t>always</w:t>
      </w:r>
      <w:r>
        <w:rPr>
          <w:rFonts w:ascii="arial" w:eastAsia="arial" w:hAnsi="arial" w:cs="arial"/>
          <w:color w:val="000000"/>
          <w:sz w:val="20"/>
          <w:lang w:val="en-US" w:eastAsia="en-US" w:bidi="ar-SA"/>
        </w:rPr>
        <w:t xml:space="preserve"> prove, as was noted by Donald J.A.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xml:space="preserve">, </w:t>
      </w:r>
      <w:hyperlink r:id="rId410" w:history="1">
        <w:r>
          <w:rPr>
            <w:rFonts w:ascii="arial" w:eastAsia="arial" w:hAnsi="arial" w:cs="arial"/>
            <w:i/>
            <w:color w:val="0077CC"/>
            <w:sz w:val="20"/>
            <w:u w:val="single"/>
            <w:shd w:val="clear" w:color="auto" w:fill="FFFFFF"/>
            <w:lang w:val="en-US" w:eastAsia="en-US" w:bidi="ar-SA"/>
          </w:rPr>
          <w:t>[2007] B.C.J. No. 499</w:t>
        </w:r>
      </w:hyperlink>
      <w:r>
        <w:rPr>
          <w:rFonts w:ascii="arial" w:eastAsia="arial" w:hAnsi="arial" w:cs="arial"/>
          <w:color w:val="000000"/>
          <w:sz w:val="20"/>
          <w:lang w:val="en-US" w:eastAsia="en-US" w:bidi="ar-SA"/>
        </w:rPr>
        <w:t xml:space="preserve">, by Bauman J. in </w:t>
      </w:r>
      <w:r>
        <w:rPr>
          <w:rFonts w:ascii="arial" w:eastAsia="arial" w:hAnsi="arial" w:cs="arial"/>
          <w:i/>
          <w:color w:val="000000"/>
          <w:sz w:val="20"/>
          <w:lang w:val="en-US" w:eastAsia="en-US" w:bidi="ar-SA"/>
        </w:rPr>
        <w:t>Chang</w:t>
      </w:r>
      <w:r>
        <w:rPr>
          <w:rFonts w:ascii="arial" w:eastAsia="arial" w:hAnsi="arial" w:cs="arial"/>
          <w:color w:val="000000"/>
          <w:sz w:val="20"/>
          <w:lang w:val="en-US" w:eastAsia="en-US" w:bidi="ar-SA"/>
        </w:rPr>
        <w:t xml:space="preserve">, </w:t>
      </w:r>
      <w:hyperlink r:id="rId180" w:history="1">
        <w:r>
          <w:rPr>
            <w:rFonts w:ascii="arial" w:eastAsia="arial" w:hAnsi="arial" w:cs="arial"/>
            <w:i/>
            <w:color w:val="0077CC"/>
            <w:sz w:val="20"/>
            <w:u w:val="single"/>
            <w:shd w:val="clear" w:color="auto" w:fill="FFFFFF"/>
            <w:lang w:val="en-US" w:eastAsia="en-US" w:bidi="ar-SA"/>
          </w:rPr>
          <w:t>[2008] B.C.J. No. 48</w:t>
        </w:r>
      </w:hyperlink>
      <w:r>
        <w:rPr>
          <w:rFonts w:ascii="arial" w:eastAsia="arial" w:hAnsi="arial" w:cs="arial"/>
          <w:color w:val="000000"/>
          <w:sz w:val="20"/>
          <w:lang w:val="en-US" w:eastAsia="en-US" w:bidi="ar-SA"/>
        </w:rPr>
        <w:t xml:space="preserve">, and by Tysoe J.A. in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w:t>
      </w:r>
      <w:hyperlink r:id="rId411" w:history="1">
        <w:r>
          <w:rPr>
            <w:rFonts w:ascii="arial" w:eastAsia="arial" w:hAnsi="arial" w:cs="arial"/>
            <w:i/>
            <w:color w:val="0077CC"/>
            <w:sz w:val="20"/>
            <w:u w:val="single"/>
            <w:shd w:val="clear" w:color="auto" w:fill="FFFFFF"/>
            <w:lang w:val="en-US" w:eastAsia="en-US" w:bidi="ar-SA"/>
          </w:rPr>
          <w:t>[2010] B.C.J. No. 168</w:t>
        </w:r>
      </w:hyperlink>
      <w:r>
        <w:rPr>
          <w:rFonts w:ascii="arial" w:eastAsia="arial" w:hAnsi="arial" w:cs="arial"/>
          <w:color w:val="000000"/>
          <w:sz w:val="20"/>
          <w:lang w:val="en-US" w:eastAsia="en-US" w:bidi="ar-SA"/>
        </w:rPr>
        <w:t xml:space="preserve">, that there is a real and substantial possibility of a future event leading to an income loss. If the plaintiff discharges that burden of proof, then depending upon the facts of the case, the plaintiff may prove the quantification of that loss of earning capacity, either on an earnings approach, 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w:t>
      </w:r>
      <w:hyperlink r:id="rId412" w:history="1">
        <w:r>
          <w:rPr>
            <w:rFonts w:ascii="arial" w:eastAsia="arial" w:hAnsi="arial" w:cs="arial"/>
            <w:i/>
            <w:color w:val="0077CC"/>
            <w:sz w:val="20"/>
            <w:u w:val="single"/>
            <w:shd w:val="clear" w:color="auto" w:fill="FFFFFF"/>
            <w:lang w:val="en-US" w:eastAsia="en-US" w:bidi="ar-SA"/>
          </w:rPr>
          <w:t>[1990] B.C.J. No. 1158</w:t>
        </w:r>
      </w:hyperlink>
      <w:r>
        <w:rPr>
          <w:rFonts w:ascii="arial" w:eastAsia="arial" w:hAnsi="arial" w:cs="arial"/>
          <w:color w:val="000000"/>
          <w:sz w:val="20"/>
          <w:lang w:val="en-US" w:eastAsia="en-US" w:bidi="ar-SA"/>
        </w:rPr>
        <w:t xml:space="preserve">, or a capital asset approach, as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w:t>
      </w:r>
      <w:hyperlink r:id="rId172" w:history="1">
        <w:r>
          <w:rPr>
            <w:rFonts w:ascii="arial" w:eastAsia="arial" w:hAnsi="arial" w:cs="arial"/>
            <w:i/>
            <w:color w:val="0077CC"/>
            <w:sz w:val="20"/>
            <w:u w:val="single"/>
            <w:shd w:val="clear" w:color="auto" w:fill="FFFFFF"/>
            <w:lang w:val="en-US" w:eastAsia="en-US" w:bidi="ar-SA"/>
          </w:rPr>
          <w:t>[1985] B.C.J. No. 31</w:t>
        </w:r>
      </w:hyperlink>
      <w:r>
        <w:rPr>
          <w:rFonts w:ascii="arial" w:eastAsia="arial" w:hAnsi="arial" w:cs="arial"/>
          <w:color w:val="000000"/>
          <w:sz w:val="20"/>
          <w:lang w:val="en-US" w:eastAsia="en-US" w:bidi="ar-SA"/>
        </w:rPr>
        <w:t xml:space="preserve">. The former approach will be more useful when the loss is more easily measurable, as it was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The latter approach will be more useful when the loss is not as easily measurable, as in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w:t>
      </w:r>
      <w:hyperlink r:id="rId413" w:history="1">
        <w:r>
          <w:rPr>
            <w:rFonts w:ascii="arial" w:eastAsia="arial" w:hAnsi="arial" w:cs="arial"/>
            <w:i/>
            <w:color w:val="0077CC"/>
            <w:sz w:val="20"/>
            <w:u w:val="single"/>
            <w:shd w:val="clear" w:color="auto" w:fill="FFFFFF"/>
            <w:lang w:val="en-US" w:eastAsia="en-US" w:bidi="ar-SA"/>
          </w:rPr>
          <w:t>[1995] B.C.J. No. 2</w:t>
        </w:r>
      </w:hyperlink>
      <w:r>
        <w:rPr>
          <w:rFonts w:ascii="arial" w:eastAsia="arial" w:hAnsi="arial" w:cs="arial"/>
          <w:color w:val="000000"/>
          <w:sz w:val="20"/>
          <w:lang w:val="en-US" w:eastAsia="en-US" w:bidi="ar-SA"/>
        </w:rPr>
        <w:t>, and</w:t>
      </w:r>
      <w:r>
        <w:rPr>
          <w:rFonts w:ascii="arial" w:eastAsia="arial" w:hAnsi="arial" w:cs="arial"/>
          <w:i/>
          <w:color w:val="000000"/>
          <w:sz w:val="20"/>
          <w:lang w:val="en-US" w:eastAsia="en-US" w:bidi="ar-SA"/>
        </w:rPr>
        <w:t xml:space="preserve"> Romanchych</w:t>
      </w:r>
      <w:r>
        <w:rPr>
          <w:rFonts w:ascii="arial" w:eastAsia="arial" w:hAnsi="arial" w:cs="arial"/>
          <w:color w:val="000000"/>
          <w:sz w:val="20"/>
          <w:lang w:val="en-US" w:eastAsia="en-US" w:bidi="ar-SA"/>
        </w:rPr>
        <w:t xml:space="preserve">. A plaintiff may indeed be able to prove that there is a substantial possibility of a future loss of income despite having returned to his or her usual employment. That was the case in both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Parypa.</w:t>
      </w:r>
      <w:r>
        <w:rPr>
          <w:rFonts w:ascii="arial" w:eastAsia="arial" w:hAnsi="arial" w:cs="arial"/>
          <w:color w:val="000000"/>
          <w:sz w:val="20"/>
          <w:lang w:val="en-US" w:eastAsia="en-US" w:bidi="ar-SA"/>
        </w:rPr>
        <w:t xml:space="preserve"> But, as Donald J.A. said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an inability to perform an occupation that is not a realistic alternative occupation is not proof of a future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When calculating the possibilities, a court must consider that the plaintiff has a duty to seek a line of work that she can pursue despite her injuries: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175" w:history="1">
        <w:r>
          <w:rPr>
            <w:rFonts w:ascii="arial" w:eastAsia="arial" w:hAnsi="arial" w:cs="arial"/>
            <w:i/>
            <w:color w:val="0077CC"/>
            <w:sz w:val="20"/>
            <w:u w:val="single"/>
            <w:shd w:val="clear" w:color="auto" w:fill="FFFFFF"/>
            <w:lang w:val="en-US" w:eastAsia="en-US" w:bidi="ar-SA"/>
          </w:rPr>
          <w:t>1999 BCCA 88</w:t>
        </w:r>
      </w:hyperlink>
      <w:r>
        <w:rPr>
          <w:rFonts w:ascii="arial" w:eastAsia="arial" w:hAnsi="arial" w:cs="arial"/>
          <w:color w:val="000000"/>
          <w:sz w:val="20"/>
          <w:lang w:val="en-US" w:eastAsia="en-US" w:bidi="ar-SA"/>
        </w:rPr>
        <w:t xml:space="preserve"> at para. 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plaintiff argues that an earnings approach can be taken by assessing the loss of future income from her nail technician business, rather than using a capital asset approach. She submits that loss of future earning capacity should be in the range of $157,640 to $189,168 based on the report prepared by Mr. Benning.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defendant takes the position that there is no basis for a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 find that the plaintiff has demonstrated that there is a real and substantial possibility of a diminution of future earning capacity that will lead to a pecuniary loss. Dr. Hershler's evidence was that Ms. Smith will likely continue to experience symptoms of pain for the foreseeable future. I accept that Ms. Smith will need to continue to work on a part-time basis and make other accommodations that affect her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However, I do not accept the plaintiff's suggestion that the plaintiff will experience pain for the rest of her life. I find that there is a possibility that her symptoms will improve with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For this reason, I cannot rely on Mr. Benning's report in assessing future loss of earning capacity, which operates on the assumption that she would be permanently disabled and therefore suggests an extremely large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There is no question that Ms. Smith has mitigated her losses by choosing a line of work that she can pursue despite her injuries. As Mr. Nordin testified, a nail technician is one of the most sedentary occupations that Ms. Smith could choose. The light physical demands of this work and the flexibility in scheduling appointments goes a long way to enabling Ms. Smith to continue in this occupation.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In 2012, the plaintiff earned $9,000 from her nail technician business. She testified that in 2013 she has earned approximately $200 per week, which indicates that her income for 2013 will be similarly close to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Mr. Nordin estimated that if Ms. Smith worked full-time at her nail technician business, she could earn approximately $20,000 to $24,000 annually, but admitted that she was in a competitive field, with many nail technicians offering services at lower 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Taking the lowest figure of Mr. Nordin's estimate, $20,000, I find that the plaintiff will have a future loss of earning capacity of $10,000 annually for four years, for an award under this head of $40,000. Beyond the next four years, it is my view the plaintiff's condition will continue to improve, particularly if she undertakes another rehabilitation program.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4.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Dr. Hershler is of the opinion that the plaintiff will benefit from a course of pulse signal therapy, at a cost of $1,500.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Both Dr. Hershler and Dr. Kendall recommend that the plaintiff continue meeting with a physical rehabilitation trainer. The cost for this training will be $1,000 per year for a period of three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This is a program which has benefited the plaintiff in the past and should contribute to her substantial improvement over the next three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The plaintiff's proposed cost of future care is $4,500 to pay for three years of rehabilitation training and pulse signal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While pulse signal therapy remains a novel therapy, Dr. Hershler provided evidence that in his clinical experience, a substantial percentage of patients experience improvement in their pain symptoms after they undergo this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plaintiff should be entitled to try this therapy. The potential it has to improve her pain symptoms and therefore reduce the cost of loss of future earning capacity makes it an inexpensive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I award the plaintiff $4,500 for the cost of future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5.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 parties have agreed to a special damages award of $5,192.25 for out of pocket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I award the plaintiff the following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137"/>
        <w:gridCol w:w="2823"/>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$45,000.00</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137"/>
        <w:gridCol w:w="2510"/>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wage loss</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4,000.00</w:t>
            </w:r>
          </w:p>
        </w:tc>
        <w:tc>
          <w:tcPr>
            <w:tcW w:w="409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392"/>
        <w:gridCol w:w="1359"/>
        <w:gridCol w:w="4078"/>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future earning capacity</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40,000.00</w:t>
            </w:r>
          </w:p>
        </w:tc>
        <w:tc>
          <w:tcPr>
            <w:tcW w:w="399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6"/>
        <w:gridCol w:w="2091"/>
        <w:gridCol w:w="418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Cost of future care</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4,500.00</w:t>
            </w:r>
          </w:p>
        </w:tc>
        <w:tc>
          <w:tcPr>
            <w:tcW w:w="409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5,192.25</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 xml:space="preserve">TOTAL: </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$98,192.25</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Costs will be in the cause and subject to Rule 15-1. If the parties wish to make submissions on costs, they may make arrangements with the Registry to arrange time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L.D. RUSSELL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6" style="position:absolute;z-index:2518732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14"/>
          <w:headerReference w:type="default" r:id="rId415"/>
          <w:footerReference w:type="even" r:id="rId416"/>
          <w:footerReference w:type="default" r:id="rId417"/>
          <w:headerReference w:type="first" r:id="rId418"/>
          <w:footerReference w:type="first" r:id="rId41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20" w:history="1">
        <w:r>
          <w:rPr>
            <w:rFonts w:ascii="arial" w:eastAsia="arial" w:hAnsi="arial" w:cs="arial"/>
            <w:b/>
            <w:bCs/>
            <w:i/>
            <w:color w:val="0077CC"/>
            <w:kern w:val="32"/>
            <w:sz w:val="28"/>
            <w:szCs w:val="32"/>
            <w:u w:val="single"/>
            <w:shd w:val="clear" w:color="auto" w:fill="FFFFFF"/>
            <w:lang w:val="en-US" w:eastAsia="en-US" w:bidi="ar-SA"/>
          </w:rPr>
          <w:t>Vintila v. Kirkwood, [2016] B.C.J. No. 1073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L.W. Bernard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4,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25,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M155548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1073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930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Stefania Vintila, Plaintiff, and Calvin Marlow Kirkwood &amp; Anna Kirkwood,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7" style="position:absolute;z-index:251675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13" w:name="Keywords_15"/>
      <w:bookmarkEnd w:id="113"/>
      <w:r>
        <w:rPr>
          <w:rFonts w:ascii="arial" w:eastAsia="arial" w:hAnsi="arial" w:cs="arial"/>
          <w:b/>
          <w:color w:val="000000"/>
          <w:sz w:val="20"/>
          <w:lang w:val="en-US" w:eastAsia="en-US" w:bidi="ar-SA"/>
        </w:rPr>
        <w:t>Damages — Physical and psychological injuries — Considerations impacting on award — Pre-existing injury — Determination of damages for injuries arising from motor vehicle accident — Plaintiff was awarded $35,000 in non-pecuniary damages — Plaintiff was passenger in car that was struck from behind — She had pre-accident history of severe, long-term and chronic disabling conditions and pain — Plaintiff was "crumbling skull" plaintiff — Plaintiff's pre-existing conditions were manifest and disabling at time of accident — Accident temporarily aggravated pre-existing conditions.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Considerations — Aggravation of pre-existing injury — Duration of loss — Pre-existing medical conditions — Non-pecuniary loss — Determination of damages for injuries arising from motor vehicle accident — Plaintiff was awarded $35,000 in non-pecuniary damages — Plaintiff was passenger in car that was struck from behind — She had pre-accident history of severe, long-term and chronic disabling conditions and pain — Plaintiff was "crumbling skull" plaintiff — Plaintiff's pre-existing conditions were manifest and disabling at time of accident — Accident temporarily aggravated pre-existing conditions.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Assessment of damages — Limiting factors — Pre-existing conditions — Thin or crumbling skull rule — Determination of damages for injuries arising from motor vehicle accident — Plaintiff was awarded $35,000 in non-pecuniary damages — Plaintiff was passenger in car that was struck from behind — She had pre-accident history of severe, long-term and chronic disabling conditions and pain — Plaintiff was "crumbling skull" plaintiff — Plaintiff's pre-existing conditions were manifest and disabling at time of accident — Accident temporarily aggravated pre-existing conditions.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14" w:name="Case Summary_16"/>
            <w:bookmarkEnd w:id="11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Determination of damages for injuries arising from a motor vehicle accident. The plaintiff was a passenger in a car that was struck from behind, with relatively minor force, but she experienced pain in her neck, shoulders and back. She had a pre-accident history of severe, long-term and chronic disabling conditions and pain, for which she was deemed unemployable and in receipt of a CPP disability pension. There was a noticeable improvement in her sense of well-being during the 16-month period before the accident, but she was significantly physically compromised and susceptible to debilitating flare-ups during that time. The accident marked the end of her relative well-being. After the accident, she ceased a home business in which she had very little success.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15" w:name="Holdings of Court_13"/>
            <w:bookmarkEnd w:id="115"/>
            <w:r>
              <w:rPr>
                <w:rFonts w:ascii="arial" w:eastAsia="arial" w:hAnsi="arial" w:cs="arial"/>
                <w:color w:val="000000"/>
                <w:sz w:val="20"/>
                <w:lang w:val="en-US" w:eastAsia="en-US" w:bidi="ar-SA"/>
              </w:rPr>
              <w:t>HELD: The plaintiff was awarded $35,000 in non-pecuniary damages, $2000 for past income loss, $0 for loss of future earning capacity, $0 for cost of future care and $2601 in special damages.</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was a "crumbling skull" plaintiff. The plaintiff's pre-existing conditions were manifest and disabling at the time of the accident. The accident temporarily aggravated her pre-existing conditions and marked the end of her relief from depression and the enjoyment that she found in some social interaction. She lost a sense of optimism for the future. It was most unlikely that the relief she experienced before the accident would have lasted for very long, given her age, physicality, history and prognoses. The award for past income loss was assessed at $500 per year. It was the plaintiff's seriously disabling pre-existing conditions that rendered her unemployable.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16" w:name="Counsel_16"/>
      <w:bookmarkEnd w:id="11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8" style="position:absolute;z-index:2517268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 McNeney.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V. Gauthier.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7" w:name="Judgment_16"/>
      <w:bookmarkEnd w:id="117"/>
      <w:r>
        <w:pict>
          <v:line id="_x0000_s1109" style="position:absolute;z-index:25177804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8" w:name="L.W. BERNARD J."/>
            <w:bookmarkEnd w:id="118"/>
            <w:r>
              <w:rPr>
                <w:rFonts w:ascii="arial" w:eastAsia="arial" w:hAnsi="arial" w:cs="arial"/>
                <w:b/>
                <w:color w:val="000000"/>
                <w:sz w:val="30"/>
                <w:lang w:val="en-US" w:eastAsia="en-US" w:bidi="ar-SA"/>
              </w:rPr>
              <w:t>L.W. BERNARD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 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December 10, 2011, 50-year old Stefania Vintila was a seat-belted rear passenger in a car that was struck from behind by a car driven by Calvin Kirkwood. The force of the impact was quite minor, but in the immediate aftermath Ms. Vintila began experiencing pain in her neck, shoulders and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At the time of the accident, Ms. Vintila suffered from long-term and disabling chronic pain and depression from which she had enjoyed some welcome respite in the previous 16 months. In this period, she lost 60 pounds, weaned herself off narcotic pain-killers, resumed light household duties, became more social, and found some enjoyment in life. She attributed her improvements, principally, to a health juice introduced to her by a friend.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Since the accident occurred, Ms. Vintila says her life has returned to one of debilitating pain and depression which she attempts to manage with various medications and trigger-point injections.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Vintila's pre-accident medical history includes a designation of severe disability rendering her unemployable and on disability benefits since 2002. She has been in receipt of Canada Pension Plan ("CPP") government disability benefits, continuously, since 2005. Her diagnoses included cervical spondylosis, degenerative disc disease, carpal tunnel syndrome, and depression. In April 2000, Ms. Vintila had sustained significant soft tissue injuries to her neck and back in a relatively serious motor vehicle collision. She was compensated for her injuries by way of out-of-court settlement, in 2006. Ms. Vintila also has a history of various work-related injuries and by March 2002, she had ceased working outside the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At the trial, the third party ("ICBC") represented the defendant Anna Kirkwood. Ms. Kirkwood's son, the defendant Calvin Kirkwood, was the driver at fault in the collision. He did not file a response to the claim. Liability has been 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relation to damages, the essence of ICBC's position is that Ms. Kirkwood should only be liable for losses arising from the temporary aggravation of Ms. Vintila's pre-existing severe, chronic, and disabling condition. In other words, ICBC argues that Ms. Vintila is a "crumbling skull" plaintiff whose pre-existing disabling condition was inherent in her original position as a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Vintila's position is that the defendants must take her as they found her: that is, as a plaintiff who was very vulnerable as a result of her pre-existing, but essentially asymptomatic, condition. In other words, Ms. Vintila submits that she is a "thin skull" plaintiff whose pre-existing condition should not be regarded as inherent to her original position as a plaintiff and, therefore, the defendants ought to be found responsible for the unexpectedly severe consequences to Ms. Vintila arising from the relatively minor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For the reasons which follow, I am satisfied that Ms. Vintila is a "crumbling skull" plaintiff whose damages must be assessed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 Evidentiary Synopsis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Vintila is a 54 year-old divorced woman of Romanian birth, who shares her Maple Ridge home with her two adult sons. She has the equivalent of a grade 12 education. She arrived in Canada in 1992 with her husband and sons. In the following ten years she was gainfully employed as an office cleaner, a seamstress, a dry-cleaner, a store greeter, and a night supervisor for stocking shelves at Walmart. Ms. Vintila's last employment position was with Walmart, where her final working day was March 28, 2002. Since that date, Ms. Vintila has been in continuous receipt of disability benefits, first through her employment and then from the government.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Vintila's pre-accident health includes the following significant non-contentious events and conditions:</w:t>
      </w:r>
      <w:r>
        <w:rPr>
          <w:rFonts w:ascii="arial" w:eastAsia="arial" w:hAnsi="arial" w:cs="arial"/>
          <w:sz w:val="20"/>
          <w:lang w:val="en-US" w:eastAsia="en-US" w:bidi="ar-SA"/>
        </w:rPr>
        <w:cr/>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1995/1996: While employed as a dry-cleaner she sustained a herniated disc in her lower back and took three months off work. She suffered pain which radiated down her left leg and caused tingling in one foot.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1999: Ms. Vintila developed bilateral carpal tunnel syndrome.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April 2000: Ms. Vintila was in a car accident in which she sustained neck and left shoulder injuries, with pain radiating into her left arm, lower back, and left leg.</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Summer 2000: Ms. Vintila suffered from burning sensations in her neck and back spasms causing spinal misalignment, for which she saw a neurosurgeon.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March 2001: Ms. Vintila was diagnosed with carpal tunnel syndrome of the left median nerve. She had two surgical procedures - one for each hand.</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March 2002: Ms. Vintila was unable to work and began collecting long-term disability benefits.</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Early 2003: X-rays showed that Ms. Vintila has extensive spondylosis in her cervical spine and central and left posterolateral disc herniation.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March 2003: Ms. Vintila had an unsuccessful neck fusion and cervical discectomy. She continued to have symptoms in the left side of her neck, left shoulder, left arm and left hand, and finger numbness.</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Autumn 2003: Ms. Vintila suffered a severe episode of back pain; her back pain would be triggered by "almost anything".</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2005: Ms. Vintila's family doctor diagnosed Ms. Vintila with chronic pain syndrome, cervical spondylosis, degenerative disc disease of the lower spine, and depression. Ms. Vintila was considered competitively unemployable with a low probability of returning to work. Her doctor opined that her condition was unlikely to improve and might worsen.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2006: Ms. Vintila reached an out-of-court settlement with ICBC for her losses caused by the 2000 MVA.</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2000- 2010: Ms. Vintila took various prescription pain medications daily to manage her chronic and debilitating pain. She said: "It was bad - I wanted to die". She took over 200 pills per month.</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April 2010-Dec. 2011 (the "MonaVie period"): In February 2010, Ms. Vintila began taking MonaVie health juice, and after four months she had weaned herself off her prescription pain medications and felt much better for it. Although she continued to have significant physical limitations and took Advil and Robaxacet, as needed, for pain, she began enjoying life, socializing, and was able to perform more light household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the MonaVie period, Ms. Vintila was so impressed by the product she decided to become a sales representative for it. She also began a small "home business" assembling gift baskets for the clients of a real estate agent friend. Ms. Vintila gave up these modest income-earning activities after the accident. While she acknowledged that she did not enjoy much financial success with either endeavour, she believed in MonaVie as a product and liked assembling gift baskets. She estimated that she earned a total of $300 to $400 selling MonaVie, and her income from the gift baskets was similarly low. Notably, Ms. Vintila did not report this income, or an ability to work, to CPP, and continued to collect full CPP disability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Vintila testified that she was, in the MonaVie period, happy, sociable, and able to resume performing light household tasks. She said she joined a gym and saw her weight drop from 240 pounds to 180 pounds. (She is 5'3 tall and presently weighs 189 pounds.) Her sons' testimonies supported Ms. Vintila's assertions of marked improvements in her sense of well-being and happiness in this period. Similarly, they corroborated Ms. Vintila's evidence of an immediate and precipitous decline in her well-being and enjoyment of life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Vintila agreed that in the MonaVie period she continued to experience pain in her neck and lower back, "arm symptoms", and other physical limitations, but she explained that these pains were manageable with non-prescription medications. She said she remained careful and cautious regarding physical activities because she knew she could have a flare-up of her various chronic conditions, including crippling back spasms, at any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accident occurred on December 10, 2011 at approximately 9:00 pm. Ms. Vintila was a seat-belted rear passenger, in a friend's car, when it was struck from behind by another car. Ms. Vintila could not testify to her body movements upon impact. She said that she remained in the car after the impact, fearful that she might have re-injured her neck. Ms. Vintila's friend's car remained drivable, and Ms. Vintila was taken to another friend's house, in Port Coquitlam, where she was picked up by one of her sons and driven home to Maple 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After the accident, Ms. Vintila said she suffered from severe back pain and back spasms. She saw her family physician the next day. She was prescribed Tylenol #3. She began a program of physiotherapy, but found that the physiotherapy aggravated pain in her shoulders, lower back, hips, and arm. She began experiencing numbness in her hands. In February 2012, Ms. Vintila had an MRI and learned that she had osteoarthritis in her neck, and disc disease in her spine. Ms. Vintila said her pain progressively worsened through 2012 and into 2013. She began trigger-point injections every two months. She described these injections as painful but worthwhile because they gave her some welcome, albeit short-term,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Vintila ceased taking MonaVie following the accident, and resumed her reliance on prescription pain medication. Since then, she has twice been to the emergency ward for overdosing; moreover, she said she has developed a "fatty liver" from excessive use of these medications, and now fears for her mortality.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Vintila's current complaints include back spasms, a sore lower back, sore hips, a sore right knee, finger numbness, and depression. She said there are days when she is so disabled that she cannot get out of bed without help from her sons. Although her family doctor has recommended water exercises in a swimming pool as a physical therapy "because it works", Ms. Vintila is unwilling to be seen in a swimsuit because she "feels fat".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Marvin Huberman has been Ms. Vintila's family doctor since 1993. He saw Ms. Vintila the day following the accident. He noted that she seemed to have sustained soft tissue injuries to her neck and back and referred her for physiotherapy. In relation to her medical past,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 past history was extremely significant in that she'd had a previous motor vehicle accident in 2000 with neck and low back pain, and underwent a C6-7 discectomy and neck fusion by Dr. Richard Chan in 2003. She developed chronic pain in her neck and low back and has been on disability for that since 2006; needing ongoing analgesics of the Tramacet variety as well as Lyrica, but with this accident she did have an exacerbation of her ongoing pain and discomfort. She was also having some numbness in both hands which is something she wasn't having prior to this most current accident recently. She was taking some Advil for the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February 8, 2012, Dr. Huberman referred Ms. Vintila to a physiatrist, as she continued to suffer pain and stiffness in her left neck and trapezius muscles, with intermittent numbness of her left arm, and muscle spasms in the lower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July 15, 2012, Dr. Huberman noted that Ms. Vintila's back was "better" and that she was on "exercise rehab" which was helping. He noted that she had lost 11 pounds which "had also made a difference". By July 27, 2012, however, Ms. Vintila had stopped her rehab because of back pain. By August 15, 2012 Dr. Huberman noted that Ms. Vintila was taking up to eight Tylenol #3s per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Dr. Huberman continued to see Ms. Vintila often throughout 2012; he noted various improvements and setbacks. On February 22, 2013,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had pain in her left lower back to her leg, as before. Tylenol #3 was continued. She had seen a physiatrist and he felt that we were dealing with myofascial pain. He ordered some ultrasounds of her elbows to see if she had any ulnar nerve subluxation. I also re-referred her to Dr. Richard Chan who had done her neck surgery, because of the S-1 nerve root irritation that she was getting in her low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Dr. Huberman continued to see Ms. Vintila often, and to observe various improvements and setbacks in her condition. In his report dated June 2, 2014 he wrote the following summary: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short then, Ms. Vintila had two accidents - one in 2000 and one in 2011. Failed C-6/7 cervical fusion procedure. She has degenerative disc disease and arthritis in her neck and low back and continues to have ongoing pain of a myofascial or neuropathic nature requiring daily use of analgesic. Drugs such as Lyrica and gabapentin had not helped her nor has nortriptyline and it would seem that she has a chronic pain syndrome that will continue to be an ongoing source of pain. Trigger point therapy is helping somewhat at this point but I suspect she will have an ongoing need for medication for the foreseeable future for analgesia for her chronic pain syndrome. She remains totally disabled for work although she does keep house for her two adult sons and that is about the extent of the work she can do. I think her long-term prognosis is guarded. She will continue to have chronic pain syndrome and require pain medication. Hopefully trigger point injection will alleviate this somewhat.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Dr. Huberman updated his June 2, 2014 report on October 15, 2015. In this report he wrote the following summary: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short then, Ms. Vintila presents the same picture, ongoing chronic back pain, pain in the legs. She has some degenerative disc disease, some spinal stenosis and the pain is largely of a myofascial nature. She continues to get trigger point injections from her physical medicine specialist and finds those helpful. I suspect, as mentioned in the previous report, she will have ongoing problems with back pain that she will need to learn to live with and hopefully will find adequate coping mechanisms for them but it seems like this is going to be an ongoing issue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cross-examination of Dr. Huberman, he agreed that Ms. Vintila's pre-accident medical history included the following:</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chronic pain condition</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disc herniation</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neck fusion, unsuccessful in terms of pain management</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severe cervical spondylosis</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carpal-tunnel syndrome</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multi-level degenerative disc disease and arthritis in her lower back, and</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significant degree of damage to her cervical and lumbar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Dr. Huberman also agreed that in his September 2002 report, in relation to Ms. Vintila's application for CPP disability benefits, he described Ms. Vintila as:</w:t>
      </w:r>
      <w:r>
        <w:rPr>
          <w:rFonts w:ascii="arial" w:eastAsia="arial" w:hAnsi="arial" w:cs="arial"/>
          <w:sz w:val="20"/>
          <w:lang w:val="en-US" w:eastAsia="en-US" w:bidi="ar-SA"/>
        </w:rPr>
        <w:cr/>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having cervical spondylosis, lumbar spine degenerative disc disease, and bilateral carpal tunnel syndrome;</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suffering from neck, low back, and leg pain, with parathesias in her left arm; and</w:t>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totally disabled for work and unlikely to improve.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a subsequent letter to CPP on January 26, 2006, Dr. Huberman reported that Ms. Vintila remained "severely" physically disabled for any kind of work because of ongoing pain in her lower back, neck and arms. He noted that he would refer her to a pain clinic for her chronic pain and dependence on analgesics, and had not done so previously only because she was ineligible while the litigation with ICBC in relation to the 2000 motor vehicle accident was outstanding. (After this claim was settled in 2006, Ms. Vintila did not attend a pain clinic.)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a similar report dated May 6, 2005, addressed to provincial government authorities, Dr. Huberman wrote that Ms. Vintila suffered from continuous severe back pain and restricted motion, carpal tunnel syndrome "deteriorating", and severe depression. As to the degree and duration of Ms. Vintila's impairments, Dr. Huberman described them as "chronic deteriorating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Anibal Bohorquez is the physiatrist to whom Ms. Vintila was referred by Dr. Huberman. He saw Ms. Vintila several times from January 24, 2013 to August 15, 2015, and prepared two reports. In relation to the nature and extent of Ms. Vintila's injuries,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Vintilla was involved in a motor vehicle accident in 2000, which led to neck and low back pain. She had a C6/7 discectomy and fusion by Dr. Chan in 2003. She was diagnosed with chronic pain and had been on disability pension related to this chronic pain since 2006. The motor vehicle accident in question on December 10, 2011, more likely than not, led to an exacerbation of her pain. She told me on the initial assessment that prior to the accident in 2011, her pain was manageable. However, the pain was out of control by the time I initially assessed her on January 24, 2013.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diagnosed Ms. Vintila with myofascial pain (muscle pain) involving multiple muscles around the neck area . . . Myofascial pain is a condition of tight and painful muscles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 The focus of my assessments were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xml:space="preserve"> not on her lower back because the initial referral asked me to assess her neck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accident, Ms. Vintila had to deal with more severe neck and upper back pain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condition of myofascial pain, the usual recommendation is to do an active stretching and strengthening program . . . This involves a daily routine of stretching and strengthening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case, I would suggest that Ms. Vintila have a gym pass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Finally, trigger point injections have been helpful . . . This is not a curative treatment, but can help with symptom management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Since the motor vehicle accident in 2011, her pain has become worse and more difficult to manage. I suspect the likelihood for full symptom resolution at this stage is quite low . . . If she attends a multidisciplinary pain clinic that has a cognitive behavioural component, this could help her significantly to focus on activities, despite pain and discomfort.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Vintila is able to do her personal activities of daily living. She is able to do self-care and is independent and living independently. Leisure activities are limited by her inability to sit for prolonged periods of time, or walk for prolonged periods of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think the current injuries will lead to further degeneration or deterioration of her spine area. I do not think Ms. Vintila will require any surgical interventions for this problem.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future, I think she may require assistance with heavier household chores at home, such as vacuuming or lifting heavy items. I think she may require some home care assistance about once every two weeks with heavier household chores.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his cross-examination, Dr. Bohorquez agreed that he understood that Ms. Vintila had chronic pain for ten years prior to the accident, but said he had not been provided with her pre-accident medical records. In this regard, Dr. Bohorquez agreed that he would need the "full picture" to give a proper opinion regarding the cause of Ms. Vintila's present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Bassam Masri is an orthopedic surgeon who examined Ms. Vintila on April 7, 2015. He prepared a report which was tendered into evidence by ICBC. This report contains the following opinions:</w:t>
      </w:r>
      <w:r>
        <w:rPr>
          <w:rFonts w:ascii="arial" w:eastAsia="arial" w:hAnsi="arial" w:cs="arial"/>
          <w:sz w:val="20"/>
          <w:lang w:val="en-US" w:eastAsia="en-US" w:bidi="ar-SA"/>
        </w:rPr>
        <w:cr/>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the 2011 motor vehicle accident, Ms. Vintila suffered from pain in her neck, back, left leg, and left greater trochanter. The left greater trochanter pain had resolved, but the other pains had not. The pain in the neck, back, and left leg were improved, yet she remained on disability pension and was unable to work.</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2011 motor vehicle accident, she had aggravation of her neck pain, as well as her back pain and pain in the trapezius muscles and slight aggravation of pain in the left leg. She also had pain over the left greater trochanter. More recently, over the past 2 months, she developed pain in the right leg and pain over the right greater trochanter.</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the timing of her symptoms, I do not believe that the pain in the right leg is related to the motor vehicle accident, and I do not believe that the pain over the right greater trochanter is related to the motor vehicle accident, because these only started 2 months ago.</w:t>
      </w:r>
    </w:p>
    <w:p>
      <w:pPr>
        <w:numPr>
          <w:numId w:val="2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accident caused a soft tissue injury affecting her neck and her back, thus worsening her pre-existing pain. She also has an underlying diagnosis of degenerative disease in her neck and in her back, which was causing her ongoing pain prior to the motor vehicle accident. She also had an element of spinal stenosis causing potentially affecting the left SI nerve root as evidenced by the pre-existing pain. This was rendered slightly worse with the 2011 motor vehicle accident, but has subsequently returned to baseline. The pain in her back is currently tolerable with medication, but her neck pain is a bit worse than it was before the accident. In addition, she complains of pain in both shoulders, pain over the left greater trochanter and numbness in the left hand.</w:t>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Because of the multiplicity of complaints, I will address them individually in order to better explain the effect of the accident symptoms.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Neck</w:t>
      </w:r>
      <w:r>
        <w:rPr>
          <w:rFonts w:ascii="arial" w:eastAsia="arial" w:hAnsi="arial" w:cs="arial"/>
          <w:b/>
          <w:color w:val="000000"/>
          <w:sz w:val="20"/>
          <w:lang w:val="en-US" w:eastAsia="en-US" w:bidi="ar-SA"/>
        </w:rPr>
        <w:t>:</w:t>
      </w:r>
      <w:r>
        <w:rPr>
          <w:rFonts w:ascii="arial" w:eastAsia="arial" w:hAnsi="arial" w:cs="arial"/>
          <w:color w:val="000000"/>
          <w:sz w:val="20"/>
          <w:lang w:val="en-US" w:eastAsia="en-US" w:bidi="ar-SA"/>
        </w:rPr>
        <w:t xml:space="preserve"> My diagnosis with reference to her neck injuries is that of a soft tissue injury affecting the trapezius muscles as well as her neck as well as aggravation of pain related to underlying degenerative conditions. She had already had a cervical disc fusion with some degenerative changes throughout, worse at the level below the fusion, as is often the case so many years after a neck fusion. The pain has gradually improved and it is continuing to improve. The current state of her pain is that it is still somewhat worse than it was before the motor vehicle accident, but it is improved compared to the way it was immediately after the motor vehicle accident. As a result of this current motor vehicle accident (2011), there was no recurrence of any arm pain. The numbness that she is complaining of in her left hand is related to a diagnosis of so-called "cubital tunnel syndrome." This is a condition whereby the ulnar nerve is compressed at the elbow, and it is similar to carpal tunnel syndrome, which is another compression neuropathy at the level of the wrist. This condition is of spontaneous onset and has nothing to do with an injury. Her symptoms pre-dated the motor vehicle accident, and therefore they are unrelated to the motor vehicle accident. The evidence for this diagnosis is the positive Tinel's sign at the elbow on physical examination and also by the conduction delay on the nerve conduction studies from the elbow region, confirming the diagnosis of cubital tunnel syndrome. Therefore, the numbness in the left hand is unrelated to the motor vehicle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Back pain</w:t>
      </w:r>
      <w:r>
        <w:rPr>
          <w:rFonts w:ascii="arial" w:eastAsia="arial" w:hAnsi="arial" w:cs="arial"/>
          <w:b/>
          <w:color w:val="000000"/>
          <w:sz w:val="20"/>
          <w:lang w:val="en-US" w:eastAsia="en-US" w:bidi="ar-SA"/>
        </w:rPr>
        <w:t>:</w:t>
      </w:r>
      <w:r>
        <w:rPr>
          <w:rFonts w:ascii="arial" w:eastAsia="arial" w:hAnsi="arial" w:cs="arial"/>
          <w:color w:val="000000"/>
          <w:sz w:val="20"/>
          <w:lang w:val="en-US" w:eastAsia="en-US" w:bidi="ar-SA"/>
        </w:rPr>
        <w:t xml:space="preserve"> Also, the diagnosis with reference to her back is that of a soft tissue injury which gave her a transient increase in pain, as well as aggravation of pre-existing pain related to degenerative disc disease in her back. She also had left leg pain prior to the motor vehicle accident, which was improving. On objective imaging, she has evidence of left SI nerve root compromise related to her degenerative condition. This is pre-existing by virtue of her pre-existing symptoms. The symptoms were made worse by the motor vehicle accident, and they have improved to the point that her left leg pain is the same as it was prior to the motor vehicle accident. Her worst pain at the present time; however, is that of right leg pain, which started 2 months ago. On physical examination, there is evidence of so-called sciatica as evidenced by the straight leg raising test and the positive root tension signs. This makes her diagnosis that of spinal stenosis similar to what she has on the left leg with nerve root compression on the right. Because the symptoms happened only 2 months ago, and because of the pre-existing degenerative condition in her lumbar spine, I do not believe that the pain in the right leg is related to the motor vehicle accident. Instead, it is related to the pre-existing degenerative condition. Therefore, had it not been for the motor vehicle accident, she would have still complained of pain in the right leg.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relation to the aggravation of Ms. Vintila's pre-existing back pain, Dr. Masri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although it may be worse than it was before the motor vehicle accident, the natural history of progression of pain related to degenerative changes would make me believe that even had it not been for the motor vehicle accident, [Ms. Vintila] would have been at risk of developing worsening back pain over time. Her obesity, smoking, and general deconditioning does not help."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addition to the foregoing evidence, the plaintiff also tendered the following reports upon which she relies in relation to her future loss claims:</w:t>
      </w:r>
      <w:r>
        <w:rPr>
          <w:rFonts w:ascii="arial" w:eastAsia="arial" w:hAnsi="arial" w:cs="arial"/>
          <w:sz w:val="20"/>
          <w:lang w:val="en-US" w:eastAsia="en-US" w:bidi="ar-SA"/>
        </w:rPr>
        <w:cr/>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 Assessment (Jennifer Lane)</w:t>
      </w:r>
    </w:p>
    <w:p>
      <w:pPr>
        <w:numPr>
          <w:numId w:val="3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Functional Abilities Evaluation (Sharon Singh)</w:t>
      </w:r>
    </w:p>
    <w:p>
      <w:pPr>
        <w:numPr>
          <w:numId w:val="3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Future Earnings Calculations (Kevin Turnbull)</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of Future Care Calculations (Kevin Turnbull)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principal matter in dispute is the plaintiff's "original position": that is, Ms. Vintila's state/condition at the time of the accident. The issue is central because it is well-established in our jurisprudence that a tortfeasor is obliged only to return an injured plaintiff to her original position and not to one more favourable. In other words, a defendant is not liable for the debilitating effects of a pre-existing condition which the plaintiff would, in any event, have experienced.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If a plaintiff has a quiescent pre-existing weakness or latent susceptibility that has been triggered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then the original position of the plaintiff is a pain-free/asymptomatic state and the defendant is liable, in damages, for all the plaintiff's injuries/symptoms arising from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even if they are unexpectedly severe. This is known, in our jurisprudence, as the "thin skull"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If, however, a pre-existing condition is already manifest and presently disabling at the time of the negligent act, then the defendant is not liable for any debilitating effects of that pre-existing condition that the plaintiff would, in any event, have experienced. In other words, the plaintiff's pre-existing condition is inherent to her original position; thus, the injuries related to the pre-existing condition are divisible and the defendant is only responsible for any aggravation of symptoms. This is referred to as the "crumbling skull"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These legal principles are found in the seminal case of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67" w:history="1">
        <w:r>
          <w:rPr>
            <w:rFonts w:ascii="arial" w:eastAsia="arial" w:hAnsi="arial" w:cs="arial"/>
            <w:i/>
            <w:color w:val="0077CC"/>
            <w:sz w:val="20"/>
            <w:u w:val="single"/>
            <w:shd w:val="clear" w:color="auto" w:fill="FFFFFF"/>
            <w:lang w:val="en-US" w:eastAsia="en-US" w:bidi="ar-SA"/>
          </w:rPr>
          <w:t>1996 CanLII 183</w:t>
        </w:r>
      </w:hyperlink>
      <w:r>
        <w:rPr>
          <w:rFonts w:ascii="arial" w:eastAsia="arial" w:hAnsi="arial" w:cs="arial"/>
          <w:color w:val="000000"/>
          <w:sz w:val="20"/>
          <w:lang w:val="en-US" w:eastAsia="en-US" w:bidi="ar-SA"/>
        </w:rPr>
        <w:t xml:space="preserve"> (SCC):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The respondents argued that the plaintiff was predisposed to disc herniation and that this is therefore a case where the "crumbling skull" rule applies. The "crumbling skull" doctrine is an awkward label for a fairly simple idea. It is named after the well-known "thin skull" rule, which makes the tortfeasor liable for the plaintiff's injuries even if the injuries are unexpectedly severe owing to a pre-existing condition. The tortfeasor must take his or her victim as the tortfeasor finds the victim, and is therefore liable even though the plaintiff's losses are more dramatic than they would be for the average person.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The so-called "crumbling skull" rule simply recognizes that the pre-existing condition was inherent in the plaintiff's "original position". The defendant need not put the plaintiff in a position </w:t>
      </w:r>
      <w:r>
        <w:rPr>
          <w:rFonts w:ascii="arial" w:eastAsia="arial" w:hAnsi="arial" w:cs="arial"/>
          <w:color w:val="000000"/>
          <w:sz w:val="20"/>
          <w:u w:val="single"/>
          <w:lang w:val="en-US" w:eastAsia="en-US" w:bidi="ar-SA"/>
        </w:rPr>
        <w:t>better</w:t>
      </w:r>
      <w:r>
        <w:rPr>
          <w:rFonts w:ascii="arial" w:eastAsia="arial" w:hAnsi="arial" w:cs="arial"/>
          <w:color w:val="000000"/>
          <w:sz w:val="20"/>
          <w:lang w:val="en-US" w:eastAsia="en-US" w:bidi="ar-SA"/>
        </w:rPr>
        <w:t xml:space="preserve"> than his or her original position. The defendant is liable for the injuries caused, even if they are extreme, but need not compensate the plaintiff for any debilitating effects of the pre-existing condition which the plaintiff would have experienced anyway. The defendant is liable for the additional damage but not the pre-existing damage: Cooper-Stephenson,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pp. 779-780 and John Munkman, </w:t>
      </w:r>
      <w:r>
        <w:rPr>
          <w:rFonts w:ascii="arial" w:eastAsia="arial" w:hAnsi="arial" w:cs="arial"/>
          <w:i/>
          <w:color w:val="000000"/>
          <w:sz w:val="20"/>
          <w:lang w:val="en-US" w:eastAsia="en-US" w:bidi="ar-SA"/>
        </w:rPr>
        <w:t>Damages for Personal Injuries and Death</w:t>
      </w:r>
      <w:r>
        <w:rPr>
          <w:rFonts w:ascii="arial" w:eastAsia="arial" w:hAnsi="arial" w:cs="arial"/>
          <w:color w:val="000000"/>
          <w:sz w:val="20"/>
          <w:lang w:val="en-US" w:eastAsia="en-US" w:bidi="ar-SA"/>
        </w:rPr>
        <w:t xml:space="preserve"> (9th ed. 1993), at pp. 39-40. Likewise, if there is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then this can be taken into account in reducing the overall award: </w:t>
      </w:r>
      <w:r>
        <w:rPr>
          <w:rFonts w:ascii="arial" w:eastAsia="arial" w:hAnsi="arial" w:cs="arial"/>
          <w:i/>
          <w:color w:val="000000"/>
          <w:sz w:val="20"/>
          <w:lang w:val="en-US" w:eastAsia="en-US" w:bidi="ar-SA"/>
        </w:rPr>
        <w:t>Graham v. Rourke</w:t>
      </w:r>
      <w:r>
        <w:rPr>
          <w:rFonts w:ascii="arial" w:eastAsia="arial" w:hAnsi="arial" w:cs="arial"/>
          <w:color w:val="000000"/>
          <w:sz w:val="20"/>
          <w:lang w:val="en-US" w:eastAsia="en-US" w:bidi="ar-SA"/>
        </w:rPr>
        <w:t xml:space="preserve">, </w:t>
      </w:r>
      <w:hyperlink r:id="rId421" w:history="1">
        <w:r>
          <w:rPr>
            <w:rFonts w:ascii="arial" w:eastAsia="arial" w:hAnsi="arial" w:cs="arial"/>
            <w:i/>
            <w:color w:val="0077CC"/>
            <w:sz w:val="20"/>
            <w:u w:val="single"/>
            <w:shd w:val="clear" w:color="auto" w:fill="FFFFFF"/>
            <w:lang w:val="en-US" w:eastAsia="en-US" w:bidi="ar-SA"/>
          </w:rPr>
          <w:t>[1990] O.J. No. 2314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Malec v. J.C. Hutton Proprietary Ltd.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Cooper-Stephenson,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pp. 851-852. This is consistent with the general rule that the plaintiff must be returned to the position he would have been in, with all of its attendant risks and shortcomings, and not a better position.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 The "crumbling skull" argument is the respondents' strongest submission, but in my view it does not succeed on the facts as found by the trial judge. There was no finding of any measurable risk that the disc herniation would have occurred without the accident, and there was therefore no basis to reduce the award to take into account any such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"crumbling skull" rule was discussed more recently, in </w:t>
      </w:r>
      <w:r>
        <w:rPr>
          <w:rFonts w:ascii="arial" w:eastAsia="arial" w:hAnsi="arial" w:cs="arial"/>
          <w:i/>
          <w:color w:val="000000"/>
          <w:sz w:val="20"/>
          <w:lang w:val="en-US" w:eastAsia="en-US" w:bidi="ar-SA"/>
        </w:rPr>
        <w:t>Sangha v. Chen</w:t>
      </w:r>
      <w:r>
        <w:rPr>
          <w:rFonts w:ascii="arial" w:eastAsia="arial" w:hAnsi="arial" w:cs="arial"/>
          <w:color w:val="000000"/>
          <w:sz w:val="20"/>
          <w:lang w:val="en-US" w:eastAsia="en-US" w:bidi="ar-SA"/>
        </w:rPr>
        <w:t xml:space="preserve">, </w:t>
      </w:r>
      <w:hyperlink r:id="rId422" w:history="1">
        <w:r>
          <w:rPr>
            <w:rFonts w:ascii="arial" w:eastAsia="arial" w:hAnsi="arial" w:cs="arial"/>
            <w:i/>
            <w:color w:val="0077CC"/>
            <w:sz w:val="20"/>
            <w:u w:val="single"/>
            <w:shd w:val="clear" w:color="auto" w:fill="FFFFFF"/>
            <w:lang w:val="en-US" w:eastAsia="en-US" w:bidi="ar-SA"/>
          </w:rPr>
          <w:t>2013 BCCA 267</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The correct approach to pre-existing conditions is discussed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67" w:history="1">
        <w:r>
          <w:rPr>
            <w:rFonts w:ascii="arial" w:eastAsia="arial" w:hAnsi="arial" w:cs="arial"/>
            <w:i/>
            <w:color w:val="0077CC"/>
            <w:sz w:val="20"/>
            <w:u w:val="single"/>
            <w:shd w:val="clear" w:color="auto" w:fill="FFFFFF"/>
            <w:lang w:val="en-US" w:eastAsia="en-US" w:bidi="ar-SA"/>
          </w:rPr>
          <w:t>1996 CanLII 183</w:t>
        </w:r>
      </w:hyperlink>
      <w:r>
        <w:rPr>
          <w:rFonts w:ascii="arial" w:eastAsia="arial" w:hAnsi="arial" w:cs="arial"/>
          <w:color w:val="000000"/>
          <w:sz w:val="20"/>
          <w:lang w:val="en-US" w:eastAsia="en-US" w:bidi="ar-SA"/>
        </w:rPr>
        <w:t xml:space="preserve"> (SCC), </w:t>
      </w:r>
      <w:hyperlink r:id="rId267"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under the rubric of "crumbling skull"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I also refer to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423"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(CanLII), </w:t>
      </w:r>
      <w:hyperlink r:id="rId423" w:history="1">
        <w:r>
          <w:rPr>
            <w:rFonts w:ascii="arial" w:eastAsia="arial" w:hAnsi="arial" w:cs="arial"/>
            <w:i/>
            <w:color w:val="0077CC"/>
            <w:sz w:val="20"/>
            <w:u w:val="single"/>
            <w:shd w:val="clear" w:color="auto" w:fill="FFFFFF"/>
            <w:lang w:val="en-US" w:eastAsia="en-US" w:bidi="ar-SA"/>
          </w:rPr>
          <w:t>[2005] 3 S.C.R. 3</w:t>
        </w:r>
      </w:hyperlink>
      <w:r>
        <w:rPr>
          <w:rFonts w:ascii="arial" w:eastAsia="arial" w:hAnsi="arial" w:cs="arial"/>
          <w:color w:val="000000"/>
          <w:sz w:val="20"/>
          <w:lang w:val="en-US" w:eastAsia="en-US" w:bidi="ar-SA"/>
        </w:rPr>
        <w:t xml:space="preserve">, </w:t>
      </w:r>
      <w:hyperlink r:id="rId423"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[78] It is important to distinguish between causation as the source of the loss and the rules of damage assessment in tort. The rules of causation consider generally whether "but for" the defendant's acts, the plaintiff's damages would have been incurred on a balance of probabilities. Even though there may be several tortious and non-tortious causes of injury, so long as the defendant's act is a cause of the plaintiff's damage, the defendant is fully liable for that damage. The rules of damages then consider what the original position of the plaintiff would have been. The governing principle is that the defendant need not put the plaintiff in a better position than his original position and should not compensate the plaintiff for any damages he would have suffered anyway: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Krause v. Gill et al</w:t>
      </w:r>
      <w:r>
        <w:rPr>
          <w:rFonts w:ascii="arial" w:eastAsia="arial" w:hAnsi="arial" w:cs="arial"/>
          <w:color w:val="000000"/>
          <w:sz w:val="20"/>
          <w:lang w:val="en-US" w:eastAsia="en-US" w:bidi="ar-SA"/>
        </w:rPr>
        <w:t xml:space="preserve">, </w:t>
      </w:r>
      <w:hyperlink r:id="rId424" w:history="1">
        <w:r>
          <w:rPr>
            <w:rFonts w:ascii="arial" w:eastAsia="arial" w:hAnsi="arial" w:cs="arial"/>
            <w:i/>
            <w:color w:val="0077CC"/>
            <w:sz w:val="20"/>
            <w:u w:val="single"/>
            <w:shd w:val="clear" w:color="auto" w:fill="FFFFFF"/>
            <w:lang w:val="en-US" w:eastAsia="en-US" w:bidi="ar-SA"/>
          </w:rPr>
          <w:t>2006 BCSC 1459</w:t>
        </w:r>
      </w:hyperlink>
      <w:r>
        <w:rPr>
          <w:rFonts w:ascii="arial" w:eastAsia="arial" w:hAnsi="arial" w:cs="arial"/>
          <w:color w:val="000000"/>
          <w:sz w:val="20"/>
          <w:lang w:val="en-US" w:eastAsia="en-US" w:bidi="ar-SA"/>
        </w:rPr>
        <w:t>, the court found that the "crumbling skull" rule does not require that the pre-existing condition be symptomatic immediately before the tortious act in question: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[42] As I understand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and many of the cases that have considered it, the distinction between "thin skull" and "crumbling skull" does not depend on whether the plaintiff's pre-existing condition was active immediately before the second source or cause of injury. A weakness inherent in a plaintiff, which might realistically cause or contribute to a loss, regardless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 defendant, is relevant in the assessment of damages: see </w:t>
      </w:r>
      <w:r>
        <w:rPr>
          <w:rFonts w:ascii="arial" w:eastAsia="arial" w:hAnsi="arial" w:cs="arial"/>
          <w:i/>
          <w:color w:val="000000"/>
          <w:sz w:val="20"/>
          <w:lang w:val="en-US" w:eastAsia="en-US" w:bidi="ar-SA"/>
        </w:rPr>
        <w:t>T.W.N.A. v. Canada</w:t>
      </w:r>
      <w:r>
        <w:rPr>
          <w:rFonts w:ascii="arial" w:eastAsia="arial" w:hAnsi="arial" w:cs="arial"/>
          <w:color w:val="000000"/>
          <w:sz w:val="20"/>
          <w:lang w:val="en-US" w:eastAsia="en-US" w:bidi="ar-SA"/>
        </w:rPr>
        <w:t xml:space="preserve"> </w:t>
      </w:r>
      <w:hyperlink r:id="rId425" w:history="1">
        <w:r>
          <w:rPr>
            <w:rFonts w:ascii="arial" w:eastAsia="arial" w:hAnsi="arial" w:cs="arial"/>
            <w:i/>
            <w:color w:val="0077CC"/>
            <w:sz w:val="20"/>
            <w:u w:val="single"/>
            <w:shd w:val="clear" w:color="auto" w:fill="FFFFFF"/>
            <w:lang w:val="en-US" w:eastAsia="en-US" w:bidi="ar-SA"/>
          </w:rPr>
          <w:t>(2003), 22 B.C.L.R. (4th) 1</w:t>
        </w:r>
      </w:hyperlink>
      <w:r>
        <w:rPr>
          <w:rFonts w:ascii="arial" w:eastAsia="arial" w:hAnsi="arial" w:cs="arial"/>
          <w:color w:val="000000"/>
          <w:sz w:val="20"/>
          <w:lang w:val="en-US" w:eastAsia="en-US" w:bidi="ar-SA"/>
        </w:rPr>
        <w:t xml:space="preserve"> (C.A.) at para. 48, </w:t>
      </w:r>
      <w:hyperlink r:id="rId425" w:history="1">
        <w:r>
          <w:rPr>
            <w:rFonts w:ascii="arial" w:eastAsia="arial" w:hAnsi="arial" w:cs="arial"/>
            <w:i/>
            <w:color w:val="0077CC"/>
            <w:sz w:val="20"/>
            <w:u w:val="single"/>
            <w:shd w:val="clear" w:color="auto" w:fill="FFFFFF"/>
            <w:lang w:val="en-US" w:eastAsia="en-US" w:bidi="ar-SA"/>
          </w:rPr>
          <w:t>2003 BCCA 670</w:t>
        </w:r>
      </w:hyperlink>
      <w:r>
        <w:rPr>
          <w:rFonts w:ascii="arial" w:eastAsia="arial" w:hAnsi="arial" w:cs="arial"/>
          <w:color w:val="000000"/>
          <w:sz w:val="20"/>
          <w:lang w:val="en-US" w:eastAsia="en-US" w:bidi="ar-SA"/>
        </w:rPr>
        <w:t xml:space="preserve"> (CanLII); </w:t>
      </w:r>
      <w:r>
        <w:rPr>
          <w:rFonts w:ascii="arial" w:eastAsia="arial" w:hAnsi="arial" w:cs="arial"/>
          <w:i/>
          <w:color w:val="000000"/>
          <w:sz w:val="20"/>
          <w:lang w:val="en-US" w:eastAsia="en-US" w:bidi="ar-SA"/>
        </w:rPr>
        <w:t>York v. Johnston</w:t>
      </w:r>
      <w:r>
        <w:rPr>
          <w:rFonts w:ascii="arial" w:eastAsia="arial" w:hAnsi="arial" w:cs="arial"/>
          <w:color w:val="000000"/>
          <w:sz w:val="20"/>
          <w:lang w:val="en-US" w:eastAsia="en-US" w:bidi="ar-SA"/>
        </w:rPr>
        <w:t xml:space="preserve"> (1997), 1997 CanLII 4043 (BC CA), </w:t>
      </w:r>
      <w:hyperlink r:id="rId426" w:history="1">
        <w:r>
          <w:rPr>
            <w:rFonts w:ascii="arial" w:eastAsia="arial" w:hAnsi="arial" w:cs="arial"/>
            <w:i/>
            <w:color w:val="0077CC"/>
            <w:sz w:val="20"/>
            <w:u w:val="single"/>
            <w:shd w:val="clear" w:color="auto" w:fill="FFFFFF"/>
            <w:lang w:val="en-US" w:eastAsia="en-US" w:bidi="ar-SA"/>
          </w:rPr>
          <w:t>37 B.C.L.R. (3d) 235</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McKelvie v. Ng</w:t>
      </w:r>
      <w:r>
        <w:rPr>
          <w:rFonts w:ascii="arial" w:eastAsia="arial" w:hAnsi="arial" w:cs="arial"/>
          <w:color w:val="000000"/>
          <w:sz w:val="20"/>
          <w:lang w:val="en-US" w:eastAsia="en-US" w:bidi="ar-SA"/>
        </w:rPr>
        <w:t xml:space="preserve"> </w:t>
      </w:r>
      <w:hyperlink r:id="rId427" w:history="1">
        <w:r>
          <w:rPr>
            <w:rFonts w:ascii="arial" w:eastAsia="arial" w:hAnsi="arial" w:cs="arial"/>
            <w:i/>
            <w:color w:val="0077CC"/>
            <w:sz w:val="20"/>
            <w:u w:val="single"/>
            <w:shd w:val="clear" w:color="auto" w:fill="FFFFFF"/>
            <w:lang w:val="en-US" w:eastAsia="en-US" w:bidi="ar-SA"/>
          </w:rPr>
          <w:t>(2001), 90 B.C.L.R. (3d) 62</w:t>
        </w:r>
      </w:hyperlink>
      <w:r>
        <w:rPr>
          <w:rFonts w:ascii="arial" w:eastAsia="arial" w:hAnsi="arial" w:cs="arial"/>
          <w:color w:val="000000"/>
          <w:sz w:val="20"/>
          <w:lang w:val="en-US" w:eastAsia="en-US" w:bidi="ar-SA"/>
        </w:rPr>
        <w:t xml:space="preserve">, </w:t>
      </w:r>
      <w:hyperlink r:id="rId427" w:history="1">
        <w:r>
          <w:rPr>
            <w:rFonts w:ascii="arial" w:eastAsia="arial" w:hAnsi="arial" w:cs="arial"/>
            <w:i/>
            <w:color w:val="0077CC"/>
            <w:sz w:val="20"/>
            <w:u w:val="single"/>
            <w:shd w:val="clear" w:color="auto" w:fill="FFFFFF"/>
            <w:lang w:val="en-US" w:eastAsia="en-US" w:bidi="ar-SA"/>
          </w:rPr>
          <w:t>2001 BCCA 384</w:t>
        </w:r>
      </w:hyperlink>
      <w:r>
        <w:rPr>
          <w:rFonts w:ascii="arial" w:eastAsia="arial" w:hAnsi="arial" w:cs="arial"/>
          <w:color w:val="000000"/>
          <w:sz w:val="20"/>
          <w:lang w:val="en-US" w:eastAsia="en-US" w:bidi="ar-SA"/>
        </w:rPr>
        <w:t xml:space="preserve"> (CanLII).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[43] As set out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and the other cases, the main objective is to reflect the difference between the plaintiff's original position and his injured position. If there is a measurable risk that a pre-existing condition would have detrimentally affected him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then this contingency should be accounted for in reducing the amount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the case at bar, it is common ground: (a) that the force of the impact from the accident was relatively minor; (b) that Ms. Vintila had a pre-accident history of severe, long-term and chronic disabling conditions and pain, for which she was deemed unemployable and in receipt of a CPP disability pension; (c) that Ms. Vintila continuously collected full CPP benefits from 2005 to the present; and (d) that CPP's disability pension is restricted to contributors who are unable to work because of a severe and prolonged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It is similarly not contentious: (a) that at the time of the accident, Ms. Vintila had experienced an immediately preceding 16-month period of noticeable improvement in her sense of well-being that she attributed to MonaVie; (b) that Ms. Vintila remained, nonetheless, significantly physically compromised and susceptible to debilitating flare-ups in this period; and (c) that the accident marked the end of Ms. Vintila's period of relative well-being.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its closing submission, ICBC conceded that in the accident Ms. Vintila sustained "some soft-tissue injury to the trapezius muscles, neck, and back as well as a slight aggravation of her prior chronic neck, back and trapezius pain and slight aggravation of pain in the left leg". In relation to Ms. Vintila's period of pre-accident improvement in her symptomology, ICBC submitted: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Ms. Vintila . . . had plateaued in her chronic pain conditions and, that despite feeling "better" in the year prior to the Accident, her chronic pain conditions, namely her degenerative disc disease, osteoarthritis, spondylosis and disc herniation were pre-existing, relatively stable conditions that caused and continued to cause total disability from work as well as restrictions in lifting bending and twisting activities. There was no treatment program, magic juice or change in circumstances that would affect her chance of recovery as she has been diagnosed as chronically and permanently disabled since March 28,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am in agreement with the foregoing submission. At the time of the accident, Ms. Vintila was significantly physically compromised as a result of severe and long-term chronic pain that had rendered her completely disabled from work and eligible for CPP disability benefits since 2005, and for similar private insurance benefits since 2002. While Ms. Vintila enjoyed some improvement in the management of her chronic pain in the MonaVie period, there is no evidence or suggestion that her underlying chronic and debilitating conditions had resolved. Ms. Vintila became slightly more physically active and inclined to attempt some physical activities previously eschewed; she was, nevertheless, always in the shadow of her chronic and disabling conditions, wary of flare-ups, and unable to cease collecting of disability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At no time in the MonaVie period, did Ms. Vintila inform CPP of a material improvement in her disabling condition, and it is notable that neither Ms. Vintila nor her sons were prepared to go so far as to suggest that Ms. Vintila's significant diseases underlying her chronic pain had been cured through the ingestion of a health juice. It seems that while MonaVie may have had some nutritional and psychological benefits, it is likely that its principal effect was that it inspired Ms. Vintila to wean herself off of narcotic pain medications that had become, in and of themselves, quite disabling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Ms. Vintila's own physician considered her medical history "extremely significant" to his diagnosis, on the day after the accident. He regarded her complaints of neck and back pain as an </w:t>
      </w:r>
      <w:r>
        <w:rPr>
          <w:rFonts w:ascii="arial" w:eastAsia="arial" w:hAnsi="arial" w:cs="arial"/>
          <w:i/>
          <w:color w:val="000000"/>
          <w:sz w:val="20"/>
          <w:lang w:val="en-US" w:eastAsia="en-US" w:bidi="ar-SA"/>
        </w:rPr>
        <w:t>exacerbation</w:t>
      </w:r>
      <w:r>
        <w:rPr>
          <w:rFonts w:ascii="arial" w:eastAsia="arial" w:hAnsi="arial" w:cs="arial"/>
          <w:color w:val="000000"/>
          <w:sz w:val="20"/>
          <w:lang w:val="en-US" w:eastAsia="en-US" w:bidi="ar-SA"/>
        </w:rPr>
        <w:t xml:space="preserve"> of her chronic "ongoing pain and discomfort" caused by pre-existing conditions, and in his reports written in 2005 and 2006, he diagnosed Ms. Vintila as severely disabled, with chronic and deteriorating conditions causing,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neck, low back, and leg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Similarly, Dr. Bohorquez opined that the accident likely </w:t>
      </w:r>
      <w:r>
        <w:rPr>
          <w:rFonts w:ascii="arial" w:eastAsia="arial" w:hAnsi="arial" w:cs="arial"/>
          <w:i/>
          <w:color w:val="000000"/>
          <w:sz w:val="20"/>
          <w:lang w:val="en-US" w:eastAsia="en-US" w:bidi="ar-SA"/>
        </w:rPr>
        <w:t>exacerbated</w:t>
      </w:r>
      <w:r>
        <w:rPr>
          <w:rFonts w:ascii="arial" w:eastAsia="arial" w:hAnsi="arial" w:cs="arial"/>
          <w:color w:val="000000"/>
          <w:sz w:val="20"/>
          <w:lang w:val="en-US" w:eastAsia="en-US" w:bidi="ar-SA"/>
        </w:rPr>
        <w:t xml:space="preserve"> Ms. Vintila's pre-existing chronic pain condition, and Dr. Masri's report included the opinion that the accident caused an </w:t>
      </w:r>
      <w:r>
        <w:rPr>
          <w:rFonts w:ascii="arial" w:eastAsia="arial" w:hAnsi="arial" w:cs="arial"/>
          <w:i/>
          <w:color w:val="000000"/>
          <w:sz w:val="20"/>
          <w:lang w:val="en-US" w:eastAsia="en-US" w:bidi="ar-SA"/>
        </w:rPr>
        <w:t>aggravation</w:t>
      </w:r>
      <w:r>
        <w:rPr>
          <w:rFonts w:ascii="arial" w:eastAsia="arial" w:hAnsi="arial" w:cs="arial"/>
          <w:color w:val="000000"/>
          <w:sz w:val="20"/>
          <w:lang w:val="en-US" w:eastAsia="en-US" w:bidi="ar-SA"/>
        </w:rPr>
        <w:t xml:space="preserve"> of Ms. Vintila's pre-existing neck, back, trapezius, and left leg pain caused by pre-existing degenerative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light of the foregoing, I find that Ms. Vintila is a crumbling skull plaintiff. The evidence that Ms. Vintila's pre-existing conditions were manifest and disabling at the time of the accident is convincing; moreover, the evidence is clear that her conditions were severe, chronic, long-term, and disabling from work. A relatively short pre-accident period of improvement in her pain symptoms is, in all the circumstances, insufficient to categorize Ms. Vintila as a "thin-skulled"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As for whether Ms. Vintila's post-accident complaints of finger numbness and leg pain were new injuries attributable to the accident, I accept Dr. Masri's evidence that Ms. Vintila's cubital tunnel syndrome (causing her finger numbness) was a pre-existing condition and not related to the accident. He explained that it is a condition of spontaneous onset and "has nothing to do with an injury." Dr. Masri also opined that Ms. Vintila's right leg pain (her "worst" pain) was of very recent onset and, therefore, unrelated to the accident. He explained that Ms. Vintila's pre-existing spinal stenosis and degenerating lumbar spine were the cause of her right leg pain. He noted that these conditions were also the cause of Ms. Vintila's left leg pain, and that the left leg pain was not a new complaint; rather, it was a pre-existing one that, in his view, was slightly and temporarily aggravated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evidence of Dr. Masri, in regard to the foregoing, is persuasive. His opinions are well-explained and consistent with: (a) the extensive evidence of Ms. Vintila's severely debilitating and unresolved pre-accident conditions; (b) the nature of the underlying medical conditions; (c) the timing of the onset of the new symptoms; and, (d) the circumstances of the accident. In relation to Ms. Vintila's digital numbness, it is notable that Dr. Masri expressly disagreed with Dr. Bohorquez's unexplained opinion that it was "more likely than not that the motor vehicle accident led to an ulnar nerve injury that caused Ms. Vintila's complaints of numbness to the left fourth and fifth digits." Dr. Masri observed that Ms. Vintila had suffered from numbness before the accident; moreover, he commented that there was no explanation of a mechanism by which an injury to Ms. Vintila's right upper extremity would have occurred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Ms. Vintila submits that her case "taken at its highest" and based upon the "thin skull" rule, supports the following damages awards:</w:t>
      </w:r>
      <w:r>
        <w:rPr>
          <w:rFonts w:ascii="arial" w:eastAsia="arial" w:hAnsi="arial" w:cs="arial"/>
          <w:sz w:val="20"/>
          <w:lang w:val="en-US" w:eastAsia="en-US" w:bidi="ar-SA"/>
        </w:rPr>
        <w:cr/>
      </w:r>
    </w:p>
    <w:p>
      <w:pPr>
        <w:numPr>
          <w:numId w:val="3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Past Income Loss (gross) $10,000 ($2500 x 4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4809"/>
        <w:gridCol w:w="1987"/>
        <w:gridCol w:w="230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Diminished Future Earning Capacity</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$25,000 ($2000</w:t>
            </w:r>
          </w:p>
        </w:tc>
        <w:tc>
          <w:tcPr>
            <w:tcW w:w="2253"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x 12.5 years)</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253"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numPr>
          <w:numId w:val="38"/>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of Future Care $167,421(Lane/Turnbull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627"/>
        <w:gridCol w:w="2718"/>
        <w:gridCol w:w="1046"/>
        <w:gridCol w:w="512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66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Losses</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$75,000</w:t>
            </w:r>
          </w:p>
        </w:tc>
        <w:tc>
          <w:tcPr>
            <w:tcW w:w="501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2"/>
        <w:gridCol w:w="627"/>
        <w:gridCol w:w="2091"/>
        <w:gridCol w:w="1359"/>
        <w:gridCol w:w="54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04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$2,601.17</w:t>
            </w:r>
          </w:p>
        </w:tc>
        <w:tc>
          <w:tcPr>
            <w:tcW w:w="532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ICBC's position, premised upon Ms. Vintila as a "crumbling skull" plaintiff, is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627"/>
        <w:gridCol w:w="2195"/>
        <w:gridCol w:w="419"/>
        <w:gridCol w:w="627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15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Income Loss</w:t>
            </w:r>
          </w:p>
        </w:tc>
        <w:tc>
          <w:tcPr>
            <w:tcW w:w="41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$0</w:t>
            </w:r>
          </w:p>
        </w:tc>
        <w:tc>
          <w:tcPr>
            <w:tcW w:w="614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626"/>
        <w:gridCol w:w="4601"/>
        <w:gridCol w:w="419"/>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Diminished Future Earning Capacity</w:t>
            </w:r>
          </w:p>
        </w:tc>
        <w:tc>
          <w:tcPr>
            <w:tcW w:w="41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$0</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3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of Future Care $0 to $2500</w:t>
      </w:r>
    </w:p>
    <w:p>
      <w:pPr>
        <w:numPr>
          <w:numId w:val="40"/>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Losses $15,000 to $35,000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2"/>
        <w:gridCol w:w="627"/>
        <w:gridCol w:w="2091"/>
        <w:gridCol w:w="1359"/>
        <w:gridCol w:w="54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w:t>
            </w:r>
          </w:p>
        </w:tc>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04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$2,601.17</w:t>
            </w:r>
          </w:p>
        </w:tc>
        <w:tc>
          <w:tcPr>
            <w:tcW w:w="532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Smusz v. Wolfe Chevrolet Ltd</w:t>
      </w:r>
      <w:r>
        <w:rPr>
          <w:rFonts w:ascii="arial" w:eastAsia="arial" w:hAnsi="arial" w:cs="arial"/>
          <w:color w:val="000000"/>
          <w:sz w:val="20"/>
          <w:lang w:val="en-US" w:eastAsia="en-US" w:bidi="ar-SA"/>
        </w:rPr>
        <w:t xml:space="preserve">., </w:t>
      </w:r>
      <w:hyperlink r:id="rId428" w:history="1">
        <w:r>
          <w:rPr>
            <w:rFonts w:ascii="arial" w:eastAsia="arial" w:hAnsi="arial" w:cs="arial"/>
            <w:i/>
            <w:color w:val="0077CC"/>
            <w:sz w:val="20"/>
            <w:u w:val="single"/>
            <w:shd w:val="clear" w:color="auto" w:fill="FFFFFF"/>
            <w:lang w:val="en-US" w:eastAsia="en-US" w:bidi="ar-SA"/>
          </w:rPr>
          <w:t>2010 BCSC 82</w:t>
        </w:r>
      </w:hyperlink>
      <w:r>
        <w:rPr>
          <w:rFonts w:ascii="arial" w:eastAsia="arial" w:hAnsi="arial" w:cs="arial"/>
          <w:color w:val="000000"/>
          <w:sz w:val="20"/>
          <w:lang w:val="en-US" w:eastAsia="en-US" w:bidi="ar-SA"/>
        </w:rPr>
        <w:t>, Madam Justice Russell helpfully summarized the principles applicable to the assessment of awards for non-pecuniary losses: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85 The purpose of non-pecuniary damage awards is to compensate the plaintiff for "pain, suffering, loss of enjoyment of life and loss of amenities": </w:t>
      </w:r>
      <w:r>
        <w:rPr>
          <w:rFonts w:ascii="arial" w:eastAsia="arial" w:hAnsi="arial" w:cs="arial"/>
          <w:i/>
          <w:color w:val="000000"/>
          <w:sz w:val="20"/>
          <w:lang w:val="en-US" w:eastAsia="en-US" w:bidi="ar-SA"/>
        </w:rPr>
        <w:t>Jackson v. Lai</w:t>
      </w:r>
      <w:r>
        <w:rPr>
          <w:rFonts w:ascii="arial" w:eastAsia="arial" w:hAnsi="arial" w:cs="arial"/>
          <w:color w:val="000000"/>
          <w:sz w:val="20"/>
          <w:lang w:val="en-US" w:eastAsia="en-US" w:bidi="ar-SA"/>
        </w:rPr>
        <w:t xml:space="preserve">, </w:t>
      </w:r>
      <w:hyperlink r:id="rId429" w:history="1">
        <w:r>
          <w:rPr>
            <w:rFonts w:ascii="arial" w:eastAsia="arial" w:hAnsi="arial" w:cs="arial"/>
            <w:i/>
            <w:color w:val="0077CC"/>
            <w:sz w:val="20"/>
            <w:u w:val="single"/>
            <w:shd w:val="clear" w:color="auto" w:fill="FFFFFF"/>
            <w:lang w:val="en-US" w:eastAsia="en-US" w:bidi="ar-SA"/>
          </w:rPr>
          <w:t>2007 BCSC 1023</w:t>
        </w:r>
      </w:hyperlink>
      <w:r>
        <w:rPr>
          <w:rFonts w:ascii="arial" w:eastAsia="arial" w:hAnsi="arial" w:cs="arial"/>
          <w:color w:val="000000"/>
          <w:sz w:val="20"/>
          <w:lang w:val="en-US" w:eastAsia="en-US" w:bidi="ar-SA"/>
        </w:rPr>
        <w:t xml:space="preserve"> at para. 134; see also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430"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w:t>
      </w:r>
      <w:hyperlink r:id="rId430" w:history="1">
        <w:r>
          <w:rPr>
            <w:rFonts w:ascii="arial" w:eastAsia="arial" w:hAnsi="arial" w:cs="arial"/>
            <w:i/>
            <w:color w:val="0077CC"/>
            <w:sz w:val="20"/>
            <w:u w:val="single"/>
            <w:shd w:val="clear" w:color="auto" w:fill="FFFFFF"/>
            <w:lang w:val="en-US" w:eastAsia="en-US" w:bidi="ar-SA"/>
          </w:rPr>
          <w:t>83 D.L.R. (3d) 452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Kuskis v. Tin</w:t>
      </w:r>
      <w:r>
        <w:rPr>
          <w:rFonts w:ascii="arial" w:eastAsia="arial" w:hAnsi="arial" w:cs="arial"/>
          <w:color w:val="000000"/>
          <w:sz w:val="20"/>
          <w:lang w:val="en-US" w:eastAsia="en-US" w:bidi="ar-SA"/>
        </w:rPr>
        <w:t xml:space="preserve">, </w:t>
      </w:r>
      <w:hyperlink r:id="rId170" w:history="1">
        <w:r>
          <w:rPr>
            <w:rFonts w:ascii="arial" w:eastAsia="arial" w:hAnsi="arial" w:cs="arial"/>
            <w:i/>
            <w:color w:val="0077CC"/>
            <w:sz w:val="20"/>
            <w:u w:val="single"/>
            <w:shd w:val="clear" w:color="auto" w:fill="FFFFFF"/>
            <w:lang w:val="en-US" w:eastAsia="en-US" w:bidi="ar-SA"/>
          </w:rPr>
          <w:t>2008 BCSC 862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Kuskis</w:t>
      </w:r>
      <w:r>
        <w:rPr>
          <w:rFonts w:ascii="arial" w:eastAsia="arial" w:hAnsi="arial" w:cs="arial"/>
          <w:color w:val="000000"/>
          <w:sz w:val="20"/>
          <w:lang w:val="en-US" w:eastAsia="en-US" w:bidi="ar-SA"/>
        </w:rPr>
        <w:t xml:space="preserve">]. While each award must be made with reference to the particular circumstances and facts of the case, other cases may serve as a guide to assist the court in arriving at an award that is just and fair to both parties: </w:t>
      </w:r>
      <w:r>
        <w:rPr>
          <w:rFonts w:ascii="arial" w:eastAsia="arial" w:hAnsi="arial" w:cs="arial"/>
          <w:i/>
          <w:color w:val="000000"/>
          <w:sz w:val="20"/>
          <w:lang w:val="en-US" w:eastAsia="en-US" w:bidi="ar-SA"/>
        </w:rPr>
        <w:t>Kuskis</w:t>
      </w:r>
      <w:r>
        <w:rPr>
          <w:rFonts w:ascii="arial" w:eastAsia="arial" w:hAnsi="arial" w:cs="arial"/>
          <w:color w:val="000000"/>
          <w:sz w:val="20"/>
          <w:lang w:val="en-US" w:eastAsia="en-US" w:bidi="ar-SA"/>
        </w:rPr>
        <w:t>, at para. 136.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86 There are a number of factors that courts must take into account when assessing this type of claim. Madam Justice Kirkpatrick, writing for the majority,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394"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w:t>
      </w:r>
      <w:hyperlink r:id="rId394" w:history="1">
        <w:r>
          <w:rPr>
            <w:rFonts w:ascii="arial" w:eastAsia="arial" w:hAnsi="arial" w:cs="arial"/>
            <w:i/>
            <w:color w:val="0077CC"/>
            <w:sz w:val="20"/>
            <w:u w:val="single"/>
            <w:shd w:val="clear" w:color="auto" w:fill="FFFFFF"/>
            <w:lang w:val="en-US" w:eastAsia="en-US" w:bidi="ar-SA"/>
          </w:rPr>
          <w:t>263 D.L.R. (4th) 19</w:t>
        </w:r>
      </w:hyperlink>
      <w:r>
        <w:rPr>
          <w:rFonts w:ascii="arial" w:eastAsia="arial" w:hAnsi="arial" w:cs="arial"/>
          <w:color w:val="000000"/>
          <w:sz w:val="20"/>
          <w:lang w:val="en-US" w:eastAsia="en-US" w:bidi="ar-SA"/>
        </w:rPr>
        <w:t>, outlines the factors to consider, at para. 46:</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The inexhaustive list of common factors cited in </w:t>
      </w:r>
      <w:r>
        <w:rPr>
          <w:rFonts w:ascii="arial" w:eastAsia="arial" w:hAnsi="arial" w:cs="arial"/>
          <w:i/>
          <w:color w:val="000000"/>
          <w:sz w:val="20"/>
          <w:lang w:val="en-US" w:eastAsia="en-US" w:bidi="ar-SA"/>
        </w:rPr>
        <w:t>Boyd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Boyd v. Harris</w:t>
      </w:r>
      <w:r>
        <w:rPr>
          <w:rFonts w:ascii="arial" w:eastAsia="arial" w:hAnsi="arial" w:cs="arial"/>
          <w:color w:val="000000"/>
          <w:sz w:val="20"/>
          <w:lang w:val="en-US" w:eastAsia="en-US" w:bidi="ar-SA"/>
        </w:rPr>
        <w:t xml:space="preserve">, </w:t>
      </w:r>
      <w:hyperlink r:id="rId431" w:history="1">
        <w:r>
          <w:rPr>
            <w:rFonts w:ascii="arial" w:eastAsia="arial" w:hAnsi="arial" w:cs="arial"/>
            <w:i/>
            <w:color w:val="0077CC"/>
            <w:sz w:val="20"/>
            <w:u w:val="single"/>
            <w:shd w:val="clear" w:color="auto" w:fill="FFFFFF"/>
            <w:lang w:val="en-US" w:eastAsia="en-US" w:bidi="ar-SA"/>
          </w:rPr>
          <w:t>2004 BCCA 146</w:t>
        </w:r>
      </w:hyperlink>
      <w:r>
        <w:rPr>
          <w:rFonts w:ascii="arial" w:eastAsia="arial" w:hAnsi="arial" w:cs="arial"/>
          <w:color w:val="000000"/>
          <w:sz w:val="20"/>
          <w:lang w:val="en-US" w:eastAsia="en-US" w:bidi="ar-SA"/>
        </w:rPr>
        <w:t>] that influence an award of non-pecuniary damages includes:</w:t>
      </w:r>
    </w:p>
    <w:p>
      <w:pPr>
        <w:numPr>
          <w:numId w:val="4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4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4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4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4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46"/>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would add the following factors, although they may arguably be subsumed in the above list:</w:t>
      </w:r>
    </w:p>
    <w:p>
      <w:pPr>
        <w:numPr>
          <w:numId w:val="47"/>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48"/>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4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50"/>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 Liang and Zheng</w:t>
      </w:r>
      <w:r>
        <w:rPr>
          <w:rFonts w:ascii="arial" w:eastAsia="arial" w:hAnsi="arial" w:cs="arial"/>
          <w:color w:val="000000"/>
          <w:sz w:val="20"/>
          <w:lang w:val="en-US" w:eastAsia="en-US" w:bidi="ar-SA"/>
        </w:rPr>
        <w:t xml:space="preserve">, </w:t>
      </w:r>
      <w:hyperlink r:id="rId432"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relation to quantifying Ms. Vintila's non-pecuniary losses, ICBC relies upon the decisions in </w:t>
      </w:r>
      <w:r>
        <w:rPr>
          <w:rFonts w:ascii="arial" w:eastAsia="arial" w:hAnsi="arial" w:cs="arial"/>
          <w:i/>
          <w:color w:val="000000"/>
          <w:sz w:val="20"/>
          <w:lang w:val="en-US" w:eastAsia="en-US" w:bidi="ar-SA"/>
        </w:rPr>
        <w:t>Hough v. Wyatt</w:t>
      </w:r>
      <w:r>
        <w:rPr>
          <w:rFonts w:ascii="arial" w:eastAsia="arial" w:hAnsi="arial" w:cs="arial"/>
          <w:color w:val="000000"/>
          <w:sz w:val="20"/>
          <w:lang w:val="en-US" w:eastAsia="en-US" w:bidi="ar-SA"/>
        </w:rPr>
        <w:t xml:space="preserve">, </w:t>
      </w:r>
      <w:hyperlink r:id="rId433" w:history="1">
        <w:r>
          <w:rPr>
            <w:rFonts w:ascii="arial" w:eastAsia="arial" w:hAnsi="arial" w:cs="arial"/>
            <w:i/>
            <w:color w:val="0077CC"/>
            <w:sz w:val="20"/>
            <w:u w:val="single"/>
            <w:shd w:val="clear" w:color="auto" w:fill="FFFFFF"/>
            <w:lang w:val="en-US" w:eastAsia="en-US" w:bidi="ar-SA"/>
          </w:rPr>
          <w:t>2011 BCSC 910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Johal v. Conron</w:t>
      </w:r>
      <w:r>
        <w:rPr>
          <w:rFonts w:ascii="arial" w:eastAsia="arial" w:hAnsi="arial" w:cs="arial"/>
          <w:color w:val="000000"/>
          <w:sz w:val="20"/>
          <w:lang w:val="en-US" w:eastAsia="en-US" w:bidi="ar-SA"/>
        </w:rPr>
        <w:t xml:space="preserve">, </w:t>
      </w:r>
      <w:hyperlink r:id="rId434" w:history="1">
        <w:r>
          <w:rPr>
            <w:rFonts w:ascii="arial" w:eastAsia="arial" w:hAnsi="arial" w:cs="arial"/>
            <w:i/>
            <w:color w:val="0077CC"/>
            <w:sz w:val="20"/>
            <w:u w:val="single"/>
            <w:shd w:val="clear" w:color="auto" w:fill="FFFFFF"/>
            <w:lang w:val="en-US" w:eastAsia="en-US" w:bidi="ar-SA"/>
          </w:rPr>
          <w:t>2013 BCSC 1924</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Hough,</w:t>
      </w:r>
      <w:r>
        <w:rPr>
          <w:rFonts w:ascii="arial" w:eastAsia="arial" w:hAnsi="arial" w:cs="arial"/>
          <w:color w:val="000000"/>
          <w:sz w:val="20"/>
          <w:lang w:val="en-US" w:eastAsia="en-US" w:bidi="ar-SA"/>
        </w:rPr>
        <w:t xml:space="preserve"> the court awarded $15,000 to the 49-year old plaintiff, for "superimposed injuries on pre-existing neck, shoulder, and back problems, aggravating them to a minor degree". Within three months of the injuries, Mr. Hough had returned to physically taxing work. In </w:t>
      </w:r>
      <w:r>
        <w:rPr>
          <w:rFonts w:ascii="arial" w:eastAsia="arial" w:hAnsi="arial" w:cs="arial"/>
          <w:i/>
          <w:color w:val="000000"/>
          <w:sz w:val="20"/>
          <w:lang w:val="en-US" w:eastAsia="en-US" w:bidi="ar-SA"/>
        </w:rPr>
        <w:t>Johal,</w:t>
      </w:r>
      <w:r>
        <w:rPr>
          <w:rFonts w:ascii="arial" w:eastAsia="arial" w:hAnsi="arial" w:cs="arial"/>
          <w:color w:val="000000"/>
          <w:sz w:val="20"/>
          <w:lang w:val="en-US" w:eastAsia="en-US" w:bidi="ar-SA"/>
        </w:rPr>
        <w:t xml:space="preserve"> the court awarded $35,000 to the 57-year old plaintiff for the aggravation of some pre-existing symptoms relating to Ms. Johal's right shoulder, upper extremity, and neck, and for "new conditions in her lower body". In making the non-pecuniary damages award,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[92] I find she would have been disabled to some extent by her right shoulder and upper extremity problems if the accident had not occurred. However, the injuries from the accident have made her symptoms worse, slower to recover and have had a more significant impact on her life. In the unique circumstances of this case, I find that the appropriate award for non-pecuniary damages is $35,000.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the case at bar,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brought Ms. Vintila's temporary improvement in her chronic pain symptomology to an abrupt and disheartening end. Ms. Vintila suffered from pre-existing chronic, long-term, deteriorating conditions that had almost completely disabled her in the past and were destined to do so in the future; nonetheless, at the time of accident she was experiencing a period of some relief from very debilitating pain. This window of respite was closed by the accident, and the evidence suggests that it is most unlikely to be re-opened. The pain from the aggravation of Ms. Vintila's pre-existing conditions caused her to return to taking narcotic medications and to cease activities that improved both her physical and mental well-being and her overall enjoyment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Given Ms. Vintila's age, physicality, history, and rather grim long-term prognoses, I am satisfied that it was most unlikely that the aforementioned window would have been open for very long. In one sense, this accentuates the degree of loss to Ms. Vintila. The relief she lost was precious because it was most unlikely to endure for many years. In another sense, however, it necessarily limits the award for non-pecuniary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Having regard for the factors in </w:t>
      </w:r>
      <w:r>
        <w:rPr>
          <w:rFonts w:ascii="arial" w:eastAsia="arial" w:hAnsi="arial" w:cs="arial"/>
          <w:i/>
          <w:color w:val="000000"/>
          <w:sz w:val="20"/>
          <w:lang w:val="en-US" w:eastAsia="en-US" w:bidi="ar-SA"/>
        </w:rPr>
        <w:t>Stapley v.Hejslet, supra,</w:t>
      </w:r>
      <w:r>
        <w:rPr>
          <w:rFonts w:ascii="arial" w:eastAsia="arial" w:hAnsi="arial" w:cs="arial"/>
          <w:color w:val="000000"/>
          <w:sz w:val="20"/>
          <w:lang w:val="en-US" w:eastAsia="en-US" w:bidi="ar-SA"/>
        </w:rPr>
        <w:t xml:space="preserve">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temporarily aggravated Ms. Vintila's pre-existing conditions, increased her pain levels, and marked the end of Ms. Vintila's relief from depression and the enjoyment she found in some social interaction, in performing simple household tasks, in interactions with her sons, and in making gift baskets. Ms. Vintila lost a sense of optimism she had for her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Of the two cases cited by ICBC, I am satisfied that </w:t>
      </w:r>
      <w:r>
        <w:rPr>
          <w:rFonts w:ascii="arial" w:eastAsia="arial" w:hAnsi="arial" w:cs="arial"/>
          <w:i/>
          <w:color w:val="000000"/>
          <w:sz w:val="20"/>
          <w:lang w:val="en-US" w:eastAsia="en-US" w:bidi="ar-SA"/>
        </w:rPr>
        <w:t>Johal</w:t>
      </w:r>
      <w:r>
        <w:rPr>
          <w:rFonts w:ascii="arial" w:eastAsia="arial" w:hAnsi="arial" w:cs="arial"/>
          <w:color w:val="000000"/>
          <w:sz w:val="20"/>
          <w:lang w:val="en-US" w:eastAsia="en-US" w:bidi="ar-SA"/>
        </w:rPr>
        <w:t xml:space="preserve"> is much more similar to the case at bar. While each case and plaintiff is unique, </w:t>
      </w:r>
      <w:r>
        <w:rPr>
          <w:rFonts w:ascii="arial" w:eastAsia="arial" w:hAnsi="arial" w:cs="arial"/>
          <w:i/>
          <w:color w:val="000000"/>
          <w:sz w:val="20"/>
          <w:lang w:val="en-US" w:eastAsia="en-US" w:bidi="ar-SA"/>
        </w:rPr>
        <w:t>Johal</w:t>
      </w:r>
      <w:r>
        <w:rPr>
          <w:rFonts w:ascii="arial" w:eastAsia="arial" w:hAnsi="arial" w:cs="arial"/>
          <w:color w:val="000000"/>
          <w:sz w:val="20"/>
          <w:lang w:val="en-US" w:eastAsia="en-US" w:bidi="ar-SA"/>
        </w:rPr>
        <w:t xml:space="preserve"> offers useful guidance in the assessment of a fitting award for Ms. Vintila's non-pecuniary losses, which I assess at $35,000.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By agreement of the parties, special damages are fixed at $2,601.17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Following the accident, Ms. Vintila ceased selling MonaVie. This was a home business in which Ms. Vintila had very little success and there is no evidence from which I might reasonably conclude a turn-around was likely; nonetheless, Ms. Vintila was a believer in the product and the accident marked a premature end to this enterprise for her. MonaVie ceased carrying on business at some point prior to trial. I assess her loss at a nominal $500 per year, for the four years between the accident and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Ms. Vintila began the gift basket business very shortly before the accident and, having purchased supplies, she carried on with the physically non-taxing work of assembling the baskets. To prove her earnings, she tendered into evidence copies of five cheques that were issued to her, from her client, between February 2012 and May 2014. These totalled to $986.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evidence does not establish that Ms. Vintila was unable to continue this business as a result of the accident. She testified that she did not have the strength to purchase supplies; however, grocery shopping was a heavy task for which she needed help, even in the MonaVie period. I am not persuaded, on the evidence, that Ms. Vintila has shown that she lost income from her gift basket business as a result of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Future Income-Earning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Since April 2002, Ms. Vintila has been in continuous receipt of various disability benefits. In September 2002, Ms. Vintila's physician, Dr. Huberman, reported to CPP that Ms. Vintila was totally disabled from work (and unlikely to improve) due to cervical spondylosis, lumbar spine degenerative disc disease, bilateral carpal tunnel syndrome, pain in her neck, low back and leg, and parathesias in her left arm. In May 2005, he described these conditions as chronic and deteriorating. In January 2006, he confirmed to CPP that Ms. Vintila was "severely disabled from any kind of work". There was no subsequent change to her diagnoses or prognosis. Between April 2002 and January 2016, Ms. Vintila's only income-earning endeavours were making gift baskets and selling MonaVie, during which she continued to collect full CPP disability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It is clear that it is Ms. Vintila's seriously disabling pre-existing conditions, for which the defendants are not responsible, that have rendered her unemployable. The defendants only caused an aggravation that subsided, prior to trial, to Ms. Vintila's "baseline". Even if this aggravation had continued into the future, the evidence does not support a finding of a real and substantial possibility of a future event leading to an income loss for her: see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409"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at para. 32. Ms. Vintila's history of employment disability and chronic degenerative medical conditions suggests quite the opposite.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Ms. Vintila's claim for future care costs is premised upon her position that she is a "thin skull" plaintiff; she was, however, unsuccessful in this regard. The defendants are responsible only for damages arising from the temporary aggravation of Ms. Vintila's pre-existing conditions. The evidence establishes that the aggravation caused by the defendant subsided before trial, and that Ms. Vintila had returned to her original position. In these circumstances, there is no justification for making a future care cost award against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E. 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plaintiff's claim for damages is allowed,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882"/>
        <w:gridCol w:w="1464"/>
        <w:gridCol w:w="648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$35,000.00</w:t>
            </w:r>
          </w:p>
        </w:tc>
        <w:tc>
          <w:tcPr>
            <w:tcW w:w="634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046"/>
        <w:gridCol w:w="1359"/>
        <w:gridCol w:w="742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$2,601.17</w:t>
            </w:r>
          </w:p>
        </w:tc>
        <w:tc>
          <w:tcPr>
            <w:tcW w:w="727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732"/>
        <w:gridCol w:w="575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Past Income Loss (gross)</w:t>
            </w:r>
          </w:p>
        </w:tc>
        <w:tc>
          <w:tcPr>
            <w:tcW w:w="71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w:t>
            </w:r>
          </w:p>
        </w:tc>
        <w:tc>
          <w:tcPr>
            <w:tcW w:w="563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7"/>
        <w:gridCol w:w="419"/>
        <w:gridCol w:w="648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Income-Earning</w:t>
            </w:r>
          </w:p>
        </w:tc>
        <w:tc>
          <w:tcPr>
            <w:tcW w:w="41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$0</w:t>
            </w:r>
          </w:p>
        </w:tc>
        <w:tc>
          <w:tcPr>
            <w:tcW w:w="634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568"/>
        <w:gridCol w:w="419"/>
        <w:gridCol w:w="78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Care</w:t>
            </w:r>
          </w:p>
        </w:tc>
        <w:tc>
          <w:tcPr>
            <w:tcW w:w="41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$0</w:t>
            </w:r>
          </w:p>
        </w:tc>
        <w:tc>
          <w:tcPr>
            <w:tcW w:w="768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942"/>
        <w:gridCol w:w="1464"/>
        <w:gridCol w:w="74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$39,601.17</w:t>
            </w:r>
          </w:p>
        </w:tc>
        <w:tc>
          <w:tcPr>
            <w:tcW w:w="727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If the parties are unable to agree as to costs then they may address the issue by written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L.W. BERNARD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0" style="position:absolute;z-index:2518282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35"/>
          <w:headerReference w:type="default" r:id="rId436"/>
          <w:footerReference w:type="even" r:id="rId437"/>
          <w:footerReference w:type="default" r:id="rId438"/>
          <w:headerReference w:type="first" r:id="rId439"/>
          <w:footerReference w:type="first" r:id="rId44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41" w:history="1">
        <w:r>
          <w:rPr>
            <w:rFonts w:ascii="arial" w:eastAsia="arial" w:hAnsi="arial" w:cs="arial"/>
            <w:b/>
            <w:bCs/>
            <w:i/>
            <w:color w:val="0077CC"/>
            <w:kern w:val="32"/>
            <w:sz w:val="28"/>
            <w:szCs w:val="32"/>
            <w:u w:val="single"/>
            <w:shd w:val="clear" w:color="auto" w:fill="FFFFFF"/>
            <w:lang w:val="en-US" w:eastAsia="en-US" w:bidi="ar-SA"/>
          </w:rPr>
          <w:t>Zappala v. Mann, 2007 BREG para. 50,488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Real Estate Law Guide</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Loo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November 26,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L107648</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British Columbia Real Estate Law Guide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2007</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2007 BREG para. 50,488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42" w:history="1">
        <w:r>
          <w:rPr>
            <w:rFonts w:ascii="arial" w:eastAsia="arial" w:hAnsi="arial" w:cs="arial"/>
            <w:i/>
            <w:color w:val="0077CC"/>
            <w:sz w:val="20"/>
            <w:u w:val="single"/>
            <w:shd w:val="clear" w:color="auto" w:fill="FFFFFF"/>
            <w:lang w:val="en-US" w:eastAsia="en-US" w:bidi="ar-SA"/>
          </w:rPr>
          <w:t>[2007] B.C.J. No. 2519</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42" w:history="1">
        <w:r>
          <w:rPr>
            <w:rFonts w:ascii="arial" w:eastAsia="arial" w:hAnsi="arial" w:cs="arial"/>
            <w:i/>
            <w:color w:val="0077CC"/>
            <w:sz w:val="20"/>
            <w:u w:val="single"/>
            <w:shd w:val="clear" w:color="auto" w:fill="FFFFFF"/>
            <w:lang w:val="en-US" w:eastAsia="en-US" w:bidi="ar-SA"/>
          </w:rPr>
          <w:t>2007 BCSC 1699</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Zappala v. Mann</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1" style="position:absolute;z-index:251676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19" w:name="Keywords_16"/>
      <w:bookmarkEnd w:id="119"/>
      <w:r>
        <w:rPr>
          <w:rFonts w:ascii="arial" w:eastAsia="arial" w:hAnsi="arial" w:cs="arial"/>
          <w:b/>
          <w:color w:val="000000"/>
          <w:sz w:val="20"/>
          <w:lang w:val="en-US" w:eastAsia="en-US" w:bidi="ar-SA"/>
        </w:rPr>
        <w:t>Remedies-Mortgage default — The plaintiffs owned their property as joint tenants — They were in danger of losing their property because they were unable to keep up with the mortgage payments — They also had $30,000 line of credit and took out a second mortgage — After the bank commenced foreclosure proceedings, the plaintiffs received an offer from C offering a creative financing solution to their financial problems — Under the scheme, a homeowner would transfer title to his or her property to an "investor" who acquired a mortgage to pay off the homeowner's mortgage and other debts - - The homeowner would pay rent equivalent to the investor's mortgage payments and all other property related costs — If the owner made all payments, he or she would get the property back in two years — The defendant, M, agreed to participate in C's scheme, and the plaintiffs executed the required documents — Title to the plaintiffs' property was transferred to M — However, M never signed the "Investment Agreement" by which he agreed to return title to the plaintiffs if they lived up to their side of the bargain — When the plaintiffs demanded the return of their title, M refused to comply — M delivered a Notice to End Tenancy to the plaintiffs and subsequently commenced an application for an Order of Possession — M was successful in obtaining the Order of Possession — The plaintiffs then brought a petition for an order setting aside the Order and commenced an action against M and others for, inter alia, conspiracy, breach of fiduciary duty and fraudulent misrepresentation — The Court ordered that title be returned to the plaintiffs and the Order of Possession was set aside — While the Court was not satisfied that the creative financing scheme was unconscionable, M's conduct was worthy of rebuke.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20" w:name="Case Summary_17"/>
            <w:bookmarkEnd w:id="120"/>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See the digest at 50,481 for another decision dealing with this same investment scheme.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Zappalas, Jose, Mario and Vanesa, purchased their house as joint tenants in March 2000. Mario and his family lived in one suite, and Jose and Vanesa each had their own separate suite. Both Jose and Mario were labourers and none of the Zappalas were sophisticated business people. During 2004, the Zappalas had difficulty meeting the mortgage payments. They had a $30,000 line of credit with TD Canada Trust, and took out a $15,000 second mortgage. They used the funds from the second mortgage to put towards their first mortgage, which was also with TD Canada Trust. In the fall of 2004, TD Canada Trust commenced foreclosure proceedings and obtained a judgment for the outstanding balance on the line of credit, which was secured by the house. The Zappalas received an offer from Daniel Charron ("Charron") offering a creative financing solution to their financial problems. Charron owned a company called Affordable Homes Inc. ("Affordable Homes").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Under Charron's financing scheme, a homeowner would transfer title to his or her property to an "investor" who acquired a mortgage to pay off the homeowner's mortgage and other debts. The homeowner continued to occupy the property under a Lease Agreement with Affordable Home. The homeowner would pay rent equivalent to the investor's mortgage payments and all other property related costs. If the owner made all payments, he or she would get the property back in two years. If the homeowner failed to make the payments, the investor stood to make a profit. The defendant, Ron Kalsi ("Kalsi"), responded to a newspaper advertisement for a sales and marketing person, placed by Charron. Kalsi was subsequently introduced to the defendant, Rasvinder Mann ("Mann"), through a mutual friend. Mann agreed to go along with Charron's scheme. The Zappalas met with Charron, and ultimately signed documents, including an Option Agreement and a Lease Agreement. A real estate agent filled out a contract of purchase and sale, which provided for a purchase price of $362,000 and a $1,500 deposit. Mann signed the purchase agreement and agreed to sign an Investment Agreement right after the sale was completed. The house was listed on MLS, but was never advertised for sale. Charron paid the $1,500 deposit under the purchase contract. Mann never paid any money to the Zappalas, or anyone else.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Mann subsequently refused to sign the Investment Agreement. The title transfer application transferring title to the Zappalas' property to Mann was entered on February 7, 2005. The Zappalas paid rent to Mann each month, and in May 2005, Mario spoke to Mann about his right to repurchase the house. Mann denied that he had seen any documents or that the Zappalas had any right to repurchase the house, and maintained that he owned the house. In early 2006, Mann demanded that the Zappalas vacate the house and delivered a Notice to End Tenancy to the Zappalas. In July 2006, Mann filed an Application for Arbitration requesting an Order of Possession of the house. An Order of Possession was granted, which the Zappalas asked to be reviewed. On September 8, 2006, the bailiffs began forcibly removing the Zappalas' possession from the house, but Vanesa obtained and </w:t>
            </w:r>
            <w:r>
              <w:rPr>
                <w:rFonts w:ascii="arial" w:eastAsia="arial" w:hAnsi="arial" w:cs="arial"/>
                <w:i/>
                <w:color w:val="000000"/>
                <w:sz w:val="20"/>
                <w:lang w:val="en-US" w:eastAsia="en-US" w:bidi="ar-SA"/>
              </w:rPr>
              <w:t>ex parte</w:t>
            </w:r>
            <w:r>
              <w:rPr>
                <w:rFonts w:ascii="arial" w:eastAsia="arial" w:hAnsi="arial" w:cs="arial"/>
                <w:color w:val="000000"/>
                <w:sz w:val="20"/>
                <w:lang w:val="en-US" w:eastAsia="en-US" w:bidi="ar-SA"/>
              </w:rPr>
              <w:t xml:space="preserve"> order staying the order of possession. The Zappalas brought a petition for an order setting aside the decision of the arbitrator; Mann brought an application seeking a Writ of Possession for the house; and the Zappalas commenced an action against Mann, Affordable Homes and Kalsi for conspiracy, breach of fiduciary duty, fraudulent misrepresentation and that Mann had been unjustly enriched. At trail, the three actions were heard together.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21" w:name="Holdings of Court_14"/>
            <w:bookmarkEnd w:id="121"/>
            <w:r>
              <w:rPr>
                <w:rFonts w:ascii="arial" w:eastAsia="arial" w:hAnsi="arial" w:cs="arial"/>
                <w:color w:val="000000"/>
                <w:sz w:val="20"/>
                <w:lang w:val="en-US" w:eastAsia="en-US" w:bidi="ar-SA"/>
              </w:rPr>
              <w:t>HELD: The Court ordered that the house be transferred from Mann to the Zappalas.</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July 2005 decision of the arbitrator was set aside. Mann's application for a Writ of Possession was dismissed.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was not satisfied that the creative financing scheme was unconscionable or that the Zappalas were forced or coerced by Charron to carry out the transaction. From the time that Mann refused to sign the Investment Agreement, both Charron and Kalsi did all they could to see that the Zappalas were able to continue to live in and retain their house.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found, however, that Mann's conduct in obtaining the Writ of Possession, the unlawful eviction of the Zappalas from the house and the removal of the Zappalas' possessions was conduct worthy of rebuke. Consequently, the Court awarded punitive damages of $10,000 as against Mann. The Court also awarded special costs against Mann because, according to the Court, there were numerous examples of Mann's conduct that were deserving of the Court's reproach and rebuke. For example, he brought legal proceedings, including the eviction proceedings before the arbitrator and the proceedings to obtain the Writ of Possession for the house, knowing that he had no lawful claim to the house. He endeavoured to forcibly evict the Zappalas from the house and he generally showed a "complete disregard for the truth".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22" w:name="Counsel_17"/>
      <w:bookmarkEnd w:id="12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2" style="position:absolute;z-index:2517278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D.K. Magnus for the plaintiffs; M.S. Menkes for the defendant, Rasvinder Mann.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3" w:name="Judgment_17"/>
      <w:bookmarkEnd w:id="123"/>
      <w:r>
        <w:pict>
          <v:line id="_x0000_s1113" style="position:absolute;z-index:25177907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0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4" w:name="L.A. LOO J."/>
            <w:bookmarkEnd w:id="124"/>
            <w:r>
              <w:rPr>
                <w:rFonts w:ascii="arial" w:eastAsia="arial" w:hAnsi="arial" w:cs="arial"/>
                <w:b/>
                <w:color w:val="000000"/>
                <w:sz w:val="30"/>
                <w:lang w:val="en-US" w:eastAsia="en-US" w:bidi="ar-SA"/>
              </w:rPr>
              <w:t>L.A. LOO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A. </w:t>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trial was a hearing of three actions (S102481, L100246, and L107648) regarding possession of and title to the property at 14853 - 89th Avenue in Surrey, which I will refer to as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Mario and Vanesa Zappala are the son and daughter of the plaintiff Jose Zappala. I may at times refer to the Zappalas by their first names, but it is purely for ease of reference and not out of disrespect.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Rasvinder Mann is a truck driver. Title to the house is currently in his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 Daniel Charron is the sole shareholder, director, and officer of Affordable Homes Inc. and 993497 Alberta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 Ron Kalsi is a businessman who at the material times worked part-time with Mr. Charron and Affordable Homes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Action No. S102481 is a Petition commenced by the Zappalas for an order setting aside the July 20, 2006 decision and order of Arbitrator L. Plenert (the "Arbitrator") issued under the </w:t>
      </w:r>
      <w:r>
        <w:rPr>
          <w:rFonts w:ascii="arial" w:eastAsia="arial" w:hAnsi="arial" w:cs="arial"/>
          <w:b/>
          <w:i/>
          <w:color w:val="000000"/>
          <w:sz w:val="20"/>
          <w:lang w:val="en-US" w:eastAsia="en-US" w:bidi="ar-SA"/>
        </w:rPr>
        <w:t>Residential Tenancy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2002, c. 78</w:t>
      </w:r>
      <w:r>
        <w:rPr>
          <w:rFonts w:ascii="arial" w:eastAsia="arial" w:hAnsi="arial" w:cs="arial"/>
          <w:color w:val="000000"/>
          <w:sz w:val="20"/>
          <w:lang w:val="en-US" w:eastAsia="en-US" w:bidi="ar-SA"/>
        </w:rPr>
        <w:t>. The Arbitrator adjudicated a dispute between Mr. Mann, as the landlord of the house, and the Zappalas, as the tenants in the house. The dispute was Mr. Mann's application for an Order of Possession of the house on the basis that the tenancy agreement between Mr. Mann and the Zappalas was terminated. The Arbitrator concluded that the tenancy had in fact been terminated and that Mr. Mann was entitled to the Order of Possession. The Zappalas missed the arbitration hearing on July 20, 2006, although they were notified of it. The Arbitrator dismissed the Zappalas' subsequent application for a review hearing of the July 20, 2006 decision. While the date on the dismissal of the application for a review hearing is purported to be July 20, 2006, the same as the date of the original decision, I believe that to be an error as the "Application to Review Arbitrator's Decision or Order" was signed by Mr. Zappala on July 24, 2006 and was also received by the Residential Tenancy Office on the same date. In any case, that particular discrepancy in dates is not material to the issue at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Action No. L100246 deals with Mr. Mann's claim to a Writ of Possession of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Action No. L107648 (the "Main Action") was commenced by the Zappalas against Mr. Mann, Affordable Homes Inc., Mr. Charron, 993497 Alberta Inc., and Mr. Kalsi. The Zappalas advance a number of claims, including conspiracy by one or more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fiduciary duty, fraudulent misrepresentation, and that Mr. Mann was unjustly enriched and holds the house in trust on their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their Amended Statement of Claim in the Main Action, the Zappalas claim:</w:t>
      </w:r>
      <w:r>
        <w:rPr>
          <w:rFonts w:ascii="arial" w:eastAsia="arial" w:hAnsi="arial" w:cs="arial"/>
          <w:sz w:val="20"/>
          <w:lang w:val="en-US" w:eastAsia="en-US" w:bidi="ar-SA"/>
        </w:rPr>
        <w:cr/>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damages;</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punitive damages;</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they are the legal and beneficial owners of the house;</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Certificate of Pending Litigation registered against the house;</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to transfer the house from the defendant Mann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their closing argument, the Zappalas also seek the following relief:</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declaring the Zappalas to be the beneficial owners of the house;</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return of the title and possession of the house to the Zappalas upon them paying the amount due and owing by Mr. Mann under a mortgage with CIBC;</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Charron to return the money that the Zappalas paid to him;</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Kalsi to pay to the Zappalas the money he received from them and from the other defendants;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of $10,000 to $15,000 for each of the Zappalas;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aggravated damages of $10,000 to $15,000 for each of the Zappalas; and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costs or in the alternative costs at an increased scale.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his Statement of Defence in the Main Action, Mr. Mann claims that he purchased the house on January 19, 2005 for $352,000 upon obtaining a mortgage from CIBC (the "CIBC Mortgage"). He alleges that the Zappalas orally agreed to rent the house from him for $1,709.73 per month, the amount of his monthly payments under the CIBC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This theme was echoed by Mr. Mann in an affidavit he swore on September 19, 2006. In this affidavit Mr. Mann claims that he saw the house listed in the newspaper and met with the realtor, Jaswinder Boparai. Mr. Mann further claims that he entered into a contract to purchase the house on January 19, 2005, put down an initial deposit of $1,500, paid a further deposit of $33,700 on January 24, 2005, and the sale was completed on January 25,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facts of this case turn largely on credibility. For reasons that follow, I do not believe Mr. Mann and conclude that title to the house should vest in the name of the Zappalas, subject to the CIBC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B. </w:t>
      </w:r>
      <w:r>
        <w:rPr>
          <w:rFonts w:ascii="arial" w:eastAsia="arial" w:hAnsi="arial" w:cs="arial"/>
          <w:b/>
          <w:color w:val="000000"/>
          <w:sz w:val="20"/>
          <w:u w:val="single"/>
          <w:lang w:val="en-US" w:eastAsia="en-US" w:bidi="ar-SA"/>
        </w:rPr>
        <w:t>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Zappalas purchased the house as joint tenants in March 2000. Jose used his RRSPs for the downpayment, and the balance of the $261,000 purchase price was financed by a mortgage and a $30,000 line of credit from TD Canada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house had three self contained suites. Mario lived with his wife and three children in one suite. Jose and Vanesa each had their own separate suite.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Jose Zappala is 66 years old. He came to Canada from Argentina in 1973. He is a labourer. Mario completed grade 11 and is also a labourer. Vanesa completed grade 12. None of the Zappalas are sophisticated business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2004 Jose and Mario were laid off work. The Zappalas had difficulty meeting the mortgage payments and used up their $30,000 line of credit. They took out a $15,000 second mortgage with Get Acceptance and used the money towards their first TD Canada Trust mortgage. However, it was not enough. In the fall of 2004, TD Canada Trust commenced foreclosure proceedings and obtained a judgment for the outstanding balance on the line of credit, which was secured by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Zappalas began receiving letters from companies offering financial assistance, including a letter from Mr. Charron of Affordable Homes Inc., offering a creative financing solution to their financial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Charron is 43 years old. After high school he worked in industrial sales but he has always "dabbled" in real estate. In recent years, he has bought and sold real estate through "creative financing" which he learned about over the Internet.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August 2004, Mr. Charron moved from Calgary to White Rock. He set up or operated under two companies, Affordable Homes Inc. and Canwest Properties Ltd. The numbered company 993497 Alberta Inc. is the company he operated under when he worked in Calgary.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forms of the documents Mr. Charron used for his creative financing scheme, including an Option Agreement and a Right to Purchase or Investment Agreement, he obtained over the Internet or from people he knew in Calgary. Mr. Charron holds no special qualifications. The forms he used are very poorly drafted, and, even if read carefully, are difficult to comprehend.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Under Mr. Charron's creative financing scheme, a homeowner transfers title to his property to an "investor" who acquires a mortgage to pay off the homeowner's mortgage and other debts. The homeowner continues to occupy the property under a Lease Agreement with Affordable Homes Inc. The homeowner pays rent equivalent to the investor's mortgage payments and all other property related costs. At the end of two years, subject to having made the necessary payments, the homeowner has the right to re-purchase the property for the outstanding mortgage plus $1. If the homeowner is unable to re-purchase the property, the property is sold, and the net sale proceeds are divided one-third to the investor, and the balance to Affordable Homes Inc., pursuant to the terms of an Investment Agreement between the investor and Affordable Homes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December 6, 2004, the Zappalas met with Mr. Charron. Mario and Mr. Charron did most of the talking. Mr. Charron explained the creative financing scheme. He told the Zappalas that he needed details on their debt before he could tell them the exact amount of his fee, but it would be roughly $25,000.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Mario said that Mr. Charron told them that they could either do the creative financing or go bankrupt. Vanesa said that she "wasn't very focussed that day" and remembers little of the conversation. Jose similarly recalls little of the conversation.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Charron said that Mario informed him at the meeting that he had serious financial and credit issues and asked what he should do. Mr. Charron said that he knew nothing about Jose or Vanesa's financial circumstances, but he told Mario that he should do everything he can to pay his debts; otherwise, if he became bankrupt, he was "faced with 7 years on your bureau" (meaning the credit bureau). Mr. Charron testified that Mario agreed that he should pay his debts and that being bankrupt would be terrible.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found Mario Zappala's evidence to be somewhat confusing at times. He recalled main events, but seems to have paid little or no attention to details or any fine print. While I find him to be a credible witness, I prefer Mr. Charron's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Mario had a further meeting with Mr. Charron on December 16 and they reviewed the Option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Zappalas wanted more than anything to keep their house, but they were unable to refinance their mortgage. They discussed matters among themselves and decided to go along with Mr. Charron's proposal.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Mario telephoned Mr. Charron and told him that they wanted to go ahead with the creative financing. Mr. Charron told him he would look at their numbers to determine how much they owed, and he would also look for an investor.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the end, Mr. Charron's fee was roughly $35,000.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defendant Mr. Kalsi is 36 years old. He works in sales and marketing, and in the fall of 2004 he was also working towards his real estate license. In September 2004, Mr. Kalsi responded to a newspaper advertisement seeking a sales and marketing person. In October 2004, Mr. Charron hired him on a part-time basis to locate investors.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Kalsi has a busy family and work life. He uses a daily journal to keep track of what he has to do or where he has to be. I found Mr. Kalsi to be an articulate and credible witness who was able to recall dates and events. I found that his evidence was not seriously challenged on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Kalsi has a long time family friend, Mr. Gurnam Singh Auluck. On December 4, 2004 Mr. Kalsi met Mr. Mann, who is Mr. Auluck's cousin, when the three of them went down to the Fraser River for a ride on Mr. Auluck's small boat.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At some point during the windy hour or so that they were on the water, Mr. Kalsi learned that both men were short of cash and looking for ways to make some extra money. Mr. Kalsi told them that he has just got involved with a company and that there was an opportunity to make money as an investor if they had good credit. Both men said they had good credit and were interested in being investors.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Monday December 6, 2004, Mr. Kalsi went to Mr. Auluck's house. Mr. Mann was also there. Mr. Kalsi took their personal information, including their birth dates and social insurance numbers. He told the two men that he would share his fee with them if a deal went ahead.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Armed with Mr. Mann's information, Mr. Kalsi conducted a credit check. On December 7, 2004, he sent Mr. Charron an e-mail outlining the results of the credit check which indicated that Mr. Mann had good credit except for an overdue $200 bill from Microcell.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Charron decided that Mr. Mann could be an investor, but he needed to pay the Microcell bill.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Mann asked Mr. Kalsi to meet his wife and explain to her what he was getting himself into.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December 11, 2004, Mr. Kalsi met Mr. Mann and his wife Harjeet Mann at their home which they owned with Mr. Mann's parents. Mrs. Mann wanted to know what her husband was getting himself into. She did not want him handling money and they had no money to pay for a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Kalsi explained the creative financing scheme in detail, explaining that first they had to find out if Mr. Mann qualified for a mortgage and if he did, the property would be purchased from the current owners and he would go on title to the property, however the owners would still live there and take care of the mortgage and other payments. He explained that Mr. Mann did not have to put anything down for the property. If the owner made all of the payments, he would get his property back in two years. Mr. Mann was helping to give someone a second chance. If the homeowner failed to make the payments, Mr. Mann had the opportunity to make a profit.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Mann agreed to go along with the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Jaswinder (Jas) Singh Boparai is a mortgage broker and licensed realtor. In January 2005, he worked with Sutton West Coast Realty in Langley. Around January 14, 2005, Mr. Charron told Mr. Boparai that he had clients who wanted to sell their house, and he knew someone who wanted to buy the house. Mr. Charron asked Mr. Boparai to meet with his clients and prepare the contract of purchase and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On January 15, 2005, Mr. Charron met the Zappalas at the house and reviewed with them the terms of the Option Agreement and Lease Agreement. The Zappalas signed these agreements along with a number of other documents. The Lease Agreement indicated Affordable Homes Inc. as the landlord and the Zappalas as the tenants. It was for two years, to expire on January 20, 2007. Under the Lease Agreement, the rent was payable to the landlord,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Affordable Homes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Boparai arrived shortly after Mr. Charron. Mr. Boparai filled out a contract of purchase and sale which provided for a purchase price of $362,000, (which was the figure the Zappalas and Mr. Charron had agreed on), a $1,500 deposit, and a January 24, 2005, completion date (the "Purchase Contract"). Mr. Boparai left the name of the purchaser blank, although he heard in the discussions that the purchaser was a Rasvinder Mann.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Zappalas signed the Purchase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When Mr. Charron asked Mr. Boparai if he knew someone who could provide mortgage financing for Mr. Mann, Mr. Boparai recommended Mrs. Samitha Nand, a loans officer at a CIBC branch in Surrey.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Boparai left the Purchase Contract with Mr. Charron so that he could arrange to have Mr. Mann sign it. Mr. Boparai listed the house on MLS, but never advertised it for sale. Mr. Boparai never advertised the house in a newspaper.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completion date was later adjusted to January 27, 2005 when Mr. Boparai learned that his office was unable to meet the earlier closing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On January 17, 2005, Mr. Kalsi drove Mr. Mann to meet Mr. Charron at his White Rock apartment. Mr. Charron explained the entire transaction in detail to Mr. Mann, including the terms of the Investment Agreement he had to sign if he was approved for the mortgage, and how he would own one-third of the property if the Zappalas defaulted on their payments.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Mann signed the Purchase Contract and agreed to sign the Investment Agreement right after the sale was completed.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Charron paid the $1,500 deposit due under the Purchase Contract to Mr. Boparai, as the realtor, from the chequing account of 993497 Alberta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Either on January 15, 2004 or on some other date, Mr. Charron had Mario Zappala sign a receipt dated January 24, 2005, which read: "I received $33,700 from Rasvinder Mann for a deposit on the sale of my property situated at 14853 - 89 Avenue, Surrey".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find that Mr. Mann paid no money to the Zappalas or any other party. The document was for the sole purpose of enabling Mr. Mann to qualify for a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On January 27, 2005, Mr. Kalsi drove Mr. Mann (Mr. Mann's vehicle was unreliable) to the CIBC branch in Surrey to meet with Mrs. Nand and to sign the documents for a mortgage in the amount of $323,928.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Boparai learned from Mrs. Nand when Mr. Mann would be at the bank because he wanted to meet him. He showed up at the appointment time and Mr. Kalsi introduced Mr. Boparai to Mr. Mann. Mr. Boparai asked Mr. Mann if he had any concerns relating to the property purchase. He said he had none. The meeting was brief. Mr. Boparai left. Mr. Mann then signed the mortgage documents. This was the CIBC Mortgage.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Boparai, whose evidence I accept, was adamant that he had only met Mr. Mann once, and that was at the CIBC branch in Surrey.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After the bank, Mr. Kalsi drove Mr. Mann to the office of Cleveland &amp; Doan, a law firm in White Rock that was taking care of the conveyance. They met with Brent Ellwyn, a lawyer, and signed the necessary documents to effect the transfer.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Ellwyn was subpoenaed on behalf of the Zappalas. He testified that his conveyancer generally dealt with the matter and he only became directly involved on the closing. An undated memorandum to him from the conveyancer named Suzanne reads in part:</w:t>
      </w:r>
      <w:r>
        <w:rPr>
          <w:rFonts w:ascii="arial" w:eastAsia="arial" w:hAnsi="arial" w:cs="arial"/>
          <w:sz w:val="20"/>
          <w:lang w:val="en-US" w:eastAsia="en-US" w:bidi="ar-SA"/>
        </w:rPr>
        <w:cr/>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Unique situation here - we have a client named Affordable Homes. Dan Charron is the President of the company and he basically goes around looking for homes where the owner is in financial trouble. He arranges for a purchaser to purchase the home and we act for the purchasers while Kevin Westwood acts for the sellers.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purchaser's statement of adjustments, prepared by Cleveland &amp; Doan and dated January 27, 2005, shows that the balance of funds needed to complete the sale of the house to Mr. Mann was $5,895.23. Mr. Ellwyn's records confirm that the $5,895.23 was paid by 993497 Alberta Inc., that is, by Mr. Charron's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Kalsi and Mr. Mann had planned to meet Mr. Charron right after their meeting with Mr. Ellwyn, so that Mr. Mann could sign the Investment Agreement as he had agreed. Mr. Charron's apartment was just down the street from Mr. Ellwyn's office. However, Mr. Mann said he was too busy. He promised Mr. Kalsi that he would see Mr. Charron after he finished work that day. He never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On January 28, 2005, the Form A transferring the title to the house to Mr. Mann was received at the Land Title Office and the title transfer application was entered on February 7,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Mann told Mr. Kalsi he would bring a signed copy of the Investor Agreement to his house on January 31, 2005. Mr. Kalsi was not going to be home at that time but he told his wife that Mr. Mann was coming over with a document and that she was to give him a cheque for $1,500.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$1,500 represented a portion of the $6,000 commission that Mr. Kalsi received from Mr. Charron. Out of the $1,500, Mr. Mann had agreed with Mr. Kalsi and Mr. Auluck, that he would pay $500 to Mr. Auluck as a finder's fee.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When Mr. Kalsi returned home he learned that Mr. Mann had lied to him. He had taken the cheque for $1,500 which Mrs. Kalsi wrote out to him, but he had failed to leave a signed copy of the Investment Agreement. He also later failed to pay Mr. Auluck $500.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next day, Mr. Kalsi went over to Mr. Mann's house. Mr. Mann told him he would not sign the Investment Agreement until he had a lawyer look it 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Kalsi made repeated efforts to get Mr. Mann to sign the Investment Agreement, to no avail. Mr. Mann refused to return his telephone calls and started making himself scarce. Once Mr. Kalsi drove over to Mr. Mann's house and saw Mr. Mann and his dog in the yard. Mr. Mann treated Mr. Kalsi as if he were a stranger, ignored him, and retreated into his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Except for the first couple of months when they paid cash, the Zappalas paid Mr. Mann $1,709.73 on the first of each month with a series of post-dated cheques. On a couple of occasions, Mr. Mann and the Zappalas agreed that rent would be late by a day or two because the Zappalas' pay day did not always coincide with the first of each month. Mario was the Zappala who always dealt with Mr. Mann.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Around April or May 2005, Mario Zappala spoke to Mr. Mann about the creative financing agreement and his right to purchase the house back for $1. Mr. Mann denied that he saw any documents or that the Zappalas had any right to repurchase the house. He maintained that he owned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July 2005 Mario learned from the bank that the CIBC Mortgage had not been paid. In August 2005 he learned that the CIBC Mortgage was two months in arrears even though Mr. Mann had cashed their cheques.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Like Mr. Kalsi, Mario Zappala's dealings with Mr. Mann became extremely troubled. By early 2006, Mr. Mann was demanding that the Zappalas vacate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On April 26, 2006, Mr. Mann delivered to the Zappalas a Notice to End Tenancy.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Zappalas did not file a dispute notice to Mr. Mann's termination notice because as far as they were concerned, Mr. Mann did not have the right to evict them from their house. Even Mr. Charron and Mr. Kalsi could not understand how Mr. Mann could end the tenancy when the Lease Agreement was between the Zappalas and Affordable Homes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the meantime, Mario and Mr. Mann were negotiating for the Zappalas' repurchase of the house. By June 2006 they agreed to a price of $353,000. Later, when Mario told Mr. Mann that he had financing, Mr. Mann told him the price was now too 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On July 5, 2006, Mr. Mann filed an Application for Arbitration requesting an Order of Possession of the house. By A Notice of Hearing of an Arbitration, arbitration of Mr. Mann's application was set for 2:30 p.m. on July 20, 2006, at the Residential Tenancy Office on Kingsway in Burnaby.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Mario Zappala left his work in Langley to attend the hearing. He was slowed by an accident on the highway. On the way he called the Residential Tenancy Office and told the receptionist of his traffic problems. Mr. Zappala showed up 15 minutes late. He learned that the decision had already been made and that Mr. Mann had an Order of Possession of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On July 24, 2006, Mario signed and filed an Application to Review Arbitrator's Decision or Order requesting a review of the July 20, 2006 decision and Order of Possession and further requesting an extension of time to apply for review. The Residential Tenancy Office acknowledgment shows that Mario's application was received on July 24, 2006. In reasons dated July 20, 2006, which is likely a typographical error, the Arbitrator dismissed the Zappalas'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On July 24, 2006, Mr. Mann obtained a Writ of Possession to the house from the New Westminster registry of the British Columbia Supreme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On September 8, 2006, bailiffs began forcibly removing the Zappalas' possessions from the house. None of the Zappalas were allowed in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While the bailiffs were removing their belongings, Vanesa Zappala obtained an </w:t>
      </w:r>
      <w:r>
        <w:rPr>
          <w:rFonts w:ascii="arial" w:eastAsia="arial" w:hAnsi="arial" w:cs="arial"/>
          <w:i/>
          <w:color w:val="000000"/>
          <w:sz w:val="20"/>
          <w:lang w:val="en-US" w:eastAsia="en-US" w:bidi="ar-SA"/>
        </w:rPr>
        <w:t>ex parte</w:t>
      </w:r>
      <w:r>
        <w:rPr>
          <w:rFonts w:ascii="arial" w:eastAsia="arial" w:hAnsi="arial" w:cs="arial"/>
          <w:color w:val="000000"/>
          <w:sz w:val="20"/>
          <w:lang w:val="en-US" w:eastAsia="en-US" w:bidi="ar-SA"/>
        </w:rPr>
        <w:t xml:space="preserve"> order from Mr. Justice Singh staying the Writ of Possession. By then the house was almost fully emptied. In exchange for $200 cash, the bailiffs agreed to move everything back into the house. However, the move back was haphazard: everything was just dumped into boxes and the boxes dumped anyplace in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On September 25, 2006, Mr. Justice Davies extended the order of Mr. Justice Singh for two months, subject to Vanesa and Mario Zappala paying within 7 days to Mr. Menkes, counsel for Mr. Mann, a sum equal to four payments of $1,709.73, and $1,709.73 on the 1st day of each month for the period the order is in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 find that at the time, the Zappalas were three months, and not four months in arrears.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On November 29, 2006, Mr. Justice Josephson ordered all three actions heard together, and that Mr. Mann was to pay towards the CIBC Mortgage, the sums paid to him by the Zappalas.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C. </w:t>
      </w:r>
      <w:r>
        <w:rPr>
          <w:rFonts w:ascii="arial" w:eastAsia="arial" w:hAnsi="arial" w:cs="arial"/>
          <w:b/>
          <w:color w:val="000000"/>
          <w:sz w:val="20"/>
          <w:u w:val="single"/>
          <w:lang w:val="en-US" w:eastAsia="en-US" w:bidi="ar-SA"/>
        </w:rPr>
        <w:t>The Evidence of Rasvinder and Harjeet Mann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Mann is married to Harjeet Mann. They have two children and live in a house they own with Mr. Mann's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Mr. Mann testified that in the winter of 2004 he was looking to buy a house with his wife. It would be their house and not a house they shared with his parents. He planned to rent out this house until he "was ready to move 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Mr. Mann's evidence contradicts his wife's evidence. Harjeet Mann testified that Mr. Kalsi and Mr. Boparai came to their home where they signed papers to purchase the house as "an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Mann said that he found Mr. Boparai's name in the newspaper, telephoned him, and Mr. Boparai and Mr. Kalsi came to his home a couple of days later. Mr. Mann said it was Mr. Boparai who brought his attention to the house for sale at 14853 - 89th Avenue in Surrey. Either Mr. Boparai or Mr. Kalsi told him he could buy this house for "zero down" and pay nothing towards the mortgage because the people in the house would rent it back from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his examination for discovery, Mr. Mann testified that he did not know Mr. Kalsi and had never heard the name Ron Kalsi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As I stated earlier, I accept Mr. Boparai's evidence that he never advertised in the newspaper and that he met Mr. Mann only once and it was at the CIBC branch in Surrey.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Both Mr. and Mrs. Mann claim that they paid $1,500 cash towards the deposit when they met with Mr. Boparai but have no receipt. I find they are both deliberately not telling the truth. The documents disclose that it was Mr. Charron who wrote a cheque for the $1,500 deposit from the chequing account of 993497 Alberta Inc.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his affidavit from September 19, 2006, Mr. Mann falsely swore that he paid a deposit of $33,700 on January 24, 2005. I find that Mr. Mann paid no money towards the purchase or maintenance of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At trial, Mr. Mann said that he received $1,500 as a "bonus" from Mr. Kalsi. He also testified that he received a $33,700 credit from the Zappalas towards his purchase of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suggestion that he received a $33,700 credit from the Zappalas, or any credit from the Zappalas, not only makes no sense; it defies common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Mr. Mann's evidence failed to ring true or have an air of reality about it. He gave me the impression of making up his story as he went along.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Manns looked a no other houses before Mr. Mann claims to have purchased the house. Neither Mr. Mann nor his wife have ever seen the interior of the house. This is astounding if as Mr. Mann claims, he planned to live in the house with his wife and two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Mr. Mann claims he paid the deposit in cash to Mr. Boparai but he produced no receipt for the deposit.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Mr. Mann has never received a key to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Mr. Mann says he has no idea who paid the $5,935 owing by the purchaser as listed on the Purchaser's Statement of Adjustments. He says that Mr. Ellwyn told him "that it was taken care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Mr. Mann has no idea how the house insurance for the house was arranged, or who paid for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Mr. Mann claims that he went to Cleveland &amp; Doan because some friends whose names he does not seem to know told him that they were good lawyers.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Mr. Mann claims that Mr. Kalsi and another East Indian male drove over to his house and sat in the vehicle. Mr. Mann claims that he went over with his dog to speak to Mr. Kalsi, and Mr. Kalsi grabbed a gun and held it up. Mr. Mann claims that he was scared and his heart was beating when he saw the gun, but he never contacted the police. He just went into his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Mr. Kalsi does not possess a gun. Besides, it makes no sense for Mr. Mann not to have called the police, if, as he suggests, Mr. Kalsi threatened him with a gun.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Mr. Mann and his wife claim that the Mr. Boparai who testified is not the same Mr. Boparai who helped them purchase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Purchase Contract states that it was prepared by Jas Boparai of Sutton West Coast Realty. Mr. Boparai was never asked on cross-examination whether there is another realtor with the same name at Sutton West Coast Realty. The odds are highly remote.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Moreover, if there was another Jas Boparai working as a realtor at Sutton West Coast Realty, he ought to have been subpoenaed.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Mr. Mann denied ever meeting Mr. Charron before the first day of trial. That too is a lie as the evidence clearly discloses that they had at least some prior dealings.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I prefer the evidence of Mr. Charron, Mr. Kalsi, and Mr. Boparai to the evidence of Mr. Mann. I find that Mr. Mann and his wife Harjeet Mann have fabricated their evidence with the intent of deceiving this court. I find Mr. Mann took steps under the </w:t>
      </w:r>
      <w:r>
        <w:rPr>
          <w:rFonts w:ascii="arial" w:eastAsia="arial" w:hAnsi="arial" w:cs="arial"/>
          <w:b/>
          <w:i/>
          <w:color w:val="000000"/>
          <w:sz w:val="20"/>
          <w:lang w:val="en-US" w:eastAsia="en-US" w:bidi="ar-SA"/>
        </w:rPr>
        <w:t>Residential Tenancy Act</w:t>
      </w:r>
      <w:r>
        <w:rPr>
          <w:rFonts w:ascii="arial" w:eastAsia="arial" w:hAnsi="arial" w:cs="arial"/>
          <w:color w:val="000000"/>
          <w:sz w:val="20"/>
          <w:lang w:val="en-US" w:eastAsia="en-US" w:bidi="ar-SA"/>
        </w:rPr>
        <w:t>, including obtaining the Order of Possession and consequently a Writ of Possession, knowing that he had no right to do so. His reprehensible conduct has led to the whole or substantially the whole basis for the claim in the Main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D. </w:t>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If the house were returned to the Zappalas </w:t>
      </w:r>
      <w:r>
        <w:rPr>
          <w:rFonts w:ascii="arial" w:eastAsia="arial" w:hAnsi="arial" w:cs="arial"/>
          <w:i/>
          <w:color w:val="000000"/>
          <w:sz w:val="20"/>
          <w:lang w:val="en-US" w:eastAsia="en-US" w:bidi="ar-SA"/>
        </w:rPr>
        <w:t>and</w:t>
      </w:r>
      <w:r>
        <w:rPr>
          <w:rFonts w:ascii="arial" w:eastAsia="arial" w:hAnsi="arial" w:cs="arial"/>
          <w:color w:val="000000"/>
          <w:sz w:val="20"/>
          <w:lang w:val="en-US" w:eastAsia="en-US" w:bidi="ar-SA"/>
        </w:rPr>
        <w:t xml:space="preserve"> Mr. Charron ordered to return the money paid to him, the Zappalas would be put in a better position than they were before the transaction, when they were unable to keep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 am not satisfied that the creative financing scheme was unconscionable or that the Zappalas were forced or coerced by Mr. Charron to carry out the transaction. From the time that Mr. Mann refused to sign the Investment Agreement, Mr. Charron and Mr. Kalsi have done all they could to see that the Zappalas were able to continue to live in and retain their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Except as against Mr. Mann, the Zappalas have not succeeded in their claim against the remaining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There will be an order that title to the house at 14853 - 89 Avenue be transferred from Rasvinder Mann to the Zappalas within 14 days of the issue of these reasons and will remain subject to the CIBC Mortgage, which I am told was approximately $311,000. The outstanding amount of the mortgage is unknown because Mr. Mann has refused to divulge that information. If the parties are unable to agree on the amount, there will be an accounting before the Registrar.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Writ of Possession issued on July 24, 2006 in action L100246 will be set aside.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proceeding S102481, the decision of the Arbitrator, dated July 20, 2006, is hereby set aside.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All of the parties in the three proceedings have been successful except for Rasvinder Mann. I find his conduct in obtaining the Writ of Possession, the unlawful eviction from the house and removal of the Zappalas possessions to be conduct worthy of rebuke. I find an award of punitive damages of $10,000 to be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Brent Ellwyn, the lawyer from Cleveland &amp; Doan who testified on behalf of the Zappalas indicated that he and Mr. Magnus cannot agree on his fees for preparing for trial and testifying. I find the evidence of Mr. Ellwyn was necessary. The issue of his fees, as the plaintiffs' disbursements, will be referred to the Registrar for his or her recommendation.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plaintiffs asked for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Special costs are punitive in nature and are awarded to indicate the court's disapproval of the parties' conduct, to reproof or rebuke a party's misconduct in the proceedings: </w:t>
      </w:r>
      <w:r>
        <w:rPr>
          <w:rFonts w:ascii="arial" w:eastAsia="arial" w:hAnsi="arial" w:cs="arial"/>
          <w:b/>
          <w:i/>
          <w:color w:val="000000"/>
          <w:sz w:val="20"/>
          <w:lang w:val="en-US" w:eastAsia="en-US" w:bidi="ar-SA"/>
        </w:rPr>
        <w:t>Laye v. College of Psychologists of British Columbia</w:t>
      </w:r>
      <w:r>
        <w:rPr>
          <w:rFonts w:ascii="arial" w:eastAsia="arial" w:hAnsi="arial" w:cs="arial"/>
          <w:color w:val="000000"/>
          <w:sz w:val="20"/>
          <w:lang w:val="en-US" w:eastAsia="en-US" w:bidi="ar-SA"/>
        </w:rPr>
        <w:t xml:space="preserve"> </w:t>
      </w:r>
      <w:hyperlink r:id="rId443" w:history="1">
        <w:r>
          <w:rPr>
            <w:rFonts w:ascii="arial" w:eastAsia="arial" w:hAnsi="arial" w:cs="arial"/>
            <w:i/>
            <w:color w:val="0077CC"/>
            <w:sz w:val="20"/>
            <w:u w:val="single"/>
            <w:shd w:val="clear" w:color="auto" w:fill="FFFFFF"/>
            <w:lang w:val="en-US" w:eastAsia="en-US" w:bidi="ar-SA"/>
          </w:rPr>
          <w:t>(1998), 59 B.C.L.R. (3d) 349</w:t>
        </w:r>
      </w:hyperlink>
      <w:r>
        <w:rPr>
          <w:rFonts w:ascii="arial" w:eastAsia="arial" w:hAnsi="arial" w:cs="arial"/>
          <w:color w:val="000000"/>
          <w:sz w:val="20"/>
          <w:lang w:val="en-US" w:eastAsia="en-US" w:bidi="ar-SA"/>
        </w:rPr>
        <w:t xml:space="preserve"> para. 18, </w:t>
      </w:r>
      <w:hyperlink r:id="rId443" w:history="1">
        <w:r>
          <w:rPr>
            <w:rFonts w:ascii="arial" w:eastAsia="arial" w:hAnsi="arial" w:cs="arial"/>
            <w:i/>
            <w:color w:val="0077CC"/>
            <w:sz w:val="20"/>
            <w:u w:val="single"/>
            <w:shd w:val="clear" w:color="auto" w:fill="FFFFFF"/>
            <w:lang w:val="en-US" w:eastAsia="en-US" w:bidi="ar-SA"/>
          </w:rPr>
          <w:t>114 B.C.A.C. 201</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Fullerton v. Matsqui (District)</w:t>
      </w:r>
      <w:r>
        <w:rPr>
          <w:rFonts w:ascii="arial" w:eastAsia="arial" w:hAnsi="arial" w:cs="arial"/>
          <w:color w:val="000000"/>
          <w:sz w:val="20"/>
          <w:lang w:val="en-US" w:eastAsia="en-US" w:bidi="ar-SA"/>
        </w:rPr>
        <w:t xml:space="preserve"> </w:t>
      </w:r>
      <w:hyperlink r:id="rId444" w:history="1">
        <w:r>
          <w:rPr>
            <w:rFonts w:ascii="arial" w:eastAsia="arial" w:hAnsi="arial" w:cs="arial"/>
            <w:i/>
            <w:color w:val="0077CC"/>
            <w:sz w:val="20"/>
            <w:u w:val="single"/>
            <w:shd w:val="clear" w:color="auto" w:fill="FFFFFF"/>
            <w:lang w:val="en-US" w:eastAsia="en-US" w:bidi="ar-SA"/>
          </w:rPr>
          <w:t>(1992), 74 B.C.L.R. (2d) 305</w:t>
        </w:r>
      </w:hyperlink>
      <w:r>
        <w:rPr>
          <w:rFonts w:ascii="arial" w:eastAsia="arial" w:hAnsi="arial" w:cs="arial"/>
          <w:color w:val="000000"/>
          <w:sz w:val="20"/>
          <w:lang w:val="en-US" w:eastAsia="en-US" w:bidi="ar-SA"/>
        </w:rPr>
        <w:t xml:space="preserve"> para. 9, </w:t>
      </w:r>
      <w:hyperlink r:id="rId444" w:history="1">
        <w:r>
          <w:rPr>
            <w:rFonts w:ascii="arial" w:eastAsia="arial" w:hAnsi="arial" w:cs="arial"/>
            <w:i/>
            <w:color w:val="0077CC"/>
            <w:sz w:val="20"/>
            <w:u w:val="single"/>
            <w:shd w:val="clear" w:color="auto" w:fill="FFFFFF"/>
            <w:lang w:val="en-US" w:eastAsia="en-US" w:bidi="ar-SA"/>
          </w:rPr>
          <w:t>14 B.C.A.C. 153</w:t>
        </w:r>
      </w:hyperlink>
      <w:r>
        <w:rPr>
          <w:rFonts w:ascii="arial" w:eastAsia="arial" w:hAnsi="arial" w:cs="arial"/>
          <w:color w:val="000000"/>
          <w:sz w:val="20"/>
          <w:lang w:val="en-US" w:eastAsia="en-US" w:bidi="ar-SA"/>
        </w:rPr>
        <w:t xml:space="preserve">. The threshold conduct was described as "surreptitious and dishonest": </w:t>
      </w:r>
      <w:r>
        <w:rPr>
          <w:rFonts w:ascii="arial" w:eastAsia="arial" w:hAnsi="arial" w:cs="arial"/>
          <w:b/>
          <w:i/>
          <w:color w:val="000000"/>
          <w:sz w:val="20"/>
          <w:lang w:val="en-US" w:eastAsia="en-US" w:bidi="ar-SA"/>
        </w:rPr>
        <w:t>Hicks v. Hicks</w:t>
      </w:r>
      <w:r>
        <w:rPr>
          <w:rFonts w:ascii="arial" w:eastAsia="arial" w:hAnsi="arial" w:cs="arial"/>
          <w:color w:val="000000"/>
          <w:sz w:val="20"/>
          <w:lang w:val="en-US" w:eastAsia="en-US" w:bidi="ar-SA"/>
        </w:rPr>
        <w:t xml:space="preserve">, </w:t>
      </w:r>
      <w:hyperlink r:id="rId445" w:history="1">
        <w:r>
          <w:rPr>
            <w:rFonts w:ascii="arial" w:eastAsia="arial" w:hAnsi="arial" w:cs="arial"/>
            <w:i/>
            <w:color w:val="0077CC"/>
            <w:sz w:val="20"/>
            <w:u w:val="single"/>
            <w:shd w:val="clear" w:color="auto" w:fill="FFFFFF"/>
            <w:lang w:val="en-US" w:eastAsia="en-US" w:bidi="ar-SA"/>
          </w:rPr>
          <w:t>[1997] B.C.J. No. 296</w:t>
        </w:r>
      </w:hyperlink>
      <w:r>
        <w:rPr>
          <w:rFonts w:ascii="arial" w:eastAsia="arial" w:hAnsi="arial" w:cs="arial"/>
          <w:color w:val="000000"/>
          <w:sz w:val="20"/>
          <w:lang w:val="en-US" w:eastAsia="en-US" w:bidi="ar-SA"/>
        </w:rPr>
        <w:t xml:space="preserve">, </w:t>
      </w:r>
      <w:hyperlink r:id="rId445" w:history="1">
        <w:r>
          <w:rPr>
            <w:rFonts w:ascii="arial" w:eastAsia="arial" w:hAnsi="arial" w:cs="arial"/>
            <w:i/>
            <w:color w:val="0077CC"/>
            <w:sz w:val="20"/>
            <w:u w:val="single"/>
            <w:shd w:val="clear" w:color="auto" w:fill="FFFFFF"/>
            <w:lang w:val="en-US" w:eastAsia="en-US" w:bidi="ar-SA"/>
          </w:rPr>
          <w:t>16 E.T.R. (2d) 179</w:t>
        </w:r>
      </w:hyperlink>
      <w:r>
        <w:rPr>
          <w:rFonts w:ascii="arial" w:eastAsia="arial" w:hAnsi="arial" w:cs="arial"/>
          <w:color w:val="000000"/>
          <w:sz w:val="20"/>
          <w:lang w:val="en-US" w:eastAsia="en-US" w:bidi="ar-SA"/>
        </w:rPr>
        <w:t xml:space="preserve"> para. 64 (S.C.). Such conduct has included many types of wrongdoings by parties or their counsel, including improper motives for bringing court proceedings: </w:t>
      </w:r>
      <w:r>
        <w:rPr>
          <w:rFonts w:ascii="arial" w:eastAsia="arial" w:hAnsi="arial" w:cs="arial"/>
          <w:b/>
          <w:i/>
          <w:color w:val="000000"/>
          <w:sz w:val="20"/>
          <w:lang w:val="en-US" w:eastAsia="en-US" w:bidi="ar-SA"/>
        </w:rPr>
        <w:t>Garcia v. Crestbrook Forest Industries Ltd</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w:t>
      </w:r>
      <w:hyperlink r:id="rId446" w:history="1">
        <w:r>
          <w:rPr>
            <w:rFonts w:ascii="arial" w:eastAsia="arial" w:hAnsi="arial" w:cs="arial"/>
            <w:i/>
            <w:color w:val="0077CC"/>
            <w:sz w:val="20"/>
            <w:u w:val="single"/>
            <w:shd w:val="clear" w:color="auto" w:fill="FFFFFF"/>
            <w:lang w:val="en-US" w:eastAsia="en-US" w:bidi="ar-SA"/>
          </w:rPr>
          <w:t>(1994), 9 B.C.L.R. (3d) 242</w:t>
        </w:r>
      </w:hyperlink>
      <w:r>
        <w:rPr>
          <w:rFonts w:ascii="arial" w:eastAsia="arial" w:hAnsi="arial" w:cs="arial"/>
          <w:color w:val="000000"/>
          <w:sz w:val="20"/>
          <w:lang w:val="en-US" w:eastAsia="en-US" w:bidi="ar-SA"/>
        </w:rPr>
        <w:t xml:space="preserve"> (C.A.) and </w:t>
      </w:r>
      <w:r>
        <w:rPr>
          <w:rFonts w:ascii="arial" w:eastAsia="arial" w:hAnsi="arial" w:cs="arial"/>
          <w:b/>
          <w:i/>
          <w:color w:val="000000"/>
          <w:sz w:val="20"/>
          <w:lang w:val="en-US" w:eastAsia="en-US" w:bidi="ar-SA"/>
        </w:rPr>
        <w:t>Genesee Enterprises Ltd. v. Abou-Rached</w:t>
      </w:r>
      <w:r>
        <w:rPr>
          <w:rFonts w:ascii="arial" w:eastAsia="arial" w:hAnsi="arial" w:cs="arial"/>
          <w:color w:val="000000"/>
          <w:sz w:val="20"/>
          <w:lang w:val="en-US" w:eastAsia="en-US" w:bidi="ar-SA"/>
        </w:rPr>
        <w:t xml:space="preserve">, </w:t>
      </w:r>
      <w:hyperlink r:id="rId447" w:history="1">
        <w:r>
          <w:rPr>
            <w:rFonts w:ascii="arial" w:eastAsia="arial" w:hAnsi="arial" w:cs="arial"/>
            <w:i/>
            <w:color w:val="0077CC"/>
            <w:sz w:val="20"/>
            <w:u w:val="single"/>
            <w:shd w:val="clear" w:color="auto" w:fill="FFFFFF"/>
            <w:lang w:val="en-US" w:eastAsia="en-US" w:bidi="ar-SA"/>
          </w:rPr>
          <w:t>2001 BCSC 1172</w:t>
        </w:r>
      </w:hyperlink>
      <w:r>
        <w:rPr>
          <w:rFonts w:ascii="arial" w:eastAsia="arial" w:hAnsi="arial" w:cs="arial"/>
          <w:color w:val="000000"/>
          <w:sz w:val="20"/>
          <w:lang w:val="en-US" w:eastAsia="en-US" w:bidi="ar-SA"/>
        </w:rPr>
        <w:t xml:space="preserve">. Special costs are generally awarded for misconduct in the proceedings, although in </w:t>
      </w:r>
      <w:r>
        <w:rPr>
          <w:rFonts w:ascii="arial" w:eastAsia="arial" w:hAnsi="arial" w:cs="arial"/>
          <w:b/>
          <w:i/>
          <w:color w:val="000000"/>
          <w:sz w:val="20"/>
          <w:lang w:val="en-US" w:eastAsia="en-US" w:bidi="ar-SA"/>
        </w:rPr>
        <w:t>Chan v. Lee Estate</w:t>
      </w:r>
      <w:r>
        <w:rPr>
          <w:rFonts w:ascii="arial" w:eastAsia="arial" w:hAnsi="arial" w:cs="arial"/>
          <w:color w:val="000000"/>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2004 BCCA 644</w:t>
        </w:r>
      </w:hyperlink>
      <w:r>
        <w:rPr>
          <w:rFonts w:ascii="arial" w:eastAsia="arial" w:hAnsi="arial" w:cs="arial"/>
          <w:color w:val="000000"/>
          <w:sz w:val="20"/>
          <w:lang w:val="en-US" w:eastAsia="en-US" w:bidi="ar-SA"/>
        </w:rPr>
        <w:t xml:space="preserve"> para. 58, Newbury J.A. apparently accepted the trial judge's conclusion that this "rule is not absolute".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In all three of the proceedings, Mr. Mann has shown numerous examples of conduct deserving of this Court's reproach and rebuke. He brought legal proceedings, including the eviction proceedings before the Arbitrator and the proceedings to obtain the Writ of Possession for the house, knowing that he had no lawful claim to the house. He endeavoured to forcibly evict the Zappalas from the house. He has lied in a sworn affidavit and on the stand. He has generally shown a complete disregard for the truth. In these circumstances, I find that special costs are an appropriate punitive measure to show this Court's disapproval of Mr. Mann's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Mr. Mann will pay the special costs of the plaintiffs in the three proceedings, including costs of (a) the application to stay the Writ of Possession and to consolidate the actions, and (b) the remaining defendants, including the proper fees of Mr. Ellwyn, forthwith after taxation.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There will be liberty to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 LOO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4" style="position:absolute;z-index:2518292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49"/>
          <w:headerReference w:type="default" r:id="rId450"/>
          <w:footerReference w:type="even" r:id="rId451"/>
          <w:footerReference w:type="default" r:id="rId452"/>
          <w:headerReference w:type="first" r:id="rId453"/>
          <w:footerReference w:type="first" r:id="rId45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55" w:history="1">
        <w:r>
          <w:rPr>
            <w:rFonts w:ascii="arial" w:eastAsia="arial" w:hAnsi="arial" w:cs="arial"/>
            <w:b/>
            <w:bCs/>
            <w:i/>
            <w:color w:val="0077CC"/>
            <w:kern w:val="32"/>
            <w:sz w:val="28"/>
            <w:szCs w:val="32"/>
            <w:u w:val="single"/>
            <w:shd w:val="clear" w:color="auto" w:fill="FFFFFF"/>
            <w:lang w:val="en-US" w:eastAsia="en-US" w:bidi="ar-SA"/>
          </w:rPr>
          <w:t>British Columbia v. Hutchinson, [2005] B.C.J. No. 2270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Cullen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31 and February 1 - 2,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12,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L041823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2270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1421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261 D.L.R. (4th) 171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49 B.C.L.R. (4th) 331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143 A.C.W.S. (3d) 535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54 C.H.R.R. D/468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CarswellBC 2486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Her Majesty the Queen, petitioner, and Cheryl Hutchinson, Phillip Hutchinson and British Columbia Human Rights Tribunal, respondents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(173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5" style="position:absolute;z-index:251677696" from="0,2pt" to="512pt,2pt" strokecolor="#009ddb" strokeweight="2pt">
            <v:stroke linestyle="single"/>
          </v:line>
        </w:pict>
      </w:r>
    </w:p>
    <w:p>
      <w:pPr>
        <w:spacing w:line="240" w:lineRule="exact"/>
        <w:rPr>
          <w:rFonts w:ascii="arial" w:eastAsia="arial" w:hAnsi="arial" w:cs="arial"/>
          <w:sz w:val="20"/>
          <w:lang w:val="en-US" w:eastAsia="en-US" w:bidi="ar-SA"/>
        </w:rPr>
      </w:pP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25" w:name="Case Summary_18"/>
            <w:bookmarkEnd w:id="12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!!HL18 !!HL28 !!HL45 !!HL49 !!HL53 !!GV16 !!GV14 !!PA87 !!DD47 !!DD45 !!DD39 !!DDQ122 !!DDQ126 !!DDQ129 !!DDQ130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spacing w:before="120" w:line="260" w:lineRule="atLeast"/>
        <w:rPr>
          <w:rFonts w:ascii="arial" w:eastAsia="arial" w:hAnsi="arial" w:cs="arial"/>
          <w:sz w:val="20"/>
          <w:lang w:val="en-US" w:eastAsia="en-US" w:bidi="ar-SA"/>
        </w:rPr>
      </w:pPr>
      <w:bookmarkStart w:id="126" w:name="Keywords_17"/>
      <w:bookmarkEnd w:id="126"/>
      <w:r>
        <w:rPr>
          <w:rFonts w:ascii="arial" w:eastAsia="arial" w:hAnsi="arial" w:cs="arial"/>
          <w:b/>
          <w:color w:val="000000"/>
          <w:sz w:val="20"/>
          <w:lang w:val="en-US" w:eastAsia="en-US" w:bidi="ar-SA"/>
        </w:rPr>
        <w:t>Human rights law — Discrimination — Context — Employment — Hiring — Exceptions — Grounds — Family status — Mental or physical disability — Type of discrimination — Constructive or adverse effect — Application by Crown for judicial review of decision by Human Rights Tribunal awarding compensation to father and daughter respondents dismissed — Government program provided funding to severely disabled persons to hire and pay own caregivers, but prohibited those caregivers from being family members — Effect of prohibition was discriminatory on father who had cared for daughter since age 13, and on daughter — Tribunal member did not err in awarding compensation to both respondents for injury to dignity and for father's wage loss.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Government law — Crown — Actions by and against Crown — Defences — Capacity of Crown to sue or be sued — Application by Crown for judicial review of decision by Human Rights Tribunal awarding compensation to father and daughter respondents dismissed — Government program provided funding to severely disabled persons to hire and pay own caregivers, but prohibited those caregivers from being family members — Crown immunity principles were not engaged with respect to a compensatory award against it because the prohibition against hiring family members was administrative, as opposed to legislative, in nature.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Pensions and benefits law — Government benefit programs — Health and social services — Disabled persons — Application by Crown for judicial review of decision by Human Rights Tribunal awarding compensation to father and daughter respondents dismissed — Government program provided funding to severely disabled persons to hire and pay own caregivers, but prohibited those caregivers from being family members — Effect of prohibition was discriminatory on father who had cared for daughter since age 13, and on daughter — Tribunal member did not err in awarding compensation to both respondents for injury to dignity and for father's wage loss.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Special damages — Loss of income — Home care — Psychological injuries — Emotional distress — Age of claimant — 26 to 35 — 66 plus — Non-pecuniary award — $5,001 to $20,000 — $1 to $5,000 — Application by Crown for judicial review of decision by Human Rights Tribunal awarding compensation to father and daughter respondents dismissed — Government program provided funding to severely disabled persons to hire and pay own caregivers, but prohibited those caregivers from being family members — Effect of prohibition was discriminatory on father who had cared for daughter since age 13, and on daughter — Tribunal member did not err in awarding daughter compensation of $8,500 for injury to dignity and compensation to father of $105,840 for wage loss plus $4,000 for injury to his dignity.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Crown for judicial review of a decision by the Human Rights Tribunal requiring the Ministry of Health to pay compensation to the father and daughter respondents -- Respondent Hutchinson was a 35-year-old severely physically disabled woman requiring significant personal care -- Her 71-year-old father had been her primary caregiver since her mother left when she was 13 -- Government program paid certain severely disabled people to enable them to hire and pay caregiver of their choice -- Program prohibited payment to family members to care for relatives -- Human Rights Tribunal held that policy discriminated against Hutchinson based on disability and family status, and discriminated against father on basis of family status -- Tribunal found that Ministry could have made exceptions to policy on a case by case basis, and that such accommodation would not constitute undue hardship -- Tribunal awarded Hutchinson $8,500 to compensate for injury to her dignity, and awarded her father $105,840 for compensation for wage loss and $4,000 for injury to his dignity -- HELD: Application dismissed -- Tribunal member chose correct comparator group to determine whether there was discrimination, namely other participants in the program who were not restricted by the prohibition because they did not wish or need to hire a family member as a caregiver -- Whether the standard of review was correctness or reasonableness simpliciter, Tribunal member's finding should be sustained -- Focus of program was to enhance lives of disadvantaged people by giving them control over long term care, and an inflexible restriction on the freedom to manage her own care would potentially have an adverse impact on Hutchinson's dignity and autonomy -- Likewise the prohibition affecting the father's employment was capable of adversely affecting his dignity by intensifying his existing disadvantage of having been for many years the single parent of a severely disabled daughter -- Finding of discrimination was justified based on the particular circumstances of these claimants -- Crown immunity principles were not engaged with respect to a compensatory award because the prohibition against hiring family members was administrative, as opposed to legislative, in nature -- Pursuant to s. 37 of the Human Rights Code, respondents had a right to redress as a result of the discriminatory effect of the policy -- Amount of Tribunal member's award was not patently unreasonable.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27" w:name="Legislation Cited_12"/>
      <w:bookmarkEnd w:id="12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16" style="position:absolute;z-index:2517288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Administrative Tribunals Act, </w:t>
      </w:r>
      <w:hyperlink r:id="rId456" w:history="1">
        <w:r>
          <w:rPr>
            <w:rFonts w:ascii="arial" w:eastAsia="arial" w:hAnsi="arial" w:cs="arial"/>
            <w:i/>
            <w:color w:val="0077CC"/>
            <w:sz w:val="20"/>
            <w:u w:val="single"/>
            <w:shd w:val="clear" w:color="auto" w:fill="FFFFFF"/>
            <w:lang w:val="en-US" w:eastAsia="en-US" w:bidi="ar-SA"/>
          </w:rPr>
          <w:t>S.B.C. 2004, c. 45, s. 59</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Canada Health Act, R.S.C. 1985, C-6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Canada Pension Plan Act, s. 44(1)(d), s. 58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Canadian Charter of Rights and Freedoms, 1982, s. 15, s. 15(1), s. 24(1)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Civil Code of Quebec, S.Q. 1991, c. 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Constitution Act, 1982, s. 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Continuing Care Act, </w:t>
      </w:r>
      <w:r>
        <w:rPr>
          <w:rFonts w:ascii="arial" w:eastAsia="arial" w:hAnsi="arial" w:cs="arial"/>
          <w:i/>
          <w:color w:val="000000"/>
          <w:sz w:val="20"/>
          <w:lang w:val="en-US" w:eastAsia="en-US" w:bidi="ar-SA"/>
        </w:rPr>
        <w:t>R.S.B.C. 1996, c. 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Continuing Care Regulations, </w:t>
      </w:r>
      <w:hyperlink r:id="rId457" w:history="1">
        <w:r>
          <w:rPr>
            <w:rFonts w:ascii="arial" w:eastAsia="arial" w:hAnsi="arial" w:cs="arial"/>
            <w:i/>
            <w:color w:val="0077CC"/>
            <w:sz w:val="20"/>
            <w:u w:val="single"/>
            <w:shd w:val="clear" w:color="auto" w:fill="FFFFFF"/>
            <w:lang w:val="en-US" w:eastAsia="en-US" w:bidi="ar-SA"/>
          </w:rPr>
          <w:t>B.C. Reg. 146/95</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Health Authorities Act, </w:t>
      </w:r>
      <w:r>
        <w:rPr>
          <w:rFonts w:ascii="arial" w:eastAsia="arial" w:hAnsi="arial" w:cs="arial"/>
          <w:i/>
          <w:color w:val="000000"/>
          <w:sz w:val="20"/>
          <w:lang w:val="en-US" w:eastAsia="en-US" w:bidi="ar-SA"/>
        </w:rPr>
        <w:t>R.S.B.C. 1996, c. 180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Human Rights Amendment Act, 2002 S.B.C. 2004, c. 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Human Rights Code, </w:t>
      </w:r>
      <w:hyperlink r:id="rId458" w:history="1">
        <w:r>
          <w:rPr>
            <w:rFonts w:ascii="arial" w:eastAsia="arial" w:hAnsi="arial" w:cs="arial"/>
            <w:i/>
            <w:color w:val="0077CC"/>
            <w:sz w:val="20"/>
            <w:u w:val="single"/>
            <w:shd w:val="clear" w:color="auto" w:fill="FFFFFF"/>
            <w:lang w:val="en-US" w:eastAsia="en-US" w:bidi="ar-SA"/>
          </w:rPr>
          <w:t>R.S.B.C. 1996, c. 210, s. 8</w:t>
        </w:r>
      </w:hyperlink>
      <w:r>
        <w:rPr>
          <w:rFonts w:ascii="arial" w:eastAsia="arial" w:hAnsi="arial" w:cs="arial"/>
          <w:color w:val="000000"/>
          <w:sz w:val="20"/>
          <w:lang w:val="en-US" w:eastAsia="en-US" w:bidi="ar-SA"/>
        </w:rPr>
        <w:t>, s. 13, s. 37, s. 37(1)(a), s. 37(2)(a), s. 37(2)(c), s. 37(3)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Quebec Charter, s. 49, s. 80</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28" w:name="Counsel_18"/>
      <w:bookmarkEnd w:id="12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7" style="position:absolute;z-index:2517800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petitioner: L. Greathead, D. Roberts.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respondents Cheryl Hutchinson and Phillip Hutchinson: F. Kelly, J. Doulis.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respondent B.C. Human Rights Tribunal: K. Hardie.</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9" w:name="Judgment_18"/>
      <w:bookmarkEnd w:id="129"/>
      <w:r>
        <w:pict>
          <v:line id="_x0000_s1118" style="position:absolute;z-index:251830272"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October 19, 2005. The correction has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0" w:name="CULLEN J."/>
            <w:bookmarkEnd w:id="130"/>
            <w:r>
              <w:rPr>
                <w:rFonts w:ascii="arial" w:eastAsia="arial" w:hAnsi="arial" w:cs="arial"/>
                <w:b/>
                <w:color w:val="000000"/>
                <w:sz w:val="30"/>
                <w:lang w:val="en-US" w:eastAsia="en-US" w:bidi="ar-SA"/>
              </w:rPr>
              <w:t>CULLEN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fundamental question raised by this judicial review is whether proscriptions contained in sections 8 and 13 of the Human Rights Code, </w:t>
      </w:r>
      <w:r>
        <w:rPr>
          <w:rFonts w:ascii="arial" w:eastAsia="arial" w:hAnsi="arial" w:cs="arial"/>
          <w:i/>
          <w:color w:val="000000"/>
          <w:sz w:val="20"/>
          <w:lang w:val="en-US" w:eastAsia="en-US" w:bidi="ar-SA"/>
        </w:rPr>
        <w:t>R.S.B.C. 1996, c. 210</w:t>
      </w:r>
      <w:r>
        <w:rPr>
          <w:rFonts w:ascii="arial" w:eastAsia="arial" w:hAnsi="arial" w:cs="arial"/>
          <w:color w:val="000000"/>
          <w:sz w:val="20"/>
          <w:lang w:val="en-US" w:eastAsia="en-US" w:bidi="ar-SA"/>
        </w:rPr>
        <w:t xml:space="preserve"> (the "Code") against discrimination based on physical disability and family status justify a finding that the effect of a particular governmental policy limiting the scope of public funding for health services is discriminatory and, in the circumstances, justifies an award of compensation against the government.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petitioner, Her Majesty the Queen in Right of B.C., seeks a judicial review of the decision of a member of the Human Rights Tribunal, rendered June 28, 2004 in connection with the complaints of the respondents, Cheryl Hutchinson and her father Phillip Hutchinson, arising out of Ms. Hutchinson's participation "in a program created in the mid 1990's by the Ministry of Health ("the Ministry") called Choices in Support for Independent Living ("CSIL")." In her decision, the Tribunal Member found the Ministry's adherence to a policy limiting the scope of funding through the CSIL program discriminated against both respondents, and in the result she made certain orders under s. 37 of the Code including, among others, an order that the Ministry cease and desist the discrimination against the respondents, an order that it modify its policy to create exceptions to the scope of public funding and an order to pay compensation to both respondents.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It is the position of the petitioner that the Tribunal Member erred in finding discrimination against the respondents and erred or lacked jurisdiction to make the orders of compensation against the Ministry even if she did not err in finding discrimination. It is the position of the respondents Cheryl and Phillip Hutchinson that the Tribunal Member neither erred in finding discrimination nor in awarding compensation and did not lack jurisdiction to award compensation against the Ministry.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It was the position of the Tribunal, which limited its submission to the question of its jurisdiction, in the circumstances, to award compensation against the Ministry, that it did not lack jurisdiction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Hutchinson is a 35 year old woman with physical disabilities. She was born with cerebral palsy, experiencing significant limitations in her childhood and quadriplegia by the time she was an adult. She is, and at all times material to this review, has been considered by the Ministry to be in the category of those with the most severe physical disabilities. She requires significant personal care including bathing, dressing, toileting, transfers, mobility and meal preparation.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When Ms. Hutchinson was 13 years old, in 1983, her mother left the family home. Since then her father, Mr. Hutchinson, has been her primary caregiver foregoing other forms of employment to be so, leaving social assistance as his only source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Despite her obvious limitations, Ms. Hutchinson has, with the contribution of Mr. Hutchinson's care and support, graduated from both high school and university and has become a composer.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petitioner, through the Ministry, provides continuing care services (formerly known as long term care) to physically disabled British Columbians pursuant to the provisions of the Continuing Care Act, </w:t>
      </w:r>
      <w:r>
        <w:rPr>
          <w:rFonts w:ascii="arial" w:eastAsia="arial" w:hAnsi="arial" w:cs="arial"/>
          <w:i/>
          <w:color w:val="000000"/>
          <w:sz w:val="20"/>
          <w:lang w:val="en-US" w:eastAsia="en-US" w:bidi="ar-SA"/>
        </w:rPr>
        <w:t>R.S.B.C. 1996, c. 70</w:t>
      </w:r>
      <w:r>
        <w:rPr>
          <w:rFonts w:ascii="arial" w:eastAsia="arial" w:hAnsi="arial" w:cs="arial"/>
          <w:color w:val="000000"/>
          <w:sz w:val="20"/>
          <w:lang w:val="en-US" w:eastAsia="en-US" w:bidi="ar-SA"/>
        </w:rPr>
        <w:t xml:space="preserve"> ("the Act") and the continuing care programs regulation, </w:t>
      </w:r>
      <w:hyperlink r:id="rId457" w:history="1">
        <w:r>
          <w:rPr>
            <w:rFonts w:ascii="arial" w:eastAsia="arial" w:hAnsi="arial" w:cs="arial"/>
            <w:i/>
            <w:color w:val="0077CC"/>
            <w:sz w:val="20"/>
            <w:u w:val="single"/>
            <w:shd w:val="clear" w:color="auto" w:fill="FFFFFF"/>
            <w:lang w:val="en-US" w:eastAsia="en-US" w:bidi="ar-SA"/>
          </w:rPr>
          <w:t>B.C. Reg. 146/95</w:t>
        </w:r>
      </w:hyperlink>
      <w:r>
        <w:rPr>
          <w:rFonts w:ascii="arial" w:eastAsia="arial" w:hAnsi="arial" w:cs="arial"/>
          <w:color w:val="000000"/>
          <w:sz w:val="20"/>
          <w:lang w:val="en-US" w:eastAsia="en-US" w:bidi="ar-SA"/>
        </w:rPr>
        <w:t xml:space="preserve"> (the "Regulations"). Under the umbrella of the Act and Regulations, the Ministry provides residential care services; home support services; adult day services; meal programs; case management services; respite services; short stay assessment and treatment centres; home care nursing and community rehabilitation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Since 1997 the Ministry has delegated its continuing care responsibilities under the Act and Regulations to regional health authorities created pursuant to the Health Authorities Act, </w:t>
      </w:r>
      <w:r>
        <w:rPr>
          <w:rFonts w:ascii="arial" w:eastAsia="arial" w:hAnsi="arial" w:cs="arial"/>
          <w:i/>
          <w:color w:val="000000"/>
          <w:sz w:val="20"/>
          <w:lang w:val="en-US" w:eastAsia="en-US" w:bidi="ar-SA"/>
        </w:rPr>
        <w:t>R.S.B.C. 1996, c. 180</w:t>
      </w:r>
      <w:r>
        <w:rPr>
          <w:rFonts w:ascii="arial" w:eastAsia="arial" w:hAnsi="arial" w:cs="arial"/>
          <w:color w:val="000000"/>
          <w:sz w:val="20"/>
          <w:lang w:val="en-US" w:eastAsia="en-US" w:bidi="ar-SA"/>
        </w:rPr>
        <w:t>. The relevant local authority for Ms. Hutchinson's continuing care needs is the Vancouver Richmond Health Board ("VRHB").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CSIL program was developed in the mid 1990's as a method of providing continuing care to selected participants in response to an identified demand. Essentially the CSIL program was designed to give a measure of choice and control to people with severe disabilities over the hiring, training, paying and management of their caregivers. All participants selected for the program were severely disabled, but assessed as having the ability to direct their own care. They are paid directly to be able to hire and pay the caregivers of their choice.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There was evidence before the Tribunal Member that the CSIL had a salutary effect on the well being of its participants.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Because the participants were limited to those with severe disabilities who also possess the ability to administer the responsibilities under the program, there are less than 500 people who have been accepted into CSIL.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Hutchinson applied to participate in the program and, after an assessment, was accepted in 1998. There was evidence before the Tribunal that an underlying precept of the continuing care programs, expressed in policy and otherwise, was to provide assistance to disabled persons to supplement what they could do for themselves or with the help of family, friends or the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policy in question in this case was issued in 1983. It is contained in the Ministry's service provider's handbook: Continuing Care Division Long Term Care Program, in Chapter 8 (Financial Management) Section H (Payment to Families). It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Continuing Care Program does not provide financial remedies to family members to care for relatives either through direct payment to the individual, payment through a homemaker agency, or payment as an approved service provider (e.g. family care home or licensed facility).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That policy is echoed in the agreements which each CSIL participant including Ms. Hutchinson is required to enter into. It states that the "Ministry of Health does not permit the person hired to be a relative of the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rationale underlying the policy is expressed by the case manager's handbook for long term care programs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philosophy of the program emphasized the role of the family and the community by involving the family wherever possible and by providing services under the program only to the extent that the individual and family were unable to cope within their own resources.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handbook also notes: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underlying principle of the program is the belief that individuals are responsible and wish to care for themselves and their families for as long as they are able to do so. The program is therefore supportive in nature and provides service only to the extent that personal and family resources are unable to meet health care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another manual, the Continuing Care Policy Manual, the underlying concept is expressed thus: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Continuing care services are designed to supplement rather than replace the efforts of individuals to care for themselves with the assistance of family and friends. Thus individuals and their families are expected to do as much as they can for a family member without government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CSIL program itself is described in the VRHB case manager's program in the following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most clients will choose to continue with the traditional method of home support, some clients and their caregivers may wish more choice and control in their lives. The CSIL program, using direct funding for the purchase of home support services, offers eligible clients this greater degree of autonomy.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CSIL program was regarded by the Ministry as cost neutral in the sense that it cost no more to fund the participant than if the services of home care support agencies were used to provide the same care. There was evidence that the average amount of funding of participants in CSIL was $4,200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When Ms. Hutchinson was assessed for suitability for CSIL and to determine the level of support she required, it was her plan and expectation to move out of her father's home and to live independently. She was assessed as requiring sufficient funding to hire caregivers for 248 hours per month, which amounted to $6,000 per month. The assessment established that she required the presence of caregivers 24 hours per day, 8 hours of which was to be paid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As it turned out, Ms. Hutchinson was involved in a motor vehicle accident and her condition subsequently deteriorated so that she did not move out from her father's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Hutchinson hired a number of caregivers under the CSIL program, but for one reason or another they were not suitable, or in the case of one caregiver, who was suitable, became unavailable. As a result, Mr. Hutchinson continued to be Ms. Hutchinson's primary caregiver throughout her involvement in the CSIL program. Although she remained entitled to the $6,000 per month to pay for her caregivers, she was unable to use the funds to pay her father for his efforts because of the proscription in the policy and in the CSIL agreement to which she was a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Ms. Hutchinson sought an exemption from the policy so that she could use the CSIL funding to pay her father as her primary caregiver on the footing that she considered him the most appropriate in the circumstances. The Ministry declined her request, and in the result, she and Mr. Hutchinson each filed Human Rights complaints alleging that the Ministry policy prohibiting the hiring of family members is discriminatory.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Hutchinson's and Mr. Hutchinson's complaints came on for hearing before the Tribunal on 18 days between July 3, 2001 and February 28, 2004. As well as the petitioner and respondents, the Deputy Chief Commissioner ("DCC") of the Human Rights Commission was involved in the hearing and supported the position of the respondents (complainants). The office of the DCC was eliminated on March 31, 2003 pursuant to the Human Rights Amendment Act, 2002 S.B.C. 2004, c. 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relevant provisions of the Human Rights Code under which the respondents alleged the petitioner's conduct to be discriminatory are sections 8 and 13. The provision governing remedies is s. 37. Section 8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8(1) A person must not, without a bona fide and reasonable justification,</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deny to a person or class of persons any accommodation, service or facility customarily available to the public, or</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 discriminate against a person or class of</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persons regarding any accommodation, service or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facility customarily available to the public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because of the race, colour, ancestry, place of origin, religion, marital status, family status, physical or mental disability, sex or sexual orientation of that person or class of persons.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does not contravene this section by discriminating</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basis of sex, if the discrimination relates to the maintenance of public decency or to the determination of premiums or benefits under contracts of life or health insurance, or</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basis of physical or mental disability, if the discrimination relates to the determination of premiums or benefits under contracts of life or health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Section 13 reads as follows: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must not</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refuse to employ or refuse to continue to employ a person, or</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discriminate against a person regarding employment or any term or condition of employment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because of the race, colour, ancestry, place of origin, political belief, religion, marital status, family status, physical or mental disability, sex, sexual orientation or age of that person or because that person has been convicted of a criminal or summary conviction offence that is unrelated to the employment or to the intended employment of that person.</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employment agency must not refuse to refer a person for employment for any reason mentioned in subsection (1).</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 (1) does not apply</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it relates to age, to a bona fide scheme based on seniority, or</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it relates to marital status, physical or mental disability, sex or age, to the operation of a bona fide retirement, superannuation or pension plan or to a bona fide group or employee insurance plan.</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Subsections (1) and (2) do not apply with respect to a refusal, limitation, specification or preference based on a bona fide occupational requirement.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Section 37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37(1) If the member or panel designated to hear a complaint determines that the complaint is not justified, the member or panel must dismiss the complaint.</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member or panel determines that the complaint is justified, the member or panel</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order the person that contravened this Code to cease the contravention and to refrain from committing the same or a similar contravention,</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may make a declaratory order that the conduct complained of, or similar conduct, is discrimination contrary to this Code,</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may order the person that contravened this Code to do one or both of the following:</w:t>
      </w:r>
    </w:p>
    <w:p>
      <w:pPr>
        <w:numPr>
          <w:numId w:val="1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take steps, specified in the order, to ameliorate the effects of the discriminatory practice;</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adopt and implement an employment equity program or other special program to ameliorate the conditions of disadvantaged individuals or groups if the evidence at the hearing indicates the person has engaged in a pattern or practice that contravenes this Code, and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person discriminated against is a party to the complaint, or is an identifiable member of a group or class on behalf of which a complaint is filed, may order the person that contravened this Code to do one or more of the following:</w:t>
      </w:r>
    </w:p>
    <w:p>
      <w:pPr>
        <w:numPr>
          <w:numId w:val="1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make available to the person discriminated against the right, opportunity or privilege that, in the opinion of the member or panel, the person was denied contrary to this Code;</w:t>
      </w:r>
    </w:p>
    <w:p>
      <w:pPr>
        <w:numPr>
          <w:numId w:val="1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compensate the person discriminated against for all, or a part the member or panel determines, of any wages or salary lost, or expenses incurred, by the contravention;</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pay to the person discriminated against an amount that the member or panel considers appropriate to compensate that person for injury to dignity, feelings and self respect or to any of them.</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made under subsection (2) may require the person against whom the order is made to provide any person designated in the order with information respecting the implementation of the order.</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member or panel may award costs</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against a party to a complaint who has engaged in improper conduct during the course of the complaint, and</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limiting paragraph (a), against a party who contravenes a rule under section 27.3(2) or an order under section 27.3(3).</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decision or order of a member or panel is a decision or order of the Tribunal for the purposes of this Code.</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member or panel must inform the parties and any intervenor in writing of the decision made under this section and give reasons for the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Tribunal Member identified the issues before her as follows:</w:t>
      </w:r>
      <w:r>
        <w:rPr>
          <w:rFonts w:ascii="arial" w:eastAsia="arial" w:hAnsi="arial" w:cs="arial"/>
          <w:sz w:val="20"/>
          <w:lang w:val="en-US" w:eastAsia="en-US" w:bidi="ar-SA"/>
        </w:rPr>
        <w:cr/>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blanket prohibition against the hiring of family members under CSIL which prohibited Cheryl Hutchinson from hiring her father as her caregiver discriminate against her on the basis of her family status and/or disability contrary to s. 8 of the Code?</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blanket prohibition against the hiring of family members under CSIL which prohibits Phillip Hutchinson from being hired as a caregiver for his daughter discriminate against him on the basis of his family status contrary to s. 13 of the Code?</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prima facie case of discrimination is found, is the blanket prohibition against the hiring of family members justified?</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discrimination is found, what is the appropriate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Tribunal Member noted that under the Code the "initial burden" of proof was on the complainants to establish a prima facie case of discrimination, at which point the onus fell on the respondent Ministry to establish a defence to the prima facie case. The overall burden on the complainants was to establish the case for discrimination on a balance of probabilities.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Before the Tribunal, the parties disagreed on what "the appropriate analysis of a prima facie case" entailed. The complainants and the DCC argued that to meet the initial burden, the complainants need only show adverse treatment based on a prohibited ground of discrimination under the Code relying on Ontario HRC and O'Malley v. Simpson Sears Ltd., </w:t>
      </w:r>
      <w:hyperlink r:id="rId459" w:history="1">
        <w:r>
          <w:rPr>
            <w:rFonts w:ascii="arial" w:eastAsia="arial" w:hAnsi="arial" w:cs="arial"/>
            <w:i/>
            <w:color w:val="0077CC"/>
            <w:sz w:val="20"/>
            <w:u w:val="single"/>
            <w:shd w:val="clear" w:color="auto" w:fill="FFFFFF"/>
            <w:lang w:val="en-US" w:eastAsia="en-US" w:bidi="ar-SA"/>
          </w:rPr>
          <w:t>[1985] 2 S.C.R. 536</w:t>
        </w:r>
      </w:hyperlink>
      <w:r>
        <w:rPr>
          <w:rFonts w:ascii="arial" w:eastAsia="arial" w:hAnsi="arial" w:cs="arial"/>
          <w:color w:val="000000"/>
          <w:sz w:val="20"/>
          <w:lang w:val="en-US" w:eastAsia="en-US" w:bidi="ar-SA"/>
        </w:rPr>
        <w:t xml:space="preserve">. The Ministry argued that the analysis required was that established by jurisprudence flowing from alleged breaches of s. 15 of the Canadian Charter of Rights and Freedoms involving an assessment whether "the different treatment experienced impacted on their dignity" relying on Law v. Canada (Minister of Employment and Immigration), </w:t>
      </w:r>
      <w:hyperlink r:id="rId460" w:history="1">
        <w:r>
          <w:rPr>
            <w:rFonts w:ascii="arial" w:eastAsia="arial" w:hAnsi="arial" w:cs="arial"/>
            <w:i/>
            <w:color w:val="0077CC"/>
            <w:sz w:val="20"/>
            <w:u w:val="single"/>
            <w:shd w:val="clear" w:color="auto" w:fill="FFFFFF"/>
            <w:lang w:val="en-US" w:eastAsia="en-US" w:bidi="ar-SA"/>
          </w:rPr>
          <w:t>[1999] 1 S.C.R. 497</w:t>
        </w:r>
      </w:hyperlink>
      <w:r>
        <w:rPr>
          <w:rFonts w:ascii="arial" w:eastAsia="arial" w:hAnsi="arial" w:cs="arial"/>
          <w:color w:val="000000"/>
          <w:sz w:val="20"/>
          <w:lang w:val="en-US" w:eastAsia="en-US" w:bidi="ar-SA"/>
        </w:rPr>
        <w:t xml:space="preserve"> [Law]; Vancouver Rape Relief Society v. Nixon et al, </w:t>
      </w:r>
      <w:hyperlink r:id="rId461" w:history="1">
        <w:r>
          <w:rPr>
            <w:rFonts w:ascii="arial" w:eastAsia="arial" w:hAnsi="arial" w:cs="arial"/>
            <w:i/>
            <w:color w:val="0077CC"/>
            <w:sz w:val="20"/>
            <w:u w:val="single"/>
            <w:shd w:val="clear" w:color="auto" w:fill="FFFFFF"/>
            <w:lang w:val="en-US" w:eastAsia="en-US" w:bidi="ar-SA"/>
          </w:rPr>
          <w:t>[2003] B.C.J. No. 2899</w:t>
        </w:r>
      </w:hyperlink>
      <w:r>
        <w:rPr>
          <w:rFonts w:ascii="arial" w:eastAsia="arial" w:hAnsi="arial" w:cs="arial"/>
          <w:color w:val="000000"/>
          <w:sz w:val="20"/>
          <w:lang w:val="en-US" w:eastAsia="en-US" w:bidi="ar-SA"/>
        </w:rPr>
        <w:t xml:space="preserve">, </w:t>
      </w:r>
      <w:hyperlink r:id="rId461" w:history="1">
        <w:r>
          <w:rPr>
            <w:rFonts w:ascii="arial" w:eastAsia="arial" w:hAnsi="arial" w:cs="arial"/>
            <w:i/>
            <w:color w:val="0077CC"/>
            <w:sz w:val="20"/>
            <w:u w:val="single"/>
            <w:shd w:val="clear" w:color="auto" w:fill="FFFFFF"/>
            <w:lang w:val="en-US" w:eastAsia="en-US" w:bidi="ar-SA"/>
          </w:rPr>
          <w:t>2003 BCSC 1936</w:t>
        </w:r>
      </w:hyperlink>
      <w:r>
        <w:rPr>
          <w:rFonts w:ascii="arial" w:eastAsia="arial" w:hAnsi="arial" w:cs="arial"/>
          <w:color w:val="000000"/>
          <w:sz w:val="20"/>
          <w:lang w:val="en-US" w:eastAsia="en-US" w:bidi="ar-SA"/>
        </w:rPr>
        <w:t xml:space="preserve"> [Nixon] and British Columbia Ministry and Service Employees Union v. H.M.T.Q., </w:t>
      </w:r>
      <w:hyperlink r:id="rId462" w:history="1">
        <w:r>
          <w:rPr>
            <w:rFonts w:ascii="arial" w:eastAsia="arial" w:hAnsi="arial" w:cs="arial"/>
            <w:i/>
            <w:color w:val="0077CC"/>
            <w:sz w:val="20"/>
            <w:u w:val="single"/>
            <w:shd w:val="clear" w:color="auto" w:fill="FFFFFF"/>
            <w:lang w:val="en-US" w:eastAsia="en-US" w:bidi="ar-SA"/>
          </w:rPr>
          <w:t>[2002] B.C.J. No. 1911</w:t>
        </w:r>
      </w:hyperlink>
      <w:r>
        <w:rPr>
          <w:rFonts w:ascii="arial" w:eastAsia="arial" w:hAnsi="arial" w:cs="arial"/>
          <w:color w:val="000000"/>
          <w:sz w:val="20"/>
          <w:lang w:val="en-US" w:eastAsia="en-US" w:bidi="ar-SA"/>
        </w:rPr>
        <w:t xml:space="preserve">, </w:t>
      </w:r>
      <w:hyperlink r:id="rId462" w:history="1">
        <w:r>
          <w:rPr>
            <w:rFonts w:ascii="arial" w:eastAsia="arial" w:hAnsi="arial" w:cs="arial"/>
            <w:i/>
            <w:color w:val="0077CC"/>
            <w:sz w:val="20"/>
            <w:u w:val="single"/>
            <w:shd w:val="clear" w:color="auto" w:fill="FFFFFF"/>
            <w:lang w:val="en-US" w:eastAsia="en-US" w:bidi="ar-SA"/>
          </w:rPr>
          <w:t>2002 BCCA 476</w:t>
        </w:r>
      </w:hyperlink>
      <w:r>
        <w:rPr>
          <w:rFonts w:ascii="arial" w:eastAsia="arial" w:hAnsi="arial" w:cs="arial"/>
          <w:color w:val="000000"/>
          <w:sz w:val="20"/>
          <w:lang w:val="en-US" w:eastAsia="en-US" w:bidi="ar-SA"/>
        </w:rPr>
        <w:t xml:space="preserve"> [Reaney].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After analyzing the separate lines of authority relied on by the parties, the Tribunal Member concluded that establishing a prima facie case of discrimination under the Code is not affected by the Supreme Court of Canada's decision in Law nor the British Columbia Supreme Court's decision in Nixon.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Her conclusions are set out in paragraphs 87 and 88 of her Reasons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conclude that neither the Supreme Court of Canada's decision in Law, nor the B.C. Supreme Court's decision in Nixon, has altered the elements of a prima facie case which a complainant must establish under the Code. In most human rights cases, it will be evident when adverse treatment constitutes discrimination and it will be unnecessary to engage in a full analysis under the Law framework. That is, once the complainant demonstrates that he or she has been adversely treated based on a prohibited ground of discrimination under the Code, the onus will shift to the Respondent to justify its conduct. Where a purposive approach to the discrimination analysis is taken, a more searching dignity analysis like the one encompassed in the Law analytical framework is not necessary, the dignity impact will be implicit, and a finding of discrimination would only be confirmed by such an analysis. In the rare case, where the discriminatory nature of the impugned conduct is in question, the Tribunal may engage in the analysis set out in Law, utilizing the principles and contextual factors set out therein, in considering the impact on the complainant's dignity.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My conclusion with respect to what constitutes an appropriate prima facie analysis in the human rights context is strengthened by the recent B.C. Court of Appeal decision, Health Sciences Association v. Campbell River and North Island Transition Society, </w:t>
      </w:r>
      <w:hyperlink r:id="rId463" w:history="1">
        <w:r>
          <w:rPr>
            <w:rFonts w:ascii="arial" w:eastAsia="arial" w:hAnsi="arial" w:cs="arial"/>
            <w:i/>
            <w:color w:val="0077CC"/>
            <w:sz w:val="20"/>
            <w:u w:val="single"/>
            <w:shd w:val="clear" w:color="auto" w:fill="FFFFFF"/>
            <w:lang w:val="en-US" w:eastAsia="en-US" w:bidi="ar-SA"/>
          </w:rPr>
          <w:t>[2004] B.C.J. No. 922</w:t>
        </w:r>
      </w:hyperlink>
      <w:r>
        <w:rPr>
          <w:rFonts w:ascii="arial" w:eastAsia="arial" w:hAnsi="arial" w:cs="arial"/>
          <w:color w:val="000000"/>
          <w:sz w:val="20"/>
          <w:lang w:val="en-US" w:eastAsia="en-US" w:bidi="ar-SA"/>
        </w:rPr>
        <w:t xml:space="preserve">, </w:t>
      </w:r>
      <w:hyperlink r:id="rId463" w:history="1">
        <w:r>
          <w:rPr>
            <w:rFonts w:ascii="arial" w:eastAsia="arial" w:hAnsi="arial" w:cs="arial"/>
            <w:i/>
            <w:color w:val="0077CC"/>
            <w:sz w:val="20"/>
            <w:u w:val="single"/>
            <w:shd w:val="clear" w:color="auto" w:fill="FFFFFF"/>
            <w:lang w:val="en-US" w:eastAsia="en-US" w:bidi="ar-SA"/>
          </w:rPr>
          <w:t>2004 BCCA 260</w:t>
        </w:r>
      </w:hyperlink>
      <w:r>
        <w:rPr>
          <w:rFonts w:ascii="arial" w:eastAsia="arial" w:hAnsi="arial" w:cs="arial"/>
          <w:color w:val="000000"/>
          <w:sz w:val="20"/>
          <w:lang w:val="en-US" w:eastAsia="en-US" w:bidi="ar-SA"/>
        </w:rPr>
        <w:t>, which was released on May 10, 2004, in which the Court addressed the issue of family status under the Code and set out the prima facie case analysis with no reference to the Law analytical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Tribunal Member went on to consider whether the policy discriminated against Ms. Hutchinson on the basis of her family status and/or disability contrary to s. 8, noting that she alleged the severity of her disability compounded the discriminatory effect of being unable to hire her father as the caregiver of her choice and the most appropriate simply because he is her father.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her analysis, the Tribunal Member concluded that "CSIL provides health care support services that are customarily available to the public" and that conferring benefits in a discriminatory manner would infringe the Code. The Tribunal Member accepted that it was necessary for Ms. Hutchinson to establish a prima facie case of discrimination to "identify a suitable comparator group in relation to which the treatment she received was adverse".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It was the Ministry's contention that the appropriate comparator group was either all disabled people or all clients of CSIL and in comparison to the former, Ms. Hutchinson is advantaged because of her acceptance into CSIL; and in comparison to the latter, she is treated the same, as they too are unable to hire relatives as caregivers.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It was the petitioner's contention that the appropriate comparator group is either able bodied individuals or CSIL members who can hire the caregiver of their own choice, and that she has adversely treated in relation to each of those groups.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her analysis, the Tribunal Member found the appropriate comparator group to be "CSIL clients who are not restricted by the blanket prohibition either because they do not wish to or need to hire a family member as a caregiver." The Tribunal Member reasoned that as Ms. Hutchinson is at the highest level of care need, her choice of caregiver would likely be more crucial than those requiring "less care and care of a less intimate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turning to the question whether the prohibition against hiring family members had a discriminatory effect on Ms. Hutchinson because of her disability, the Tribunal Member considered the severity of her disability and the degree of care it required to be significant factors. She concluded, given the intimate care required for Ms. Hutchinson a proscription against hiring her father as her choice of caregiver could have an effect on her dignity and privacy greater than on people suffering from less disability. Accordingly, the Tribunal Member found that Ms. Hutchinson established a prima facie case of discrimination based on disability.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On the basis of family status, the Tribunal Member considered the fact that Ms. Hutchinson has only received care from her father since she was 13 years old, made repeated but unsuccessful attempts to find an alternate appropriate care giver and has, accordingly, relied on her father "almost exclusively" for her care although being unable to hire him. In context, the Tribunal Member found Ms. Hutchinson to be left in a "vulnerable and unstable situation" because of the prohibition based on her family status, and accordingly found that she established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discrimination on that ground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relation to Mr. Hutchinson, the Tribunal Member found that the opportunity to be hired under CSIL constitutes employment within the meaning of the Code and the absence of a direct employer/employee relationship did not preclude its application. She went on to find that Mr. Hutchinson's ineligibility for employment as his daughter's caregiver was determined solely on his family status, without regard for his personal attributes and skills and that accordingly, the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discrimination was made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Both in the case of Ms. Hutchinson and Mr. Hutchinson, the Tribunal Member found that the onus shifted to the Ministry to justify its blanket rule against hiring family members under CSIL; to establish it as a "bona fide occupational requirement".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Despite her finding that Law did not alter the test for finding discrimination under the Code, the Tribunal Member went on to consider whether the complainants established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for discrimination in light of the "Law analytical framework" with emphasis on the issue whether in context Ms. Hutchinson and Mr. Hutchinson's dignity was demeaned by the differential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She noted that, relying on Law, the applicable test was a subjective/objective one involving the point of the view of "the reasonable person in circumstances similar to those of the complainant who is informed of and rationally takes into account the various contextual factors relevant to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Tribunal Member noted that in Law, the court contemplated claims both where the discrimination would be obvious and where a more refined analysis was necessary to determine whether distinct treatment constituted discrimination by infringing an individual dignity.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In the case of Ms. Hutchinson, the Tribunal Member, after applying the objective/subjective test established in Law, concluded that Ms. Hutchinson's evidence established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discrimination. Her conclusions are set out in her reasons at paragraph 139 - 141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circumstances of this case, I take notice of Ms. Hutchinson's pre-existing disadvantage. She is severely disabled and a member of a group that has historically experienced disadvantage in society (Eldridge, </w:t>
      </w:r>
      <w:hyperlink r:id="rId464" w:history="1">
        <w:r>
          <w:rPr>
            <w:rFonts w:ascii="arial" w:eastAsia="arial" w:hAnsi="arial" w:cs="arial"/>
            <w:i/>
            <w:color w:val="0077CC"/>
            <w:sz w:val="20"/>
            <w:u w:val="single"/>
            <w:shd w:val="clear" w:color="auto" w:fill="FFFFFF"/>
            <w:lang w:val="en-US" w:eastAsia="en-US" w:bidi="ar-SA"/>
          </w:rPr>
          <w:t>[1997] 3 S.C.R. 624</w:t>
        </w:r>
      </w:hyperlink>
      <w:r>
        <w:rPr>
          <w:rFonts w:ascii="arial" w:eastAsia="arial" w:hAnsi="arial" w:cs="arial"/>
          <w:color w:val="000000"/>
          <w:sz w:val="20"/>
          <w:lang w:val="en-US" w:eastAsia="en-US" w:bidi="ar-SA"/>
        </w:rPr>
        <w:t xml:space="preserve">; Auton, and Eaton, </w:t>
      </w:r>
      <w:hyperlink r:id="rId465" w:history="1">
        <w:r>
          <w:rPr>
            <w:rFonts w:ascii="arial" w:eastAsia="arial" w:hAnsi="arial" w:cs="arial"/>
            <w:i/>
            <w:color w:val="0077CC"/>
            <w:sz w:val="20"/>
            <w:u w:val="single"/>
            <w:shd w:val="clear" w:color="auto" w:fill="FFFFFF"/>
            <w:lang w:val="en-US" w:eastAsia="en-US" w:bidi="ar-SA"/>
          </w:rPr>
          <w:t>[1997] 1 S.C.R. 241</w:t>
        </w:r>
      </w:hyperlink>
      <w:r>
        <w:rPr>
          <w:rFonts w:ascii="arial" w:eastAsia="arial" w:hAnsi="arial" w:cs="arial"/>
          <w:color w:val="000000"/>
          <w:sz w:val="20"/>
          <w:lang w:val="en-US" w:eastAsia="en-US" w:bidi="ar-SA"/>
        </w:rPr>
        <w:t xml:space="preserve"> ). I have found that her choice and autonomy is limited by the Ministry's policy which prohibits her from hiring her father as her caregiver. I have found that this limitation is crucial to Ms. Hutchinson and is not merely an inconsequential preference. I find that the Ministry's policy which provides for a blanket prohibition against the hiring of all family members by a disabled person in Ms. Hutchinson's situation clearly impacts her dignity viewed from the appropriate subjective-objective perspective.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conclusion is strengthened when the other contextual factors outlined in Law are examined. Ms. Hutchinson belongs to a group, the disabled, who have been subject to pre-existing disadvantage, stereotyping and prejudice. Although CSIL has gone some considerable way to afford more choice and autonomy to this group, the blanket prohibition on the hiring of family members does not appear to take into consideration the vulnerability of a subset of this group, being those with the highest care needs. Therefore, although it is the intent of CSIL to have an ameliorative effect for the disabled community, the prohibition fails to take into account the particular needs and circumstances of those like Ms. Hutchinson whose most appropriate caregiver may in fact be a family member. In this case, the nature and scope of the interest affected is one that is paramount to Ms. Hutchinson's physical, emotional, and psychological well being. The blanket prohibition restricts choice and autonomy, without consideration of the individuals' circumstances.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it is clear that the reasonable person in circumstances similar to those of Ms. Hutchinson, who is informed of, and rationally takes into account, the various contextual factors, including that one of the purposes of CSIL is to facilitate greater autonomy and choice for its clients while adhering to the Ministry's philosophy that family members have the primary responsibility to care for one another, and cognisant of the Ministry's concern with costs, would experience a violation of her dignity when the blanket prohibition against the hiring of family members is applied to her without consideration of her particular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Tribunal Member following Mr. Hutchinson's evidence similarly established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discrimination applying the test established in Law despite the fact he was not a member of a group with a pre-existing disadvantage.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Tribunal Member's reasoning leading to that finding is set out in paragraphs 143 - 147 of her decision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clear from the reasoning in B, </w:t>
      </w:r>
      <w:hyperlink r:id="rId466" w:history="1">
        <w:r>
          <w:rPr>
            <w:rFonts w:ascii="arial" w:eastAsia="arial" w:hAnsi="arial" w:cs="arial"/>
            <w:i/>
            <w:color w:val="0077CC"/>
            <w:sz w:val="20"/>
            <w:u w:val="single"/>
            <w:shd w:val="clear" w:color="auto" w:fill="FFFFFF"/>
            <w:lang w:val="en-US" w:eastAsia="en-US" w:bidi="ar-SA"/>
          </w:rPr>
          <w:t>[2002] 3 S.C.R. 403</w:t>
        </w:r>
      </w:hyperlink>
      <w:r>
        <w:rPr>
          <w:rFonts w:ascii="arial" w:eastAsia="arial" w:hAnsi="arial" w:cs="arial"/>
          <w:color w:val="000000"/>
          <w:sz w:val="20"/>
          <w:lang w:val="en-US" w:eastAsia="en-US" w:bidi="ar-SA"/>
        </w:rPr>
        <w:t xml:space="preserve">, that it is sufficient for Mr. Hutchinson to make out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discrimination if he establishes that he was denied an employment opportunity solely on the basis that he is Ms. Hutchinson's father.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the contextual factors set out in Law are examined, in the context of Mr. Hutchinson's case, it only strengthens the conclusion that his dignity has been impacted. There is no evidence before me which suggests that Mr. Hutchinson's family status in relation to Ms. Hutchinson compromises his ability to be an effective caregiver to his daughter. In fact, the reverse is suggested. Although it may be that a significant cost concern would arise if all family members were to be paid for all the services they currently provide for their disabled family members, that is not the issue before me. In Mr. Hutchinson's case, the cost to the Ministry would be the same if Ms. Hutchinson uses the funds she receives from CSIL to pay her father, or if she uses it to pay a non-family member to care for 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case, Mr. Hutchinson is being denied an employment opportunity simply on the basis of this family status. His ability to do the job, and the fact that he has performed the job in question for many years are not even considered. He is being prohibited from being hired by his daughter under CSIL simply because he is her father. Further, when it is considered that the ameliorative purposes of CSIL include the assisting of families to care for each other, and the increase of choice for the disabled, it is clear that the blanket prohibition against the hiring of family members does not further these purposes.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Finally, the nature of the interest affected by this prohibition in Mr. Hutchinson's case is significant. Mr. Hutchinson is being denied an employment opportunity that is of great personal significance to him. It is the one position that he wishes to perform and that he is uniquely qualified for. He was forced to leave the work force many years ago because he is a single parent who had the primary responsibility of looking after his disabled daughter since she was 13 years old. His skills, experience and ability to do the job are never considered. He is excluded by the Ministry's policy from obtaining the position as his daughter's caregiver under CSIL simply because he is a family member.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it is clear that the reasonable person, in circumstances similar to those of Mr. Hutchinson, who is informed of and rationally takes into account the various contextual factors relevant to the complaint, including that the purposes of the CSIL program include the assistance of families to care for each other, and to facilitate greater autonomy and choice for its clients while adhering to the Ministry's philosophy that family members have the primary responsibility to care for one another, and cognisant of the Ministry's concern with costs, would experience a violation of his dignity when the blanket prohibition against the hiring of family members is applied to his situation without consideration of his particular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Before the Tribunal Member, the Ministry argued justification for the discrimination on the basis that:</w:t>
      </w:r>
      <w:r>
        <w:rPr>
          <w:rFonts w:ascii="arial" w:eastAsia="arial" w:hAnsi="arial" w:cs="arial"/>
          <w:sz w:val="20"/>
          <w:lang w:val="en-US" w:eastAsia="en-US" w:bidi="ar-SA"/>
        </w:rPr>
        <w:cr/>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CSIL program and it's underlying policy do not allow for exceptions; and</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 of accommodating persons with the characteristics of the Hutchinsons would amount to undue hardship.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Tribunal Member rejected the justifications advanced by the Ministry finding that the purpose of the policy is "cost containment" and that it would not create undue hardship to tailor exceptions in appropriate cases. The Tribunal Member noted that the Ministry had in fact made exceptions to its policy in certain cases and that other jurisdictions have successfully designed assessments for individual cases allowing for accommodation. The Tribunal Member considered there were options open to the Ministry short of a blanket prohibition which would reasonably allow exceptions and that although the Ministry has made some exceptions, it has made no attempt to "formalize criteria for such exceptions". She found that the Ministry could tailor a rule on a case by case basis for allowing exceptions.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Insofar as costs were concerned, the Tribunal Member did not find on the evidence before her that the Ministry would incur costs resulting in undue hardship by accommodating individuals such as the Hutchinsons.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Accordingly, the Tribunal Member found that Ms. Hutchinson and Mr. Hutchinson each made out their case of discrimination to the extent required to justify a 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REMEDY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Cheryl Hutchinson sought a remedy incorporating two orders:</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the Ministry's policy expressly allow for exceptions on a case-by-case basis; and</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award of $10,000 for injury to her dignity, feelings and self-respect.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Phillip Hutchinson sought a remedy incorporating four orders:</w:t>
      </w:r>
      <w:r>
        <w:rPr>
          <w:rFonts w:ascii="arial" w:eastAsia="arial" w:hAnsi="arial" w:cs="arial"/>
          <w:sz w:val="20"/>
          <w:lang w:val="en-US" w:eastAsia="en-US" w:bidi="ar-SA"/>
        </w:rPr>
        <w:cr/>
      </w:r>
    </w:p>
    <w:p>
      <w:pPr>
        <w:numPr>
          <w:numId w:val="2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wage loss award of $167,864;</w:t>
      </w:r>
    </w:p>
    <w:p>
      <w:pPr>
        <w:numPr>
          <w:numId w:val="2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award of $6,000 for injury to his dignity, feelings and self respect;</w:t>
      </w:r>
    </w:p>
    <w:p>
      <w:pPr>
        <w:numPr>
          <w:numId w:val="2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that the Ministry's policy expressly allow for exceptions on a case-by-case basis; and</w:t>
      </w:r>
    </w:p>
    <w:p>
      <w:pPr>
        <w:numPr>
          <w:numId w:val="2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remedy claimed by the DCC.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DCC sought a remedy incorporating five orders:</w:t>
      </w:r>
      <w:r>
        <w:rPr>
          <w:rFonts w:ascii="arial" w:eastAsia="arial" w:hAnsi="arial" w:cs="arial"/>
          <w:sz w:val="20"/>
          <w:lang w:val="en-US" w:eastAsia="en-US" w:bidi="ar-SA"/>
        </w:rPr>
        <w:cr/>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cease and desist order under s. 37(1)(a) of the Code;</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remedy requested by the Complainants, including an order that the Ministry's policy expressly allow for exceptions on a case-by-case basis;</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long term, an order that:</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Within three months of the issuance of the Tribunal's decision, the Ministry, in consultation with the DCC, revise its policy to make provision for care to be provided by relatives;</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revising the policy, the Ministry will have regard to any operational and implementation concerns raised by regional and local health service providers and shall ensure that funds and training necessary to implement the new policy are available to those service providers; and</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Within six months of the issuance of the Tribunal's decision, the Ministry will implement the policy and ensure that all necessary training and funding to regional and local health service providers has been put in place.</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Pursuant to s. 37(3), the Tribunal require the Ministry to provide, on or before the end of the fourth month following the Order of the Tribunal, and at three month intervals thereafter, a report summarizing the steps that the Ministry has taken in order to comply with the Tribunal's Order, until such time as the discrimination identified in the Tribunal's decision has been eliminated; and</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Tribunal retain jurisdiction to hear argument and, if necessary, evidence on the issue of remedy in the event that no agreement has been reached by a date four months from the date of the decision. Further, if agreement is not reached, either the DCC or the Ministry be at liberty to apply to the Tribunal, or on before that date, to seek an appropriate order under s. 37(2)(c).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Ministry took the position before the Tribunal Member that the Tribunal's jurisdiction to grant the remedy sought was limited. The Ministry relied on the general proposition that the role of tribunals and courts is limited in relation to the role of government. The Ministry argued that the Tribunal did not have "free reign to set standards in health policy, nor to decide which policies might be the most desirable in ameliorating the condition of those with disabilities, as the Tribunal does not have the particular expertise in health policy." The position of the Ministry was, in effect, that in dealing with remedies, the Tribunal should leave it to government to choose between various policy options to rectify the effect of any policy found to be discriminatory in relation to the Hutchinsons.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her decision, the Tribunal Member concluded that it was not the role of the Tribunal to establish public policy and accordingly, after ordering the Ministry to refrain from discriminating against the petitioners under s.37(2)(a), she ordered under s. 37(2)(c) that the Ministry "allow for exceptions to its policy 8.H as it applies to CSIL and to develop a set of criteria within nine months of the date of the decision to allow for the hire of family members on a case-by-case basis under CSIL. Such criteria must be made known to the users and potential users of CSIL."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Tribunal Member further ordered that the Ministry "allow Mr. Hutchinson the opportunity to be hired as his daughter's caregiver as of the date of (the) decision ... and ... (when) the Ministry develops criteria in relation to exceptions to policy 8.H as it applies to CSIL, and those criteria (become) generally applicable, those criteria may be applied at that time to the continued employment of Mr. Hutchinson under CSIL."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Before the Tribunal, the Ministry also took the position that the Tribunal had no jurisdiction to award monetary compensation for what was characterized as past wage loss for Mr. Hutchinson. Following submissions, counsel for the Ministry provided a copy of Quebec (Commission des droits de la personne et des droits de la jeunesse) v. Communaute urbaine de Montreal, </w:t>
      </w:r>
      <w:hyperlink r:id="rId467" w:history="1">
        <w:r>
          <w:rPr>
            <w:rFonts w:ascii="arial" w:eastAsia="arial" w:hAnsi="arial" w:cs="arial"/>
            <w:i/>
            <w:color w:val="0077CC"/>
            <w:sz w:val="20"/>
            <w:u w:val="single"/>
            <w:shd w:val="clear" w:color="auto" w:fill="FFFFFF"/>
            <w:lang w:val="en-US" w:eastAsia="en-US" w:bidi="ar-SA"/>
          </w:rPr>
          <w:t>[2004] 1 S.C.R. 789</w:t>
        </w:r>
      </w:hyperlink>
      <w:r>
        <w:rPr>
          <w:rFonts w:ascii="arial" w:eastAsia="arial" w:hAnsi="arial" w:cs="arial"/>
          <w:color w:val="000000"/>
          <w:sz w:val="20"/>
          <w:lang w:val="en-US" w:eastAsia="en-US" w:bidi="ar-SA"/>
        </w:rPr>
        <w:t xml:space="preserve">, </w:t>
      </w:r>
      <w:hyperlink r:id="rId467" w:history="1">
        <w:r>
          <w:rPr>
            <w:rFonts w:ascii="arial" w:eastAsia="arial" w:hAnsi="arial" w:cs="arial"/>
            <w:i/>
            <w:color w:val="0077CC"/>
            <w:sz w:val="20"/>
            <w:u w:val="single"/>
            <w:shd w:val="clear" w:color="auto" w:fill="FFFFFF"/>
            <w:lang w:val="en-US" w:eastAsia="en-US" w:bidi="ar-SA"/>
          </w:rPr>
          <w:t>2004 SCC 30</w:t>
        </w:r>
      </w:hyperlink>
      <w:r>
        <w:rPr>
          <w:rFonts w:ascii="arial" w:eastAsia="arial" w:hAnsi="arial" w:cs="arial"/>
          <w:color w:val="000000"/>
          <w:sz w:val="20"/>
          <w:lang w:val="en-US" w:eastAsia="en-US" w:bidi="ar-SA"/>
        </w:rPr>
        <w:t xml:space="preserve"> [Communaute urbaine de Montreal] in support of its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Tribunal Member found the Communaute urbaine de Montreal decision to be "fact specific" and "restricted to the Human Rights process that exists in Quebec." In particular, the Tribunal Member distinguished that decision on the basis that, firstly, it involved the striking down of legislation as constitutionally invalid. The Tribunal Member referred to the court's statement in Communaute urbaine de Montreal at paragraph 19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According to a general rule of public law, absent conduct that is clearly wrong, in bad faith, or an abuse of power, the courts will not award damages for the harm suffered as a result of the mere enactment or application of a law that is subsequently declared to be unconstitutional.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Secondly, the Tribunal Member distinguished Communaute urbaine de Montreal on the basis that in Quebec a determination of "the appropriate remedy pursuant to the Quebec Charter involved an examination of the interplay between the Quebec civil law, common law, and public law principles", not applicable under the Code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Thirdly, the Tribunal Member noted that in British Columbia the Code provides the only redress for human rights complaints and it "contains a clear remedial provision which does not make a distinction between government and non-government respondents" and indeed in the past "the Tribunal has awarded damages for monetary compensation and in respect of injury to dignity against government respondents in many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 Tribunal Member referenced with agreement, a decision of the Tribunal in Bolster v. B.C. (Minister of Public Safety and Solicitor General) </w:t>
      </w:r>
      <w:hyperlink r:id="rId468" w:history="1">
        <w:r>
          <w:rPr>
            <w:rFonts w:ascii="arial" w:eastAsia="arial" w:hAnsi="arial" w:cs="arial"/>
            <w:i/>
            <w:color w:val="0077CC"/>
            <w:sz w:val="20"/>
            <w:u w:val="single"/>
            <w:shd w:val="clear" w:color="auto" w:fill="FFFFFF"/>
            <w:lang w:val="en-US" w:eastAsia="en-US" w:bidi="ar-SA"/>
          </w:rPr>
          <w:t>[2004] B.C.H.R.T.D. No. 32</w:t>
        </w:r>
      </w:hyperlink>
      <w:r>
        <w:rPr>
          <w:rFonts w:ascii="arial" w:eastAsia="arial" w:hAnsi="arial" w:cs="arial"/>
          <w:color w:val="000000"/>
          <w:sz w:val="20"/>
          <w:lang w:val="en-US" w:eastAsia="en-US" w:bidi="ar-SA"/>
        </w:rPr>
        <w:t xml:space="preserve"> in which it was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would require clear language in the statute to support the conclusion that the Tribunal was prohibited from awarding monetary damages against government respondents.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She noted that there was no such language in the Code. In the result, the Tribunal Member awarded $8,500 to Ms. Hutchinson to compensate her for injury to her dignity, feelings and self-respect; $4,000 to Mr. Hutchinson for injury to his dignity, feelings and self respect; $105,840 to Mr. Hutchinson to compensate him for his lost wages and interest at the prime rate as set out in the Court Order Interest Act on that $105,840.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Tribunal Member's reasoning in awarding Mr. Hutchinson $105,840 as compensation for lost wages was set out in paragraphs 260 - 265 of her decision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Hutchinson is seeking approximately $167,864 in lost wages as compensation for the moneys he would have been paid if he were allowed to be hired as his daughter's caregiver under CSIL from May 1998 to June 30, 2001.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Hutchinson was prohibited by the Ministry's policy from being hired as his daughter's caregiver under CSIL, but he did provide her with the care necessary during the relevant period. The CSIL funds received by Ms. Hutchinson for this period were returned, except for a few hours of respite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complainant in a human rights complaint has the duty to mitigate his losses. The evidence presented by Mr. Hutchinson is, in effect, that he could not seek outside employment as his daughter required his full-time attention. Accordingly, he did not seek other employment but survived on social assistance. It is also noteworthy that at the time of the hearing Mr. Hutchinson was 71 years old with some history of back problems. From 1998 to 2001, the period during which he is required to mitigate the loss claimed, he would have been over 65 years old and suffering from some medical problems. These factors, although not attributable to the Ministry's policy, would have limited Mr. Hutchinson's ability to mitigate the losses being claimed. Given his situation, it is likely, had he engaged in a job search during the relevant period that he would not have been successful. I am satisfied that it was reasonable for Mr. Hutchinson, in the circumstances, not to pursue outside work during the relevant period.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are other factors which may reduce the losses which Mr. Hutchinson can be awarded. First, as he was never actually employed as his daughter's caregiver, he did not lose his employment but lost the opportunity to be employed in this capacity. In cases where there has been a lost opportunity as opposed to actual lost employment, the Tribunal has examined the circumstances of each case to determine what, if any, discount should be afforded in the situation: Hussey, </w:t>
      </w:r>
      <w:hyperlink r:id="rId469" w:history="1">
        <w:r>
          <w:rPr>
            <w:rFonts w:ascii="arial" w:eastAsia="arial" w:hAnsi="arial" w:cs="arial"/>
            <w:i/>
            <w:color w:val="0077CC"/>
            <w:sz w:val="20"/>
            <w:u w:val="single"/>
            <w:shd w:val="clear" w:color="auto" w:fill="FFFFFF"/>
            <w:lang w:val="en-US" w:eastAsia="en-US" w:bidi="ar-SA"/>
          </w:rPr>
          <w:t>[2003] B.C.H.R.T.D. No. 73</w:t>
        </w:r>
      </w:hyperlink>
      <w:r>
        <w:rPr>
          <w:rFonts w:ascii="arial" w:eastAsia="arial" w:hAnsi="arial" w:cs="arial"/>
          <w:color w:val="000000"/>
          <w:sz w:val="20"/>
          <w:lang w:val="en-US" w:eastAsia="en-US" w:bidi="ar-SA"/>
        </w:rPr>
        <w:t>, and Bolster. In the case of the Hutchinsons, the evidence supports that but for the Ministry's blanket policy, Ms. Hutchinson would have hired her father. Further, Mr. Hutchinson was in fact his daughter's primary, and often, sole caregiver, for the period for which he is claiming compensation. Accordingly, I find that there should be a relatively small discount in these circumstances as there was little chance that Mr. Hutchinson would not have been hired as his daughter's caregiver under CSIL, but for the Ministry's policy.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Second, if Mr. Hutchinson were hired under CSIL as his daughter's caregiver, I must consider what portion of the care he provided to her would be compensated. That is, what portion of care would it be reasonable for him to provide without compensation in these circumstances. It is unlikely that he would have been paid for all the care he provided, as care that can reasonably be provided by a family member is taken into consideration during the assessment phase. Accordingly, Mr. Hutchinson would be required to provide some amount of care to his daughter free of charge. Although it would be unreasonable for Mr. Hutchinson to be expected to provide 24 hour care to his daughter for free, it would be equally unreasonable for him to expect to be paid for all the care he provided.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all the circumstances, I find that Mr. Hutchinson is entitled to be compensated for part of the wages he lost as a result of the lost opportunity to be hired as his daughter's caregiver under CSIL. I find that $105,840 is an appropriate award for lost wages in this case. I arrived at this award after the following calculation. From the approximately $168,000 claimed, I have discounted the amount claimed by 10% to reflect the fact that this was in fact a lost opportunity, not the loss of an actual position, and, a further 30% for the care that he would have provided for free.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petitioner's position on this application for review was that the Tribunal Member erred in finding discrimination, and, in the alternative, erred or acted without jurisdiction in granting the remedy for monetary compensation or in the further alternative erred in determining the amount. The petitioner did not take any issue with the Tribunal's determination that no justification was established for the discrimination, but limited its attack to the finding of prima facie discrimination.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A preliminary issue joined by the parties was what standard of review governs my consideration of this petition. The petitioner contended that the Administrative Tribunals Act, </w:t>
      </w:r>
      <w:r>
        <w:rPr>
          <w:rFonts w:ascii="arial" w:eastAsia="arial" w:hAnsi="arial" w:cs="arial"/>
          <w:i/>
          <w:color w:val="000000"/>
          <w:sz w:val="20"/>
          <w:lang w:val="en-US" w:eastAsia="en-US" w:bidi="ar-SA"/>
        </w:rPr>
        <w:t>S.B.C. 2004, c. 45</w:t>
      </w:r>
      <w:r>
        <w:rPr>
          <w:rFonts w:ascii="arial" w:eastAsia="arial" w:hAnsi="arial" w:cs="arial"/>
          <w:color w:val="000000"/>
          <w:sz w:val="20"/>
          <w:lang w:val="en-US" w:eastAsia="en-US" w:bidi="ar-SA"/>
        </w:rPr>
        <w:t xml:space="preserve"> ("ATA") which came into force on October 15, 2004 applies. It was the petitioner's position that s. 59 of the Act applied with respect to decisions of the Tribunal. Section 59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59(1) In a judicial review proceeding, the standard of review to be applied to a decision of the tribunal is correctness for all questions except those respecting the exercise of discretion, findings of fact and the application of the common law rules of natural justice and procedural fairness.</w:t>
      </w:r>
    </w:p>
    <w:p>
      <w:pPr>
        <w:numPr>
          <w:numId w:val="2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court must not set aside a finding of fact by the tribunal unless there is no evidence to support it or if, in light of all the evidence, the finding is otherwise unreasonable.</w:t>
      </w:r>
    </w:p>
    <w:p>
      <w:pPr>
        <w:numPr>
          <w:numId w:val="2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court must not set aside a discretionary decision of the tribunal unless it is patently unreasonable.</w:t>
      </w:r>
    </w:p>
    <w:p>
      <w:pPr>
        <w:numPr>
          <w:numId w:val="2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subsection (3), a discretionary decision is patently unreasonable if the discretion</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exercised arbitrarily or in bad faith,</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exercised for an improper purpose,</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based entirely or predominantly on irrelevant factors, or</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fails to take statutory requirements into account.</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Questions about the application of common law rules of natural justice and procedural fairness must be decided having regard to whether, in all of the circumstances, the tribunal acted fairly.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It is the petitioner's submission that as to the principle questions on this review:</w:t>
      </w:r>
      <w:r>
        <w:rPr>
          <w:rFonts w:ascii="arial" w:eastAsia="arial" w:hAnsi="arial" w:cs="arial"/>
          <w:sz w:val="20"/>
          <w:lang w:val="en-US" w:eastAsia="en-US" w:bidi="ar-SA"/>
        </w:rPr>
        <w:cr/>
      </w:r>
    </w:p>
    <w:p>
      <w:pPr>
        <w:numPr>
          <w:numId w:val="3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Tribunal member erred in law in finding discrimination; and</w:t>
      </w:r>
    </w:p>
    <w:p>
      <w:pPr>
        <w:numPr>
          <w:numId w:val="3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Tribunal member erred in law or exceeded her jurisdiction in not finding the principles of Crown immunity prevented her from ordering a compensatory award against government where issues of law or at most some sub-issues of mixed law and fact and therefore the standard to be applied is correctness.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its argument, counsel for the Tribunal argued that s. 59 of the ATA does not apply to all Tribunal decisions rendered before October 15,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It was the Tribunal's position that s. 59 "may be applied to such decisions to the extent that it merely reflects the common law standard of review when the decision was made and the right to judicial review arose", but that otherwise the common law applied. In the Tribunal's submission, questions of law involving a correctness standard of review are the same at common law or under the ATA as are questions of fact involving a standard review of patent unreasonableness, but that questions of mixed law and fact may be different as at common law the standard of reasonableness simpliciter applies whereas under the ATA no mention is made of reasonableness simpliciter. The Tribunal submits that in the present case, reasonableness simpliciter applies and should in any event be applicable under the ATA to questions of mixed law and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Counsel for the Hutchinsons supported the position of the Tribunal with respect to the application of the ATA and the applicable standards of review but submitted in the alternative regardless of the standard of review the petitioner's application for judicial review should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For the purposes of these reasons, I accept that the ATA applies to the decision of the Tribunal and that for questions of law and mixed law and fact, a standard of correctness applies while for a question of fact the standard is one of patent unreasonableness. See St. James Community Service Society v. Brent E. Johnston and the British Columbia Rights Tribunal December 2, 2004 (unreported) Van. Reg. L042142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specific substantive issues for resolution raised by this petition are set out in the written argument of the Tribunal thus:</w:t>
      </w:r>
      <w:r>
        <w:rPr>
          <w:rFonts w:ascii="arial" w:eastAsia="arial" w:hAnsi="arial" w:cs="arial"/>
          <w:sz w:val="20"/>
          <w:lang w:val="en-US" w:eastAsia="en-US" w:bidi="ar-SA"/>
        </w:rPr>
        <w:cr/>
      </w:r>
    </w:p>
    <w:p>
      <w:pPr>
        <w:numPr>
          <w:numId w:val="3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Tribunal err in finding discrimination?</w:t>
      </w:r>
    </w:p>
    <w:p>
      <w:pPr>
        <w:numPr>
          <w:numId w:val="3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Tribunal err in its characterization and application of the service customarily available to the public?</w:t>
      </w:r>
    </w:p>
    <w:p>
      <w:pPr>
        <w:numPr>
          <w:numId w:val="3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Tribunal err in its selection of the appropriate comparator group?</w:t>
      </w:r>
    </w:p>
    <w:p>
      <w:pPr>
        <w:numPr>
          <w:numId w:val="3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Tribunal err in not directly applying the Law analysis?</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Tribunal err in its application of the Law analysis?</w:t>
      </w:r>
    </w:p>
    <w:p>
      <w:pPr>
        <w:numPr>
          <w:numId w:val="4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Tribunal err in ordering a compensatory award against the Government in the circumstances?</w:t>
      </w:r>
    </w:p>
    <w:p>
      <w:pPr>
        <w:numPr>
          <w:numId w:val="4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Tribunal make a patently unreasonable finding when it determined that there was little chance that Mr. Hutchinson would not have been hired as his daughter's caregiver under CSIL but for the Ministry's policy?</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Tribunal err when it determined that it has jurisdiction to order monetary compensation against the government?</w:t>
      </w:r>
    </w:p>
    <w:p>
      <w:pPr>
        <w:numPr>
          <w:numId w:val="4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Tribunal did have the jurisdiction to make a monetary remedy against the Government, did it err in determining the amount?</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Tribunal member err in her characterization and application of the service customarily available to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petitioner contends that the Tribunal Member fell into error by not properly applying public law principles in characterizing the nature of the service customarily available to the public in s. 8 of the Code and employment in s.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 petitioner rests its submissions in this regard on the principles established by the Supreme Court of Canada in Auton (Guardian ad litem of) et al v. British Columbia (Attorney General), </w:t>
      </w:r>
      <w:hyperlink r:id="rId470" w:history="1">
        <w:r>
          <w:rPr>
            <w:rFonts w:ascii="arial" w:eastAsia="arial" w:hAnsi="arial" w:cs="arial"/>
            <w:i/>
            <w:color w:val="0077CC"/>
            <w:sz w:val="20"/>
            <w:u w:val="single"/>
            <w:shd w:val="clear" w:color="auto" w:fill="FFFFFF"/>
            <w:lang w:val="en-US" w:eastAsia="en-US" w:bidi="ar-SA"/>
          </w:rPr>
          <w:t>[2004] 3 S.C.R. 657</w:t>
        </w:r>
      </w:hyperlink>
      <w:r>
        <w:rPr>
          <w:rFonts w:ascii="arial" w:eastAsia="arial" w:hAnsi="arial" w:cs="arial"/>
          <w:color w:val="000000"/>
          <w:sz w:val="20"/>
          <w:lang w:val="en-US" w:eastAsia="en-US" w:bidi="ar-SA"/>
        </w:rPr>
        <w:t xml:space="preserve">, </w:t>
      </w:r>
      <w:hyperlink r:id="rId470" w:history="1">
        <w:r>
          <w:rPr>
            <w:rFonts w:ascii="arial" w:eastAsia="arial" w:hAnsi="arial" w:cs="arial"/>
            <w:i/>
            <w:color w:val="0077CC"/>
            <w:sz w:val="20"/>
            <w:u w:val="single"/>
            <w:shd w:val="clear" w:color="auto" w:fill="FFFFFF"/>
            <w:lang w:val="en-US" w:eastAsia="en-US" w:bidi="ar-SA"/>
          </w:rPr>
          <w:t>2004 SCC 78</w:t>
        </w:r>
      </w:hyperlink>
      <w:r>
        <w:rPr>
          <w:rFonts w:ascii="arial" w:eastAsia="arial" w:hAnsi="arial" w:cs="arial"/>
          <w:color w:val="000000"/>
          <w:sz w:val="20"/>
          <w:lang w:val="en-US" w:eastAsia="en-US" w:bidi="ar-SA"/>
        </w:rPr>
        <w:t xml:space="preserve"> [Auton]. The petitioner submits that there is an analogy to be drawn between the reasoning in Auton: that services not prescribed by law cannot be made the subject of a finding of discrimination; and, the reasoning that should prevail in the present case: that the service that is actually provided under CSIL (i.e. services to supplement existing care provided by family members) is the context in which the complaint of discrimination must be judged. The petitioner submits that to base a finding of discrimination on services not provided under CSIL is tantamount to dictating the types of health care programs that the Ministry should provide and infringes the reasoning in Auton.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It is the Hutchinson's contention in response that the petitioner's reasoning is tautological; that it attempts to shield the impugned policy from scrutiny by using the limits it imposes on the service provided through the CSIL program as the definition of the service itself. Hence the service, however limited by policy, could never be subject to analysis for discrimination, because it could only be assessed by reference to those whom it does accommodate and not by reference to those it does not. The respondents rely on Hodge v. Canada (Minister of Human Resources and Development), </w:t>
      </w:r>
      <w:hyperlink r:id="rId471" w:history="1">
        <w:r>
          <w:rPr>
            <w:rFonts w:ascii="arial" w:eastAsia="arial" w:hAnsi="arial" w:cs="arial"/>
            <w:i/>
            <w:color w:val="0077CC"/>
            <w:sz w:val="20"/>
            <w:u w:val="single"/>
            <w:shd w:val="clear" w:color="auto" w:fill="FFFFFF"/>
            <w:lang w:val="en-US" w:eastAsia="en-US" w:bidi="ar-SA"/>
          </w:rPr>
          <w:t>[2004] 3 S.C.R. 357</w:t>
        </w:r>
      </w:hyperlink>
      <w:r>
        <w:rPr>
          <w:rFonts w:ascii="arial" w:eastAsia="arial" w:hAnsi="arial" w:cs="arial"/>
          <w:color w:val="000000"/>
          <w:sz w:val="20"/>
          <w:lang w:val="en-US" w:eastAsia="en-US" w:bidi="ar-SA"/>
        </w:rPr>
        <w:t xml:space="preserve">, </w:t>
      </w:r>
      <w:hyperlink r:id="rId471" w:history="1">
        <w:r>
          <w:rPr>
            <w:rFonts w:ascii="arial" w:eastAsia="arial" w:hAnsi="arial" w:cs="arial"/>
            <w:i/>
            <w:color w:val="0077CC"/>
            <w:sz w:val="20"/>
            <w:u w:val="single"/>
            <w:shd w:val="clear" w:color="auto" w:fill="FFFFFF"/>
            <w:lang w:val="en-US" w:eastAsia="en-US" w:bidi="ar-SA"/>
          </w:rPr>
          <w:t>2004 SCC 65</w:t>
        </w:r>
      </w:hyperlink>
      <w:r>
        <w:rPr>
          <w:rFonts w:ascii="arial" w:eastAsia="arial" w:hAnsi="arial" w:cs="arial"/>
          <w:color w:val="000000"/>
          <w:sz w:val="20"/>
          <w:lang w:val="en-US" w:eastAsia="en-US" w:bidi="ar-SA"/>
        </w:rPr>
        <w:t xml:space="preserve"> in support of its position where the court says at para. 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either case, the universe of people potentially entitled to equal treatment in relation to the subject matter of the claim must be identified. I use the phrase "potentially entitled" because the legislative definition, being the subject matter of the equality rights challenged, is not the last word. Otherwise a survivor's pension restricted to white protestant males could be defended on the grounds that all surviving white protestant males were being treated equally. The objective of s. 15(1) is not just formal equality but substantive equality.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the present case, of course, at issue is not a legislative definition limiting the scope of the service provided under CSIL; rather it is a policy by which the petitioner seeks to justify the limitation on access it imposes.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respondents submit that "the legal consideration of what constitutes the public service must be shared liberally and ... further the purpose of the Code. Moreover, the eligibility criteria which define access to the service must be subject to scrutiny under the Code for discriminatory content."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The respondents rely on University of British Columba v. Berg, </w:t>
      </w:r>
      <w:hyperlink r:id="rId472" w:history="1">
        <w:r>
          <w:rPr>
            <w:rFonts w:ascii="arial" w:eastAsia="arial" w:hAnsi="arial" w:cs="arial"/>
            <w:i/>
            <w:color w:val="0077CC"/>
            <w:sz w:val="20"/>
            <w:u w:val="single"/>
            <w:shd w:val="clear" w:color="auto" w:fill="FFFFFF"/>
            <w:lang w:val="en-US" w:eastAsia="en-US" w:bidi="ar-SA"/>
          </w:rPr>
          <w:t>[1993] 2 S.C.R. 353</w:t>
        </w:r>
      </w:hyperlink>
      <w:r>
        <w:rPr>
          <w:rFonts w:ascii="arial" w:eastAsia="arial" w:hAnsi="arial" w:cs="arial"/>
          <w:color w:val="000000"/>
          <w:sz w:val="20"/>
          <w:lang w:val="en-US" w:eastAsia="en-US" w:bidi="ar-SA"/>
        </w:rPr>
        <w:t xml:space="preserve"> at p. 11 and p. 16 in support of their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respondents submit Auton is distinguishable in that what was at issue in that case was a legislative scheme (the health care system) which did not offer a particular benefit (an emerging form of therapy for autistic children) leading to a claim under s. 15(1) of the Charter that the parents were denied equal benefit of the law in relation to treatment service for their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the present case it was not the provision of a benefit (the choice of caregiver) that was at issue, but rather whether, and on what basis, the policy limiting it to non-family members failed to account for underlying differences between individuals it applied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As I see it, Auton was a case in which the court was asked to interpret the provisions of s. 15(1) of the Charter in a way that compelled government to provide a service not otherwise available. The court rejected this interpretation of s. 15(1) noting that its role was "to ensure that when governments choose to enact benefits or burdens, they do so on a non-discriminatory basis." In the present case, the question raised before the Tribunal was whether the petitioners (respondents at bar) were seeking non-discriminatory application of an existing benefit or service or, as in Auton, the creation of a benefit not otherwise provided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my opinion, on that point, the present case is distinguishable from Auton. Here, what is being sought is a determination whether a program explicitly funded to provide qualified disabled individuals with the freedom to hire and direct their own caregivers can be said to be discriminatory by excluding all family members from the potential hiring pool. Thus what is at issue is whether the limitation of the means by which the service and the employment contemplated in sections 8 and 13 respectively may be accessed creates a discriminatory effect by failing to account for underlying differences between individuals affected. To suggest the limitation on access to the service and employment said to be discriminatory provides the definition of the service and employment available so as to prevent any scrutiny for discrimination or discriminatory effect is a mischaracterization of the reasoning on that point in Auton.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Auton, the critical finding by the court was that the particular therapy for autism for which funding was sought was not a benefit provided by law because it was a non-core service left to the provincial government's discretion and not mandated by the Canada Health Act, R.S.C. 1985, C-6. The court noted that if the provincial government had exercised its discretion in favour of providing the therapy (service), it would have to be conferred in a non-discriminatory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means by which the benefit or service is provided or accessed is distinct from the service which is being provided. In the case at bar, the service and employment provided for is funding for particular disabled individuals to enhance their quality of care by being able to hire and direct their own caregivers. That is the nature of the service and corresponding employment provided. The proscription against hiring family members does not limit the nature of the service. It limits the means by which it is conferred.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This is not a case, as Auton was, where the complaint concerned a benefit the government declined to confer. Rather, it is a case where a service was made "customarily available to the public" within the meaning of s. 8 of the Code, and corresponding employment as contemplated in s. 13 was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The issue, therefore, is not whether the service under s. 8 or the employment under s. 13 should be conferred at all; it is, </w:t>
      </w:r>
      <w:r>
        <w:rPr>
          <w:rFonts w:ascii="arial" w:eastAsia="arial" w:hAnsi="arial" w:cs="arial"/>
          <w:i/>
          <w:color w:val="000000"/>
          <w:sz w:val="20"/>
          <w:lang w:val="en-US" w:eastAsia="en-US" w:bidi="ar-SA"/>
        </w:rPr>
        <w:t>given it is conferred</w:t>
      </w:r>
      <w:r>
        <w:rPr>
          <w:rFonts w:ascii="arial" w:eastAsia="arial" w:hAnsi="arial" w:cs="arial"/>
          <w:color w:val="000000"/>
          <w:sz w:val="20"/>
          <w:lang w:val="en-US" w:eastAsia="en-US" w:bidi="ar-SA"/>
        </w:rPr>
        <w:t>, does the policy at issue restrict it in a way that is discriminatory or has a discriminatory effect? It follows that I conclude that the Tribunal member did not err in her characterization and application of the service customarily available to the public.</w:t>
      </w:r>
      <w:r>
        <w:rPr>
          <w:rFonts w:ascii="arial" w:eastAsia="arial" w:hAnsi="arial" w:cs="arial"/>
          <w:sz w:val="20"/>
          <w:lang w:val="en-US" w:eastAsia="en-US" w:bidi="ar-SA"/>
        </w:rPr>
        <w:cr/>
      </w:r>
    </w:p>
    <w:p>
      <w:pPr>
        <w:numPr>
          <w:numId w:val="4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Tribunal err in its selection of the appropriate comparator group?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Central to the question of whether the service or employment was conferred in a way that was discriminatory, is the selection of a comparator group. As mentioned, the tribunal member determined the appropriate comparator group to be CSIL clients who are not restricted by the blanket prohibition, either because they do not wish to, or need to hire a family member as a caregiver.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It is the petitioner's contention that in selecting the comparator group the Tribunal Member lost sight of the purpose and effect of the CSIL program which is "To provide persons with disabilities who are living in the community with services to supplement the care provided by their families and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petitioner relied on the Supreme Court's summary of the principles applicable in selecting an appropriate comparator group in Auton, supra, at paras. 51 - 54 which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First, the choice of the correct comparator is crucial, since the comparison between the claimants and this group permeates every stage of the analysis. "[M]isidentification of the proper comparator group at the outset can doom the outcome of the whole s. 15(1) analysis": Hodge, supra, at para. 18.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Second, while the starting point is the comparator chosen by the claimants, the Court must ensure that the comparator is appropriate and should substitute an appropriate comparator if the one chosen by the claimants is not appropriate: Hodge, supra, at para. 20.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Third, the comparator group should mirror the characteristics of the claimant or claimant group relevant to the benefit or advantage sought, except for the personal characteristic related to the enumerated or analogous ground raised as the basis for the discrimination: Hodge, at para. 23. The comparator must align with both the benefit and the "universe of people potentially entitled" to it and the alleged ground of discrimination: Hodge, at paras. 25-31.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Fourth, a claimant relying on a personal characteristic related to the enumerated ground of disability may invite comparison with the treatment of those suffering a different type of disability, or a disability of greater severity: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plaintiff submits the effect of the Tribunal Member's selection of a comparator group is to re-define the service being conferred rather than assessing the evenness of its application. The petitioner says the Tribunal Member's analysis shifts the purpose and function of CSIL from a program that supplements the care provided by an individual's family to one "that is obliged to accommodate a preference to hire family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petitioner relies on the court's articulation of the principle preventing judicial interference with governmental policy in Auton, at para. 41: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not open to parliament or a legislature to enact the law whose policy objectives and provisions single out a disadvantaged group for inferior treatment ... On the other hand, a legislative choice not to accord a particular benefit absent demonstration of discriminatory purpose, policy or effect, does not offend the principle and does not give rise to s. 15(1) review. This court has repeatedly held that the legislature is under no obligation to create a particular benefit. It is free to target the social programs it wishes to fund as a matter of public policy, provided the benefit itself is not conferred in a discriminatory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It is the petitioner's position that giving effect to the principles set out above invalidates the Tribunal Member's determination of the comparator group because it ignores the freedom of the legislature "to target the social programs it wishes" and instead imposes the Tribunal's view of what benefits should be conferred based on the preferences of CSIL recipients rather than governmental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petitioner submits that giving effect to the principles elaborated upon in Auton requires the comparator group to be either "all CSIL recipients or all people with disabilities living in the community." The petitioner contends if the comparator group is all CSIL recipients, Ms. Hutchinson cannot show she is disadvantaged through a greater impact by the prohibition in hiring family members. Her preference to hire her father falls short of establishing that her disability or family status necessitates hiring her father. The petitioner submits Ms. Hutchinson is in an advantageous position with regard to people with disabilities living in the community because she receives CSIL funds while others do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position of the respondents is that the comparator group of all disabled persons living in the community is inappropriate because they have no relationship to the benefit in question as they have no entitlement to the service or benefit at issue and hence do not share relevant circumstances with Ms. Hutchinson. The respondents say this comparator group is simply too broad to permit any meaningful assessment as to whether the prohibition has a discriminatory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The respondents contend that the comparator group of all CSIL recipients is in fact the comparator which the Tribunal Member applied and hence no error occurred. The respondents say the distinction drawn by the petitioners between its position and the determination of the Tribunal Member is essentially the distinction between formal equality and substantive equality: that the fact that all CSIL recipients are governed by the same prohibition against hiring family members may constitute formal equality but it doesn't amount to substantive equality. The respondents rely on the decision of the court in Andrews v. Law Society of British Columbia, </w:t>
      </w:r>
      <w:hyperlink r:id="rId473" w:history="1">
        <w:r>
          <w:rPr>
            <w:rFonts w:ascii="arial" w:eastAsia="arial" w:hAnsi="arial" w:cs="arial"/>
            <w:i/>
            <w:color w:val="0077CC"/>
            <w:sz w:val="20"/>
            <w:u w:val="single"/>
            <w:shd w:val="clear" w:color="auto" w:fill="FFFFFF"/>
            <w:lang w:val="en-US" w:eastAsia="en-US" w:bidi="ar-SA"/>
          </w:rPr>
          <w:t>[1989] 1 S.C.R. 143</w:t>
        </w:r>
      </w:hyperlink>
      <w:r>
        <w:rPr>
          <w:rFonts w:ascii="arial" w:eastAsia="arial" w:hAnsi="arial" w:cs="arial"/>
          <w:color w:val="000000"/>
          <w:sz w:val="20"/>
          <w:lang w:val="en-US" w:eastAsia="en-US" w:bidi="ar-SA"/>
        </w:rPr>
        <w:t xml:space="preserve"> which rejected the "similarly situated" test, which according to the respondents, the petitioner is implicitly relying on in advancing its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The respondents further submit that the petitioner's argument that the respondent's failure to establish a necessity is fatal to their case, is a flawed argument. The respondents contend that there is no requirement to prove necessity to establish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discrimination. All that need be shown is "a distinction based on a personal characteristic [resulting in] the denial of a benefit or the imposition of a burden". The respondents say that the primary consideration is the impact of the prohibition on the Hutchinsons and submit that in the case of each of them, the impact is profound. In the case of Ms. Hutchinson, it is on the scope of her choice as to who she can hire to provide her daily intimate care. With respect to Mr. Hutchinson, it is the denial of employment resulting in "poverty, sacrifice and financial distress."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It is clear that the CSIL program represents an attempt by the government acting through the Ministry of Health to improve the lot of those afflicted with significant to severe physical disabilities who are nevertheless able to manage their own care and live in the community. In the furtherance of its objects, CSIL does draw distinctions between those with disabilities qualified to receive funding and those who are not. Those who are assessed as qualified and provided the funding have the benefit of choice and control over the hiring, training, paying and management of their caregivers with an accompanying enhancement to their well being.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 do not think it can be (or was) seriously argued that the policy proscribing the hiring of family members as caregivers has a discriminatory purpose. The real issue is whether it has, in the context of the CSIL program, a discriminatory effect on the respondents, given their personal characteristics. In posing and considering that question, was the Tribunal Member's choice of comparator appropriate, or was it, as contended by the petitioner, a choice that fore-ordained the result and re-defined the service 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As I see it, the Tribunal Member's choice of comparator group was appropriate. The essence of the CSIL program is to enhance each participant's ability to cope with their disabilities by giving them substantial choice and control over the provision of their care needs. The focus of their program is primarily to promote the recipient's mastery of their care rather than on the care itself. Whether the impugned policy is capable of having a discriminatory effect on a CSIL participant is not something that can possibly be judged except by reference to the unique conditions and objectives of the CSIL program. To use a comparator group where the self-achievement of the disabled person is not the principal focus, is simply to distort the analysis and render it meaningless. Similarly, to use an appropriate comparator group but to make the impact of the policy on the objectives of the program or the individual in it off limits to scrutiny, renders the exercise pointless. The selection of the comparator group must be conducive to a determination of the potential impact of the impugned policy without a negation of its relevance.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 conclude, therefore, that to select all people with disabilities living in the community as a comparator group would not permit a determination of the impact of the policy on a CSIL 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 conclude that the Tribunal Member did not err in selecting other CSIL members not restricted by the prohibition because they do not wish to or need to hire a family member as a caregiver. In my opinion, given the focus of CSIL on each recipient's achievement of choice and control, it is only appropriate to assess the impact of the policy by reference to other CSIL recipients from whom the respondents distinguish themselves because of personal characteristics related to their protected grounds (physical disability and family status). That, it seems to me, is the effect of the Supreme Court's summary of the principles conditioning the selection of a comparator group in Auton, supra, paras. 51 - 54, and that is, in my opinion, what the Tribunal Member did in her selection of a comparator group in the present case.</w:t>
      </w:r>
      <w:r>
        <w:rPr>
          <w:rFonts w:ascii="arial" w:eastAsia="arial" w:hAnsi="arial" w:cs="arial"/>
          <w:sz w:val="20"/>
          <w:lang w:val="en-US" w:eastAsia="en-US" w:bidi="ar-SA"/>
        </w:rPr>
        <w:cr/>
      </w:r>
    </w:p>
    <w:p>
      <w:pPr>
        <w:numPr>
          <w:numId w:val="46"/>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Applicability of the Law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The parties raise the issue before me whether the analysis of the Supreme Court of Canada in Law, supra, in determining whether an impugned law infringed s. 15(1) of the Charter was applicable in determining whether discrimination is made out under the provisions of the Code. As I understand it, this issue has been raised before the Court of Appeal in an appeal taken from Vancouver Rape Relief Society v. Nixon, </w:t>
      </w:r>
      <w:hyperlink r:id="rId461" w:history="1">
        <w:r>
          <w:rPr>
            <w:rFonts w:ascii="arial" w:eastAsia="arial" w:hAnsi="arial" w:cs="arial"/>
            <w:i/>
            <w:color w:val="0077CC"/>
            <w:sz w:val="20"/>
            <w:u w:val="single"/>
            <w:shd w:val="clear" w:color="auto" w:fill="FFFFFF"/>
            <w:lang w:val="en-US" w:eastAsia="en-US" w:bidi="ar-SA"/>
          </w:rPr>
          <w:t>2003 BCSC 1936</w:t>
        </w:r>
      </w:hyperlink>
      <w:r>
        <w:rPr>
          <w:rFonts w:ascii="arial" w:eastAsia="arial" w:hAnsi="arial" w:cs="arial"/>
          <w:color w:val="000000"/>
          <w:sz w:val="20"/>
          <w:lang w:val="en-US" w:eastAsia="en-US" w:bidi="ar-SA"/>
        </w:rPr>
        <w:t>. As of the release of these reasons, the decision of the Court of Appeal has not yet been issued. In Nixon (B.C.S.C.), supra, Edwards J. concluded as follows at para. 70: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Neither the asserted inconsistency between Reaney and Oak Bay Marina, </w:t>
      </w:r>
      <w:hyperlink r:id="rId474" w:history="1">
        <w:r>
          <w:rPr>
            <w:rFonts w:ascii="arial" w:eastAsia="arial" w:hAnsi="arial" w:cs="arial"/>
            <w:i/>
            <w:color w:val="0077CC"/>
            <w:sz w:val="20"/>
            <w:u w:val="single"/>
            <w:shd w:val="clear" w:color="auto" w:fill="FFFFFF"/>
            <w:lang w:val="en-US" w:eastAsia="en-US" w:bidi="ar-SA"/>
          </w:rPr>
          <w:t>[2002] B.C.J. No. 2029</w:t>
        </w:r>
      </w:hyperlink>
      <w:r>
        <w:rPr>
          <w:rFonts w:ascii="arial" w:eastAsia="arial" w:hAnsi="arial" w:cs="arial"/>
          <w:color w:val="000000"/>
          <w:sz w:val="20"/>
          <w:lang w:val="en-US" w:eastAsia="en-US" w:bidi="ar-SA"/>
        </w:rPr>
        <w:t>, nor the submission that Reaney was distinguishable and ought not to be followed has persuaded me that I may disregard the clear statement in Reaney at para. 12 the Law analytical framework "must govern" a determination of discrimination under s. 13 of the Code.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As did Edwards J., I consider myself bound by British Columbia Government Service Employees Union v. H.M.T.Q. </w:t>
      </w:r>
      <w:hyperlink r:id="rId462" w:history="1">
        <w:r>
          <w:rPr>
            <w:rFonts w:ascii="arial" w:eastAsia="arial" w:hAnsi="arial" w:cs="arial"/>
            <w:i/>
            <w:color w:val="0077CC"/>
            <w:sz w:val="20"/>
            <w:u w:val="single"/>
            <w:shd w:val="clear" w:color="auto" w:fill="FFFFFF"/>
            <w:lang w:val="en-US" w:eastAsia="en-US" w:bidi="ar-SA"/>
          </w:rPr>
          <w:t>2002 BCCA 476</w:t>
        </w:r>
      </w:hyperlink>
      <w:r>
        <w:rPr>
          <w:rFonts w:ascii="arial" w:eastAsia="arial" w:hAnsi="arial" w:cs="arial"/>
          <w:color w:val="000000"/>
          <w:sz w:val="20"/>
          <w:lang w:val="en-US" w:eastAsia="en-US" w:bidi="ar-SA"/>
        </w:rPr>
        <w:t xml:space="preserve"> ("Reaney") and obliged to apply the Law analytical framework to the present case.</w:t>
      </w:r>
      <w:r>
        <w:rPr>
          <w:rFonts w:ascii="arial" w:eastAsia="arial" w:hAnsi="arial" w:cs="arial"/>
          <w:sz w:val="20"/>
          <w:lang w:val="en-US" w:eastAsia="en-US" w:bidi="ar-SA"/>
        </w:rPr>
        <w:cr/>
      </w:r>
    </w:p>
    <w:p>
      <w:pPr>
        <w:numPr>
          <w:numId w:val="47"/>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Tribunal Err in its Application of the Law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The petitioner challenges the Tribunal Member's application of Law to the case at bar firstly on the footing that she did not "directly" apply it, citing her conclusion that neither Law nor Nixon has altered the elements of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discrimination.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As it appears from the Tribunal Member's reasons, she approached the question of the application of the Law analysis in alternative steps. In the first alternative, she concluded that "a full analysis under the Law framework" will be unnecessary in most human rights cases when it is evident that adverse treatment constitutes discrimination. It was her expressed view that once adverse treatment based on a prohibited ground of discrimination under the Code is established, "the dignity impact will be implicit" and a "more searching dignity analysis like the one ... in Law is not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In the second alternative, the Tribunal Member did conduct an analysis of the complaints in light of the Law analytical framework concluding in each case that it strengthened her conclusion that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discrimination was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In my view, the issue for determination is not whether the Tribunal Member applied the Law test directly: she did, in the alternative; it is whether she erred in her application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decision in Law involved the Supreme Court's determination whether the distinction drawn by sections 44(1)(d) and 58 of the Canada Pension Plan Act limiting survivor's pensions infringed s. 15(1) of the Charter. The court noted that s. 15(1) was "Perhaps the Charter's most conceptually difficult provision" involving "ideals and aspirations which are ... abstract and subject to differing articulations." While confirming a "flexible and nuanced analysis" was appropriate in the application of s. 15(1) and a "fixed and limited formula" was not, the court regarded Law as an opportunity to set out the basic principles relating to the purpose of s. 15(1) and to "provide a set of guidelines for courts that are called upon to analyze a discrimination claim under the Charter" emphasizing that they were "quidelines" not a rigid test to be mechanically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After considering the approach taken in Andrews and in subsequent cases which applied it, including Egan v. Canada, </w:t>
      </w:r>
      <w:hyperlink r:id="rId475" w:history="1">
        <w:r>
          <w:rPr>
            <w:rFonts w:ascii="arial" w:eastAsia="arial" w:hAnsi="arial" w:cs="arial"/>
            <w:i/>
            <w:color w:val="0077CC"/>
            <w:sz w:val="20"/>
            <w:u w:val="single"/>
            <w:shd w:val="clear" w:color="auto" w:fill="FFFFFF"/>
            <w:lang w:val="en-US" w:eastAsia="en-US" w:bidi="ar-SA"/>
          </w:rPr>
          <w:t>[1995] 2 S.C.R. 513</w:t>
        </w:r>
      </w:hyperlink>
      <w:r>
        <w:rPr>
          <w:rFonts w:ascii="arial" w:eastAsia="arial" w:hAnsi="arial" w:cs="arial"/>
          <w:color w:val="000000"/>
          <w:sz w:val="20"/>
          <w:lang w:val="en-US" w:eastAsia="en-US" w:bidi="ar-SA"/>
        </w:rPr>
        <w:t xml:space="preserve"> and Miron v. Trudell, </w:t>
      </w:r>
      <w:hyperlink r:id="rId476" w:history="1">
        <w:r>
          <w:rPr>
            <w:rFonts w:ascii="arial" w:eastAsia="arial" w:hAnsi="arial" w:cs="arial"/>
            <w:i/>
            <w:color w:val="0077CC"/>
            <w:sz w:val="20"/>
            <w:u w:val="single"/>
            <w:shd w:val="clear" w:color="auto" w:fill="FFFFFF"/>
            <w:lang w:val="en-US" w:eastAsia="en-US" w:bidi="ar-SA"/>
          </w:rPr>
          <w:t>[1995] 2 S.C.R. 418</w:t>
        </w:r>
      </w:hyperlink>
      <w:r>
        <w:rPr>
          <w:rFonts w:ascii="arial" w:eastAsia="arial" w:hAnsi="arial" w:cs="arial"/>
          <w:color w:val="000000"/>
          <w:sz w:val="20"/>
          <w:lang w:val="en-US" w:eastAsia="en-US" w:bidi="ar-SA"/>
        </w:rPr>
        <w:t>, the court concluded that in considering a discrimination claim a court should make three broad inquiries: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First, does the impugned law:</w:t>
      </w:r>
      <w:r>
        <w:rPr>
          <w:rFonts w:ascii="arial" w:eastAsia="arial" w:hAnsi="arial" w:cs="arial"/>
          <w:sz w:val="20"/>
          <w:lang w:val="en-US" w:eastAsia="en-US" w:bidi="ar-SA"/>
        </w:rPr>
        <w:cr/>
      </w:r>
    </w:p>
    <w:p>
      <w:pPr>
        <w:numPr>
          <w:numId w:val="4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draw a formal distinction between the complainant and others on the basis of one or more personal characteristics, or</w:t>
      </w:r>
    </w:p>
    <w:p>
      <w:pPr>
        <w:numPr>
          <w:numId w:val="4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 to take into account the claimant's already disadvantaged position within Canadian society resulting in substantially different treatment between the complainant and others on the basis of one or more personal characteristics? If so, there is differential treatment for the purpose of s. 15(1).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Second, was the complainant subject to differential treatment on the basis of one or more of the enumerated and analogous grounds? Third, does the differential treatment discriminate in a substantive sense bringing into play the purpose of s. 15(1) of the Charter in remedying such ills as prejudice, stereotyping and historical disadvantage? The second and third enquiries are concerned with whether the differential treatment constitutes discrimination in the substantive sense intended by s. 15(1).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court went on to confirm that the purpose of the s. 15(1) guarantee is that set forth by McIntyre J. in Andrews: "to promote a society in which all are secure in the knowledge that they are recognized as human beings equally deserving of concern, respect and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In delivering the court's reasons, Iaccobucci J. acknowledged the difficulty of defining the concepts of equality and discrimination but concluded in para. 52: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in the articulation of the purpose of s. 15(1) just provided on the basis of past cases, a focus is quite properly placed upon the goal of assuring human dignity by the remedying of discriminatory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As to what constitutes "human dignity" the court explained at para. 53: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can be different conceptions of what human dignity means. For the purposes of analysis under s. 15(1) of the Charter, however, the jurisprudence of this Court reflects a specific, albeit non-exhaustive, definition. As noted by Lamer C.J. in Rodriguez v. British Columbia (Attorney General), </w:t>
      </w:r>
      <w:hyperlink r:id="rId477" w:history="1">
        <w:r>
          <w:rPr>
            <w:rFonts w:ascii="arial" w:eastAsia="arial" w:hAnsi="arial" w:cs="arial"/>
            <w:i/>
            <w:color w:val="0077CC"/>
            <w:sz w:val="20"/>
            <w:u w:val="single"/>
            <w:shd w:val="clear" w:color="auto" w:fill="FFFFFF"/>
            <w:lang w:val="en-US" w:eastAsia="en-US" w:bidi="ar-SA"/>
          </w:rPr>
          <w:t>[1993] 3 S.C.R. 519</w:t>
        </w:r>
      </w:hyperlink>
      <w:r>
        <w:rPr>
          <w:rFonts w:ascii="arial" w:eastAsia="arial" w:hAnsi="arial" w:cs="arial"/>
          <w:color w:val="000000"/>
          <w:sz w:val="20"/>
          <w:lang w:val="en-US" w:eastAsia="en-US" w:bidi="ar-SA"/>
        </w:rPr>
        <w:t>, at p. 554, the equality guarantee in s. 15(1) is concerned with the realization of personal autonomy and self-determination. Human dignity means that an individual or group feels self-respect and self-worth. It is concerned with physical and psychological integrity and empowerment. Human dignity is harmed by unfair treatment premised upon personal traits or circumstances which do not relate to individual needs, capacities, or merits. It is enhanced by laws which are sensitive to the needs, capacities, and merits of different individuals, taking into account the context underlying their differences. Human dignity is harmed when individuals and groups are marginalized, ignored, or devalued, and is enhanced when laws recognize the full place of all individuals and groups within Canadian society. Human dignity within the meaning of the equality guarantee does not relate to the status or position of an individual in society per se, but rather concerns the manner in which a person legitimately feels when confronted with a particular law. Does the law treat him or her unfairly, taking into account all of the circumstances regarding the individuals affected and excluded by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After briefly discussing the need for a comparative analysis to take into account the "surrounding context of the claim and claimant", the court went on to examine what factors to consider in determining an infringement of s. 15(1), noting that "each factor may be more or less relevant depending on the circumstances of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first factor referred to in considering whether the claimant's dignity is demeaned, is "pre-existing disadvantage" which the court described as "the most compelling factor favouring a conclusion that differential treatment imposed by legislation is truly discriminatory." The court reasoned that "further differential treatment" to those with a pre-existing disadvantage logically "will have a more severe impact upon them, since they are already vulnerable." The court also noted that an infringement "may exist even if there is no one similar to the claimant who is experiencing the same unfair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second factor regarded by the court as salient in an examination into whether a complainant's dignity is demeaned is the relationship between the grounds and the claimant's characteristics or circumstances. The court noted that "one of the grounds is disability where the avoidance of discrimination will frequently require distinctions to be made to take into account the actual personal characteristics of disabled persons." The court further observed in paragraph 70: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mean simply to state that it will be easier to establish discrimination to the extent that impugned legislation fails to take into account a claimant's actual situation, and more difficult to establish discrimination to the extent that legislation properly accommodates the claimant's needs, capacities, and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third contextual factor examined in Law, is the ameliorative purpose or effects of impugned legislation or other state action on a more disadvantaged person or group in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fourth contextual factor is the nature and scope of the interest affected, where the "more severe and localized be the ... consequences on the affected group, the more likely that the distinction responsible for those consequences is discriminatory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The court made it clear that other factors may condition a determination of a discrimination claim which are in harmony with the general theme that discrimination exists "if it can be demonstrated that, from the prospective of a reasonable person in circumstances similar to those of the claimant who takes into account the contextual factors relevant to the claim, the legislative imposition of differential treatment has the affect of demeaning his or her dignity."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court stressed that as a practical matter it may not be necessary to focus the purposive analysis upon one element of the discrimination claim and that in some cases "it will be relatively easy ... to establish a s. 15 infringement ... on the basis of judicial notice and logical reasoning that an impugned law interferes with human dignity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court in Law articulated discrimination as "substantive rather than merely formal inequality ... bringing into play the claimant's human dignity."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essence of the petitioner's submission is that even though the policy draws a distinction between Mr. Hutchinson and others not related to Ms. Hutchinson on the basis of family status, a protected ground, it is not discriminatory as it does not create inequality in the substantive sense having regard for the contextual factors summarized in the Law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In the petitioner's submission, neither the status of being a father nor being a daughter constitutes a pre-existing disadvantage or vulnerability even in the context of Ms. Hutchinson's disability which does include her in a vulnerable group with pre-existing disadvantages.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petitioner further submits that the correspondence between the distinction and the complainant's characteristics militate against finding discrimination because the purpose of the CSIL program and continuing care services (to provide public funds to persons with disabilities so they might hire persons to supplement existing care provided by family) "is essential to consider in determining whether the claimants have established a prima facie case of discrimination." The petitioners submit in light of the purpose of the CSIL the respondents have not established inequality in the substantive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With regard to the factor of "ameliorative purpose", the petitioner submits "the policy prohibiting payment to family members is inextricably linked to the policy rationale for the establishment of programs that provide public funds to persons with disabilities to supplement the existing care provided by family to allow the person with disabilities to live in their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The petitioner submits "as the programs are designed to help families out ... they have an ameliorative purpose" weighing against finding substantive inequality.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Insofar as the nature and scope of the interest affected by the impugned policy is concerned, the petitioner characterized it as "the use of public funds to pay family members to care for other family members" which in light of "the role of family in our society [and] the purpose of the continuing care programs" points to a lack of discrimination.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petitioner submits that while a distinction is created on a prohibited ground in the present case, it is not discriminatory as "(a) reasonable person in the place of the complainant who understands the purpose of the CSIL and other programs would not say their dignity was impacted by a failure of the government to use public funds to pay family members to care for other family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Insofar as the disability complaint is concerned, it is the petitioner's contention that Ms. Hutchinson has not passed the first step in Law showing differential treatment between her and others based on disability. The plaintiff submits that to be successful, Ms. Hutchinson must show that her family status or disability "necessitates" that she be cared for by her father, whereas other CSIL recipient's disabilities would not necessitate care by a family 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The petitioner submits even if Ms. Hutchinson met the first two steps in the Law analysis she has failed to show substantive inequality because "(a) reasonable person in the situation of the claimant informed of the purpose of the CSIL program, the purpose of continuing care services and the reason for the need for the impugned policy would not find it an affront to dignity to refuse payment to family members in a program designed to only pay for services the family members cannot provide."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In her reasons, the Tribunal Member considered the impact of the policy on each of Ms. Hutchinson's and Mr. Hutchinson's dignity in light of the contextual factors set forth in Law, "from the appropriate subjective-objective perspective", and found in each case that a reasonable person would experience a violation of dignity when the "blanket prohibition against hiring family members is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In my opinion, whether the standard of review is correctness as asserted by the petitioner or reasonableness simpliciter as asserted by the respondents, the finding of the tribunal member should be sustained. A significant consideration is the nature and purpose of the CSIL program which is itself distinct from other community care or continuing care programs. As I see it, the primary purpose of CSIL is to use public funds (which would otherwise be spent through other programs) in a way that optimizes the autonomy and well-being of seriously disabled but qualified and responsible individuals, by giving them the opportunity to manage their own care. The identifying characteristic of the program is not the provision of care itself, but rather the delegation of the responsibility for and the management of the care to disabled persons who qualify for participation in the program.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Thus, the focus of the program is on enhancing the lives of disadvantaged and vulnerable people by giving them a significant degree of choice and control over the critical issue of their day to day and long term care, commensurate with their capacity to manage.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In such a context, seemingly designed to promote the dignity and autonomy of those engaged in it, an uncalibrated and inflexible restriction on Ms. Hutchinson's freedom to manage her own care potentially has an adverse impact on her dignity and autonomy. The essence of the impact occurs if her choice is thwarted by a policy without consideration of her individual circumstances or the consequences that are implicated.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analysis is similar when applied to Mr. Hutchinson, who has for many years been the single parent of and main caregiver for his severely disabled daughter. The interdiction by policy of his daughter's choice to hire him, without any consideration of the merits of that choice, his circumstances, or the consequences to him, is certainly capable of adversely affecting his dignity by intensifying his existing disadvantage, given Ms. Hutchinson's difficulty in maintaining caregivers other than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Mr. Hutchinson, whether or not a member of a distinct or identifiable group, has certainly experienced pre-existing disadvantage as the single father of a severely disabled daughter. The fact that his family status absolutely bars him from being paid and his daughter from paying him with public funds, to ameliorate his ongoing sacrifices made for her care and well-being has an impact on his dignity in the sense contemplated in Law, para. 53, having regard to the contextual factors set forth in that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It is the absolute quality of the policy in the specific context of the CSIL program and the particular circumstances of the claimants as found by the Tribunal Member that justifies a finding of discrimination in this case, not its general application in the larger context of continuing care programs. In this specific context I do not see the ameliorative effect of the policy as urged by the petitioner, nor do I accept that "a reasonable person in the place of the claimants who understood the purpose of CSIL and other programs would not say their dignity was impacted ....". As I earlier noted, the purpose of CSIL is different from that of other programs and engages an expectation of some freedom of choice. While clearly choices which involve spending public funds are not without reasonable limitations, the presence of an absolute prohibition based on a protected ground under the Code, in such a context without regard to individual circumstances or consequences, cannot be sustained as only formal inequality. I therefore would uphold the Tribunal Member's determination of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discrimination.</w:t>
      </w:r>
      <w:r>
        <w:rPr>
          <w:rFonts w:ascii="arial" w:eastAsia="arial" w:hAnsi="arial" w:cs="arial"/>
          <w:sz w:val="20"/>
          <w:lang w:val="en-US" w:eastAsia="en-US" w:bidi="ar-SA"/>
        </w:rPr>
        <w:cr/>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Tribunal Err in Ordering a Compensatory Award Against the Government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petitioner challenges the monetary awards made by the Tribunal Member on two footings. With regard to the compensatory award of $105,840 to Mr. Hutchinson for lost opportunity for employment, the petitioner contends in the first place, that it was patently unreasonable for her to conclude that "there was little chance that Mr. Hutchinson would not have been hired as his daughter's caregiver but for the ministry's policy." In the second place, the petitioner takes the position that the Tribunal exceeded its jurisdiction by ordering monetary compensation against the government.</w:t>
      </w:r>
      <w:r>
        <w:rPr>
          <w:rFonts w:ascii="arial" w:eastAsia="arial" w:hAnsi="arial" w:cs="arial"/>
          <w:sz w:val="20"/>
          <w:lang w:val="en-US" w:eastAsia="en-US" w:bidi="ar-SA"/>
        </w:rPr>
        <w:cr/>
      </w:r>
    </w:p>
    <w:p>
      <w:pPr>
        <w:numPr>
          <w:numId w:val="5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Tribunal Member's Finding Patently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 petitioner's position rests on the ruling of the Tribunal Member that "once the ministry has developed criteria to allow for exceptions to its policy in relation to CSIL, and those criteria have been made generally available to the relevant public, it may apply those criteria to the Hutchinsons." Counsel for the petitioner submits that the Tribunal Member's ruling constitutes an implicit acknowledgement that "an exemption based policy could be developed that Mr. Hutchinson might not fall into, and the fact that there is open to government a vast array of options to remedy the discrimination including elimination of the CSIL program altogether."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Counsel for the petitioner concedes the standard of review is patent unreasonableness in connection with this finding of the Tribunal Member. That standard was characterized by Romilly J. in Waters v. British Columbia (Director of Employment Standards), </w:t>
      </w:r>
      <w:hyperlink r:id="rId478" w:history="1">
        <w:r>
          <w:rPr>
            <w:rFonts w:ascii="arial" w:eastAsia="arial" w:hAnsi="arial" w:cs="arial"/>
            <w:i/>
            <w:color w:val="0077CC"/>
            <w:sz w:val="20"/>
            <w:u w:val="single"/>
            <w:shd w:val="clear" w:color="auto" w:fill="FFFFFF"/>
            <w:lang w:val="en-US" w:eastAsia="en-US" w:bidi="ar-SA"/>
          </w:rPr>
          <w:t>[2004] B.C.J. No. 2474</w:t>
        </w:r>
      </w:hyperlink>
      <w:r>
        <w:rPr>
          <w:rFonts w:ascii="arial" w:eastAsia="arial" w:hAnsi="arial" w:cs="arial"/>
          <w:color w:val="000000"/>
          <w:sz w:val="20"/>
          <w:lang w:val="en-US" w:eastAsia="en-US" w:bidi="ar-SA"/>
        </w:rPr>
        <w:t xml:space="preserve">, </w:t>
      </w:r>
      <w:hyperlink r:id="rId478" w:history="1">
        <w:r>
          <w:rPr>
            <w:rFonts w:ascii="arial" w:eastAsia="arial" w:hAnsi="arial" w:cs="arial"/>
            <w:i/>
            <w:color w:val="0077CC"/>
            <w:sz w:val="20"/>
            <w:u w:val="single"/>
            <w:shd w:val="clear" w:color="auto" w:fill="FFFFFF"/>
            <w:lang w:val="en-US" w:eastAsia="en-US" w:bidi="ar-SA"/>
          </w:rPr>
          <w:t>2004 BCSC 1570</w:t>
        </w:r>
      </w:hyperlink>
      <w:r>
        <w:rPr>
          <w:rFonts w:ascii="arial" w:eastAsia="arial" w:hAnsi="arial" w:cs="arial"/>
          <w:color w:val="000000"/>
          <w:sz w:val="20"/>
          <w:lang w:val="en-US" w:eastAsia="en-US" w:bidi="ar-SA"/>
        </w:rPr>
        <w:t xml:space="preserve"> as "a very severe standard of review that accords the highest degree of deference to the decision of the Tribunal." I conclude that applying that standard to the finding of the Tribunal Member on this point does not justify a finding of error. The Tribunal Member had before her a significant body of evidence that Mr. Hutchinson had been Ms. Hutchinson's main care giver since she was thirteen years old. She also had evidence before her that there had been other exceptions made to the policy to allow family members as caregivers and there was no evidence that any particular criteria had been applied in those circumstances. There was simply no evidence before her that would justify a conclusion that Mr. Hutchinson would not have been hired as Ms. Hutchinson's caregiver. In all the circumstances, I do not think it could be said that it was patently unreasonable for the Tribunal Member to conclude as she did.</w:t>
      </w:r>
      <w:r>
        <w:rPr>
          <w:rFonts w:ascii="arial" w:eastAsia="arial" w:hAnsi="arial" w:cs="arial"/>
          <w:sz w:val="20"/>
          <w:lang w:val="en-US" w:eastAsia="en-US" w:bidi="ar-SA"/>
        </w:rPr>
        <w:cr/>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Tribunal Err When it Determined that it has Jurisdiction to Order Monetary Compensation against the Government?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It is agreed by the parties that the standard of review is correctness with respect to this issue. The essence of the petitioner's position is expressed in its written argument thus: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government acts in some instances as a private person, it also acts as no private person may. When government acts as no private person may, as for example when performing legislative, quasi judicial or policy functions, the principles of Crown immunity demand that in the absence of bad faith, compensatory awards are not to be made against government. In creating a program designed to supplement the care provided by family members, the province was acting in a "legislative" and not "administrative" manner and absent bad faith, conduct that is clearly wrong, or amounting to an abuse of public office, is immune from a compensatory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It is the petitioner's contention that the government's adoption of the policy was a legislative as opposed to an administrative act, hence attracting immunity from awards of monetary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It is the petitioner's submission that there is a line of authority establishing the principle of governmental immunity when it acts "as no private person may" including Welbridge Holdings Ltd. v. Winnipeg (Greater), </w:t>
      </w:r>
      <w:hyperlink r:id="rId252" w:history="1">
        <w:r>
          <w:rPr>
            <w:rFonts w:ascii="arial" w:eastAsia="arial" w:hAnsi="arial" w:cs="arial"/>
            <w:i/>
            <w:color w:val="0077CC"/>
            <w:sz w:val="20"/>
            <w:u w:val="single"/>
            <w:shd w:val="clear" w:color="auto" w:fill="FFFFFF"/>
            <w:lang w:val="en-US" w:eastAsia="en-US" w:bidi="ar-SA"/>
          </w:rPr>
          <w:t>[1971] S.C.R. 957</w:t>
        </w:r>
      </w:hyperlink>
      <w:r>
        <w:rPr>
          <w:rFonts w:ascii="arial" w:eastAsia="arial" w:hAnsi="arial" w:cs="arial"/>
          <w:color w:val="000000"/>
          <w:sz w:val="20"/>
          <w:lang w:val="en-US" w:eastAsia="en-US" w:bidi="ar-SA"/>
        </w:rPr>
        <w:t xml:space="preserve">; Mackin v. New Brunswick, </w:t>
      </w:r>
      <w:hyperlink r:id="rId479" w:history="1">
        <w:r>
          <w:rPr>
            <w:rFonts w:ascii="arial" w:eastAsia="arial" w:hAnsi="arial" w:cs="arial"/>
            <w:i/>
            <w:color w:val="0077CC"/>
            <w:sz w:val="20"/>
            <w:u w:val="single"/>
            <w:shd w:val="clear" w:color="auto" w:fill="FFFFFF"/>
            <w:lang w:val="en-US" w:eastAsia="en-US" w:bidi="ar-SA"/>
          </w:rPr>
          <w:t>[2002] 1 S.C.R. 405</w:t>
        </w:r>
      </w:hyperlink>
      <w:r>
        <w:rPr>
          <w:rFonts w:ascii="arial" w:eastAsia="arial" w:hAnsi="arial" w:cs="arial"/>
          <w:color w:val="000000"/>
          <w:sz w:val="20"/>
          <w:lang w:val="en-US" w:eastAsia="en-US" w:bidi="ar-SA"/>
        </w:rPr>
        <w:t xml:space="preserve"> [Mackin]; Guimond v. Quebec, </w:t>
      </w:r>
      <w:hyperlink r:id="rId480" w:history="1">
        <w:r>
          <w:rPr>
            <w:rFonts w:ascii="arial" w:eastAsia="arial" w:hAnsi="arial" w:cs="arial"/>
            <w:i/>
            <w:color w:val="0077CC"/>
            <w:sz w:val="20"/>
            <w:u w:val="single"/>
            <w:shd w:val="clear" w:color="auto" w:fill="FFFFFF"/>
            <w:lang w:val="en-US" w:eastAsia="en-US" w:bidi="ar-SA"/>
          </w:rPr>
          <w:t>[1996] 3 S.C.R. 347</w:t>
        </w:r>
      </w:hyperlink>
      <w:r>
        <w:rPr>
          <w:rFonts w:ascii="arial" w:eastAsia="arial" w:hAnsi="arial" w:cs="arial"/>
          <w:color w:val="000000"/>
          <w:sz w:val="20"/>
          <w:lang w:val="en-US" w:eastAsia="en-US" w:bidi="ar-SA"/>
        </w:rPr>
        <w:t xml:space="preserve"> [Guimond]; Harrington (Guardian ad litem of) v. Pappa Christos </w:t>
      </w:r>
      <w:hyperlink r:id="rId481" w:history="1">
        <w:r>
          <w:rPr>
            <w:rFonts w:ascii="arial" w:eastAsia="arial" w:hAnsi="arial" w:cs="arial"/>
            <w:i/>
            <w:color w:val="0077CC"/>
            <w:sz w:val="20"/>
            <w:u w:val="single"/>
            <w:shd w:val="clear" w:color="auto" w:fill="FFFFFF"/>
            <w:lang w:val="en-US" w:eastAsia="en-US" w:bidi="ar-SA"/>
          </w:rPr>
          <w:t>(1992), 5 Admin. L.R. (2d) 130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The petitioner relies on the court's ruling in Welbridge as providing a synopsis of governmental liability and immunity at common law quoting from Laskin J.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is a municipal corporation with a variety of functions, some legislative, some with also a quasi-judicial component (as the Wiswell case determined, </w:t>
      </w:r>
      <w:hyperlink r:id="rId482" w:history="1">
        <w:r>
          <w:rPr>
            <w:rFonts w:ascii="arial" w:eastAsia="arial" w:hAnsi="arial" w:cs="arial"/>
            <w:i/>
            <w:color w:val="0077CC"/>
            <w:sz w:val="20"/>
            <w:u w:val="single"/>
            <w:shd w:val="clear" w:color="auto" w:fill="FFFFFF"/>
            <w:lang w:val="en-US" w:eastAsia="en-US" w:bidi="ar-SA"/>
          </w:rPr>
          <w:t>[1965] S.C.R. 512</w:t>
        </w:r>
      </w:hyperlink>
      <w:r>
        <w:rPr>
          <w:rFonts w:ascii="arial" w:eastAsia="arial" w:hAnsi="arial" w:cs="arial"/>
          <w:color w:val="000000"/>
          <w:sz w:val="20"/>
          <w:lang w:val="en-US" w:eastAsia="en-US" w:bidi="ar-SA"/>
        </w:rPr>
        <w:t xml:space="preserve">) and some administrative or ministerial, or perhaps better categorized as business powers. In exercising the latter, the defendant may undoubtedly (subject to statutory qualification) incur liabilities in contract and in tort, including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There may, therefore, be an individualization of the responsibility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exercise of business powers which does not exist when the defendant acts in a legislative capacity or performs a quasi-judicial duty.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municipality at what may be called the operating level is different in kind from the same municipality at the legislative or quasi-judicial level where it is exercising discretionary statutory authority. In exercising such authority, the municipality (no less than a provincial Legislature or the Parliament of Canada) may act beyond its powers in the ultimate view of the court, albeit it acted on the advice of counsel. It would be incredible to say in such circumstances that it owed a duty of care giving rise to liability and damages for its breach. "Invalidity is not the test of fault and it should not be the test of liability": See Davis, 3 Administrative Law Treaties, 1958, at p. 487.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petitioner cites S.A.D. Smith, Judicial Review of Administrative Action 5th ed. (London Suite and Maxwell) as a guide in determining whether governmental action is legislative or administrative in nature: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distinction between legislative and administrative acts is usually expressed as being a distinction between the general and the particular. A legislative act is the creation and promulgation of a general rule of conduct without reference to particular cases; an administrative act cannot be exactly defined, but it includes the adoption of a policy, the making and issue of a specific direction, and the application of a general rule to a particular case in accordance with the requirements of policy or expediency or administrative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 petitioner contends that creating continuing care services as supplemental to those which family members provide is "a general rule of conduct" and hence falls into the legislative category as identified in Smith's judicial review, quoted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The petitioner likens the legislative/administrative dichotomy to the policy/operational one developed by the Supreme Court of Canada to determine whether or not government is liable in tort for its acts or omissions. The petitioner cites Just v. British Columbia, </w:t>
      </w:r>
      <w:hyperlink r:id="rId13" w:history="1">
        <w:r>
          <w:rPr>
            <w:rFonts w:ascii="arial" w:eastAsia="arial" w:hAnsi="arial" w:cs="arial"/>
            <w:i/>
            <w:color w:val="0077CC"/>
            <w:sz w:val="20"/>
            <w:u w:val="single"/>
            <w:shd w:val="clear" w:color="auto" w:fill="FFFFFF"/>
            <w:lang w:val="en-US" w:eastAsia="en-US" w:bidi="ar-SA"/>
          </w:rPr>
          <w:t>[1989] 2 S.C.R. 1228</w:t>
        </w:r>
      </w:hyperlink>
      <w:r>
        <w:rPr>
          <w:rFonts w:ascii="arial" w:eastAsia="arial" w:hAnsi="arial" w:cs="arial"/>
          <w:color w:val="000000"/>
          <w:sz w:val="20"/>
          <w:lang w:val="en-US" w:eastAsia="en-US" w:bidi="ar-SA"/>
        </w:rPr>
        <w:t xml:space="preserve"> and Brown v. British Columbia (Minister of Transportation and Highways), </w:t>
      </w:r>
      <w:hyperlink r:id="rId14" w:history="1">
        <w:r>
          <w:rPr>
            <w:rFonts w:ascii="arial" w:eastAsia="arial" w:hAnsi="arial" w:cs="arial"/>
            <w:i/>
            <w:color w:val="0077CC"/>
            <w:sz w:val="20"/>
            <w:u w:val="single"/>
            <w:shd w:val="clear" w:color="auto" w:fill="FFFFFF"/>
            <w:lang w:val="en-US" w:eastAsia="en-US" w:bidi="ar-SA"/>
          </w:rPr>
          <w:t>[1994] 1 S.C.R. 420</w:t>
        </w:r>
      </w:hyperlink>
      <w:r>
        <w:rPr>
          <w:rFonts w:ascii="arial" w:eastAsia="arial" w:hAnsi="arial" w:cs="arial"/>
          <w:color w:val="000000"/>
          <w:sz w:val="20"/>
          <w:lang w:val="en-US" w:eastAsia="en-US" w:bidi="ar-SA"/>
        </w:rPr>
        <w:t xml:space="preserve"> in support of its contention.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petitioner specifically refers to Just at paragraph 36: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need for distinguishing between a governmental decision and its operational implementation is thus clear. True policy decisions should be exempt from tortious claims so that governments are not restricted in making decisions based upon social, political or economic factors. However, the implementation of those decisions may well be subject to claims in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petitioner submits "the decision to provide continuing care services as a supplement to what family members can provide on their own was a pure policy decision ... based on social, political and economic factors" and should be exempt from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The petitioner also relies upon the authority established in Mackin, and other cases including Schachter v. Canada, </w:t>
      </w:r>
      <w:r>
        <w:rPr>
          <w:rFonts w:ascii="arial" w:eastAsia="arial" w:hAnsi="arial" w:cs="arial"/>
          <w:i/>
          <w:color w:val="000000"/>
          <w:sz w:val="20"/>
          <w:lang w:val="en-US" w:eastAsia="en-US" w:bidi="ar-SA"/>
        </w:rPr>
        <w:t>[1992] 2 S.C.R. 679</w:t>
      </w:r>
      <w:r>
        <w:rPr>
          <w:rFonts w:ascii="arial" w:eastAsia="arial" w:hAnsi="arial" w:cs="arial"/>
          <w:color w:val="000000"/>
          <w:sz w:val="20"/>
          <w:lang w:val="en-US" w:eastAsia="en-US" w:bidi="ar-SA"/>
        </w:rPr>
        <w:t xml:space="preserve"> and Guimond that the principles of Crown immunity do apply to Charter remedies. It is the petitioner's position that the analysis developed in relation to Charter remedies and Crown immunity is particularly appropriate because both the Charter and the Code deal with discrimination in the context of governmental action and decisions under the Charter as with the Code can have a systemic affect.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 petitioner argues that the remedial powers of a court for Charter breaches, to strike down unconstitutional legislation under s. 52 of the Constitution Act, 1982 and to provide a remedy under s. 24(1) is similar to the powers conferred under s. 37 of the Code. The plaintiff relies on Schachter, at para. 92, where the court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individual remedy under s. 24(1) of the Charter will rarely be available in conjunction with action under s. 52 of the Constitution Act, 1982. Ordinarily, where a provision is declared unconstitutional and immediately struck down pursuant to s. 52 that will be the end of the matter. No retroactive s. 24 remedy will be available. It follows that where the declaration of invalidity is temporarily suspended, a s. 24 remedy will not be available either. To allow for s. 24 remedies during the period of suspension would be tantamount to giving the declaration of validity retroactive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petitioner also relies on Mackin in support of the proposition that although damages may be awarded under s. 24(1) of the Charter, the question of their availability must be considered in light of long standing public law principles. The petitioner points to the judgment of Gonthier J. at para. 79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limited immunity given to government is specifically a means of creating a balance between the protection of constitutional rights and the need for effective government. In other words, this doctrine makes it possible to determine whether a remedy is appropriate and just in the circumstances. Consequently the reasons that inform the general principle of public law are also relevant in a Charter context. Thus the government and its representatives are required to exercise their powers in good faith and to respect the "established and indisputable" laws that define the constitutional rights of individuals. However, if they act in good faith and without abusing their power under prevailing law and only subsequently are their acts found to be unconstitutional, they will not be liable. Otherwise, the effectiveness and efficiency of government action would be excessively constrained. Laws must given their full force and effect so as long as they are not declared invalid. Thus it is only in the event of conduct that is clearly wrong, in bad faith or an abuse of power that damages may be awarded (Crown Trust Co. v. The Queen in Right of Ontario </w:t>
      </w:r>
      <w:hyperlink r:id="rId483" w:history="1">
        <w:r>
          <w:rPr>
            <w:rFonts w:ascii="arial" w:eastAsia="arial" w:hAnsi="arial" w:cs="arial"/>
            <w:i/>
            <w:color w:val="0077CC"/>
            <w:sz w:val="20"/>
            <w:u w:val="single"/>
            <w:shd w:val="clear" w:color="auto" w:fill="FFFFFF"/>
            <w:lang w:val="en-US" w:eastAsia="en-US" w:bidi="ar-SA"/>
          </w:rPr>
          <w:t>(1986), 26 D.L.R. (4th) 41</w:t>
        </w:r>
      </w:hyperlink>
      <w:r>
        <w:rPr>
          <w:rFonts w:ascii="arial" w:eastAsia="arial" w:hAnsi="arial" w:cs="arial"/>
          <w:color w:val="000000"/>
          <w:sz w:val="20"/>
          <w:lang w:val="en-US" w:eastAsia="en-US" w:bidi="ar-SA"/>
        </w:rPr>
        <w:t xml:space="preserve"> (Ont. Div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It is the petitioner's submission in effect that the fundamental principle that underlies the limited immunity granted to the Crown is that the government must be protected from compensatory awards arising out of good faith actions where they are committed while governing acts "as no private person may". It is the petitioner's submission that to uphold the compensatory award of the Tribunal in the present case would create a situation in which human rights proceedings could result in compensatory awards when proceedings under the Charter would not, because they are subject to the principles of Crown immunity "firmly embedded in public law." The petitioner submits if remedies sought under the Charter are subject to the principles of Crown immunity it follows that remedies sought under the Human Rights Code should be similarly conditioned.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 petitioner submits that the Supreme Court of Canada's decision in Communaute urbaine de Montreal case is particularly apposite to the present case and supports the contention that Crown immunity from compensatory awards apply equally with respect to Human Rights Tribunal awards notwithstanding enabling legislation granting tribunals the authority to make such awards.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In Communaute urbaine de Montreal the claimant was denied a position as a police officer because he did not meet the hearing standards provided for in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After a hearing into his complaint under the relevant human rights legislation, the Quebec Tribunal found discrimination. The issue before the Supreme Court of Canada was whether the Quebec Tribunal could award compensatory damages in the circumstances. The Quebec legislation provided the authority to grant claimants the right to damages and also provided that it prevailed over all other Quebec legislation unless the statute provided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The Supreme Court of Canada held that a remedy in the form of damages either directly or indirectly through a retroactive award compelling the payment of back salary and benefits could not be made by the Quebec Tribunal.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The Supreme court put the issue thus at paragraph 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dispute is now limited to the nature of the remedy that the Tribunal could grant in the circumstances of this case. As we have seen, this case involves the application of the Quebec Charter to a case of discrimination and refusal to make reasonable accommodation. First of all, the CUM has a duty of reasonable accommodation even though the discriminatory rule originates from an Act or Regulation. Second, all proceedings with a view to invalidating the provincial or municipal hiring regulations were either abandoned or rejected when the case was first brought before the Tribunal and are no longer part of the record submitted to this court. All that remains is the application to have the hearing standards declared inoperative in relation to Mr. Larocque and the form of the remedy to be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In examining the legal framework of remedies under the Quebec Charter the court noted that it "provides for a highly diverse range of regimes and procedural avenues for ensuring compliance with the enforcement of rights recognized under the Quebec Charter." The exercise of access to the various regimes and procedural avenues is subject to the general principals set forth in s. 80 of the Charter "where consistent with the public interest." The court noted that in determining the appropriate remedy, it must take into account "the constitutional framework and principles governing the organization and practices of Canada's public institutions so that the relationships between various components of the legal hierarchy applicable to the situation under Quebec law are articulated appropriately."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court relied on a number of its past observations "concerning the relationship between fundamental rights and the overall make-up of Canada's constitutional framework" in asserting that Canada's constitutional regime is the "ultimate source of traditional immunities with respect to the consequences of the invalidity of legislative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Relying on Gonthier J.'s judgment in Mackin, the court concluded that "well established principles of public law rule out the possibility of awarding damages when legislation is declared unconstitutional, be it on the grounds of a violation of the separation of legislative powers within the Canadian federation or of non-compliance with the Canadian Charter." It was the appellant's contention in Communaute urbaine de Montreal that because the Quebec Charter is a source of fundamental law relative to which the Civil Code of Quebec, S.Q. 1991, c. 64 must be interpreted harmoniously, the traditional rules circumscribing the state's liability for discharge of its legislative function have been fundamentally altered. The appellant argued that s. 49 of the Quebec Charter which provides for compensation for moral or material prejudice resulting from any unlawful interference of any right or freedom recognized by this Charter, authorizes damages for any unlawful act "equivalent to a fault as defined in the law of civil liability." The court, however, concluded that the regime of civil liability under the Quebec Charter was nevertheless subject to the general principles of public law an in particular, that of Crown immunity, explaining in para. 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Recourse to the civil liability regime to punish violations of the Quebec Charter does not oust those fundamental rules which serve to safeguard the free and effective discharge of the legislative function, subject to mechanisms currently in place for review in constitutionality. In this respect, immunity implies the necessary distinction between a fault or negligent act and one that is unlawful or invalid because it fails to comply with fundamental, constitutional, or quasi constitutional standards. By analogy, in the law of Crown liability, if upon judicial review an administrative decision is found to be unlawful, it does not necessarily follow that there is fault given rise to recourse in civil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xml:space="preserve">  It seems to me that the flaw in the petitioner's argument is in the assertion that the prohibition against hiring family members is legislative as opposed to administrative in nature and hence subject to common law principles of Crown immunity. In the Communaute urbaine de Montreal case, the impugned act of the respondent is clearly legislative in the adoption of hearing standards for police officers in regulations made pursuant to regulatory powers delegated to it under its enabling legislation. In the present case, the prohibition against hiring family members is not similarly the product of legislation or regulation; nor does it, in my view, fit comfortably with the identifying characteristic of a legislative act proffered by S.A.D. Smith: "The creation and promulgation of a general rule of conduct without reference to particular cases." In the context of the present case, the general rule of conduct is the funding of necessary health care established through the CSIL program or other continuing care programs. The impugned policy would be meaningless and without effect without the creation and promulgation of such programs. It falls comfortably in S.A.D. Smith's second category of "administrative act", which "includes the </w:t>
      </w:r>
      <w:r>
        <w:rPr>
          <w:rFonts w:ascii="arial" w:eastAsia="arial" w:hAnsi="arial" w:cs="arial"/>
          <w:color w:val="000000"/>
          <w:sz w:val="20"/>
          <w:u w:val="single"/>
          <w:lang w:val="en-US" w:eastAsia="en-US" w:bidi="ar-SA"/>
        </w:rPr>
        <w:t>the adoption of a policy</w:t>
      </w:r>
      <w:r>
        <w:rPr>
          <w:rFonts w:ascii="arial" w:eastAsia="arial" w:hAnsi="arial" w:cs="arial"/>
          <w:color w:val="000000"/>
          <w:sz w:val="20"/>
          <w:lang w:val="en-US" w:eastAsia="en-US" w:bidi="ar-SA"/>
        </w:rPr>
        <w:t>, the making and issuance of a specific direction and the application of a general rule to a particular case in accordance with the requirements of policy or expediency or administrative practice."(underlining added). In the circumstances, the conditions in the case at bar do not invoke the fundamental rules or traditional principles of immunity required "to safeguard the free and effective discharge of the legislative function" because the adoption of the impugned policy represents an administrative practice rather than the exercise of a legislative 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Accordingly, a finding that the policy applied unsparingly in the conditions at bar has a discriminatory effect engages the right to redress within the statutory scope of s. 37 of the Code, which includes "compensation ... for all or a part ... of any wages or salary lost by the contravention." In my opinion on that basis the present case is distinguishable from the Communaute urbaine de Montreal decision.</w:t>
      </w:r>
      <w:r>
        <w:rPr>
          <w:rFonts w:ascii="arial" w:eastAsia="arial" w:hAnsi="arial" w:cs="arial"/>
          <w:sz w:val="20"/>
          <w:lang w:val="en-US" w:eastAsia="en-US" w:bidi="ar-SA"/>
        </w:rPr>
        <w:cr/>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Tribunal err in determining the amount of the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final argument advanced by the petitioner is that if the Tribunal did have jurisdiction to make a monetary award against the province, the member erred in determining the amount. The petitioner concedes the standard of review is patently unreasonable, but contends that in the circumstances the Tribunal member's award should be quashed. The petitioner submitted that the funding made available to Ms. Hutchinson was based on her living independently of her father and the fact that she has continued to live with him requires a new assessment of her needs in light of that altered circumstance.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Counsel for the Hutchinsons submitted that the award for loss of opportunity for Mr. Hutchinson was discounted by the Tribunal member to account for the care he could be expected to provide for free as a family member and reducing it further would be inappropriate. The respondents submitted that it should not be required that "an individual give up all employment to support an adult child with a disability who requires 24 hour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 conclude that the Tribunal member's award was not patently unreasonable in the circumstances. Mr. Hutchinson is the single parent of a severely disabled daughter who had been assessed as in need of 24 hour care. The Tribunal member took into account on a reason basis what notional free care Mr. Hutchinson should be expected to give in the circumstances and as well to reflect the fact that the loss was of an opportunity, not an actual position. It is significant in my opinion that the amount to which the Tribunal member reduced the award for lost opportunity and calculated as Mr. Hutchinson's remuneration for ongoing care parallels the average payment made to disabled persons under the CISL program to fund their care with the voluntary assistance of family and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 would therefore not give effect to the petitioner's argument that the Tribunal member's determination of the amount of compensation was patently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As I see it, in this case the fundamental issue is not, as framed by the petitioner, one implicating the proper role of government to determine the nature of healthcare issues and how limited resources are to be allocated.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Rather, the issue is whether an administrative policy utilized in the implementation of health care programs which have been established through the allocation of limited resources, but having a potentially discriminatory effect is justiciable through the application of the Code. In this case, the conclusion that the proscription against hiring family members under the CSIL program is justiciable under the Code and subject to remedial order is not, of course, tantamount to concluding that such a policy is invalid for all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Rather, the effect of the Tribunal's finding is that under the CISL program without the ability to provide for exceptions, the policy may have a discriminatory effect in individual cases and must be modified to systematically avoid such an effect. The Tribunal member found that there would not be undue hardship for the ministry to tailor exceptions in appropriate cases. No review was sought of that finding. In the result, the Tribunal member's findings and orders do not assume the proportions of an infringement on the proper role of government as contended by the petitioner. The scope of the ruling is rather to apply the provisions of the Code to rectify the discriminatory effect of an administrative policy in an individual case and to require provision for a systematic means of avoiding its discriminatory effect in future individual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Accordingly, I dismiss the petitioner's application for judicial review and order costs to the respondents.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In its submission, counsel for the petitioner requested that the effect of this court's decision be suspended for a period of four months and that the Tribunal member's order that the Province be given nine months in which to amend its policy be stayed. In my view in the circumstances it is appropriate to make the order sought and I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CULLEN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October 19,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 to the Reasons for Judgment issued advising that:</w:t>
      </w:r>
      <w:r>
        <w:rPr>
          <w:rFonts w:ascii="arial" w:eastAsia="arial" w:hAnsi="arial" w:cs="arial"/>
          <w:sz w:val="20"/>
          <w:lang w:val="en-US" w:eastAsia="en-US" w:bidi="ar-SA"/>
        </w:rPr>
        <w:cr/>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page 1 of my judgment, J. Doulis should be added as counsel for the respondents Cheryl Hutchinson and Phillip Hutchinson.</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page 11 paragraph 31 and page 39 paragraph 104, the correct citation should read: BC Gov't &amp; Service Employees Union v. H.M.T.Q. </w:t>
      </w:r>
      <w:hyperlink r:id="rId462" w:history="1">
        <w:r>
          <w:rPr>
            <w:rFonts w:ascii="arial" w:eastAsia="arial" w:hAnsi="arial" w:cs="arial"/>
            <w:i/>
            <w:color w:val="0077CC"/>
            <w:sz w:val="20"/>
            <w:u w:val="single"/>
            <w:shd w:val="clear" w:color="auto" w:fill="FFFFFF"/>
            <w:lang w:val="en-US" w:eastAsia="en-US" w:bidi="ar-SA"/>
          </w:rPr>
          <w:t>2002 BCCA 476</w:t>
        </w:r>
      </w:hyperlink>
      <w:r>
        <w:rPr>
          <w:rFonts w:ascii="arial" w:eastAsia="arial" w:hAnsi="arial" w:cs="arial"/>
          <w:color w:val="000000"/>
          <w:sz w:val="20"/>
          <w:lang w:val="en-US" w:eastAsia="en-US" w:bidi="ar-SA"/>
        </w:rPr>
        <w:t>.</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page 58 in paragraph 163, the fourth sentence should read as follows: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"In the context of the present case, the general rule of conduct is the funding of necessary health care established through the CSIL program or other continuing care programs."</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page 59, in paragraph 165 the first sentence should read as follows: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"The final argument advanced by the petitioner is that if the Tribunal did have jurisdiction to make a monetary award against the province, the member erred in determining the amount."</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9" style="position:absolute;z-index:2518743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84"/>
          <w:headerReference w:type="default" r:id="rId485"/>
          <w:footerReference w:type="even" r:id="rId486"/>
          <w:footerReference w:type="default" r:id="rId487"/>
          <w:headerReference w:type="first" r:id="rId488"/>
          <w:footerReference w:type="first" r:id="rId48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90" w:history="1">
        <w:r>
          <w:rPr>
            <w:rFonts w:ascii="arial" w:eastAsia="arial" w:hAnsi="arial" w:cs="arial"/>
            <w:b/>
            <w:bCs/>
            <w:i/>
            <w:color w:val="0077CC"/>
            <w:kern w:val="32"/>
            <w:sz w:val="28"/>
            <w:szCs w:val="32"/>
            <w:u w:val="single"/>
            <w:shd w:val="clear" w:color="auto" w:fill="FFFFFF"/>
            <w:lang w:val="en-US" w:eastAsia="en-US" w:bidi="ar-SA"/>
          </w:rPr>
          <w:t>Samaroo v. Canada Revenue Agency, [2014] B.C.J. No. 1879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R.D. Punnett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27 and 28, 2014; written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submissions of the plaintiffs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received June 13, 2014; written submissions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of the defendants received June</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13, 2014.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18,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12-1154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1879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91" w:history="1">
        <w:r>
          <w:rPr>
            <w:rFonts w:ascii="arial" w:eastAsia="arial" w:hAnsi="arial" w:cs="arial"/>
            <w:i/>
            <w:color w:val="0077CC"/>
            <w:sz w:val="20"/>
            <w:u w:val="single"/>
            <w:shd w:val="clear" w:color="auto" w:fill="FFFFFF"/>
            <w:lang w:val="en-US" w:eastAsia="en-US" w:bidi="ar-SA"/>
          </w:rPr>
          <w:t>2014 BCSC 1349</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91" w:history="1">
        <w:r>
          <w:rPr>
            <w:rFonts w:ascii="arial" w:eastAsia="arial" w:hAnsi="arial" w:cs="arial"/>
            <w:i/>
            <w:color w:val="0077CC"/>
            <w:sz w:val="20"/>
            <w:u w:val="single"/>
            <w:shd w:val="clear" w:color="auto" w:fill="FFFFFF"/>
            <w:lang w:val="en-US" w:eastAsia="en-US" w:bidi="ar-SA"/>
          </w:rPr>
          <w:t>2014 D.T.C. 5096</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91" w:history="1">
        <w:r>
          <w:rPr>
            <w:rFonts w:ascii="arial" w:eastAsia="arial" w:hAnsi="arial" w:cs="arial"/>
            <w:i/>
            <w:color w:val="0077CC"/>
            <w:sz w:val="20"/>
            <w:u w:val="single"/>
            <w:shd w:val="clear" w:color="auto" w:fill="FFFFFF"/>
            <w:lang w:val="en-US" w:eastAsia="en-US" w:bidi="ar-SA"/>
          </w:rPr>
          <w:t>243 A.C.W.S. (3d) 250</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91" w:history="1">
        <w:r>
          <w:rPr>
            <w:rFonts w:ascii="arial" w:eastAsia="arial" w:hAnsi="arial" w:cs="arial"/>
            <w:i/>
            <w:color w:val="0077CC"/>
            <w:sz w:val="20"/>
            <w:u w:val="single"/>
            <w:shd w:val="clear" w:color="auto" w:fill="FFFFFF"/>
            <w:lang w:val="en-US" w:eastAsia="en-US" w:bidi="ar-SA"/>
          </w:rPr>
          <w:t>[2015] 1 C.T.C. 204</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91" w:history="1">
        <w:r>
          <w:rPr>
            <w:rFonts w:ascii="arial" w:eastAsia="arial" w:hAnsi="arial" w:cs="arial"/>
            <w:i/>
            <w:color w:val="0077CC"/>
            <w:sz w:val="20"/>
            <w:u w:val="single"/>
            <w:shd w:val="clear" w:color="auto" w:fill="FFFFFF"/>
            <w:lang w:val="en-US" w:eastAsia="en-US" w:bidi="ar-SA"/>
          </w:rPr>
          <w:t>2014 CarswellBC 2113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91" w:history="1">
        <w:r>
          <w:rPr>
            <w:rFonts w:ascii="arial" w:eastAsia="arial" w:hAnsi="arial" w:cs="arial"/>
            <w:i/>
            <w:color w:val="0077CC"/>
            <w:sz w:val="20"/>
            <w:u w:val="single"/>
            <w:shd w:val="clear" w:color="auto" w:fill="FFFFFF"/>
            <w:lang w:val="en-US" w:eastAsia="en-US" w:bidi="ar-SA"/>
          </w:rPr>
          <w:t>68 B.C.L.R. (5th) 154</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91" w:history="1">
        <w:r>
          <w:rPr>
            <w:rFonts w:ascii="arial" w:eastAsia="arial" w:hAnsi="arial" w:cs="arial"/>
            <w:i/>
            <w:color w:val="0077CC"/>
            <w:sz w:val="20"/>
            <w:u w:val="single"/>
            <w:shd w:val="clear" w:color="auto" w:fill="FFFFFF"/>
            <w:lang w:val="en-US" w:eastAsia="en-US" w:bidi="ar-SA"/>
          </w:rPr>
          <w:t>[2014] G.S.T.C. 95</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Tony Samaroo and Helen Samaroo, Plaintiffs, and Canada Revenue Agency, Brian David Jones, Brian D. Jones Law Corporation,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0" style="position:absolute;z-index:251678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1" w:name="Keywords_18"/>
      <w:bookmarkEnd w:id="131"/>
      <w:r>
        <w:rPr>
          <w:rFonts w:ascii="arial" w:eastAsia="arial" w:hAnsi="arial" w:cs="arial"/>
          <w:b/>
          <w:color w:val="000000"/>
          <w:sz w:val="20"/>
          <w:lang w:val="en-US" w:eastAsia="en-US" w:bidi="ar-SA"/>
        </w:rPr>
        <w:t>Civil litigation — Civil procedure — Discovery — Production and inspection of documents — Objections and compelling production — Privileged documents — Crown privilege or public interest — Solicitor-client privilege — Waiver of privilege — Relevancy — Scope — Documents not property of party — Application by plaintiffs for document production allowed in part — Action for negligent investigation and malicious prosecution in connection with tax charges — Documents obtained by defendants' counsel in anticipation Crown would be added as defendant in possession and control of defendants — Relevant time period for claims not limited to after charges laid — All listed documents relevant — Crown immunity privilege respecting prosecutorial discretion not bar disclosure in malicious prosecution claims — One document not producible due to public interest immunity — Legal advice concerning appeal covered by solicitor-client privilege — Privilege could not be waived by counsel — Supreme Court Civil Rules, Rule 7-1(1).</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Government law — Ministries, departments and agencies — Authority and powers — Discretionary powers — Abuse of — Crown privilege — Public interest privilege — Actions by and against Crown — Abuse of legal procedure — Malicious prosecution by Crown servants — Statutory defences, immunities, and bars to actions — Practice and procedure — Discovery — Application by plaintiffs for document production allowed in part — Action for negligent investigation and malicious prosecution in connection with tax charges — Documents obtained by defendants' counsel in anticipation Crown would be added as defendant in possession and control of defendants — Relevant time period for claims not limited to after charges laid — All listed documents relevant — Crown immunity privilege respecting prosecutorial discretion not bar disclosure in malicious prosecution claims — One document not producible due to public interest immunity — Legal advice concerning appeal covered by solicitor-client privilege — Privilege could not be waived by counsel — Supreme Court Civil Rules, Rule 7-1(1).</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Abuse of legal procedure or process — Malicious prosecution — Establishing elements — Want of reasonable and probable cause — Proof — Practice and procedure — Discovery — Application by plaintiffs for document production allowed in part — Action for negligent investigation and malicious prosecution in connection with tax charges — Documents obtained by defendants' counsel in anticipation Crown would be added as defendant in possession and control of defendants — Relevant time period for claims not limited to after charges laid — All listed documents relevant — Crown immunity privilege respecting prosecutorial discretion not bar disclosure in malicious prosecution claims — One document not producible due to public interest immunity — Legal advice concerning appeal covered by solicitor-client privilege — Privilege could not be waived by counsel — Supreme Court Civil Rules, Rule 7-1(1).</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2" w:name="Case Summary_19"/>
            <w:bookmarkEnd w:id="13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plaintiffs for document production. The action alleged negligent investigation and malicious prosecution against the Canada Revue Agency, a law corporation and an individual lawyer with respect to tax evasion charges. The defendants argued that the requested documents were irrelevant as they fell outside the time period relevant to the claim. They further argued that some documents were not in their possession or control and were covered by Crown immunity or solicitor-client privilege. The court raised the issue and sought submissions concerning the application of public interest immunity. The plaintiffs argued that all documents were relevant, in the possession and control of the defendants, and not covered by privilege or immunity. In the event solicitor-client privilege applied to some of the documents, the plaintiffs argued that privilege was waived because the defendants put the state of mind of the individual defendant into issue.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33" w:name="Holdings of Court_15"/>
            <w:bookmarkEnd w:id="133"/>
            <w:r>
              <w:rPr>
                <w:rFonts w:ascii="arial" w:eastAsia="arial" w:hAnsi="arial" w:cs="arial"/>
                <w:color w:val="000000"/>
                <w:sz w:val="20"/>
                <w:lang w:val="en-US" w:eastAsia="en-US" w:bidi="ar-SA"/>
              </w:rPr>
              <w:t>HELD: The application was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Documents obtained by the defendants' counsel in anticipation that the Crown would be added as a defendant were in the possession and control of the defendants. Counsel possessed the documents in their capacity as counsel for parties to the proceeding. Documents relating to the drafting of charges, an initial sentencing position and a legal opinion on a possible appeal were relevant. The relevant time period for malicious prosecution was not limited to after charges were laid and prior to an acquittal. The only available relevant documents relating to the objective grounds and probable cause aspects of the claim pre-dated the laying of charges. Information available before charges were laid were often used to determine improper motive and reasonable and probable grounds in malicious prosecution cases. The post-acquittal document could be relevant to the state of mind of the prosecutor during the prosecution. Pre-charge documentation also contained information about evidence available to prosecutors in making the decision to prosecute and communications with investigators were potentially relevant to the negligent investigation claim. Further, and in any event, neither the pleadings nor the case plan order confined the relevant time period of the claim. While Crown immunity applied in circumstances respecting the exercise of prosecutorial discretion, it was not a bar to malicious prosecution claims and therefore could not prevent the disclosure of relevant charge approval materials. In all but one case, public interest immunity did not bar the disclosure of the requested documents. In one case, immunity did not apply. In other cases, the highly probative value of the documents outweighed the public interest in non-disclosure. It was not in the public interest to disclose one document which contained information about an internal website, password and account information. A communication offering legal advice on the merits of an appeal was covered by solicitor-client privilege. The individual defendant was the counsel who drafted the document and therefore could not waive privilege which belonged to his client.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4" w:name="Legislation Cited_13"/>
      <w:bookmarkEnd w:id="13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21" style="position:absolute;z-index:2517299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Excise Tax Act, </w:t>
      </w:r>
      <w:hyperlink r:id="rId492" w:history="1">
        <w:r>
          <w:rPr>
            <w:rFonts w:ascii="arial" w:eastAsia="arial" w:hAnsi="arial" w:cs="arial"/>
            <w:i/>
            <w:color w:val="0077CC"/>
            <w:sz w:val="20"/>
            <w:u w:val="single"/>
            <w:shd w:val="clear" w:color="auto" w:fill="FFFFFF"/>
            <w:lang w:val="en-US" w:eastAsia="en-US" w:bidi="ar-SA"/>
          </w:rPr>
          <w:t>R.S.C. 1985, c. E-15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Income Tax Act, R.S.C. 1985, c. 1 (5th Supp.),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B.C. Reg. 168-2009, Rule 7-1(1), Rule 7-1(18)</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35" w:name="Counsel_19"/>
      <w:bookmarkEnd w:id="13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2" style="position:absolute;z-index:2517811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S.M. Kelliher, C. Funt.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D.J. Strachan, S.A. Lord.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6" w:name="Judgment_19"/>
      <w:bookmarkEnd w:id="136"/>
      <w:r>
        <w:pict>
          <v:line id="_x0000_s1123" style="position:absolute;z-index:25183129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re Application for Production of Documents</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7" w:name="R.D. PUNNETT J."/>
            <w:bookmarkEnd w:id="137"/>
            <w:r>
              <w:rPr>
                <w:rFonts w:ascii="arial" w:eastAsia="arial" w:hAnsi="arial" w:cs="arial"/>
                <w:b/>
                <w:color w:val="000000"/>
                <w:sz w:val="30"/>
                <w:lang w:val="en-US" w:eastAsia="en-US" w:bidi="ar-SA"/>
              </w:rPr>
              <w:t>R.D. PUNNETT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Nature of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husband and wife were acquitted of various charges under the </w:t>
      </w:r>
      <w:r>
        <w:rPr>
          <w:rFonts w:ascii="arial" w:eastAsia="arial" w:hAnsi="arial" w:cs="arial"/>
          <w:i/>
          <w:color w:val="000000"/>
          <w:sz w:val="20"/>
          <w:lang w:val="en-US" w:eastAsia="en-US" w:bidi="ar-SA"/>
        </w:rPr>
        <w:t>Income Tax Act</w:t>
      </w:r>
      <w:r>
        <w:rPr>
          <w:rFonts w:ascii="arial" w:eastAsia="arial" w:hAnsi="arial" w:cs="arial"/>
          <w:color w:val="000000"/>
          <w:sz w:val="20"/>
          <w:lang w:val="en-US" w:eastAsia="en-US" w:bidi="ar-SA"/>
        </w:rPr>
        <w:t xml:space="preserve">, R.S.C., 1985, c. 1 and the </w:t>
      </w:r>
      <w:r>
        <w:rPr>
          <w:rFonts w:ascii="arial" w:eastAsia="arial" w:hAnsi="arial" w:cs="arial"/>
          <w:i/>
          <w:color w:val="000000"/>
          <w:sz w:val="20"/>
          <w:lang w:val="en-US" w:eastAsia="en-US" w:bidi="ar-SA"/>
        </w:rPr>
        <w:t>Excise Tax Act</w:t>
      </w:r>
      <w:r>
        <w:rPr>
          <w:rFonts w:ascii="arial" w:eastAsia="arial" w:hAnsi="arial" w:cs="arial"/>
          <w:color w:val="000000"/>
          <w:sz w:val="20"/>
          <w:lang w:val="en-US" w:eastAsia="en-US" w:bidi="ar-SA"/>
        </w:rPr>
        <w:t xml:space="preserve">, </w:t>
      </w:r>
      <w:hyperlink r:id="rId492" w:history="1">
        <w:r>
          <w:rPr>
            <w:rFonts w:ascii="arial" w:eastAsia="arial" w:hAnsi="arial" w:cs="arial"/>
            <w:i/>
            <w:color w:val="0077CC"/>
            <w:sz w:val="20"/>
            <w:u w:val="single"/>
            <w:shd w:val="clear" w:color="auto" w:fill="FFFFFF"/>
            <w:lang w:val="en-US" w:eastAsia="en-US" w:bidi="ar-SA"/>
          </w:rPr>
          <w:t>R.S.C., 1985, c. E-15</w:t>
        </w:r>
      </w:hyperlink>
      <w:r>
        <w:rPr>
          <w:rFonts w:ascii="arial" w:eastAsia="arial" w:hAnsi="arial" w:cs="arial"/>
          <w:color w:val="000000"/>
          <w:sz w:val="20"/>
          <w:lang w:val="en-US" w:eastAsia="en-US" w:bidi="ar-SA"/>
        </w:rPr>
        <w:t>. Their action for malicious prosecution arises as a result. They sue the defendants Brian David Jones and his law corporation in their personal capacities and Canada Revenue Agency ("CRA") as a corporation liable for the acts of its agent Brian Jones.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brought three applications. They consist of an application for production of documents, an application for responses to questions arising on the examination for discovery of a representative of the CRA and an application to strike the defendant CRA's response. The application to strike was adjourned generally, the defendants' response to the questions arising from the examination for discovery acknowledges that the information has not yet been produced but is being compiled and the defendant CRA intends to provide it to the plaintiffs. As a result only the application for production of documents was heard.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As the chronology of events surrounding the trial for tax evasion is relevant to the issues arising on this application, I set it out as follows:</w:t>
      </w:r>
      <w:r>
        <w:rPr>
          <w:rFonts w:ascii="arial" w:eastAsia="arial" w:hAnsi="arial" w:cs="arial"/>
          <w:sz w:val="20"/>
          <w:lang w:val="en-US" w:eastAsia="en-US" w:bidi="ar-SA"/>
        </w:rPr>
        <w:cr/>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January 4, 2007: Alan Jones, an investigator with the CRA, swore an information to obtain a search warrant against the residence and business premises of the plaintiffs;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January 17, 2007: Alan Jones swore a further information to obtain a search warrant.</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January 24, 2007: the searches of the Samaroo home and business premises were executed.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February 2008: CRA reassessed the plaintiffs.</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January 22, 2008: Brian Jones and Brian Jones Law Corporation are retained as agent in the prosecution, pursuant to an agreement with the Public Prosecution Service of Canada (the "PPSC").</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June 12, 2008: the plaintiffs, Tony and Helen Samaroo, along with their corporations (Samaroo Holdings Ltd. and M.G.M. Restaurants Ltd.), are charged with tax offences pursuant to a 21-count information.</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April 6, 2011: the Samaroo's are acquitted of all charges following a 19-day trial in Provincial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Application Filed June 24, 2013 for Production of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documents the plaintiffs seek to have produced have been described as documents 4.1-4.12. Documents 4.1-4.9 pre-date the swearing of charges against the plaintiffs, documents 4.10 and 4.11 relate to issues of initial sentencing position and document disclosure and document 4.12 is an opinion from Brian Jones to the PPSC respecting the possibility of an appeal and of course post-dates the acquittal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In their initial list of documents, served September 21, 2012, the defendants indicated that documents 4.1-4.12 were subject to solicitor-client privilege. The defendants now state that they listed the documents as subject to solicitor-client privilege based on the belief that the claim against Brian Jones included a claim against him in his capacity as a Crown Agent and, further, that the plaintiffs "might amend" their claim to include the Attorney General of Canada as a party, given that it is unusual to allege malicious prosecution without suing the Crown. However, as the plaintiff has now made clear they have no intention of suing the Crown, the defendants served a new list of documents dated July 8, 2013, which states that documents 4.1 to 4.11 are excluded from production on the basis that they are not relevant, as they relate to a time period falling outside of the time period relevant to the claim and do not relate to issues before the court in the claim. They say that disclosure is not required under Rule 7-1(1)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B.C. Reg. 168-2009, as the documents will not prove or disprove a material fact in the action. In the alternative, they submit that if any of the documents are found to be relevant, they are protected from production either by solicitor-client or Crown immunity.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defendants group the requested documents into three separate categories based on these objections, although the objections overlap.</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Documents 4.1 - 4.5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These documents consist of the following:</w:t>
      </w:r>
      <w:r>
        <w:rPr>
          <w:rFonts w:ascii="arial" w:eastAsia="arial" w:hAnsi="arial" w:cs="arial"/>
          <w:sz w:val="20"/>
          <w:lang w:val="en-US" w:eastAsia="en-US" w:bidi="ar-SA"/>
        </w:rPr>
        <w:cr/>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Document 4.1 dated January 14, 2007, consisting of notes of telephone conversations between Lisa McLean, a lawyer at the PPSC and Keith Kendal, an investigator for the CRA (2 pages);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Document 4.2 dated January 8, 2008, consisting of notes of telephone conversations between Lisa McLean and Brian Jones (3 pages);</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Document 4.3 dated January 10, 2008, consisting of notes of telephone conversations between Lisa McLean and Keith Kendal (6 pages);</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Document 4.4 dated January 20, 2008, a memo from Lisa McLean to Lisa Dumbrell, a lawyer at the PPSC (3 pages); and</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Document 4.5 dated January 14, 2008, a memo to file prepared by Lisa McLean (11 pages).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defendants have a preliminary objection to the listing of these documents, saying that they were listed in error and that they are not in possession or control of the defendants.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Documents 4.6 - 4.11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This next series of documents is described as follows:</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Document 4.6 dated January 25, 2008, an email from Lisa McLean to Brian Jones (1 page);</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Document 4.7 dated April 24, 2008, emails between Brian Jones and Janna Hyman, counsel at the PPSC (1 page);</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Document 4.8 dated April 24-28, 2008, emails between Janna Hyman and Brian Jones (2 pages);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Document 4.9 dated May 28, 2008, emails between Marsha Down, Brian Jones and Janna Hyman (2 pages);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Document 4.10 dated July 28, 2008, emails between Janna Hyman and Brian Jones (1 page); and</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Document 4.11 dated December 1-10, 2009, emails between Brian Jones, Janna Hyman and Alan Jones (2 pages).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Documents 4.6 to 4.10 consist of communications between the PPSC and Brian Jones regarding the drafting of charges and a recommended initial sentencing position. Document 4.11 is an email string that includes PPSC, CRA and Brian Jones and the issue of disclosure of CRA policy manuals.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objection as to relevance and time period applies to documents 4.6-4.9. Further, as noted the defendants say that documents 4.1-4.11 are subject to Crown immunity privilege.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Document 4.12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This document was described as dated April 18, 2011 being a letter from Brian Jones to Janna Hyman attaching a copy of the prosecution report and information (15 pages). It is a legal opinion regarding the issue of a possible appeal of the acquittal of the plaintiffs in provincial court. It is addressed to the office of the Director of Public Prosecutions and requests that it be placed before the Appeals Committee. (It is not disputed that authority to appeal does not lie with the agent, Brian Jones). The defendants submit as a result it is subject to solicitor-client privilege. They also say that, as it was written after the plaintiffs were acquitted, it is not relevant. The defendants say that the same objection raised as to the relevant time period for documents 4.1-4.9 applies to this document.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Possession and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defendants submit that documents 4.1-4.5 were properly in the possession or control of the PPSC, and that they were included in the list of documents in error as they are not in the possession or control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Each of these documents are part of the PPSC file that arose out of the prosecution of the Samaroos. The PPSC is not a party to this action. The defendants submit that they are communications authored by PPSC in-house counsel. While the defendants have in their possession copies of the documents in question they submit that does not mean they are in their possession or control for the purposes of document production. The defendants argue that as the documents are not in their possession or control the plaintiffs' remedy is to apply for production pursuant to Rule 7-1(18), which applies to documents in possession of a person who is not a party of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plaintiffs submit that if counsel for the defendants can get access to the documents (as they have done, given they have possession of them) then they are within the control of Brian Jones as his lawyers are his agents.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Rule 7-1(1) requires that a party of record list "all documents that are or have been in the party's possession or control and that could, if available, be used by any party of record at trial to prove or disprove a material fact, ...". Rule 7-1(18) provides that if a document is in the possession or control of a person who is not a party of record, the court, on an application, may make an order for production, inspection and copying of the document, or preparation of a certified copy that may be used instead of the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defendants' counsel are employees of the PPSC. The PPSC is a federal government department. Their clients however are CRA and Mr. Brian Jones and his corporation. Possession or control applies to the parties to the claim, not their solicitors. The issue then is whether the documents are "in the possession or control" of the parties, not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Possession is more than mere access to the document. In </w:t>
      </w:r>
      <w:r>
        <w:rPr>
          <w:rFonts w:ascii="arial" w:eastAsia="arial" w:hAnsi="arial" w:cs="arial"/>
          <w:i/>
          <w:color w:val="000000"/>
          <w:sz w:val="20"/>
          <w:lang w:val="en-US" w:eastAsia="en-US" w:bidi="ar-SA"/>
        </w:rPr>
        <w:t>Manson v. Manson</w:t>
      </w:r>
      <w:r>
        <w:rPr>
          <w:rFonts w:ascii="arial" w:eastAsia="arial" w:hAnsi="arial" w:cs="arial"/>
          <w:color w:val="000000"/>
          <w:sz w:val="20"/>
          <w:lang w:val="en-US" w:eastAsia="en-US" w:bidi="ar-SA"/>
        </w:rPr>
        <w:t xml:space="preserve">, </w:t>
      </w:r>
      <w:hyperlink r:id="rId493" w:history="1">
        <w:r>
          <w:rPr>
            <w:rFonts w:ascii="arial" w:eastAsia="arial" w:hAnsi="arial" w:cs="arial"/>
            <w:i/>
            <w:color w:val="0077CC"/>
            <w:sz w:val="20"/>
            <w:u w:val="single"/>
            <w:shd w:val="clear" w:color="auto" w:fill="FFFFFF"/>
            <w:lang w:val="en-US" w:eastAsia="en-US" w:bidi="ar-SA"/>
          </w:rPr>
          <w:t>1997 CanLii 3989</w:t>
        </w:r>
      </w:hyperlink>
      <w:r>
        <w:rPr>
          <w:rFonts w:ascii="arial" w:eastAsia="arial" w:hAnsi="arial" w:cs="arial"/>
          <w:color w:val="000000"/>
          <w:sz w:val="20"/>
          <w:lang w:val="en-US" w:eastAsia="en-US" w:bidi="ar-SA"/>
        </w:rPr>
        <w:t xml:space="preserve"> (B.C.S.C.), the petitioner and the respondent had resided together in a house. The petitioner left and the respondent remained in the home with a right of exclusive possession. While the respondent had custody of the petitioner's documents she did not have possession and control; that remained with the petitioner. The respondent was not required to list the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Defendants' counsel have custody of the documents because they anticipated that the Crown would be a party. Once they realized that the plaintiffs were not suing the Crown, they kept the documents in case the court wished to review them given the arguments over relevance. In other words, counsel have obtained them as part of their brief. That does not mean they are in possession or control of the defendants unless counsel are the agent of the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England documents obtained by a party's solicitor apparently do not need to be produced, as they are the property of the solicitor, not the client. However that does not appear to be the case in Canada. In </w:t>
      </w:r>
      <w:r>
        <w:rPr>
          <w:rFonts w:ascii="arial" w:eastAsia="arial" w:hAnsi="arial" w:cs="arial"/>
          <w:i/>
          <w:color w:val="000000"/>
          <w:sz w:val="20"/>
          <w:lang w:val="en-US" w:eastAsia="en-US" w:bidi="ar-SA"/>
        </w:rPr>
        <w:t>Jones, Gable &amp; Company Limited v. Price</w:t>
      </w:r>
      <w:r>
        <w:rPr>
          <w:rFonts w:ascii="arial" w:eastAsia="arial" w:hAnsi="arial" w:cs="arial"/>
          <w:color w:val="000000"/>
          <w:sz w:val="20"/>
          <w:lang w:val="en-US" w:eastAsia="en-US" w:bidi="ar-SA"/>
        </w:rPr>
        <w:t xml:space="preserve"> </w:t>
      </w:r>
      <w:hyperlink r:id="rId494" w:history="1">
        <w:r>
          <w:rPr>
            <w:rFonts w:ascii="arial" w:eastAsia="arial" w:hAnsi="arial" w:cs="arial"/>
            <w:i/>
            <w:color w:val="0077CC"/>
            <w:sz w:val="20"/>
            <w:u w:val="single"/>
            <w:shd w:val="clear" w:color="auto" w:fill="FFFFFF"/>
            <w:lang w:val="en-US" w:eastAsia="en-US" w:bidi="ar-SA"/>
          </w:rPr>
          <w:t>(1977), 5 B.C.L.R. 103</w:t>
        </w:r>
      </w:hyperlink>
      <w:r>
        <w:rPr>
          <w:rFonts w:ascii="arial" w:eastAsia="arial" w:hAnsi="arial" w:cs="arial"/>
          <w:color w:val="000000"/>
          <w:sz w:val="20"/>
          <w:lang w:val="en-US" w:eastAsia="en-US" w:bidi="ar-SA"/>
        </w:rPr>
        <w:t xml:space="preserve">, </w:t>
      </w:r>
      <w:hyperlink r:id="rId494" w:history="1">
        <w:r>
          <w:rPr>
            <w:rFonts w:ascii="arial" w:eastAsia="arial" w:hAnsi="arial" w:cs="arial"/>
            <w:i/>
            <w:color w:val="0077CC"/>
            <w:sz w:val="20"/>
            <w:u w:val="single"/>
            <w:shd w:val="clear" w:color="auto" w:fill="FFFFFF"/>
            <w:lang w:val="en-US" w:eastAsia="en-US" w:bidi="ar-SA"/>
          </w:rPr>
          <w:t>[1978] 1 A.C.W.S. 194</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Jones</w:t>
      </w:r>
      <w:r>
        <w:rPr>
          <w:rFonts w:ascii="arial" w:eastAsia="arial" w:hAnsi="arial" w:cs="arial"/>
          <w:color w:val="000000"/>
          <w:sz w:val="20"/>
          <w:lang w:val="en-US" w:eastAsia="en-US" w:bidi="ar-SA"/>
        </w:rPr>
        <w:t>], Anderson J. was faced with an application by plaintiff's counsel to cross examine the defendant on certain documents not included in the list of documents supplied to counsel for the defendants. Counsel had argued that listing of the documents was not necessary as they were always in possession or control of counsel for the plaintiff as opposed to the plaintiff and in because they did not support the defendant's case or impeach the plaintiff's case. Anderson J. commented as follows on the possession or control issue: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In my view, "possession or control" of documents by counsel is "possession or control" by the client. No authorities have been cited on this point and, therefore, it seems to me that the rules of law applicable to the relationship of principal and agent should govern.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Although Anderson J. noted that he was not making a statement as to when the court should order that documents may be used by a party that has not conformed to the rules he did not place such a caveat on his comment at para.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 am of the view that I am bound by the </w:t>
      </w:r>
      <w:r>
        <w:rPr>
          <w:rFonts w:ascii="arial" w:eastAsia="arial" w:hAnsi="arial" w:cs="arial"/>
          <w:i/>
          <w:color w:val="000000"/>
          <w:sz w:val="20"/>
          <w:lang w:val="en-US" w:eastAsia="en-US" w:bidi="ar-SA"/>
        </w:rPr>
        <w:t>Jones</w:t>
      </w:r>
      <w:r>
        <w:rPr>
          <w:rFonts w:ascii="arial" w:eastAsia="arial" w:hAnsi="arial" w:cs="arial"/>
          <w:color w:val="000000"/>
          <w:sz w:val="20"/>
          <w:lang w:val="en-US" w:eastAsia="en-US" w:bidi="ar-SA"/>
        </w:rPr>
        <w:t xml:space="preserve"> decision on this point. In addition it is one with which I agree because presumably the reason counsel have the documents is in their capacity as counsel for a party. While the defendants' counsel in this matter are employees of the PPSC, this is not simply a matter of them having access to the documents in the course of their employment. In the circumstances, they have acquired the documents on behalf of the client. As a result I am of the view that as agent of the client their possession and control of the documents is indeed that of the client not counsel. The fact that they acquired them in anticipation of the pleadings being amended does not in my view change the situation if the documents are relevant to the issues that are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addition the list of documents must include "all documents that are or </w:t>
      </w:r>
      <w:r>
        <w:rPr>
          <w:rFonts w:ascii="arial" w:eastAsia="arial" w:hAnsi="arial" w:cs="arial"/>
          <w:i/>
          <w:color w:val="000000"/>
          <w:sz w:val="20"/>
          <w:lang w:val="en-US" w:eastAsia="en-US" w:bidi="ar-SA"/>
        </w:rPr>
        <w:t>have been</w:t>
      </w:r>
      <w:r>
        <w:rPr>
          <w:rFonts w:ascii="arial" w:eastAsia="arial" w:hAnsi="arial" w:cs="arial"/>
          <w:color w:val="000000"/>
          <w:sz w:val="20"/>
          <w:lang w:val="en-US" w:eastAsia="en-US" w:bidi="ar-SA"/>
        </w:rPr>
        <w:t xml:space="preserve"> in the party's possession or control" (emphasis added). It is clear from Brian Jones' affidavit that he had possession and control of the PPSC file, which included documents 4.1-4.5, throughout the prosecution and trial itself, a factor that supports disclosure of the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 therefore find that documents 4.1-4.5 are in the possession and control of the defendants. I now turn to the defendants' additional objections to the production of these documents, along with issues relating to documents 4.6-4.12.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Relevance and Time Period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Relevance relates to the issue or issues before the court as defined by the pleadings. Relevance under Rule 7-1(1), the rule respecting the obligation to disclose documents, was interpreted by me in </w:t>
      </w:r>
      <w:r>
        <w:rPr>
          <w:rFonts w:ascii="arial" w:eastAsia="arial" w:hAnsi="arial" w:cs="arial"/>
          <w:i/>
          <w:color w:val="000000"/>
          <w:sz w:val="20"/>
          <w:lang w:val="en-US" w:eastAsia="en-US" w:bidi="ar-SA"/>
        </w:rPr>
        <w:t>Biehl v. Strang</w:t>
      </w:r>
      <w:r>
        <w:rPr>
          <w:rFonts w:ascii="arial" w:eastAsia="arial" w:hAnsi="arial" w:cs="arial"/>
          <w:color w:val="000000"/>
          <w:sz w:val="20"/>
          <w:lang w:val="en-US" w:eastAsia="en-US" w:bidi="ar-SA"/>
        </w:rPr>
        <w:t xml:space="preserve">, </w:t>
      </w:r>
      <w:hyperlink r:id="rId495" w:history="1">
        <w:r>
          <w:rPr>
            <w:rFonts w:ascii="arial" w:eastAsia="arial" w:hAnsi="arial" w:cs="arial"/>
            <w:i/>
            <w:color w:val="0077CC"/>
            <w:sz w:val="20"/>
            <w:u w:val="single"/>
            <w:shd w:val="clear" w:color="auto" w:fill="FFFFFF"/>
            <w:lang w:val="en-US" w:eastAsia="en-US" w:bidi="ar-SA"/>
          </w:rPr>
          <w:t>2010 BCSC 1391</w:t>
        </w:r>
      </w:hyperlink>
      <w:r>
        <w:rPr>
          <w:rFonts w:ascii="arial" w:eastAsia="arial" w:hAnsi="arial" w:cs="arial"/>
          <w:color w:val="000000"/>
          <w:sz w:val="20"/>
          <w:lang w:val="en-US" w:eastAsia="en-US" w:bidi="ar-SA"/>
        </w:rPr>
        <w:t>, as limited to that which proves or disproves or assists in proving or disproving a material fact, rather than anything relating to every matter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torts alleged are negligent investigation by the CRA and malicious prosecution by Brian Jones. The defendants submit that the documents in question only potentially relate to the latter tort because they involve communications between Brian Jones and PPSC respecting the drafting of charges and the issue of an initial sentencing position (documents 4.6-4.10) and emails between PPSC, CRA and Brian Jones respecting disclosure of CRA policy manuals (document 4.11) and finally a legal opinion on the subject of a possible appeal authored by Brian Jones (document 4.12).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They further submit that they are irrelevant to the litigation as they don't fall into the relevant time period nor do they address the issues before the court in this claim. That is, they do not assist in proving or disproving a material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plaintiffs assert that the documents are relevant and that the time period is not limited as suggested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defendants submit that since PPSC made the initial decision to prosecute before the matter was referred to Brian Jones, and the Crown is not sued, it must be assumed PPSC had reasonable and probable cause in order to charge and then refer the file. As a result they submit the relevant time frame for the alleged malicious prosecution claim is from the swearing of the information to the conclusion of the trial. The charges were laid June 12, 2008 and the plaintiffs were acquitted on April 2011. Their rationale is that since no prosecution existed until the charges were sworn and the plaintiffs were not at risk until that time, the material facts for the purposes of a malicious prosecution claim must be assessed at of the time the charges were sworn. The defendants also argue that the documents are irrelevant to the allegation that Brian Jones continued the prosecution of the plaintiffs for an improper purpose when he knew there was no longer probable cause to continue. That is, they fall outside the relevant time frame and do not address the issues before the court and therefore do not assist in approving or disproving a material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plaintiffs' point out that the case plan order did not confine the production of documents to such a time period. They also submit that the time period for relevancy is not constrained as Brian Jones' state of mind, including for the period prior to the charges being laid, is in issue.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Discussion of Relevance and Time Period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Miazga v. Kvello Estate</w:t>
      </w:r>
      <w:r>
        <w:rPr>
          <w:rFonts w:ascii="arial" w:eastAsia="arial" w:hAnsi="arial" w:cs="arial"/>
          <w:color w:val="000000"/>
          <w:sz w:val="20"/>
          <w:lang w:val="en-US" w:eastAsia="en-US" w:bidi="ar-SA"/>
        </w:rPr>
        <w:t xml:space="preserve">, </w:t>
      </w:r>
      <w:hyperlink r:id="rId496" w:history="1">
        <w:r>
          <w:rPr>
            <w:rFonts w:ascii="arial" w:eastAsia="arial" w:hAnsi="arial" w:cs="arial"/>
            <w:i/>
            <w:color w:val="0077CC"/>
            <w:sz w:val="20"/>
            <w:u w:val="single"/>
            <w:shd w:val="clear" w:color="auto" w:fill="FFFFFF"/>
            <w:lang w:val="en-US" w:eastAsia="en-US" w:bidi="ar-SA"/>
          </w:rPr>
          <w:t>2009 SCC 51</w:t>
        </w:r>
      </w:hyperlink>
      <w:r>
        <w:rPr>
          <w:rFonts w:ascii="arial" w:eastAsia="arial" w:hAnsi="arial" w:cs="arial"/>
          <w:color w:val="000000"/>
          <w:sz w:val="20"/>
          <w:lang w:val="en-US" w:eastAsia="en-US" w:bidi="ar-SA"/>
        </w:rPr>
        <w:t xml:space="preserve"> at para. 3, the Supreme Court of Canada described the elements that make up a plea of malicious prosecution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To succeed in an action for malicious prosecution, a plaintiff must prove that the prosecution was: (1) initiated by the defendant; (2) terminated in favour of the plaintiff; (3) undertaken without reasonable and probable cause; and (4) motivated by malice or a primary purpose other than that of carrying the law into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onus on a plaintiff is high. </w:t>
      </w:r>
      <w:r>
        <w:rPr>
          <w:rFonts w:ascii="arial" w:eastAsia="arial" w:hAnsi="arial" w:cs="arial"/>
          <w:i/>
          <w:color w:val="000000"/>
          <w:sz w:val="20"/>
          <w:lang w:val="en-US" w:eastAsia="en-US" w:bidi="ar-SA"/>
        </w:rPr>
        <w:t>Miazga</w:t>
      </w:r>
      <w:r>
        <w:rPr>
          <w:rFonts w:ascii="arial" w:eastAsia="arial" w:hAnsi="arial" w:cs="arial"/>
          <w:color w:val="000000"/>
          <w:sz w:val="20"/>
          <w:lang w:val="en-US" w:eastAsia="en-US" w:bidi="ar-SA"/>
        </w:rPr>
        <w:t xml:space="preserve"> goes on to state that in order to prove malice, the plaintiff must: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[79] ... bring evidence that the defendant Crown was acting pursuant to an improper purpose inconsistent with the office of the Crown attorney. ... in deciding whether to initiate or continue a prosecution, the prosecutor must assess the legal strength of the case against the accused. The prosecutor should invoke the criminal process only where he or she believes, based on the existing state of circumstances that proof beyond a reasonable doubt could be made out in a court of law. It follows that, if the court concludes that the prosecutor initiated or continued the prosecution based on an </w:t>
      </w:r>
      <w:r>
        <w:rPr>
          <w:rFonts w:ascii="arial" w:eastAsia="arial" w:hAnsi="arial" w:cs="arial"/>
          <w:i/>
          <w:color w:val="000000"/>
          <w:sz w:val="20"/>
          <w:lang w:val="en-US" w:eastAsia="en-US" w:bidi="ar-SA"/>
        </w:rPr>
        <w:t>honest</w:t>
      </w:r>
      <w:r>
        <w:rPr>
          <w:rFonts w:ascii="arial" w:eastAsia="arial" w:hAnsi="arial" w:cs="arial"/>
          <w:color w:val="000000"/>
          <w:sz w:val="20"/>
          <w:lang w:val="en-US" w:eastAsia="en-US" w:bidi="ar-SA"/>
        </w:rPr>
        <w:t>, albeit mistaken, professional belief that reasonable and probable cause did in fact exist, he or she will have acted for the proper purpose of carrying the law into effect and the action must fail.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[80] The inverse proposition, however, is not true. The absence of a subjective belief in sufficient grounds, while a relevant factor, does not equate with malice.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para. 76 the Court said that, in making an objective assessment of the legal strength of the case, the court must look at the facts actually known to the prosecutor at the time of initiating or continuing the prosecution. However, that does not limit the relevant documents to those produced in that time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Court does note that care should be taken in reviewing the facts known at the relevant time, as "many aspects of a case only come to light during the course of a trial: witnesses may not testify in accordance with their earlier statements; weaknesses in the evidence may be revealed during cross-examination; scientific evidence may be proved faulty; or defence evidence may shed an entirely different light on the circumstances as they were known at the time process was initiated" (para. 76). This paragraph relates to the danger of second-guessing the prosecutor based on information that comes out later in the proceeding, rather than any difficulties that arise from information that was available prior to the proceeding. It does not restrict the time period for the assessment to the moment when charges are laid.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note that if there were no contemporaneous documents made at the time charges were laid or during the prosecution itself, so that the only relevant documents relating to the issue of objective grounds and probable cause predated the laying of charges it would be artificial to exclude them because of their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A review of various Supreme Court of Canada authorities on malicious prosecution shows that the Court often discusses the evidence that was available and communications between prosecutors before the charges were actually laid, both in assessing the reasonable and probably grounds test and in assessing the improper motive question. In </w:t>
      </w:r>
      <w:r>
        <w:rPr>
          <w:rFonts w:ascii="arial" w:eastAsia="arial" w:hAnsi="arial" w:cs="arial"/>
          <w:i/>
          <w:color w:val="000000"/>
          <w:sz w:val="20"/>
          <w:lang w:val="en-US" w:eastAsia="en-US" w:bidi="ar-SA"/>
        </w:rPr>
        <w:t>Proulx v. Quebec (Attorney-General)</w:t>
      </w:r>
      <w:r>
        <w:rPr>
          <w:rFonts w:ascii="arial" w:eastAsia="arial" w:hAnsi="arial" w:cs="arial"/>
          <w:color w:val="000000"/>
          <w:sz w:val="20"/>
          <w:lang w:val="en-US" w:eastAsia="en-US" w:bidi="ar-SA"/>
        </w:rPr>
        <w:t xml:space="preserve">, </w:t>
      </w:r>
      <w:hyperlink r:id="rId497" w:history="1">
        <w:r>
          <w:rPr>
            <w:rFonts w:ascii="arial" w:eastAsia="arial" w:hAnsi="arial" w:cs="arial"/>
            <w:i/>
            <w:color w:val="0077CC"/>
            <w:sz w:val="20"/>
            <w:u w:val="single"/>
            <w:shd w:val="clear" w:color="auto" w:fill="FFFFFF"/>
            <w:lang w:val="en-US" w:eastAsia="en-US" w:bidi="ar-SA"/>
          </w:rPr>
          <w:t>2001 SCC 66</w:t>
        </w:r>
      </w:hyperlink>
      <w:r>
        <w:rPr>
          <w:rFonts w:ascii="arial" w:eastAsia="arial" w:hAnsi="arial" w:cs="arial"/>
          <w:color w:val="000000"/>
          <w:sz w:val="20"/>
          <w:lang w:val="en-US" w:eastAsia="en-US" w:bidi="ar-SA"/>
        </w:rPr>
        <w:t>, for example, the Court discussed the evidence that was available before charges were actually laid when assessing the reasonable and probable grounds test and in assessing the improper motive question. Indeed, it is hard to see how it could be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As a result, in assessing the malicious prosecution claim in this case, it will be relevant to know what information Brian Jones had about the case, including any weaknesses in the evidence, both in the lead-up to and during the prosecution. All of his communications on those points (and even communications among the PPSC counsel regarding the evidence that lead to the charges being laid) are relevant to that point. This is the type of material that is necessary to assess what information was available to the prosecutor during the proceedings in order to determine if there were, objectively, reasonable and probable grounds for proceeding. As a result the materials relied on by Brian Jones and those related to his involvement prior to, during and after the prosecution are relevant. Events leading up to the prosecution and how it came about are relevant. The post-acquittal phase can be relevant as well if there is post-acquittal analysis and comment on what occurred, as it may go to the state of mind of Brian Jones during the prosecution. Such events and the documents evidencing them may go to proving or disproving the issue of whether or not the defendant had an improper motive. That is a material fact in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addition, documents 4.1- 4.5 relate to issues surrounding the evidence upon which the prosecution was to be based, deficiencies in it and further evidence required or to be investigated further. All this information would have been available to Brian Jones as part of the prosecution file and therefore formed a part of the information he would have relied on in determining whether there was a basis to proceed with the prosecution. Documents 4.1 and 4.3 involve communications with one of the CRA investigators involved in the plaintiffs' case and therefore appear potentially relevant to the negligent investigation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note that the pleadings do not confine the relevant time period. The amended notice of claim alleges that Brian Jones counselled, participated in and acquiesced to the initiation and continuation of the prosecution. That does not limit the time period to conduct after the information was sworn. Brian Jones was involved in the matter from the date of his retainer on January 22, 2008 until his reporting to PPSC respecting the outcome of the trial and possible grounds for appeal on April 28,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Finally, the case plan order which went by consent provided that the parties would list: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documents in respect of the decision by the CRA to initiate the Investigation;</w:t>
      </w:r>
    </w:p>
    <w:p>
      <w:pPr>
        <w:numPr>
          <w:numId w:val="2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documents in respect of CRA recommendations in the course of the initiation and continuation of the Prosecution;</w:t>
      </w:r>
    </w:p>
    <w:p>
      <w:pPr>
        <w:numPr>
          <w:numId w:val="2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documents in respect of the extent of the Defendants' consideration and investigation of the explanations put forward by the Samaroos and their representatives in the course of the Audit, Investigation, or Prosecution;</w:t>
      </w:r>
    </w:p>
    <w:p>
      <w:pPr>
        <w:numPr>
          <w:numId w:val="2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documents in respect of the reasonable and probable grounds of the CRA and Brian Jones in the course of the Prosecution;</w:t>
      </w:r>
    </w:p>
    <w:p>
      <w:pPr>
        <w:numPr>
          <w:numId w:val="2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documents authored by Brian Jones in respect of the investigation and Prosecution.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It placed no restrictions on the time period to which production related. It was not appealed.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As a result, I find that all the listed documents are 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Claims for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While the defendants initially claimed solicitor-client privilege over documents 4.1 to 4.11, they now assert that what is claimed is Crown immunity privilege. Only document 4.12 is still subject to a claim for solicitor-client privilege.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Crown Immunity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defendants say that the documents in question relate to prosecutorial discretion and that they are therefore subject to Crown immunity. They say that, in order to remove Crown immunity, the plaintiffs would need to show that there is proof of improper motive or bad faith on the part of the Director of Public Prosecutions or the PPSC itself. As they are not parties and since there are no allegations of improper conduct against either of them, the defendants submit that there is no reason to remove the immunity and order disclosure of any of the PPSC documents relating to decisions made concerning the prosecution of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defendants further argue that communications between Brian Jones and fellow prosecutors, arising from his role as prosecutor, also fall within the ambit of prosecutorial discretion and are therefore covered by Crown immunity from production. They submit that since the charges were approved by the Crown that establishes they met the requirements that there was a reasonable prospect of conviction and that the prosecution was in the public interest. This in my view ignores the fact that Crown immunity does not prevent the court from considering whether there has been abuse of the discretion. In doing so the court is not interfering with the exercise of that 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addition they submit that since Brian Jones did not have the authority to lay charges, his discussions with the Crown counsel who had authority to lay charges is irrelevant.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plaintiffs say that the court must weigh the competing public interest in the protection of prosecutorial discretion with the public interest in fulsome disclosure. They submit that, as the case involves allegations of malicious prosecution, the balance is in favour of disclosure.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power to bring a public prosecution in Canada is vested in the Attorney General of Canada. In </w:t>
      </w:r>
      <w:r>
        <w:rPr>
          <w:rFonts w:ascii="arial" w:eastAsia="arial" w:hAnsi="arial" w:cs="arial"/>
          <w:i/>
          <w:color w:val="000000"/>
          <w:sz w:val="20"/>
          <w:lang w:val="en-US" w:eastAsia="en-US" w:bidi="ar-SA"/>
        </w:rPr>
        <w:t>British Columbia (Attorney General) v. Davies</w:t>
      </w:r>
      <w:r>
        <w:rPr>
          <w:rFonts w:ascii="arial" w:eastAsia="arial" w:hAnsi="arial" w:cs="arial"/>
          <w:color w:val="000000"/>
          <w:sz w:val="20"/>
          <w:lang w:val="en-US" w:eastAsia="en-US" w:bidi="ar-SA"/>
        </w:rPr>
        <w:t xml:space="preserve">, </w:t>
      </w:r>
      <w:hyperlink r:id="rId498" w:history="1">
        <w:r>
          <w:rPr>
            <w:rFonts w:ascii="arial" w:eastAsia="arial" w:hAnsi="arial" w:cs="arial"/>
            <w:i/>
            <w:color w:val="0077CC"/>
            <w:sz w:val="20"/>
            <w:u w:val="single"/>
            <w:shd w:val="clear" w:color="auto" w:fill="FFFFFF"/>
            <w:lang w:val="en-US" w:eastAsia="en-US" w:bidi="ar-SA"/>
          </w:rPr>
          <w:t>2009 BCCA 337</w:t>
        </w:r>
      </w:hyperlink>
      <w:r>
        <w:rPr>
          <w:rFonts w:ascii="arial" w:eastAsia="arial" w:hAnsi="arial" w:cs="arial"/>
          <w:color w:val="000000"/>
          <w:sz w:val="20"/>
          <w:lang w:val="en-US" w:eastAsia="en-US" w:bidi="ar-SA"/>
        </w:rPr>
        <w:t>, the Court of Appeal said this about the protections for the exercise of prosecutorial discretion: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Within the judicial system, the principle of prosecutorial independence is reinforced through a number of legal protections. First, courts have very limited powers to directly intervene to control prosecutorial discretion. They do not have the right to dismiss charges simply on the basis that they consider them to have been brought imprudently ... Absent a violation of the principles of fundamental justice, charges will not be stayed to reflect dissatisfaction on the part of the court with the Crown's decisions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Equally, Canadian courts have indicated that they will not review Crown decisions to refrain from proceeding with prosecutions, at least in the absence of "flagrant impropriety"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The courts further protect prosecutorial discretion by providing prosecutors with immunity from civil suit in respect of charging decisions. Unless prosecutorial discretion has been exercised maliciously --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for an improper motive or purpose -- a person wrongly prosecuted for a crime cannot sue (</w:t>
      </w:r>
      <w:r>
        <w:rPr>
          <w:rFonts w:ascii="arial" w:eastAsia="arial" w:hAnsi="arial" w:cs="arial"/>
          <w:i/>
          <w:color w:val="000000"/>
          <w:sz w:val="20"/>
          <w:lang w:val="en-US" w:eastAsia="en-US" w:bidi="ar-SA"/>
        </w:rPr>
        <w:t>Nelles v. Ontario</w:t>
      </w:r>
      <w:r>
        <w:rPr>
          <w:rFonts w:ascii="arial" w:eastAsia="arial" w:hAnsi="arial" w:cs="arial"/>
          <w:color w:val="000000"/>
          <w:sz w:val="20"/>
          <w:lang w:val="en-US" w:eastAsia="en-US" w:bidi="ar-SA"/>
        </w:rPr>
        <w:t xml:space="preserve">, </w:t>
      </w:r>
      <w:hyperlink r:id="rId499" w:history="1">
        <w:r>
          <w:rPr>
            <w:rFonts w:ascii="arial" w:eastAsia="arial" w:hAnsi="arial" w:cs="arial"/>
            <w:i/>
            <w:color w:val="0077CC"/>
            <w:sz w:val="20"/>
            <w:u w:val="single"/>
            <w:shd w:val="clear" w:color="auto" w:fill="FFFFFF"/>
            <w:lang w:val="en-US" w:eastAsia="en-US" w:bidi="ar-SA"/>
          </w:rPr>
          <w:t>[1989] 2 S.C.R. 170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court also stated that prosecutorial independence is a constitutionally protected value (para. 60). Although clarifying that the charge approval process is not subject to solicitor-client privilege (para. 105), the court continued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[106] We do not suggest that the charge approval system can properly function in the glare of publicity, or that a high level of confidentiality is unnecessary for it to be carried out effectively. As we have already noted, the independence of the Crown requires that the charge approval process is not generally subject to review by the courts or by other bodies. The necessary confidentiality, however, is provided by Crown immunity, which is tailored to the needs of prosecutorial independence, and not by solicitor-client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Davies</w:t>
      </w:r>
      <w:r>
        <w:rPr>
          <w:rFonts w:ascii="arial" w:eastAsia="arial" w:hAnsi="arial" w:cs="arial"/>
          <w:color w:val="000000"/>
          <w:sz w:val="20"/>
          <w:lang w:val="en-US" w:eastAsia="en-US" w:bidi="ar-SA"/>
        </w:rPr>
        <w:t xml:space="preserve"> the question was whether this "immunity" extended so as to block an administrative tribunal from questioning prosecutors about the exercise of their discretion. That is not the issue in this case. In </w:t>
      </w:r>
      <w:r>
        <w:rPr>
          <w:rFonts w:ascii="arial" w:eastAsia="arial" w:hAnsi="arial" w:cs="arial"/>
          <w:i/>
          <w:color w:val="000000"/>
          <w:sz w:val="20"/>
          <w:lang w:val="en-US" w:eastAsia="en-US" w:bidi="ar-SA"/>
        </w:rPr>
        <w:t>Nelles</w:t>
      </w:r>
      <w:r>
        <w:rPr>
          <w:rFonts w:ascii="arial" w:eastAsia="arial" w:hAnsi="arial" w:cs="arial"/>
          <w:color w:val="000000"/>
          <w:sz w:val="20"/>
          <w:lang w:val="en-US" w:eastAsia="en-US" w:bidi="ar-SA"/>
        </w:rPr>
        <w:t xml:space="preserve"> the Supreme Court of Canada made clear that Crown immunity was </w:t>
      </w:r>
      <w:r>
        <w:rPr>
          <w:rFonts w:ascii="arial" w:eastAsia="arial" w:hAnsi="arial" w:cs="arial"/>
          <w:i/>
          <w:color w:val="000000"/>
          <w:sz w:val="20"/>
          <w:lang w:val="en-US" w:eastAsia="en-US" w:bidi="ar-SA"/>
        </w:rPr>
        <w:t>not</w:t>
      </w:r>
      <w:r>
        <w:rPr>
          <w:rFonts w:ascii="arial" w:eastAsia="arial" w:hAnsi="arial" w:cs="arial"/>
          <w:color w:val="000000"/>
          <w:sz w:val="20"/>
          <w:lang w:val="en-US" w:eastAsia="en-US" w:bidi="ar-SA"/>
        </w:rPr>
        <w:t xml:space="preserve"> a bar to bringing a claim for malicious prosecution; it simply informed the test necessary to prove malicious prosecution. In a malicious prosecution claim, the court is permitted to examine the exercise of prosecutorial discretion, not for the purposes of interfering with it in some way, but for the purpose of determining whether there has in fact been some "abuse or perversion of the system of criminal justice for ends it was not designed to serve" (</w:t>
      </w:r>
      <w:r>
        <w:rPr>
          <w:rFonts w:ascii="arial" w:eastAsia="arial" w:hAnsi="arial" w:cs="arial"/>
          <w:i/>
          <w:color w:val="000000"/>
          <w:sz w:val="20"/>
          <w:lang w:val="en-US" w:eastAsia="en-US" w:bidi="ar-SA"/>
        </w:rPr>
        <w:t>Nelles</w:t>
      </w:r>
      <w:r>
        <w:rPr>
          <w:rFonts w:ascii="arial" w:eastAsia="arial" w:hAnsi="arial" w:cs="arial"/>
          <w:color w:val="000000"/>
          <w:sz w:val="20"/>
          <w:lang w:val="en-US" w:eastAsia="en-US" w:bidi="ar-SA"/>
        </w:rPr>
        <w:t>). Given that Crown immunity does not bar a claim for malicious prosecution, Crown immunity cannot prevent disclosure of charge approval materials in such cases. The authorities do not suggest that there is a freestanding immunity protecting disclosure of charge approval materials in proper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Counsel brought to my attention the recent decision of </w:t>
      </w:r>
      <w:r>
        <w:rPr>
          <w:rFonts w:ascii="arial" w:eastAsia="arial" w:hAnsi="arial" w:cs="arial"/>
          <w:i/>
          <w:color w:val="000000"/>
          <w:sz w:val="20"/>
          <w:lang w:val="en-US" w:eastAsia="en-US" w:bidi="ar-SA"/>
        </w:rPr>
        <w:t>Foote v. Canada (Attorney General)</w:t>
      </w:r>
      <w:r>
        <w:rPr>
          <w:rFonts w:ascii="arial" w:eastAsia="arial" w:hAnsi="arial" w:cs="arial"/>
          <w:color w:val="000000"/>
          <w:sz w:val="20"/>
          <w:lang w:val="en-US" w:eastAsia="en-US" w:bidi="ar-SA"/>
        </w:rPr>
        <w:t xml:space="preserve">, </w:t>
      </w:r>
      <w:hyperlink r:id="rId500" w:history="1">
        <w:r>
          <w:rPr>
            <w:rFonts w:ascii="arial" w:eastAsia="arial" w:hAnsi="arial" w:cs="arial"/>
            <w:i/>
            <w:color w:val="0077CC"/>
            <w:sz w:val="20"/>
            <w:u w:val="single"/>
            <w:shd w:val="clear" w:color="auto" w:fill="FFFFFF"/>
            <w:lang w:val="en-US" w:eastAsia="en-US" w:bidi="ar-SA"/>
          </w:rPr>
          <w:t>2014 BCSC 526</w:t>
        </w:r>
      </w:hyperlink>
      <w:r>
        <w:rPr>
          <w:rFonts w:ascii="arial" w:eastAsia="arial" w:hAnsi="arial" w:cs="arial"/>
          <w:color w:val="000000"/>
          <w:sz w:val="20"/>
          <w:lang w:val="en-US" w:eastAsia="en-US" w:bidi="ar-SA"/>
        </w:rPr>
        <w:t xml:space="preserve">, where Mr. Justice Tindale refused to allow disclosure of a reporting letter from the PPSC to the CRA explaining why it chose not to lay charges against the plaintiff, Mr. Foote, for tax evasion. However, that case did not involve a claim for malicious prosecution, but instead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misfeasance in public office. The concerns raised there about the potential for the documents in question to lead to an "inadvertent attack on prosecutorial independence" where no allegation of improper motive or purposes were pleaded do not apply in this case. I therefore do not find </w:t>
      </w:r>
      <w:r>
        <w:rPr>
          <w:rFonts w:ascii="arial" w:eastAsia="arial" w:hAnsi="arial" w:cs="arial"/>
          <w:i/>
          <w:color w:val="000000"/>
          <w:sz w:val="20"/>
          <w:lang w:val="en-US" w:eastAsia="en-US" w:bidi="ar-SA"/>
        </w:rPr>
        <w:t>Foote</w:t>
      </w:r>
      <w:r>
        <w:rPr>
          <w:rFonts w:ascii="arial" w:eastAsia="arial" w:hAnsi="arial" w:cs="arial"/>
          <w:color w:val="000000"/>
          <w:sz w:val="20"/>
          <w:lang w:val="en-US" w:eastAsia="en-US" w:bidi="ar-SA"/>
        </w:rPr>
        <w:t xml:space="preserve"> to be of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None of the cases cited on Crown immunity addressed the issue of disclosure in the context of a malicious prosecution claim. They each address the extent to which the courts can directly review or intervene in exercise of prosecutorial discretion, which is not in issue here. Since Crown immunity does not prevent a claim for malicious prosecution it cannot be used to bar disclosure of charge approval materials in such a case. As a result Crown immunity privilege does not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That is not the end of the matter, however. I invited submissions of counsel on the issue of "public interest immunity" given the issues raised respecting Crown immunity. Those submissions have now been received and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leading decision on public interest immunity is </w:t>
      </w:r>
      <w:r>
        <w:rPr>
          <w:rFonts w:ascii="arial" w:eastAsia="arial" w:hAnsi="arial" w:cs="arial"/>
          <w:i/>
          <w:color w:val="000000"/>
          <w:sz w:val="20"/>
          <w:lang w:val="en-US" w:eastAsia="en-US" w:bidi="ar-SA"/>
        </w:rPr>
        <w:t>Carey v. Ontario</w:t>
      </w:r>
      <w:r>
        <w:rPr>
          <w:rFonts w:ascii="arial" w:eastAsia="arial" w:hAnsi="arial" w:cs="arial"/>
          <w:color w:val="000000"/>
          <w:sz w:val="20"/>
          <w:lang w:val="en-US" w:eastAsia="en-US" w:bidi="ar-SA"/>
        </w:rPr>
        <w:t xml:space="preserve">, </w:t>
      </w:r>
      <w:hyperlink r:id="rId501" w:history="1">
        <w:r>
          <w:rPr>
            <w:rFonts w:ascii="arial" w:eastAsia="arial" w:hAnsi="arial" w:cs="arial"/>
            <w:i/>
            <w:color w:val="0077CC"/>
            <w:sz w:val="20"/>
            <w:u w:val="single"/>
            <w:shd w:val="clear" w:color="auto" w:fill="FFFFFF"/>
            <w:lang w:val="en-US" w:eastAsia="en-US" w:bidi="ar-SA"/>
          </w:rPr>
          <w:t>[1986] 2 S.C.R. 637</w:t>
        </w:r>
      </w:hyperlink>
      <w:r>
        <w:rPr>
          <w:rFonts w:ascii="arial" w:eastAsia="arial" w:hAnsi="arial" w:cs="arial"/>
          <w:color w:val="000000"/>
          <w:sz w:val="20"/>
          <w:lang w:val="en-US" w:eastAsia="en-US" w:bidi="ar-SA"/>
        </w:rPr>
        <w:t xml:space="preserve">, in which the Court indicated that it was necessary to strike a balance between the need to give litigants access to all the evidence that might assist in the fair disposition of the issues, and the fact that some information about government activities should be not be disclosed in order to protect the public interest. The immunity does not "belong" to any one party to the litigation or to the government, but rather arises because of the potential harm flowing to the state from the release of the information in the documents. Factors to consider in balancing the interests include: the contents of the documents; the level of the decision-making process; the time when a document/information is to be revealed; and the importance of producing the documents to the administration of justice (see </w:t>
      </w:r>
      <w:r>
        <w:rPr>
          <w:rFonts w:ascii="arial" w:eastAsia="arial" w:hAnsi="arial" w:cs="arial"/>
          <w:i/>
          <w:color w:val="000000"/>
          <w:sz w:val="20"/>
          <w:lang w:val="en-US" w:eastAsia="en-US" w:bidi="ar-SA"/>
        </w:rPr>
        <w:t>Babcock et al v. The Attorney General of Canada</w:t>
      </w:r>
      <w:r>
        <w:rPr>
          <w:rFonts w:ascii="arial" w:eastAsia="arial" w:hAnsi="arial" w:cs="arial"/>
          <w:color w:val="000000"/>
          <w:sz w:val="20"/>
          <w:lang w:val="en-US" w:eastAsia="en-US" w:bidi="ar-SA"/>
        </w:rPr>
        <w:t xml:space="preserve">, </w:t>
      </w:r>
      <w:hyperlink r:id="rId502" w:history="1">
        <w:r>
          <w:rPr>
            <w:rFonts w:ascii="arial" w:eastAsia="arial" w:hAnsi="arial" w:cs="arial"/>
            <w:i/>
            <w:color w:val="0077CC"/>
            <w:sz w:val="20"/>
            <w:u w:val="single"/>
            <w:shd w:val="clear" w:color="auto" w:fill="FFFFFF"/>
            <w:lang w:val="en-US" w:eastAsia="en-US" w:bidi="ar-SA"/>
          </w:rPr>
          <w:t>2004 BCSC 1311</w:t>
        </w:r>
      </w:hyperlink>
      <w:r>
        <w:rPr>
          <w:rFonts w:ascii="arial" w:eastAsia="arial" w:hAnsi="arial" w:cs="arial"/>
          <w:color w:val="000000"/>
          <w:sz w:val="20"/>
          <w:lang w:val="en-US" w:eastAsia="en-US" w:bidi="ar-SA"/>
        </w:rPr>
        <w:t xml:space="preserve"> at para. 20). The court must apply a contextual analysis on a case-by-case (or document-by-document) basis in order to determine whether the interest in disclosure is outweighed by other public interests: </w:t>
      </w:r>
      <w:r>
        <w:rPr>
          <w:rFonts w:ascii="arial" w:eastAsia="arial" w:hAnsi="arial" w:cs="arial"/>
          <w:i/>
          <w:color w:val="000000"/>
          <w:sz w:val="20"/>
          <w:lang w:val="en-US" w:eastAsia="en-US" w:bidi="ar-SA"/>
        </w:rPr>
        <w:t>Carey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Certainly, the protection of charge approval processes and prosecutorial discretion are matters that, generally speaking, fall within the rubric of the "public interest." The question is whether the interest in protecting those processes outweighs the interest in providing litigants with evidence that may assist in the fair disposition of 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cases involving an allegation of unconscionable behaviour by government or its agents, there is an argument in favour of disclosure as the government cannot be permitted to hide behind secrecy in order to facilitate improper conduct; in that case, releasing the documents helps support the public interest in seeing that justice is done (see </w:t>
      </w:r>
      <w:r>
        <w:rPr>
          <w:rFonts w:ascii="arial" w:eastAsia="arial" w:hAnsi="arial" w:cs="arial"/>
          <w:i/>
          <w:color w:val="000000"/>
          <w:sz w:val="20"/>
          <w:lang w:val="en-US" w:eastAsia="en-US" w:bidi="ar-SA"/>
        </w:rPr>
        <w:t>Carey</w:t>
      </w:r>
      <w:r>
        <w:rPr>
          <w:rFonts w:ascii="arial" w:eastAsia="arial" w:hAnsi="arial" w:cs="arial"/>
          <w:color w:val="000000"/>
          <w:sz w:val="20"/>
          <w:lang w:val="en-US" w:eastAsia="en-US" w:bidi="ar-SA"/>
        </w:rPr>
        <w:t xml:space="preserve">). That would appear relevant to this matter given that the plaintiffs are alleging that the tax evasion prosecution was undertaken for improper purposes. See also </w:t>
      </w:r>
      <w:r>
        <w:rPr>
          <w:rFonts w:ascii="arial" w:eastAsia="arial" w:hAnsi="arial" w:cs="arial"/>
          <w:i/>
          <w:color w:val="000000"/>
          <w:sz w:val="20"/>
          <w:lang w:val="en-US" w:eastAsia="en-US" w:bidi="ar-SA"/>
        </w:rPr>
        <w:t>PJ et al v. The Attorney General of Canada et al</w:t>
      </w:r>
      <w:r>
        <w:rPr>
          <w:rFonts w:ascii="arial" w:eastAsia="arial" w:hAnsi="arial" w:cs="arial"/>
          <w:color w:val="000000"/>
          <w:sz w:val="20"/>
          <w:lang w:val="en-US" w:eastAsia="en-US" w:bidi="ar-SA"/>
        </w:rPr>
        <w:t xml:space="preserve">, </w:t>
      </w:r>
      <w:hyperlink r:id="rId503" w:history="1">
        <w:r>
          <w:rPr>
            <w:rFonts w:ascii="arial" w:eastAsia="arial" w:hAnsi="arial" w:cs="arial"/>
            <w:i/>
            <w:color w:val="0077CC"/>
            <w:sz w:val="20"/>
            <w:u w:val="single"/>
            <w:shd w:val="clear" w:color="auto" w:fill="FFFFFF"/>
            <w:lang w:val="en-US" w:eastAsia="en-US" w:bidi="ar-SA"/>
          </w:rPr>
          <w:t>2000 BCSC 1780</w:t>
        </w:r>
      </w:hyperlink>
      <w:r>
        <w:rPr>
          <w:rFonts w:ascii="arial" w:eastAsia="arial" w:hAnsi="arial" w:cs="arial"/>
          <w:color w:val="000000"/>
          <w:sz w:val="20"/>
          <w:lang w:val="en-US" w:eastAsia="en-US" w:bidi="ar-SA"/>
        </w:rPr>
        <w:t xml:space="preserve"> at para. 36, noting that the relevance and probative value of the evidence are matters to consider in weighing public interests, as is the effect that non-disclosure would have on the public's perception of the administration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this case, non-disclosure may lead the public to infer that there is something being "hidden" from public view, thereby undermining their view of the justice system. In saying this I should not be taken as commenting on the content of the documents themselves and what inferences might be drawn from what is contained within them. It is simply a comment as to the optics of non-disclosure as they apply to charge approval and related documents in a malicious prosecution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On the other hand, some of the documents appear to have a low probative value. However, plaintiffs need not show that the documents actually support their claim (see </w:t>
      </w:r>
      <w:r>
        <w:rPr>
          <w:rFonts w:ascii="arial" w:eastAsia="arial" w:hAnsi="arial" w:cs="arial"/>
          <w:i/>
          <w:color w:val="000000"/>
          <w:sz w:val="20"/>
          <w:lang w:val="en-US" w:eastAsia="en-US" w:bidi="ar-SA"/>
        </w:rPr>
        <w:t>Carey).</w:t>
      </w:r>
      <w:r>
        <w:rPr>
          <w:rFonts w:ascii="arial" w:eastAsia="arial" w:hAnsi="arial" w:cs="arial"/>
          <w:color w:val="000000"/>
          <w:sz w:val="20"/>
          <w:lang w:val="en-US" w:eastAsia="en-US" w:bidi="ar-SA"/>
        </w:rPr>
        <w:t xml:space="preserve"> They may also reveal "strategic" decision-making and policy concerns at the PPSC, while some of the documents, although available to the defendants, were communicated between persons who are not party to this litigation. In those cases, particularly for the documents between in-house counsel at PPSC, there may be the potential to "threaten the independence of Crown counsel in carrying out their functions" (</w:t>
      </w:r>
      <w:r>
        <w:rPr>
          <w:rFonts w:ascii="arial" w:eastAsia="arial" w:hAnsi="arial" w:cs="arial"/>
          <w:i/>
          <w:color w:val="000000"/>
          <w:sz w:val="20"/>
          <w:lang w:val="en-US" w:eastAsia="en-US" w:bidi="ar-SA"/>
        </w:rPr>
        <w:t>Davies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As </w:t>
      </w:r>
      <w:r>
        <w:rPr>
          <w:rFonts w:ascii="arial" w:eastAsia="arial" w:hAnsi="arial" w:cs="arial"/>
          <w:i/>
          <w:color w:val="000000"/>
          <w:sz w:val="20"/>
          <w:lang w:val="en-US" w:eastAsia="en-US" w:bidi="ar-SA"/>
        </w:rPr>
        <w:t>Carey</w:t>
      </w:r>
      <w:r>
        <w:rPr>
          <w:rFonts w:ascii="arial" w:eastAsia="arial" w:hAnsi="arial" w:cs="arial"/>
          <w:color w:val="000000"/>
          <w:sz w:val="20"/>
          <w:lang w:val="en-US" w:eastAsia="en-US" w:bidi="ar-SA"/>
        </w:rPr>
        <w:t xml:space="preserve"> stated that there is no "class" immunity, I will apply the balancing test to each document individually.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find that documents 4.1-4.5 are not protected by the immunity. I do not find that they contain any information that needs to be protected from disclosure for the public interest; given that they deal with information available to Brian Jones as he undertook the prosecution (not to mention information about the allegedly negligent investigation by the CRA), the interest in disclosure outweighs any other public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conclude that document 4.6, an email to Brian Jones from Lisa McLean, is not covered by the immunity. It is clearly relevant, as it makes clear what information Brian Jones had at the start of his retainer, and does not appear to contain any information that would be damaging to the public interest. Documents 4.7-4.9 and 4.10, emails between Brian Jones and his contacts at the PPSC, have a high probative value. Although some of these documents appear to set out some PPSC policies as regards tax evasion cases, I think the balance tips in favour of disclosure. It is only document 4.10 which appears to contain additional information that should not be publicly disclosed, as it contains information about an internal website and password and account information for a website that likely should not be publicly available.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Document 4.12 and Solicitor-Client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Solicitor-client privilege protects a confidential communication between a lawyer and their client where the purpose of the communication was the obtaining of legal advice. The privilege belongs to the client, not the solicitor. The onus of proving that a document meets the test for privilege is on the person asserting the privilege -- in this case, the Crown.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Whether or not solicitor-client privilege attaches in the context of Crown communications depends on the nature of the relationship, the subject matter of the advice and the circumstances in which it is sought and rendered. (</w:t>
      </w:r>
      <w:r>
        <w:rPr>
          <w:rFonts w:ascii="arial" w:eastAsia="arial" w:hAnsi="arial" w:cs="arial"/>
          <w:i/>
          <w:color w:val="000000"/>
          <w:sz w:val="20"/>
          <w:lang w:val="en-US" w:eastAsia="en-US" w:bidi="ar-SA"/>
        </w:rPr>
        <w:t>R. v. Campbell</w:t>
      </w:r>
      <w:r>
        <w:rPr>
          <w:rFonts w:ascii="arial" w:eastAsia="arial" w:hAnsi="arial" w:cs="arial"/>
          <w:color w:val="000000"/>
          <w:sz w:val="20"/>
          <w:lang w:val="en-US" w:eastAsia="en-US" w:bidi="ar-SA"/>
        </w:rPr>
        <w:t xml:space="preserve">, </w:t>
      </w:r>
      <w:hyperlink r:id="rId504" w:history="1">
        <w:r>
          <w:rPr>
            <w:rFonts w:ascii="arial" w:eastAsia="arial" w:hAnsi="arial" w:cs="arial"/>
            <w:i/>
            <w:color w:val="0077CC"/>
            <w:sz w:val="20"/>
            <w:u w:val="single"/>
            <w:shd w:val="clear" w:color="auto" w:fill="FFFFFF"/>
            <w:lang w:val="en-US" w:eastAsia="en-US" w:bidi="ar-SA"/>
          </w:rPr>
          <w:t>[1999] 1 S.C.R. 565</w:t>
        </w:r>
      </w:hyperlink>
      <w:r>
        <w:rPr>
          <w:rFonts w:ascii="arial" w:eastAsia="arial" w:hAnsi="arial" w:cs="arial"/>
          <w:color w:val="000000"/>
          <w:sz w:val="20"/>
          <w:lang w:val="en-US" w:eastAsia="en-US" w:bidi="ar-SA"/>
        </w:rPr>
        <w:t xml:space="preserve"> at para. 50). A solicitor-client relationship and the resulting privilege can exist between a prosecutor and the Attorney General of Canada where the prosecutor is providing advice to the Attorney General on the exercise of a statutory power (</w:t>
      </w:r>
      <w:r>
        <w:rPr>
          <w:rFonts w:ascii="arial" w:eastAsia="arial" w:hAnsi="arial" w:cs="arial"/>
          <w:i/>
          <w:color w:val="000000"/>
          <w:sz w:val="20"/>
          <w:lang w:val="en-US" w:eastAsia="en-US" w:bidi="ar-SA"/>
        </w:rPr>
        <w:t>R. v. Ahmad</w:t>
      </w:r>
      <w:r>
        <w:rPr>
          <w:rFonts w:ascii="arial" w:eastAsia="arial" w:hAnsi="arial" w:cs="arial"/>
          <w:color w:val="000000"/>
          <w:sz w:val="20"/>
          <w:lang w:val="en-US" w:eastAsia="en-US" w:bidi="ar-SA"/>
        </w:rPr>
        <w:t xml:space="preserve"> </w:t>
      </w:r>
      <w:hyperlink r:id="rId505" w:history="1">
        <w:r>
          <w:rPr>
            <w:rFonts w:ascii="arial" w:eastAsia="arial" w:hAnsi="arial" w:cs="arial"/>
            <w:i/>
            <w:color w:val="0077CC"/>
            <w:sz w:val="20"/>
            <w:u w:val="single"/>
            <w:shd w:val="clear" w:color="auto" w:fill="FFFFFF"/>
            <w:lang w:val="en-US" w:eastAsia="en-US" w:bidi="ar-SA"/>
          </w:rPr>
          <w:t>(2008), 59 C.R. (6th) 308</w:t>
        </w:r>
      </w:hyperlink>
      <w:r>
        <w:rPr>
          <w:rFonts w:ascii="arial" w:eastAsia="arial" w:hAnsi="arial" w:cs="arial"/>
          <w:color w:val="000000"/>
          <w:sz w:val="20"/>
          <w:lang w:val="en-US" w:eastAsia="en-US" w:bidi="ar-SA"/>
        </w:rPr>
        <w:t xml:space="preserve"> (Ont. S.C.J.) at para. 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Document 4.12 is a communication from Brian Jones to the Director of Public Prosecutions, written for the purpose of giving legal advice to PPSC on the merits of an appeal following the plaintiffs' acquittal. In an affidavit Brian Jones says that it was intended to be a confidential communication, for the Director's use in determining whether or not to exercise his discretion to pursue an appeal. It is not dissimilar to the situation in </w:t>
      </w:r>
      <w:r>
        <w:rPr>
          <w:rFonts w:ascii="arial" w:eastAsia="arial" w:hAnsi="arial" w:cs="arial"/>
          <w:i/>
          <w:color w:val="000000"/>
          <w:sz w:val="20"/>
          <w:lang w:val="en-US" w:eastAsia="en-US" w:bidi="ar-SA"/>
        </w:rPr>
        <w:t>Ahmad,</w:t>
      </w:r>
      <w:r>
        <w:rPr>
          <w:rFonts w:ascii="arial" w:eastAsia="arial" w:hAnsi="arial" w:cs="arial"/>
          <w:color w:val="000000"/>
          <w:sz w:val="20"/>
          <w:lang w:val="en-US" w:eastAsia="en-US" w:bidi="ar-SA"/>
        </w:rPr>
        <w:t xml:space="preserve"> where the court determined that the communication was protected. I am satisfied that document 4.12 is protected by solicitor-client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plaintiffs argue that if the document is privileged the privilege has been waived by the defendants placing Brian Jones' state of mind in issue. The difficulty with this argument is that Brian Jones is the solicitor, not the client. The privilege belongs to the client -- here, the PPSC -- and only the client may waive the privilege. This disposes of the waiver argument given that PPSC has not waived the privilege and Brian Jones cannot.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find that all the listed documents are relevant. Documents 4.1-4.9 and 4.11 are not subject to any claim for privilege and must be produced to the plaintiffs. Document 4.12 is protected by solicitor-client privilege and document 4.10 is subject to public interest immunity.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Counsel did not address the issue of costs in their submissions. If they are unable to agree they may file written submissions on costs within 30 days of these reasons, otherwise costs shall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R.D. PUNNETT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4" style="position:absolute;z-index:2518753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12" w:history="1">
        <w:r>
          <w:rPr>
            <w:rFonts w:ascii="arial" w:eastAsia="arial" w:hAnsi="arial" w:cs="arial"/>
            <w:b/>
            <w:bCs/>
            <w:i/>
            <w:color w:val="0077CC"/>
            <w:kern w:val="32"/>
            <w:sz w:val="28"/>
            <w:szCs w:val="32"/>
            <w:u w:val="single"/>
            <w:shd w:val="clear" w:color="auto" w:fill="FFFFFF"/>
            <w:lang w:val="en-US" w:eastAsia="en-US" w:bidi="ar-SA"/>
          </w:rPr>
          <w:t>Pinsent (Guardian ad litem) v. Brown, [2013] B.C.J. No. 939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C.J. Ross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28-31, February 1, 4-7, 21-22,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7,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M102015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939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794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Sandra Pinsent, and by her guardian ad litem, Dennis Pinsent, Plaintiffs, and Carol Brown and Richard Brown,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5" style="position:absolute;z-index:251679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8" w:name="Keywords_19"/>
      <w:bookmarkEnd w:id="138"/>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driver — Pedestrians — Action by Pinsent for a finding of liability against the defendants in relation to a motor vehicle accident dismissed — Pinsent, a pedestrian, was struck by the defendants' vehicle while jaywalking — She emerged from between parked cars and was wearing dark clothing in dark and rainy conditions — Pinsent submitted that the accident was caused by the defendant driver — However, the defendant driver's speed was not excessive and she was exercising reasonable care and attention — Pinsent was not visible to the driver until it was too late to avoid the accident — Pinsent caused the accident.</w:t>
      </w:r>
    </w:p>
    <w:p>
      <w:pPr>
        <w:jc w:val="both"/>
        <w:rPr>
          <w:rFonts w:ascii="arial" w:eastAsia="arial" w:hAnsi="arial" w:cs="arial"/>
          <w:sz w:val="20"/>
          <w:lang w:val="en-US" w:eastAsia="en-US" w:bidi="ar-SA"/>
        </w:rPr>
      </w:pPr>
      <w:bookmarkStart w:id="139" w:name="Legislation Cited_14"/>
      <w:bookmarkEnd w:id="13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26" style="position:absolute;z-index:2517309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513" w:history="1">
        <w:r>
          <w:rPr>
            <w:rFonts w:ascii="arial" w:eastAsia="arial" w:hAnsi="arial" w:cs="arial"/>
            <w:i/>
            <w:color w:val="0077CC"/>
            <w:sz w:val="20"/>
            <w:u w:val="single"/>
            <w:shd w:val="clear" w:color="auto" w:fill="FFFFFF"/>
            <w:lang w:val="en-US" w:eastAsia="en-US" w:bidi="ar-SA"/>
          </w:rPr>
          <w:t>RSBC 1996, CHAPTER 318, s. 179</w:t>
        </w:r>
      </w:hyperlink>
      <w:r>
        <w:rPr>
          <w:rFonts w:ascii="arial" w:eastAsia="arial" w:hAnsi="arial" w:cs="arial"/>
          <w:color w:val="000000"/>
          <w:sz w:val="20"/>
          <w:lang w:val="en-US" w:eastAsia="en-US" w:bidi="ar-SA"/>
        </w:rPr>
        <w:t>, s. 180, s. 181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40" w:name="Counsel_20"/>
      <w:bookmarkEnd w:id="14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7" style="position:absolute;z-index:2517821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Erin Berger.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Nancy J. Wilhelm-Morden, Britni M. Troy.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1" w:name="Judgment_20"/>
      <w:bookmarkEnd w:id="141"/>
      <w:r>
        <w:pict>
          <v:line id="_x0000_s1128" style="position:absolute;z-index:25183232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2" w:name="C.J. ROSS J."/>
            <w:bookmarkEnd w:id="142"/>
            <w:r>
              <w:rPr>
                <w:rFonts w:ascii="arial" w:eastAsia="arial" w:hAnsi="arial" w:cs="arial"/>
                <w:b/>
                <w:color w:val="000000"/>
                <w:sz w:val="30"/>
                <w:lang w:val="en-US" w:eastAsia="en-US" w:bidi="ar-SA"/>
              </w:rPr>
              <w:t>C.J. ROSS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January 12, 2010, the plaintiff, Sandra Pinsent, was injured in a collision with a motor vehicle driven by the defendant Carol Brown and owned by the defendant Richard Brown. The accident occurred shortly after 7:00 a.m. in dark and rainy conditions. Ms. Pinsent was attempting to cross East 29th Street in North Vancouver on her way to a bus stop when she was struck. She was not crossing at an intersection or in a crosswalk and emerged onto the roadway from between parked cars.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contends that the accident was caused by the defendant driver's excessive speed and failure to keep a proper lookout. For the reasons that follow, I have concluded that the plaintiff has failed to establish that the defendant driver was negligent or that her conduct was the cause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accident occurred on January 12, 2010 shortly after 7:00 a.m. Ms. Pinsent left her home at 170 East 29th Street, North Vancouver to catch a bus to take to her work. It was dark and raining heavily. Ms. Pinsent's bus stop was located on the other side of East 29th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East 29th Street at the location of the accident consisted of one lane of travel in each direction with room for parked cars on both sides of the street. The street is illuminated by streetlights. On the morning of the accident there were vehicles parked on both sides of the street near the accident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Pinsent was wearing black pants and a black jacket and dark boots. Ms. Pinsent stated on her examination for discovery that she typically wore her iPod when walking on her way to work. Her iPod was recovered from her personal effects at the hospital. Ms. Pinsent was a young woman of very fixed habits who followed very strict routines prior to the accident. I find that she was wearing her iPod on the walk to the bus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Brown recalled that Ms. Pinsent was wearing a dark hoodie. Her sister Amanda Ryan stated that she recovered Ms. Pinsent's clothing at the hospital. She did not recall recovering a dark hoodie.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Brown was 60 years old at the time of the accident. She had lived at her residence in North Vancouver for 32 years. On the morning of the accident she was travelling from her home to her office in downtown Vancouver. She was driving a 1995 Buick that was owned by her husband, Richard Brown. She stated that the vehicle was well maintained. This was her usual route to work. She stated that she was not distracted or in a hurry. She was not listening to the radio or talking on a cell phone.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There is a steep hill on East 29th Street that levels out by the location of the accident. Ms. Brown estimated that just before the accident she was travelling between 25 and 30 km per hour. She agreed on cross-examination that she could have been travelling at 40 km but believed that her speed was 25 to 30 km. She stated that because of the steepness of the hill on East 29th Street, it is her practice to be vigilant with her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Brown stated that there were no vehicles immediately in front of her just before the accident. She recalled that there were vehicles behind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Brown stated that someone suddenly came out very quickly from between parked cars. The person was at the front of her vehicle just ahead of the right passenger door. Ms. Brown recalled that this person was wearing dark clothing and was wearing a hoodie. She did not recall that this person was carrying an umbrella.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Brown stated that when she saw this person emerge, she applied her brakes and stopped her vehicle. She stated that she was wearing her seatbelt at the time of the accident and that it did not tighten during the accident. Her purse was to her right. It did not move, nor did her body.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police took photographs at the scene showing the configuration of parked vehicles. However, Ms. Brown was not able to identify with any greater precision which vehicle Ms. Pinsent emerged from using the photographs.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Brown stated that she immediately got out of her car and ran to see the person. Ms. Brown started screaming "Call 911".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Brown recalled a man coming to the scene and identifying himself as a paramedic. He took control of the scene and assisted Ms. Pinsent until the first responders arrived.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Brown stated that she went to the trunk of her vehicle and retrieved an umbrella and then stood with the umbrella over the paramedic and Ms. Pinsent sheltering them from the rain. She stated that it was a patterned multi-coloured umbrella. She was shown a photograph taken at the scene which shows an umbrella lying on the ground. The umbrella could be described as patterned and multi-coloured, however the photograph is of poor quality. Ms. Brown said that she could not be sure if the umbrella was 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At some point before the police arrived, Ms. Brown moved her vehicle from where she had initially come to a stop to the side of East 29th in front of the line of parked vehicles. She did so because traffic was backing up on the busy street. She stated that the brown Buick depicted on Exhibit 17 is where she moved her vehicle after the accident occurred and before the police arrived.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Martin Best, who is a firefighter, provided assistance to Ms. Pinsent at the scene. He recalled that on the morning of the accident he was driving west on 29th Street heading toward Lonsdale. As he came over the crest of the hill there was nothing directly in front of him. He could see the lights of cars in front go red as the cars came to a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He pulled over and found Ms. Pinsent lying on the ground partially wedged under a parked car. He described the vehicle as a sedan, something like a Toyota Corolla. Her head was toward the rear of the car and her feet were towards the front. She was lying face up on an angle; her head was protruding slightly and her lower body was under the car. Her shoes were on the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He recalled that there was a woman at the scene who was on the phone, he believed with 911.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Best moved Ms. Pinsent into a Cspine position and tried to keep her motionless. He stated that Ms. Pinsent was confused and combative. She wanted to move away from the vehicle. She did move away from the vehicle and closer to the curb. Mr. Best remained with Ms. Pinsent until the first responders arrived.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Following the accident, Ms. Brown took her vehicle to an ICBC claim centre. Her vehicle was examined and found to have sustained no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Two expert witnesses provided reports and gave evidence with respect to the issue of liability; Craig Good, who was called by the plaintiff and Kurt Ising, who was called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injuries suffered by Ms. Pinsent in the accident were set out in Mr. Good's report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Pinsent sustained the following injuries:</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occipital scalp hematoma and right eye orbital ecchymosis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Multiple hemorrhagic contusions to the left temporal lobe and the left frontal lobe with moderate edema; a subdural hematoma was noted in the left side of the tentorium, the left posterior fossa, as well as in the left frontal, parietal and temporal regions; Dr. Sahjpaul noted a subarachnoid hematoma and diagnosed Ms. Pinsent with a moderate head injury</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Comminuted fracture of the greater tuberosity of the left humerus</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Bony bruises within the medial femoral condyle and the medial tibial plateau of the right leg; right lateral collateral ligament torn; Dr. Aippersbach noted a varus injury to the right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Good concluded that the right knee injury suffered by Ms. Pinsent is consistent with her being struck with the right front bumper of the Brown vehicle. Mr. Ising concurred with that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Good concluded that the lack of damage to the Brown vehicle is consistent with a fender vault pedestrian impact. In a fender vault collision, a pedestrian is struck near a front corner of the vehicle and then wrapped over a fender. The pedestrian is then usually found behind and to the side of or alongside the striking vehicle. That configuration is consistent with Ms. Pinsent's point of rest in relation to the point of rest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Both Mr. Good and Mr. Ising used a combination of a scene survey done by Mr. Ising, photographs taken by the police at the scene and markings made by the police to recreate the position of parked vehicles at the site and time of the accident. Both experts concurred with respect to the placement of those parked vehicles. Based upon the police photograph showing the configuration of parked cars at the scene at the time of the accident, there were two possible crossing points for Ms. Pinsent: in front of or behind the parked Infiniti shown in Figure 7 of Mr. Ising's report. Neither of these locations was in an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Mr. Good used the slide to stop methodology to calculate the maximum impact speed and pedestrian throw model to calculate the minimum impact speed of the Brown vehicle. He calculated that if Ms. Pinsent crossed in front of the Infiniti, the minimum impact speed was 31 </w:t>
      </w:r>
      <w:r>
        <w:rPr>
          <w:rFonts w:ascii="arial" w:eastAsia="arial" w:hAnsi="arial" w:cs="arial"/>
          <w:color w:val="000000"/>
          <w:sz w:val="20"/>
          <w:u w:val="single"/>
          <w:lang w:val="en-US" w:eastAsia="en-US" w:bidi="ar-SA"/>
        </w:rPr>
        <w:t>+</w:t>
      </w:r>
      <w:r>
        <w:rPr>
          <w:rFonts w:ascii="arial" w:eastAsia="arial" w:hAnsi="arial" w:cs="arial"/>
          <w:color w:val="000000"/>
          <w:sz w:val="20"/>
          <w:lang w:val="en-US" w:eastAsia="en-US" w:bidi="ar-SA"/>
        </w:rPr>
        <w:t xml:space="preserve">6 km/h and the maximum was 58 </w:t>
      </w:r>
      <w:r>
        <w:rPr>
          <w:rFonts w:ascii="arial" w:eastAsia="arial" w:hAnsi="arial" w:cs="arial"/>
          <w:color w:val="000000"/>
          <w:sz w:val="20"/>
          <w:u w:val="single"/>
          <w:lang w:val="en-US" w:eastAsia="en-US" w:bidi="ar-SA"/>
        </w:rPr>
        <w:t>+</w:t>
      </w:r>
      <w:r>
        <w:rPr>
          <w:rFonts w:ascii="arial" w:eastAsia="arial" w:hAnsi="arial" w:cs="arial"/>
          <w:color w:val="000000"/>
          <w:sz w:val="20"/>
          <w:lang w:val="en-US" w:eastAsia="en-US" w:bidi="ar-SA"/>
        </w:rPr>
        <w:t xml:space="preserve">3 km/h. If Ms. Pinsent crossed behind the Infiniti, the minimum calculated impact speed was 51 </w:t>
      </w:r>
      <w:r>
        <w:rPr>
          <w:rFonts w:ascii="arial" w:eastAsia="arial" w:hAnsi="arial" w:cs="arial"/>
          <w:color w:val="000000"/>
          <w:sz w:val="20"/>
          <w:u w:val="single"/>
          <w:lang w:val="en-US" w:eastAsia="en-US" w:bidi="ar-SA"/>
        </w:rPr>
        <w:t>+</w:t>
      </w:r>
      <w:r>
        <w:rPr>
          <w:rFonts w:ascii="arial" w:eastAsia="arial" w:hAnsi="arial" w:cs="arial"/>
          <w:color w:val="000000"/>
          <w:sz w:val="20"/>
          <w:lang w:val="en-US" w:eastAsia="en-US" w:bidi="ar-SA"/>
        </w:rPr>
        <w:t xml:space="preserve">3 km/hr and the maximum was 69 </w:t>
      </w:r>
      <w:r>
        <w:rPr>
          <w:rFonts w:ascii="arial" w:eastAsia="arial" w:hAnsi="arial" w:cs="arial"/>
          <w:color w:val="000000"/>
          <w:sz w:val="20"/>
          <w:u w:val="single"/>
          <w:lang w:val="en-US" w:eastAsia="en-US" w:bidi="ar-SA"/>
        </w:rPr>
        <w:t>+2</w:t>
      </w:r>
      <w:r>
        <w:rPr>
          <w:rFonts w:ascii="arial" w:eastAsia="arial" w:hAnsi="arial" w:cs="arial"/>
          <w:color w:val="000000"/>
          <w:sz w:val="20"/>
          <w:lang w:val="en-US" w:eastAsia="en-US" w:bidi="ar-SA"/>
        </w:rPr>
        <w:t xml:space="preserve"> km/hr.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Good was not aware of the fact that Ms. Brown moved her car before the police arrived at the time he made his analysis. However, after he was made aware of the fact that the vehicle had been moved, he concluded that the change did not result in an appreciable change in his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Good agreed that if Ms. Pinsent came out from behind the Infiniti, the sight line from her to Ms. Brown's vehicle would be impeded by the cube van parked behind the Infiniti.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Good did not agree with the proposition that, based upon the injuries suffered by Ms. Pinsent, it was unlikely that she was struck at the higher speed. In his opinion to reason backward from the nature of the injury to the speed was not "scientifically robust".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Ising analyzed the sight lines. He used conservative assumptions; namely ignoring the effect of darkness, rain and dark clothing. He was of the opinion that Ms. Pinsent crossed forward of the Infiniti but performed his calculations based upon both crossing locations. In each case, because of the restricted opportunity to see Ms. Pinsent, at driving speeds of 40 to 50 km per hr, in his opinion Ms. Brown had no or negligible opportunity to avoid the impact. He calculated that at speeds of less than 20.5 or 19.1 km/hr there was a 50% possibility of avoiding the impact if the driver applied full brakes immediately after completion of the perception/reaction response interval.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applicable statutory provisions are ss. 179, 180 and 181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which provide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179</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 Subject to section 180, the driver of a vehicle must yield the right of way to a pedestrian where traffic control signals are not in place or not in operation when the pedestrian is crossing the highway in a crosswalk and the pedestrian is on the half of the highway on which the vehicle is travelling, or is approaching so closely from the other half of the highway that he or she is in danger.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pedestrian must not leave a curb or other place of safety and walk or run into the path of a vehicle that is so close it is impracticable for the driver to yield the right of way.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180</w:t>
            </w:r>
          </w:p>
        </w:tc>
        <w:tc>
          <w:tcPr>
            <w:tcW w:w="307"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a pedestrian is crossing a highway at a point not in a crosswalk, the pedestrian must yield the right of way to a vehicle.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Despite sections 178, 179 and 180, a driver of a vehicle must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exercise due care to avoid colliding with a pedestrian who is on the highway,</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give warning by sounding the horn of the vehicle when necessary, and</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observe proper precaution on observing a child or apparently confused or incapacitated person on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Hmaied v. Wilkinson</w:t>
      </w:r>
      <w:r>
        <w:rPr>
          <w:rFonts w:ascii="arial" w:eastAsia="arial" w:hAnsi="arial" w:cs="arial"/>
          <w:color w:val="000000"/>
          <w:sz w:val="20"/>
          <w:lang w:val="en-US" w:eastAsia="en-US" w:bidi="ar-SA"/>
        </w:rPr>
        <w:t xml:space="preserve">, </w:t>
      </w:r>
      <w:hyperlink r:id="rId514" w:history="1">
        <w:r>
          <w:rPr>
            <w:rFonts w:ascii="arial" w:eastAsia="arial" w:hAnsi="arial" w:cs="arial"/>
            <w:i/>
            <w:color w:val="0077CC"/>
            <w:sz w:val="20"/>
            <w:u w:val="single"/>
            <w:shd w:val="clear" w:color="auto" w:fill="FFFFFF"/>
            <w:lang w:val="en-US" w:eastAsia="en-US" w:bidi="ar-SA"/>
          </w:rPr>
          <w:t>2010 BCSC 1074</w:t>
        </w:r>
      </w:hyperlink>
      <w:r>
        <w:rPr>
          <w:rFonts w:ascii="arial" w:eastAsia="arial" w:hAnsi="arial" w:cs="arial"/>
          <w:color w:val="000000"/>
          <w:sz w:val="20"/>
          <w:lang w:val="en-US" w:eastAsia="en-US" w:bidi="ar-SA"/>
        </w:rPr>
        <w:t>, Madam Justice Dickson provided a summary of the applicable legal principles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These provisions do not amount to an exclusive code relating to the rights of way between pedestrians and vehicles. Rather, they supplement the common law duty of all highway users to exercise what constitutes, in all of the circumstances, due care: </w:t>
      </w:r>
      <w:r>
        <w:rPr>
          <w:rFonts w:ascii="arial" w:eastAsia="arial" w:hAnsi="arial" w:cs="arial"/>
          <w:i/>
          <w:color w:val="000000"/>
          <w:sz w:val="20"/>
          <w:lang w:val="en-US" w:eastAsia="en-US" w:bidi="ar-SA"/>
        </w:rPr>
        <w:t>Cook v. Teh</w:t>
      </w:r>
      <w:r>
        <w:rPr>
          <w:rFonts w:ascii="arial" w:eastAsia="arial" w:hAnsi="arial" w:cs="arial"/>
          <w:color w:val="000000"/>
          <w:sz w:val="20"/>
          <w:lang w:val="en-US" w:eastAsia="en-US" w:bidi="ar-SA"/>
        </w:rPr>
        <w:t xml:space="preserve">, </w:t>
      </w:r>
      <w:hyperlink r:id="rId515" w:history="1">
        <w:r>
          <w:rPr>
            <w:rFonts w:ascii="arial" w:eastAsia="arial" w:hAnsi="arial" w:cs="arial"/>
            <w:i/>
            <w:color w:val="0077CC"/>
            <w:sz w:val="20"/>
            <w:u w:val="single"/>
            <w:shd w:val="clear" w:color="auto" w:fill="FFFFFF"/>
            <w:lang w:val="en-US" w:eastAsia="en-US" w:bidi="ar-SA"/>
          </w:rPr>
          <w:t>[1990] B.C.J. No. 776</w:t>
        </w:r>
      </w:hyperlink>
      <w:r>
        <w:rPr>
          <w:rFonts w:ascii="arial" w:eastAsia="arial" w:hAnsi="arial" w:cs="arial"/>
          <w:color w:val="000000"/>
          <w:sz w:val="20"/>
          <w:lang w:val="en-US" w:eastAsia="en-US" w:bidi="ar-SA"/>
        </w:rPr>
        <w:t xml:space="preserve"> (B.C.C.A.). As Anderson J.A. stated in </w:t>
      </w:r>
      <w:r>
        <w:rPr>
          <w:rFonts w:ascii="arial" w:eastAsia="arial" w:hAnsi="arial" w:cs="arial"/>
          <w:i/>
          <w:color w:val="000000"/>
          <w:sz w:val="20"/>
          <w:lang w:val="en-US" w:eastAsia="en-US" w:bidi="ar-SA"/>
        </w:rPr>
        <w:t>Cook</w:t>
      </w:r>
      <w:r>
        <w:rPr>
          <w:rFonts w:ascii="arial" w:eastAsia="arial" w:hAnsi="arial" w:cs="arial"/>
          <w:color w:val="000000"/>
          <w:sz w:val="20"/>
          <w:lang w:val="en-US" w:eastAsia="en-US" w:bidi="ar-SA"/>
        </w:rPr>
        <w:t xml:space="preserve">, quoting from the judgment of Estey J. in </w:t>
      </w:r>
      <w:r>
        <w:rPr>
          <w:rFonts w:ascii="arial" w:eastAsia="arial" w:hAnsi="arial" w:cs="arial"/>
          <w:i/>
          <w:color w:val="000000"/>
          <w:sz w:val="20"/>
          <w:lang w:val="en-US" w:eastAsia="en-US" w:bidi="ar-SA"/>
        </w:rPr>
        <w:t>British Columbia Electric Company v. Ernest Farrer</w:t>
      </w:r>
      <w:r>
        <w:rPr>
          <w:rFonts w:ascii="arial" w:eastAsia="arial" w:hAnsi="arial" w:cs="arial"/>
          <w:color w:val="000000"/>
          <w:sz w:val="20"/>
          <w:lang w:val="en-US" w:eastAsia="en-US" w:bidi="ar-SA"/>
        </w:rPr>
        <w:t xml:space="preserve">, </w:t>
      </w:r>
      <w:hyperlink r:id="rId516" w:history="1">
        <w:r>
          <w:rPr>
            <w:rFonts w:ascii="arial" w:eastAsia="arial" w:hAnsi="arial" w:cs="arial"/>
            <w:i/>
            <w:color w:val="0077CC"/>
            <w:sz w:val="20"/>
            <w:u w:val="single"/>
            <w:shd w:val="clear" w:color="auto" w:fill="FFFFFF"/>
            <w:lang w:val="en-US" w:eastAsia="en-US" w:bidi="ar-SA"/>
          </w:rPr>
          <w:t>[1955] S.C.R. 757</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Legislative bodies have, for many years, been enacting provisions intended to facilitate and make safer the movement of pedestrians and vehicular traffic on the highways and public streets. The general rule is that these provisions and regulations are supplementary, or in addition, to the common law duty that rests upon all persons using the highways to exercise due care. Swartz Bros. Ltd. v. Wills, </w:t>
      </w:r>
      <w:hyperlink r:id="rId517" w:history="1">
        <w:r>
          <w:rPr>
            <w:rFonts w:ascii="arial" w:eastAsia="arial" w:hAnsi="arial" w:cs="arial"/>
            <w:i/>
            <w:color w:val="0077CC"/>
            <w:sz w:val="20"/>
            <w:u w:val="single"/>
            <w:shd w:val="clear" w:color="auto" w:fill="FFFFFF"/>
            <w:lang w:val="en-US" w:eastAsia="en-US" w:bidi="ar-SA"/>
          </w:rPr>
          <w:t>[1935] S.C.R. 628</w:t>
        </w:r>
      </w:hyperlink>
      <w:r>
        <w:rPr>
          <w:rFonts w:ascii="arial" w:eastAsia="arial" w:hAnsi="arial" w:cs="arial"/>
          <w:color w:val="000000"/>
          <w:sz w:val="20"/>
          <w:lang w:val="en-US" w:eastAsia="en-US" w:bidi="ar-SA"/>
        </w:rPr>
        <w:t xml:space="preserve">, Royal Trust Co. v. Toronto Transportation Commssn., </w:t>
      </w:r>
      <w:hyperlink r:id="rId518" w:history="1">
        <w:r>
          <w:rPr>
            <w:rFonts w:ascii="arial" w:eastAsia="arial" w:hAnsi="arial" w:cs="arial"/>
            <w:i/>
            <w:color w:val="0077CC"/>
            <w:sz w:val="20"/>
            <w:u w:val="single"/>
            <w:shd w:val="clear" w:color="auto" w:fill="FFFFFF"/>
            <w:lang w:val="en-US" w:eastAsia="en-US" w:bidi="ar-SA"/>
          </w:rPr>
          <w:t>[1935] S.C.R. 671</w:t>
        </w:r>
      </w:hyperlink>
      <w:r>
        <w:rPr>
          <w:rFonts w:ascii="arial" w:eastAsia="arial" w:hAnsi="arial" w:cs="arial"/>
          <w:color w:val="000000"/>
          <w:sz w:val="20"/>
          <w:lang w:val="en-US" w:eastAsia="en-US" w:bidi="ar-SA"/>
        </w:rPr>
        <w:t>. In the latter case Mr. Justice Davis, with whom the majority of the court agreed, stated at p. 674:</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Generally speaking, a motorman on a street car is entitled to assume that a pedestrian or a motorist approaching the street car tracks will stop to permit the street car to pass by and there was in this case a statutory right of way in favour of the street car. But the existence of a right of way does not entitle the motorman on the street to disregard an apparent danger that confronts him.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When an accident occurs on a highway, the starting point for analysis is a determination of who had the right of way. Generally speaking, the party with the right of way is entitled to assume that other highway users will obey the rules of the road: </w:t>
      </w:r>
      <w:r>
        <w:rPr>
          <w:rFonts w:ascii="arial" w:eastAsia="arial" w:hAnsi="arial" w:cs="arial"/>
          <w:i/>
          <w:color w:val="000000"/>
          <w:sz w:val="20"/>
          <w:lang w:val="en-US" w:eastAsia="en-US" w:bidi="ar-SA"/>
        </w:rPr>
        <w:t>Enright v. Marwick</w:t>
      </w:r>
      <w:r>
        <w:rPr>
          <w:rFonts w:ascii="arial" w:eastAsia="arial" w:hAnsi="arial" w:cs="arial"/>
          <w:color w:val="000000"/>
          <w:sz w:val="20"/>
          <w:lang w:val="en-US" w:eastAsia="en-US" w:bidi="ar-SA"/>
        </w:rPr>
        <w:t xml:space="preserve">, </w:t>
      </w:r>
      <w:hyperlink r:id="rId519" w:history="1">
        <w:r>
          <w:rPr>
            <w:rFonts w:ascii="arial" w:eastAsia="arial" w:hAnsi="arial" w:cs="arial"/>
            <w:i/>
            <w:color w:val="0077CC"/>
            <w:sz w:val="20"/>
            <w:u w:val="single"/>
            <w:shd w:val="clear" w:color="auto" w:fill="FFFFFF"/>
            <w:lang w:val="en-US" w:eastAsia="en-US" w:bidi="ar-SA"/>
          </w:rPr>
          <w:t>2004 BCCA 259</w:t>
        </w:r>
      </w:hyperlink>
      <w:r>
        <w:rPr>
          <w:rFonts w:ascii="arial" w:eastAsia="arial" w:hAnsi="arial" w:cs="arial"/>
          <w:color w:val="000000"/>
          <w:sz w:val="20"/>
          <w:lang w:val="en-US" w:eastAsia="en-US" w:bidi="ar-SA"/>
        </w:rPr>
        <w:t xml:space="preserve"> at para. 22. In particular, drivers are ordinarily entitled to expect that adult pedestrians will not jump out directly in front of them as they are proceeding lawfully along their way: </w:t>
      </w:r>
      <w:r>
        <w:rPr>
          <w:rFonts w:ascii="arial" w:eastAsia="arial" w:hAnsi="arial" w:cs="arial"/>
          <w:i/>
          <w:color w:val="000000"/>
          <w:sz w:val="20"/>
          <w:lang w:val="en-US" w:eastAsia="en-US" w:bidi="ar-SA"/>
        </w:rPr>
        <w:t>Enright, supra</w:t>
      </w:r>
      <w:r>
        <w:rPr>
          <w:rFonts w:ascii="arial" w:eastAsia="arial" w:hAnsi="arial" w:cs="arial"/>
          <w:color w:val="000000"/>
          <w:sz w:val="20"/>
          <w:lang w:val="en-US" w:eastAsia="en-US" w:bidi="ar-SA"/>
        </w:rPr>
        <w:t xml:space="preserve"> at para. 35; </w:t>
      </w:r>
      <w:r>
        <w:rPr>
          <w:rFonts w:ascii="arial" w:eastAsia="arial" w:hAnsi="arial" w:cs="arial"/>
          <w:i/>
          <w:color w:val="000000"/>
          <w:sz w:val="20"/>
          <w:lang w:val="en-US" w:eastAsia="en-US" w:bidi="ar-SA"/>
        </w:rPr>
        <w:t>Ibaraki v. Bamford</w:t>
      </w:r>
      <w:r>
        <w:rPr>
          <w:rFonts w:ascii="arial" w:eastAsia="arial" w:hAnsi="arial" w:cs="arial"/>
          <w:color w:val="000000"/>
          <w:sz w:val="20"/>
          <w:lang w:val="en-US" w:eastAsia="en-US" w:bidi="ar-SA"/>
        </w:rPr>
        <w:t xml:space="preserve">, </w:t>
      </w:r>
      <w:hyperlink r:id="rId520" w:history="1">
        <w:r>
          <w:rPr>
            <w:rFonts w:ascii="arial" w:eastAsia="arial" w:hAnsi="arial" w:cs="arial"/>
            <w:i/>
            <w:color w:val="0077CC"/>
            <w:sz w:val="20"/>
            <w:u w:val="single"/>
            <w:shd w:val="clear" w:color="auto" w:fill="FFFFFF"/>
            <w:lang w:val="en-US" w:eastAsia="en-US" w:bidi="ar-SA"/>
          </w:rPr>
          <w:t>[1996] B.C.J. No. 724</w:t>
        </w:r>
      </w:hyperlink>
      <w:r>
        <w:rPr>
          <w:rFonts w:ascii="arial" w:eastAsia="arial" w:hAnsi="arial" w:cs="arial"/>
          <w:color w:val="000000"/>
          <w:sz w:val="20"/>
          <w:lang w:val="en-US" w:eastAsia="en-US" w:bidi="ar-SA"/>
        </w:rPr>
        <w:t xml:space="preserve"> at para. 12-13.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Regardless of who has the right of way, however, there is a duty upon drivers and pedestrians alike to keep a proper lookout and take reasonable precautions in response to apparent potential hazards: </w:t>
      </w:r>
      <w:r>
        <w:rPr>
          <w:rFonts w:ascii="arial" w:eastAsia="arial" w:hAnsi="arial" w:cs="arial"/>
          <w:i/>
          <w:color w:val="000000"/>
          <w:sz w:val="20"/>
          <w:lang w:val="en-US" w:eastAsia="en-US" w:bidi="ar-SA"/>
        </w:rPr>
        <w:t>Nelson (Guardian ad litem of) v. Shinske</w:t>
      </w:r>
      <w:r>
        <w:rPr>
          <w:rFonts w:ascii="arial" w:eastAsia="arial" w:hAnsi="arial" w:cs="arial"/>
          <w:color w:val="000000"/>
          <w:sz w:val="20"/>
          <w:lang w:val="en-US" w:eastAsia="en-US" w:bidi="ar-SA"/>
        </w:rPr>
        <w:t xml:space="preserve"> </w:t>
      </w:r>
      <w:hyperlink r:id="rId521" w:history="1">
        <w:r>
          <w:rPr>
            <w:rFonts w:ascii="arial" w:eastAsia="arial" w:hAnsi="arial" w:cs="arial"/>
            <w:i/>
            <w:color w:val="0077CC"/>
            <w:sz w:val="20"/>
            <w:u w:val="single"/>
            <w:shd w:val="clear" w:color="auto" w:fill="FFFFFF"/>
            <w:lang w:val="en-US" w:eastAsia="en-US" w:bidi="ar-SA"/>
          </w:rPr>
          <w:t>(1991), 62 B.C.L.R. (2d) 302</w:t>
        </w:r>
      </w:hyperlink>
      <w:r>
        <w:rPr>
          <w:rFonts w:ascii="arial" w:eastAsia="arial" w:hAnsi="arial" w:cs="arial"/>
          <w:color w:val="000000"/>
          <w:sz w:val="20"/>
          <w:lang w:val="en-US" w:eastAsia="en-US" w:bidi="ar-SA"/>
        </w:rPr>
        <w:t xml:space="preserve"> (B.C.S.C.); </w:t>
      </w:r>
      <w:r>
        <w:rPr>
          <w:rFonts w:ascii="arial" w:eastAsia="arial" w:hAnsi="arial" w:cs="arial"/>
          <w:i/>
          <w:color w:val="000000"/>
          <w:sz w:val="20"/>
          <w:lang w:val="en-US" w:eastAsia="en-US" w:bidi="ar-SA"/>
        </w:rPr>
        <w:t>Karran v. Anderson</w:t>
      </w:r>
      <w:r>
        <w:rPr>
          <w:rFonts w:ascii="arial" w:eastAsia="arial" w:hAnsi="arial" w:cs="arial"/>
          <w:color w:val="000000"/>
          <w:sz w:val="20"/>
          <w:lang w:val="en-US" w:eastAsia="en-US" w:bidi="ar-SA"/>
        </w:rPr>
        <w:t xml:space="preserve">, </w:t>
      </w:r>
      <w:hyperlink r:id="rId522" w:history="1">
        <w:r>
          <w:rPr>
            <w:rFonts w:ascii="arial" w:eastAsia="arial" w:hAnsi="arial" w:cs="arial"/>
            <w:i/>
            <w:color w:val="0077CC"/>
            <w:sz w:val="20"/>
            <w:u w:val="single"/>
            <w:shd w:val="clear" w:color="auto" w:fill="FFFFFF"/>
            <w:lang w:val="en-US" w:eastAsia="en-US" w:bidi="ar-SA"/>
          </w:rPr>
          <w:t>2009 BCSC 1105</w:t>
        </w:r>
      </w:hyperlink>
      <w:r>
        <w:rPr>
          <w:rFonts w:ascii="arial" w:eastAsia="arial" w:hAnsi="arial" w:cs="arial"/>
          <w:color w:val="000000"/>
          <w:sz w:val="20"/>
          <w:lang w:val="en-US" w:eastAsia="en-US" w:bidi="ar-SA"/>
        </w:rPr>
        <w:t xml:space="preserve">. Depending on the circumstances, from a driver's perspective one such hazard may be a jaywalking pedestrian: </w:t>
      </w:r>
      <w:r>
        <w:rPr>
          <w:rFonts w:ascii="arial" w:eastAsia="arial" w:hAnsi="arial" w:cs="arial"/>
          <w:i/>
          <w:color w:val="000000"/>
          <w:sz w:val="20"/>
          <w:lang w:val="en-US" w:eastAsia="en-US" w:bidi="ar-SA"/>
        </w:rPr>
        <w:t>Ashe v. Werstiuk</w:t>
      </w:r>
      <w:r>
        <w:rPr>
          <w:rFonts w:ascii="arial" w:eastAsia="arial" w:hAnsi="arial" w:cs="arial"/>
          <w:color w:val="000000"/>
          <w:sz w:val="20"/>
          <w:lang w:val="en-US" w:eastAsia="en-US" w:bidi="ar-SA"/>
        </w:rPr>
        <w:t xml:space="preserve">, </w:t>
      </w:r>
      <w:hyperlink r:id="rId523" w:history="1">
        <w:r>
          <w:rPr>
            <w:rFonts w:ascii="arial" w:eastAsia="arial" w:hAnsi="arial" w:cs="arial"/>
            <w:i/>
            <w:color w:val="0077CC"/>
            <w:sz w:val="20"/>
            <w:u w:val="single"/>
            <w:shd w:val="clear" w:color="auto" w:fill="FFFFFF"/>
            <w:lang w:val="en-US" w:eastAsia="en-US" w:bidi="ar-SA"/>
          </w:rPr>
          <w:t>2003 BCSC 184</w:t>
        </w:r>
      </w:hyperlink>
      <w:r>
        <w:rPr>
          <w:rFonts w:ascii="arial" w:eastAsia="arial" w:hAnsi="arial" w:cs="arial"/>
          <w:color w:val="000000"/>
          <w:sz w:val="20"/>
          <w:lang w:val="en-US" w:eastAsia="en-US" w:bidi="ar-SA"/>
        </w:rPr>
        <w:t xml:space="preserve">, upheld </w:t>
      </w:r>
      <w:hyperlink r:id="rId524" w:history="1">
        <w:r>
          <w:rPr>
            <w:rFonts w:ascii="arial" w:eastAsia="arial" w:hAnsi="arial" w:cs="arial"/>
            <w:i/>
            <w:color w:val="0077CC"/>
            <w:sz w:val="20"/>
            <w:u w:val="single"/>
            <w:shd w:val="clear" w:color="auto" w:fill="FFFFFF"/>
            <w:lang w:val="en-US" w:eastAsia="en-US" w:bidi="ar-SA"/>
          </w:rPr>
          <w:t>2004 BCCA 75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Claydon v. Insurance Corp. of British Columbia</w:t>
      </w:r>
      <w:r>
        <w:rPr>
          <w:rFonts w:ascii="arial" w:eastAsia="arial" w:hAnsi="arial" w:cs="arial"/>
          <w:color w:val="000000"/>
          <w:sz w:val="20"/>
          <w:lang w:val="en-US" w:eastAsia="en-US" w:bidi="ar-SA"/>
        </w:rPr>
        <w:t xml:space="preserve">, </w:t>
      </w:r>
      <w:hyperlink r:id="rId525" w:history="1">
        <w:r>
          <w:rPr>
            <w:rFonts w:ascii="arial" w:eastAsia="arial" w:hAnsi="arial" w:cs="arial"/>
            <w:i/>
            <w:color w:val="0077CC"/>
            <w:sz w:val="20"/>
            <w:u w:val="single"/>
            <w:shd w:val="clear" w:color="auto" w:fill="FFFFFF"/>
            <w:lang w:val="en-US" w:eastAsia="en-US" w:bidi="ar-SA"/>
          </w:rPr>
          <w:t>2009 BCSC 1077</w:t>
        </w:r>
      </w:hyperlink>
      <w:r>
        <w:rPr>
          <w:rFonts w:ascii="arial" w:eastAsia="arial" w:hAnsi="arial" w:cs="arial"/>
          <w:color w:val="000000"/>
          <w:sz w:val="20"/>
          <w:lang w:val="en-US" w:eastAsia="en-US" w:bidi="ar-SA"/>
        </w:rPr>
        <w:t xml:space="preserve">. If it is reasonably foreseeable or apparent that a pedestrian will disregard the law and thus create a hazardous situation, a driver is obliged to take all reasonable steps to avoid a collision. In such circumstances, if the driver has a sufficient opportunity to avoid the collision, but does not take appropriate evasive action, the driver will be found negligent: </w:t>
      </w:r>
      <w:r>
        <w:rPr>
          <w:rFonts w:ascii="arial" w:eastAsia="arial" w:hAnsi="arial" w:cs="arial"/>
          <w:i/>
          <w:color w:val="000000"/>
          <w:sz w:val="20"/>
          <w:lang w:val="en-US" w:eastAsia="en-US" w:bidi="ar-SA"/>
        </w:rPr>
        <w:t xml:space="preserve"> Karran</w:t>
      </w: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 xml:space="preserve"> supra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Beauchamp v. Shand</w:t>
      </w:r>
      <w:r>
        <w:rPr>
          <w:rFonts w:ascii="arial" w:eastAsia="arial" w:hAnsi="arial" w:cs="arial"/>
          <w:color w:val="000000"/>
          <w:sz w:val="20"/>
          <w:lang w:val="en-US" w:eastAsia="en-US" w:bidi="ar-SA"/>
        </w:rPr>
        <w:t xml:space="preserve">, </w:t>
      </w:r>
      <w:hyperlink r:id="rId526" w:history="1">
        <w:r>
          <w:rPr>
            <w:rFonts w:ascii="arial" w:eastAsia="arial" w:hAnsi="arial" w:cs="arial"/>
            <w:i/>
            <w:color w:val="0077CC"/>
            <w:sz w:val="20"/>
            <w:u w:val="single"/>
            <w:shd w:val="clear" w:color="auto" w:fill="FFFFFF"/>
            <w:lang w:val="en-US" w:eastAsia="en-US" w:bidi="ar-SA"/>
          </w:rPr>
          <w:t>2004 BCSC 272</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The standard required of drivers in responding to pedestrian-created hazards such as jaywalking is not one of perfection. For example, in </w:t>
      </w:r>
      <w:r>
        <w:rPr>
          <w:rFonts w:ascii="arial" w:eastAsia="arial" w:hAnsi="arial" w:cs="arial"/>
          <w:i/>
          <w:color w:val="000000"/>
          <w:sz w:val="20"/>
          <w:lang w:val="en-US" w:eastAsia="en-US" w:bidi="ar-SA"/>
        </w:rPr>
        <w:t>Burke v. Leung</w:t>
      </w:r>
      <w:r>
        <w:rPr>
          <w:rFonts w:ascii="arial" w:eastAsia="arial" w:hAnsi="arial" w:cs="arial"/>
          <w:color w:val="000000"/>
          <w:sz w:val="20"/>
          <w:lang w:val="en-US" w:eastAsia="en-US" w:bidi="ar-SA"/>
        </w:rPr>
        <w:t xml:space="preserve">, </w:t>
      </w:r>
      <w:hyperlink r:id="rId527" w:history="1">
        <w:r>
          <w:rPr>
            <w:rFonts w:ascii="arial" w:eastAsia="arial" w:hAnsi="arial" w:cs="arial"/>
            <w:i/>
            <w:color w:val="0077CC"/>
            <w:sz w:val="20"/>
            <w:u w:val="single"/>
            <w:shd w:val="clear" w:color="auto" w:fill="FFFFFF"/>
            <w:lang w:val="en-US" w:eastAsia="en-US" w:bidi="ar-SA"/>
          </w:rPr>
          <w:t>[1996] B.C.J. No. 938</w:t>
        </w:r>
      </w:hyperlink>
      <w:r>
        <w:rPr>
          <w:rFonts w:ascii="arial" w:eastAsia="arial" w:hAnsi="arial" w:cs="arial"/>
          <w:color w:val="000000"/>
          <w:sz w:val="20"/>
          <w:lang w:val="en-US" w:eastAsia="en-US" w:bidi="ar-SA"/>
        </w:rPr>
        <w:t xml:space="preserve"> (S.C.) Kirkpatrick J. (as she then was) found the defendant driver was not negligent when he struck a pedestrian who ran, mid-block, into his path, despite the fact that other drivers in the area were able to stop in time: see also </w:t>
      </w:r>
      <w:r>
        <w:rPr>
          <w:rFonts w:ascii="arial" w:eastAsia="arial" w:hAnsi="arial" w:cs="arial"/>
          <w:i/>
          <w:color w:val="000000"/>
          <w:sz w:val="20"/>
          <w:lang w:val="en-US" w:eastAsia="en-US" w:bidi="ar-SA"/>
        </w:rPr>
        <w:t>Addison v. Nelles</w:t>
      </w:r>
      <w:r>
        <w:rPr>
          <w:rFonts w:ascii="arial" w:eastAsia="arial" w:hAnsi="arial" w:cs="arial"/>
          <w:color w:val="000000"/>
          <w:sz w:val="20"/>
          <w:lang w:val="en-US" w:eastAsia="en-US" w:bidi="ar-SA"/>
        </w:rPr>
        <w:t xml:space="preserve">, </w:t>
      </w:r>
      <w:hyperlink r:id="rId528" w:history="1">
        <w:r>
          <w:rPr>
            <w:rFonts w:ascii="arial" w:eastAsia="arial" w:hAnsi="arial" w:cs="arial"/>
            <w:i/>
            <w:color w:val="0077CC"/>
            <w:sz w:val="20"/>
            <w:u w:val="single"/>
            <w:shd w:val="clear" w:color="auto" w:fill="FFFFFF"/>
            <w:lang w:val="en-US" w:eastAsia="en-US" w:bidi="ar-SA"/>
          </w:rPr>
          <w:t>2003 BCSC 1860</w:t>
        </w:r>
      </w:hyperlink>
      <w:r>
        <w:rPr>
          <w:rFonts w:ascii="arial" w:eastAsia="arial" w:hAnsi="arial" w:cs="arial"/>
          <w:color w:val="000000"/>
          <w:sz w:val="20"/>
          <w:lang w:val="en-US" w:eastAsia="en-US" w:bidi="ar-SA"/>
        </w:rPr>
        <w:t xml:space="preserve">, upheld </w:t>
      </w:r>
      <w:hyperlink r:id="rId529" w:history="1">
        <w:r>
          <w:rPr>
            <w:rFonts w:ascii="arial" w:eastAsia="arial" w:hAnsi="arial" w:cs="arial"/>
            <w:i/>
            <w:color w:val="0077CC"/>
            <w:sz w:val="20"/>
            <w:u w:val="single"/>
            <w:shd w:val="clear" w:color="auto" w:fill="FFFFFF"/>
            <w:lang w:val="en-US" w:eastAsia="en-US" w:bidi="ar-SA"/>
          </w:rPr>
          <w:t>2004 BCCA 623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Clifford v. Slater</w:t>
      </w:r>
      <w:r>
        <w:rPr>
          <w:rFonts w:ascii="arial" w:eastAsia="arial" w:hAnsi="arial" w:cs="arial"/>
          <w:color w:val="000000"/>
          <w:sz w:val="20"/>
          <w:lang w:val="en-US" w:eastAsia="en-US" w:bidi="ar-SA"/>
        </w:rPr>
        <w:t xml:space="preserve">, </w:t>
      </w:r>
      <w:hyperlink r:id="rId530" w:history="1">
        <w:r>
          <w:rPr>
            <w:rFonts w:ascii="arial" w:eastAsia="arial" w:hAnsi="arial" w:cs="arial"/>
            <w:i/>
            <w:color w:val="0077CC"/>
            <w:sz w:val="20"/>
            <w:u w:val="single"/>
            <w:shd w:val="clear" w:color="auto" w:fill="FFFFFF"/>
            <w:lang w:val="en-US" w:eastAsia="en-US" w:bidi="ar-SA"/>
          </w:rPr>
          <w:t>2007 BCSC 177</w:t>
        </w:r>
      </w:hyperlink>
      <w:r>
        <w:rPr>
          <w:rFonts w:ascii="arial" w:eastAsia="arial" w:hAnsi="arial" w:cs="arial"/>
          <w:color w:val="000000"/>
          <w:sz w:val="20"/>
          <w:lang w:val="en-US" w:eastAsia="en-US" w:bidi="ar-SA"/>
        </w:rPr>
        <w:t>. The applicable standard of care is one of reasonable prudence in all of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mere fact that the driver did not see the pedestrian before striking him, is not in itself, sufficient to establish that the driver kept an inadequate lookout: </w:t>
      </w:r>
      <w:r>
        <w:rPr>
          <w:rFonts w:ascii="arial" w:eastAsia="arial" w:hAnsi="arial" w:cs="arial"/>
          <w:i/>
          <w:color w:val="000000"/>
          <w:sz w:val="20"/>
          <w:lang w:val="en-US" w:eastAsia="en-US" w:bidi="ar-SA"/>
        </w:rPr>
        <w:t>Plett v. ICBC</w:t>
      </w:r>
      <w:r>
        <w:rPr>
          <w:rFonts w:ascii="arial" w:eastAsia="arial" w:hAnsi="arial" w:cs="arial"/>
          <w:color w:val="000000"/>
          <w:sz w:val="20"/>
          <w:lang w:val="en-US" w:eastAsia="en-US" w:bidi="ar-SA"/>
        </w:rPr>
        <w:t xml:space="preserve"> </w:t>
      </w:r>
      <w:hyperlink r:id="rId531" w:history="1">
        <w:r>
          <w:rPr>
            <w:rFonts w:ascii="arial" w:eastAsia="arial" w:hAnsi="arial" w:cs="arial"/>
            <w:i/>
            <w:color w:val="0077CC"/>
            <w:sz w:val="20"/>
            <w:u w:val="single"/>
            <w:shd w:val="clear" w:color="auto" w:fill="FFFFFF"/>
            <w:lang w:val="en-US" w:eastAsia="en-US" w:bidi="ar-SA"/>
          </w:rPr>
          <w:t>(1987), 12 B.C.L.R. (2d) 336</w:t>
        </w:r>
      </w:hyperlink>
      <w:r>
        <w:rPr>
          <w:rFonts w:ascii="arial" w:eastAsia="arial" w:hAnsi="arial" w:cs="arial"/>
          <w:color w:val="000000"/>
          <w:sz w:val="20"/>
          <w:lang w:val="en-US" w:eastAsia="en-US" w:bidi="ar-SA"/>
        </w:rPr>
        <w:t xml:space="preserve"> (C.A.). The driver is required to operate his vehicle so that he will be able to avoid striking a pedestrian who is crossing his path in a reasonable manner: </w:t>
      </w:r>
      <w:r>
        <w:rPr>
          <w:rFonts w:ascii="arial" w:eastAsia="arial" w:hAnsi="arial" w:cs="arial"/>
          <w:i/>
          <w:color w:val="000000"/>
          <w:sz w:val="20"/>
          <w:lang w:val="en-US" w:eastAsia="en-US" w:bidi="ar-SA"/>
        </w:rPr>
        <w:t>Funk v. Carter</w:t>
      </w:r>
      <w:r>
        <w:rPr>
          <w:rFonts w:ascii="arial" w:eastAsia="arial" w:hAnsi="arial" w:cs="arial"/>
          <w:color w:val="000000"/>
          <w:sz w:val="20"/>
          <w:lang w:val="en-US" w:eastAsia="en-US" w:bidi="ar-SA"/>
        </w:rPr>
        <w:t xml:space="preserve">, </w:t>
      </w:r>
      <w:hyperlink r:id="rId532" w:history="1">
        <w:r>
          <w:rPr>
            <w:rFonts w:ascii="arial" w:eastAsia="arial" w:hAnsi="arial" w:cs="arial"/>
            <w:i/>
            <w:color w:val="0077CC"/>
            <w:sz w:val="20"/>
            <w:u w:val="single"/>
            <w:shd w:val="clear" w:color="auto" w:fill="FFFFFF"/>
            <w:lang w:val="en-US" w:eastAsia="en-US" w:bidi="ar-SA"/>
          </w:rPr>
          <w:t>2004 BCSC 866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plaintiff cited the following cases on the issue of liability:</w:t>
      </w:r>
      <w:r>
        <w:rPr>
          <w:rFonts w:ascii="arial" w:eastAsia="arial" w:hAnsi="arial" w:cs="arial"/>
          <w:sz w:val="20"/>
          <w:lang w:val="en-US" w:eastAsia="en-US" w:bidi="ar-SA"/>
        </w:rPr>
        <w:cr/>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Hmaied</w:t>
      </w:r>
      <w:r>
        <w:rPr>
          <w:rFonts w:ascii="arial" w:eastAsia="arial" w:hAnsi="arial" w:cs="arial"/>
          <w:color w:val="000000"/>
          <w:sz w:val="20"/>
          <w:lang w:val="en-US" w:eastAsia="en-US" w:bidi="ar-SA"/>
        </w:rPr>
        <w:t xml:space="preserve">. In this case the plaintiff was struck in the course of jaywalking in the presence of oncoming traffic. In finding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driver and apportioning 50% of the liability to the driver, Dickson J. stated: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had the right of way, but he did not take reasonable precautions in response to the obvious hazard presented by a young person jaywalking across his path of travel. I accept that he could not specifically foresee the plaintiff would drop his cell phone and move back into the middle eastbound lane in order to retrieve it. I do not accept, however, that he was entitled to assume the plaintiff would obey the rules of the road or otherwise behave in a predictable manner as he jogged diagonally across Clarke Road. On the contrary, the defendant knew that the youthful plaintiff was behaving unsafely by jaywalking in the face of oncoming traffic. In these circumstances, other forms of unsafe behaviour were predictably unpredictable and the defendant should have slowed down and changed lanes immediately when he saw the plaintiff. Had he done so, the Accident would not have happened: </w:t>
      </w:r>
      <w:r>
        <w:rPr>
          <w:rFonts w:ascii="arial" w:eastAsia="arial" w:hAnsi="arial" w:cs="arial"/>
          <w:i/>
          <w:color w:val="000000"/>
          <w:sz w:val="20"/>
          <w:lang w:val="en-US" w:eastAsia="en-US" w:bidi="ar-SA"/>
        </w:rPr>
        <w:t>Nelson (Guardian ad litem of)</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Ashe</w:t>
      </w: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 xml:space="preserve"> supra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Claydon</w:t>
      </w: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 xml:space="preserve"> supra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Karran</w:t>
      </w: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 xml:space="preserve"> supra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Beauchamp</w:t>
      </w: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 xml:space="preserve"> supra</w:t>
      </w:r>
      <w:r>
        <w:rPr>
          <w:rFonts w:ascii="arial" w:eastAsia="arial" w:hAnsi="arial" w:cs="arial"/>
          <w:color w:val="000000"/>
          <w:sz w:val="20"/>
          <w:lang w:val="en-US" w:eastAsia="en-US" w:bidi="ar-SA"/>
        </w:rPr>
        <w:t>.</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Whelan v. BC Transit</w:t>
      </w:r>
      <w:r>
        <w:rPr>
          <w:rFonts w:ascii="arial" w:eastAsia="arial" w:hAnsi="arial" w:cs="arial"/>
          <w:color w:val="000000"/>
          <w:sz w:val="20"/>
          <w:lang w:val="en-US" w:eastAsia="en-US" w:bidi="ar-SA"/>
        </w:rPr>
        <w:t xml:space="preserve">, </w:t>
      </w:r>
      <w:hyperlink r:id="rId533" w:history="1">
        <w:r>
          <w:rPr>
            <w:rFonts w:ascii="arial" w:eastAsia="arial" w:hAnsi="arial" w:cs="arial"/>
            <w:i/>
            <w:color w:val="0077CC"/>
            <w:sz w:val="20"/>
            <w:u w:val="single"/>
            <w:shd w:val="clear" w:color="auto" w:fill="FFFFFF"/>
            <w:lang w:val="en-US" w:eastAsia="en-US" w:bidi="ar-SA"/>
          </w:rPr>
          <w:t>2012 BCSC 1397</w:t>
        </w:r>
      </w:hyperlink>
      <w:r>
        <w:rPr>
          <w:rFonts w:ascii="arial" w:eastAsia="arial" w:hAnsi="arial" w:cs="arial"/>
          <w:color w:val="000000"/>
          <w:sz w:val="20"/>
          <w:lang w:val="en-US" w:eastAsia="en-US" w:bidi="ar-SA"/>
        </w:rPr>
        <w:t>. In this case Mr. Whelan stepped off the sidewalk to move around other pedestrians and into the path of the bus. He did not look before he stepped off the sidewalk. The bus ran over his foot. Schultes J. concluded that the driver's conduct fell below the standard of care and apportioned 30% to the driver, stating:</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On all the evidence I am satisfied that there was a period of time, of more than transitory length, during which the bus was travelling forward, still in the curb lane, but the focus of Mr. Kobbero's attention was on his left mirror and the act of merging. It was during this period that Mr. Whelan stepped out on the road and, had Mr. Kobbero's attention been prudently apportioned between merging and the curb lane in front of him, he could have seen and reacted to the pedestrian in time of avoid a collision. His focus on merging reflected an assumption, which I find was not reasonable in light of his overall awareness of the range of pedestrian hazards, that his forward check earlier in the process was sufficient. However briefly, I conclude that he did fall below his required standard of care.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Anderson v. Kozniuk</w:t>
      </w:r>
      <w:r>
        <w:rPr>
          <w:rFonts w:ascii="arial" w:eastAsia="arial" w:hAnsi="arial" w:cs="arial"/>
          <w:color w:val="000000"/>
          <w:sz w:val="20"/>
          <w:lang w:val="en-US" w:eastAsia="en-US" w:bidi="ar-SA"/>
        </w:rPr>
        <w:t xml:space="preserve">, </w:t>
      </w:r>
      <w:hyperlink r:id="rId534" w:history="1">
        <w:r>
          <w:rPr>
            <w:rFonts w:ascii="arial" w:eastAsia="arial" w:hAnsi="arial" w:cs="arial"/>
            <w:i/>
            <w:color w:val="0077CC"/>
            <w:sz w:val="20"/>
            <w:u w:val="single"/>
            <w:shd w:val="clear" w:color="auto" w:fill="FFFFFF"/>
            <w:lang w:val="en-US" w:eastAsia="en-US" w:bidi="ar-SA"/>
          </w:rPr>
          <w:t>2011 BCSC 1678</w:t>
        </w:r>
      </w:hyperlink>
      <w:r>
        <w:rPr>
          <w:rFonts w:ascii="arial" w:eastAsia="arial" w:hAnsi="arial" w:cs="arial"/>
          <w:color w:val="000000"/>
          <w:sz w:val="20"/>
          <w:lang w:val="en-US" w:eastAsia="en-US" w:bidi="ar-SA"/>
        </w:rPr>
        <w:t>. In this case the plaintiff left a lighted crosswalk to angle toward a bus stop. Russell J. concluded that the defendant had been negligent and apportioned 70% of the liability to the driver stating:</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When a driver approaches a crosswalk where she has some degree of knowledge and experience that pedestrians approaching the bus stop or the grocery store may be crossing, she should take the precaution of maintaining a careful look-out and slightly reducing her speed. The very presence of the marked crosswalk should have been an indication to her of the possible presence of pedestrians in the area. Had Ms. Kozniuk taken these steps, it is possible she would have seen the plaintiff before the last second, when it was too late to avoid him.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Her evidence was that her attention was focused directly ahead on the roadway. While the standard required of a driver is not that of perfection, she ought to have been able to glance to the periphery to check that there were no pedestrians in the roadway.</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Bell v. Thorner</w:t>
      </w:r>
      <w:r>
        <w:rPr>
          <w:rFonts w:ascii="arial" w:eastAsia="arial" w:hAnsi="arial" w:cs="arial"/>
          <w:color w:val="000000"/>
          <w:sz w:val="20"/>
          <w:lang w:val="en-US" w:eastAsia="en-US" w:bidi="ar-SA"/>
        </w:rPr>
        <w:t xml:space="preserve">, </w:t>
      </w:r>
      <w:hyperlink r:id="rId535" w:history="1">
        <w:r>
          <w:rPr>
            <w:rFonts w:ascii="arial" w:eastAsia="arial" w:hAnsi="arial" w:cs="arial"/>
            <w:i/>
            <w:color w:val="0077CC"/>
            <w:sz w:val="20"/>
            <w:u w:val="single"/>
            <w:shd w:val="clear" w:color="auto" w:fill="FFFFFF"/>
            <w:lang w:val="en-US" w:eastAsia="en-US" w:bidi="ar-SA"/>
          </w:rPr>
          <w:t>2009 BCSC 44</w:t>
        </w:r>
      </w:hyperlink>
      <w:r>
        <w:rPr>
          <w:rFonts w:ascii="arial" w:eastAsia="arial" w:hAnsi="arial" w:cs="arial"/>
          <w:color w:val="000000"/>
          <w:sz w:val="20"/>
          <w:lang w:val="en-US" w:eastAsia="en-US" w:bidi="ar-SA"/>
        </w:rPr>
        <w:t>. In this case the defendant, a novice driver, struck a pedestrian crossing in a crosswalk who had established a substantial position in the intersection. The driver was found negligent because while approaching an intersection, he was travelling too fast for the slippery conditions.</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Funk</w:t>
      </w:r>
      <w:r>
        <w:rPr>
          <w:rFonts w:ascii="arial" w:eastAsia="arial" w:hAnsi="arial" w:cs="arial"/>
          <w:color w:val="000000"/>
          <w:sz w:val="20"/>
          <w:lang w:val="en-US" w:eastAsia="en-US" w:bidi="ar-SA"/>
        </w:rPr>
        <w:t>. In this case the plaintiff was struck by the defendant while crossing at an intersection on a green light. The intersection had marked crosswalks on the other three sides but none where the plaintiff crossed. The defendant's car struck the plaintiff while making a left hand turn. The defendant's windows were fogged. He was found to have been driving too fast for the prevailing conditions and to have been pre-occupied with timing his left hand turn.</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Sandhu v. John Doe</w:t>
      </w:r>
      <w:r>
        <w:rPr>
          <w:rFonts w:ascii="arial" w:eastAsia="arial" w:hAnsi="arial" w:cs="arial"/>
          <w:color w:val="000000"/>
          <w:sz w:val="20"/>
          <w:lang w:val="en-US" w:eastAsia="en-US" w:bidi="ar-SA"/>
        </w:rPr>
        <w:t xml:space="preserve">, </w:t>
      </w:r>
      <w:hyperlink r:id="rId536" w:history="1">
        <w:r>
          <w:rPr>
            <w:rFonts w:ascii="arial" w:eastAsia="arial" w:hAnsi="arial" w:cs="arial"/>
            <w:i/>
            <w:color w:val="0077CC"/>
            <w:sz w:val="20"/>
            <w:u w:val="single"/>
            <w:shd w:val="clear" w:color="auto" w:fill="FFFFFF"/>
            <w:lang w:val="en-US" w:eastAsia="en-US" w:bidi="ar-SA"/>
          </w:rPr>
          <w:t>2012 BCSC 1423</w:t>
        </w:r>
      </w:hyperlink>
      <w:r>
        <w:rPr>
          <w:rFonts w:ascii="arial" w:eastAsia="arial" w:hAnsi="arial" w:cs="arial"/>
          <w:color w:val="000000"/>
          <w:sz w:val="20"/>
          <w:lang w:val="en-US" w:eastAsia="en-US" w:bidi="ar-SA"/>
        </w:rPr>
        <w:t>. In this case the pedestrian was jaywalking. However, two vehicles had stopped to let her pass. The defendant driver was found to have been negligent in passing two stopped vehicles when the possibility of a pedestrian crossing was reasonably apparent.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Wong-Lai v. Ong</w:t>
      </w:r>
      <w:r>
        <w:rPr>
          <w:rFonts w:ascii="arial" w:eastAsia="arial" w:hAnsi="arial" w:cs="arial"/>
          <w:color w:val="000000"/>
          <w:sz w:val="20"/>
          <w:lang w:val="en-US" w:eastAsia="en-US" w:bidi="ar-SA"/>
        </w:rPr>
        <w:t xml:space="preserve">, </w:t>
      </w:r>
      <w:hyperlink r:id="rId537" w:history="1">
        <w:r>
          <w:rPr>
            <w:rFonts w:ascii="arial" w:eastAsia="arial" w:hAnsi="arial" w:cs="arial"/>
            <w:i/>
            <w:color w:val="0077CC"/>
            <w:sz w:val="20"/>
            <w:u w:val="single"/>
            <w:shd w:val="clear" w:color="auto" w:fill="FFFFFF"/>
            <w:lang w:val="en-US" w:eastAsia="en-US" w:bidi="ar-SA"/>
          </w:rPr>
          <w:t>2011 BCSC 1260</w:t>
        </w:r>
      </w:hyperlink>
      <w:r>
        <w:rPr>
          <w:rFonts w:ascii="arial" w:eastAsia="arial" w:hAnsi="arial" w:cs="arial"/>
          <w:color w:val="000000"/>
          <w:sz w:val="20"/>
          <w:lang w:val="en-US" w:eastAsia="en-US" w:bidi="ar-SA"/>
        </w:rPr>
        <w:t>. In this case the plaintiff, who was crossing a street, was struck by the defendant who was in the process of changing lanes and did not see her. Sewell J. concluded that the driver was negligent, having concluded that: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it would have been reasonably apparent to the driver of an eastbound vehicle that the Lais were present on the road from a distance that would have permitted the operator of the smart car to stop or avoid hitting them had he seen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defendants cited </w:t>
      </w:r>
      <w:r>
        <w:rPr>
          <w:rFonts w:ascii="arial" w:eastAsia="arial" w:hAnsi="arial" w:cs="arial"/>
          <w:i/>
          <w:color w:val="000000"/>
          <w:sz w:val="20"/>
          <w:lang w:val="en-US" w:eastAsia="en-US" w:bidi="ar-SA"/>
        </w:rPr>
        <w:t>McIlvenna v. Viebig</w:t>
      </w:r>
      <w:r>
        <w:rPr>
          <w:rFonts w:ascii="arial" w:eastAsia="arial" w:hAnsi="arial" w:cs="arial"/>
          <w:color w:val="000000"/>
          <w:sz w:val="20"/>
          <w:lang w:val="en-US" w:eastAsia="en-US" w:bidi="ar-SA"/>
        </w:rPr>
        <w:t xml:space="preserve">, </w:t>
      </w:r>
      <w:hyperlink r:id="rId538" w:history="1">
        <w:r>
          <w:rPr>
            <w:rFonts w:ascii="arial" w:eastAsia="arial" w:hAnsi="arial" w:cs="arial"/>
            <w:i/>
            <w:color w:val="0077CC"/>
            <w:sz w:val="20"/>
            <w:u w:val="single"/>
            <w:shd w:val="clear" w:color="auto" w:fill="FFFFFF"/>
            <w:lang w:val="en-US" w:eastAsia="en-US" w:bidi="ar-SA"/>
          </w:rPr>
          <w:t>2012 BCSC 218</w:t>
        </w:r>
      </w:hyperlink>
      <w:r>
        <w:rPr>
          <w:rFonts w:ascii="arial" w:eastAsia="arial" w:hAnsi="arial" w:cs="arial"/>
          <w:color w:val="000000"/>
          <w:sz w:val="20"/>
          <w:lang w:val="en-US" w:eastAsia="en-US" w:bidi="ar-SA"/>
        </w:rPr>
        <w:t>, in which Sigurdson J. dismissed the case, concluding that the plaintiff had not demonstrated that the defendant failed to exercise reasonable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asserts that the defendant driver was negligent:</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driving in excess of the speed limit; and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failing to keep a proper lookout.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defendants' position is that there was nothing Ms. Brown could have done to avoid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plaintiff's submission that Ms. Brown was speeding was based upon Mr. Good's calculations of impact speed. As noted above, Mr. Good calculated that if Ms. Pinsent crossed in front of the Infiniti, the minimum impact speed was 31 </w:t>
      </w:r>
      <w:r>
        <w:rPr>
          <w:rFonts w:ascii="arial" w:eastAsia="arial" w:hAnsi="arial" w:cs="arial"/>
          <w:color w:val="000000"/>
          <w:sz w:val="20"/>
          <w:u w:val="single"/>
          <w:lang w:val="en-US" w:eastAsia="en-US" w:bidi="ar-SA"/>
        </w:rPr>
        <w:t>+</w:t>
      </w:r>
      <w:r>
        <w:rPr>
          <w:rFonts w:ascii="arial" w:eastAsia="arial" w:hAnsi="arial" w:cs="arial"/>
          <w:color w:val="000000"/>
          <w:sz w:val="20"/>
          <w:lang w:val="en-US" w:eastAsia="en-US" w:bidi="ar-SA"/>
        </w:rPr>
        <w:t xml:space="preserve">6 km/h and the maximum was 58 </w:t>
      </w:r>
      <w:r>
        <w:rPr>
          <w:rFonts w:ascii="arial" w:eastAsia="arial" w:hAnsi="arial" w:cs="arial"/>
          <w:color w:val="000000"/>
          <w:sz w:val="20"/>
          <w:u w:val="single"/>
          <w:lang w:val="en-US" w:eastAsia="en-US" w:bidi="ar-SA"/>
        </w:rPr>
        <w:t>+3</w:t>
      </w:r>
      <w:r>
        <w:rPr>
          <w:rFonts w:ascii="arial" w:eastAsia="arial" w:hAnsi="arial" w:cs="arial"/>
          <w:color w:val="000000"/>
          <w:sz w:val="20"/>
          <w:lang w:val="en-US" w:eastAsia="en-US" w:bidi="ar-SA"/>
        </w:rPr>
        <w:t xml:space="preserve"> km/h. If Ms. Pinsent crossed behind the Infiniti, the minimum calculated impact speed was 51 </w:t>
      </w:r>
      <w:r>
        <w:rPr>
          <w:rFonts w:ascii="arial" w:eastAsia="arial" w:hAnsi="arial" w:cs="arial"/>
          <w:color w:val="000000"/>
          <w:sz w:val="20"/>
          <w:u w:val="single"/>
          <w:lang w:val="en-US" w:eastAsia="en-US" w:bidi="ar-SA"/>
        </w:rPr>
        <w:t>+</w:t>
      </w:r>
      <w:r>
        <w:rPr>
          <w:rFonts w:ascii="arial" w:eastAsia="arial" w:hAnsi="arial" w:cs="arial"/>
          <w:color w:val="000000"/>
          <w:sz w:val="20"/>
          <w:lang w:val="en-US" w:eastAsia="en-US" w:bidi="ar-SA"/>
        </w:rPr>
        <w:t xml:space="preserve"> 3 km/hr and the maximum was 69 </w:t>
      </w:r>
      <w:r>
        <w:rPr>
          <w:rFonts w:ascii="arial" w:eastAsia="arial" w:hAnsi="arial" w:cs="arial"/>
          <w:color w:val="000000"/>
          <w:sz w:val="20"/>
          <w:u w:val="single"/>
          <w:lang w:val="en-US" w:eastAsia="en-US" w:bidi="ar-SA"/>
        </w:rPr>
        <w:t>+</w:t>
      </w:r>
      <w:r>
        <w:rPr>
          <w:rFonts w:ascii="arial" w:eastAsia="arial" w:hAnsi="arial" w:cs="arial"/>
          <w:color w:val="000000"/>
          <w:sz w:val="20"/>
          <w:lang w:val="en-US" w:eastAsia="en-US" w:bidi="ar-SA"/>
        </w:rPr>
        <w:t>2 km/hr.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submits that the weight of the evidence makes it probable that Ms. Pinsent walked behind the Infiniti, that the impact speed was at the higher range calculated by Mr. Good and that the court should conclude that Ms. Brown was travelling at the higher end of that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Ms. Brown provided the only direct evidence concerning her speed immediately prior to the collision. It was her evidence that she reduced her speed in her descent on the hill at 29th Street. She believed that just prior to the accident she was travelling between 25 and 30 km per hour. She agreed on cross-examination that she could have been travelling 40 km per hour, but thought that was unlikely. I note that the suggestion that she was travelling at 69 km/hr was never put to Ms. Brown on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found Ms. Brown to have been a careful and credible witness. She was prepared to make reasonable concessions. Her testimony concerning the umbrella was a significant example of the care that she took with her evidence. As noted above, she testified that on the day of the accident she had a patterned multi-coloured umbrella that she took out of the trunk and used to shield the paramedic and Ms. Pinsent from the rain. When shown the poor quality photograph of an umbrella taken at the scene she stated that she could not be sure if the photo depicted was her umbrella.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note that her testimony with respect to her speed is consistent with Mr. Good's calculations of speed at impact with respect to the option of Ms. Pinsent emerging from in front of the Infiniti. Mr. Ising was of the opinion that this was in fact the more likely option.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While plaintiff's counsel submits that the weight of the evidence supports the proposition that Ms. Pinsent emerged from behind the Infiniti, there is no direct evidence that supports this conclusion. Mr. Good had this to say in cross-examination with respect to this issue:</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 the reason why you used the scenario of Ms. Pinsent coming out and crossing or at least starting to enter the travelled portion of the roadway from behind the Infinity is set out in your paragraph 7.23 where you say "A walking path behind the Infinity would be consistent with the journey from Ms. Pinsent's home to the intended destination at that bus stop west of Eastern Avenue." Ms. Pinsent coming out from the front of the Infinity is just as consistent to achieve those purposes, isn't it?</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That's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have concluded that the plaintiff has not established on a balance of probabilities that Ms. Brown was travelling at a speed in excess of the speed limit of 50 km per hour. I accept Ms. Brown's evidence that she was travelling between 25 to 40 km per hour. I found her evidence to be both credible and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next question is whether Ms. Brown was travelling at a speed that was excessive given all of the relevant circumstances. I find that this is not the case. In this case there is no evidence that Ms. Brown was aware of any hazards in the area that would have required her to exercise greater caution or to reduce her speed. She was not approaching an intersection or a crosswalk. There were no other cars stopped to let Ms. Pinsent pass. She had not observed pedestrians jaywalking in the area in the past. She did not observe Ms. Pinsent.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 submits that Ms. Brown was travelling too fast to stop in time; however that ignores Mr. Ising's evidence concerning sight lines, which I accept. Ms. Brown was not able to stop in time to avoid the accident given Ms. Pinsent's emergence from between parked cars. This is the case whether Ms. Pinsent emerged from behind or in front of the Infiniti. In either case Ms. Brown's ability to observe Ms. Pinsent at the speed she was travelling was impaired until it was too late to avoid the accident. The plaintiff has not established that Ms. Brown was driving in excess of the speed limit or in excess of what was reasonable for the prevailing conditions. I have found nothing in the circumstances that would have required Ms. Brown to drive at a slower rate of speed. Moreover, Ms. Pinsent was not crossing the road in a responsible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 submits that it is more likely than not that Ms. Pinsent entered the roadway from behind the Infiniti, that she was using her umbrella and that she was visible to oncoming traffic. Counsel submits further that Ms. Pinsent was well into Ms. Brown's lane and in front of her vehicle when she was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have concluded that, given my finding with respect to Ms. Brown's speed, the evidence is not consistent with Ms. Pinsent emerging from behind the Infiniti. However it is clear, and both Mr. Good and Mr. Ising concur, that Ms. Brown's ability to see Ms. Pinsent was impaired by parked vehicles in either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It is the case that Mr. Ising agreed that Ms. Brown would have been able to see Ms. Pinsent earlier if she had been using an umbrella. The difficulty is that there is no evidence that Ms. Pinsent was using an umbrella on the morning of the accident. While there is a photograph of an umbrella at the scene, there is nothing to link it with Ms. Pinsent. In addition, there is an alternative explanation for its presence, namely that it is Ms. Brown's umbrella. In the circumstances it would be pure speculation to conclude that Ms. Pinsent was using an umbrella on the morning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Finally I do not agree that Ms. Pinsent was in front of Ms. Brown's vehicle when she was struck. Both Mr. Good and Mr. Ising concur that Ms. Pinsent was struck by the right front bumper, thus she was just emerging into Ms. Brown's path when she was struck. This is not a case in which the pedestrian had established a substantial position in the 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Ms. Brown testified that she was familiar with the area and not distracted. She did not see Ms. Pinsent until Ms. Pinsent stepped out from behind the parked car and stepped into her path. I find that Ms. Brown was exercising reasonable care and attention. I find further that Ms. Pinsent was not visible to Ms. Brown until it was too late to avoid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all of the circumstances I have concluded that the plaintiff has not established that Ms. Brown was travelling at an excessive rate of speed or that she failed to exercise the care and attention of a reasonably prudent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accident occurred while Ms. Pinsent was jaywalking. Accordingly, Ms. Brown had the right of way. Ms. Pinsent has failed to establish that after Ms. Brown became aware, or by the exercise of reasonable care should have become aware, of Ms. Pinsent's own disregard of the law, Ms. Brown had a sufficient opportunity to avoid the accident of which a reasonably careful and skilful driver would have availed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find that Ms. Brown was not negligent in the manner she operated her vehicle. Ms. Pinsent was the sole cause of this unfortunate accident. In the result the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C.J. ROSS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9" style="position:absolute;z-index:2518763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39"/>
          <w:headerReference w:type="default" r:id="rId540"/>
          <w:footerReference w:type="even" r:id="rId541"/>
          <w:footerReference w:type="default" r:id="rId542"/>
          <w:headerReference w:type="first" r:id="rId543"/>
          <w:footerReference w:type="first" r:id="rId54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45" w:history="1">
        <w:r>
          <w:rPr>
            <w:rFonts w:ascii="arial" w:eastAsia="arial" w:hAnsi="arial" w:cs="arial"/>
            <w:b/>
            <w:bCs/>
            <w:i/>
            <w:color w:val="0077CC"/>
            <w:kern w:val="32"/>
            <w:sz w:val="28"/>
            <w:szCs w:val="32"/>
            <w:u w:val="single"/>
            <w:shd w:val="clear" w:color="auto" w:fill="FFFFFF"/>
            <w:lang w:val="en-US" w:eastAsia="en-US" w:bidi="ar-SA"/>
          </w:rPr>
          <w:t>445001 B.C. Ltd. v. Derby Reach Holdings Ltd., [2001] B.C.J. No. 403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Humphries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23,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5,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S044140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403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334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17 M.P.L.R. (3d) 219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103 A.C.W.S. (3d) 290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445001 B.C. Ltd., plaintiff, and Derby Reach Holdings Ltd., defendant, and 445001 B.C. Ltd., defendant by counterclaim, and The Corporation of the Township of Langley, Barton Insurance Brokers Ltd., Fort Langley Drugs Ltd., the Owners, Strata Plan No. LMS1158, Peter Paul Haladin, Jean Debad, Bob Britton, Eric Schneider and Karen Nicol,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0" style="position:absolute;z-index:251680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3" w:name="Keywords_20"/>
      <w:bookmarkEnd w:id="143"/>
      <w:r>
        <w:rPr>
          <w:rFonts w:ascii="arial" w:eastAsia="arial" w:hAnsi="arial" w:cs="arial"/>
          <w:b/>
          <w:color w:val="000000"/>
          <w:sz w:val="20"/>
          <w:lang w:val="en-US" w:eastAsia="en-US" w:bidi="ar-SA"/>
        </w:rPr>
        <w:t>Practice — Pleadings — Striking out pleadings — Grounds, evidentiary or subordinate facts — Bars, issues to be tried — Parties — Third party procedure — Third party notice — Striking out of.</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4" w:name="Case Summary_20"/>
            <w:bookmarkEnd w:id="14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Township of Langley to strike out a third party notice filed by 445001 B.C. Ltd. 445 entered a 99-year lease on a commercial strata lot at Derby Reach, with an intention to purchase. Langley informed 445 and the other strata lot tenant-purchasers that they would not release any charges concerning a septic field, including charges related to a common ownership covenant, unless a septic sewer was installed. Derby Reach's disclosure statement stated that it would install the sewer at its own cost. The lease included an obligation to purchase the lot after the removal of the common ownership covenant. The strata council held several meetings without notice to the tenant-purchasers. At one meeting, the council, which included the principal of the developer, decided to remove the covenant although the developer had not built the sewer system. Langley gave notice of a hearing to consider this amendment, but Derby Reach did not forward the notices to the tenant- purchasers. The council approved the amendment. When 445 discovered this, it filed a petition in the Supreme Court of British Columbia seeking to quash the council's decision. The mayor agreed to reconsider the application and 445 withdrew its petition. Derby Reach withdrew its application and the developer built the sewer. The covenant was removed from title, and all tenants but 445 were granted title by Derby Reach to the strata lots. Derby Reach alleged that 445's petition constituted a repudiation of its contract. 445 sued for specific performance and damages, and the developer counterclaimed for damages. When 445 discovered that Derby Reach intended to blame the application problems on Langley staff, it served a third-party notice on Langley. The third-party notice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Langley for failing to investigate and ensure compliance with its development permit, and failure to give notice of proposed changes. Langley contended that 445 failed to plead the facts necessary to support the existence of a duty of care or breach of duty, and that there were no provable facts concerning failure to notify or investigate the so-called legal effects of the removal of the covenant.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45" w:name="Holdings of Court_16"/>
            <w:bookmarkEnd w:id="145"/>
            <w:r>
              <w:rPr>
                <w:rFonts w:ascii="arial" w:eastAsia="arial" w:hAnsi="arial" w:cs="arial"/>
                <w:color w:val="000000"/>
                <w:sz w:val="20"/>
                <w:lang w:val="en-US" w:eastAsia="en-US" w:bidi="ar-SA"/>
              </w:rPr>
              <w:t>HELD: Application allowed in part; the court struck out the paragraph relating to alleged failure to ensure compliance with the permit such that the property was diminished in value; the remainder of the application was adjourned to allow 445 to propose amendments to clarify the issues and causes of action.</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Although the substance of a potential claim existed in the facts as pleaded, the third-party notice was vague as to the nature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alleged. As well there was no factual basis pleaded regarding a private law duty of care as to a municipality's enforcement of development permits and economic loss to tenants. The third-party notice was filed outside the six-month limitation period for claims, but it was connected with the main claim, which was filed in time.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46" w:name="Legislation Cited_15"/>
      <w:bookmarkEnd w:id="14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1" style="position:absolute;z-index:2517319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19(24).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Act, s. 4(1).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47" w:name="Counsel_21"/>
      <w:bookmarkEnd w:id="14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2" style="position:absolute;z-index:2517831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 Kravchuke, for the plaintiff. R.J. Berrow and M.T. Ghikas, for the third party, the Corporation of the Township of Langley.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8" w:name="Judgment_21"/>
      <w:bookmarkEnd w:id="148"/>
      <w:r>
        <w:pict>
          <v:line id="_x0000_s1133" style="position:absolute;z-index:25183334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9" w:name="HUMPHRIES J."/>
            <w:bookmarkEnd w:id="149"/>
            <w:r>
              <w:rPr>
                <w:rFonts w:ascii="arial" w:eastAsia="arial" w:hAnsi="arial" w:cs="arial"/>
                <w:b/>
                <w:color w:val="000000"/>
                <w:sz w:val="30"/>
                <w:lang w:val="en-US" w:eastAsia="en-US" w:bidi="ar-SA"/>
              </w:rPr>
              <w:t>HUMPHRIES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application by the Third Party Township of Langley to strike out the Third Party Notice against them pursuant to Rule 19(24). It is assumed that all the facts alleged in the lengthy Third Party Notice can be proved. No evidence was adduced.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May 13, 1994, 445001 B.C. Ltd. ("445001") entered into a 99 year lease agreement with Derby Reach Holdings Ltd. ("Derby Reach") in respect of a commercial strata lot which 445001 eventually wished to purchase in a development called Heritage Manor in Fort Langley, B.C. Derby Reach, the owner/developer of Heritage Manor, and First Capital Realty, the realty company which sold the lots, have a common director, Peter Haladin. He is also a director of the strata council of Heritage Manor.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strata lots were subject to various charges, including a Common Ownership Covenant ("the COV") imposed by the Township of Langley ("Langley") because of septic field/sewer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Prior to entering into any agreement with Derby Reach, 445001 and other prospective purchasers of the commercial strata lots contacted Langley and were told that Langley would not release any of the charges involved in the septic scheme, including the COV, unless a septic sewer had been installed in Fort Langley and Heritage Manor had been hooked up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disclosure statement provided by the vendors of the strata lots provided that the developer, at its own cost, would install septic sewer at Heritage Manor. The lease included an obligation to purchase the commercial strata lot after the removal of the COV. In fact, on January 5, 1994, 445001 had entered into an agreement of purchase and sale with the vendors, as 445001 wished (and expected) to own the strata lot as soon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the summer and fall of 1994, the strata council met several times with no notice to 445001 or the other long-term commercial tenants. In March of 1995, the directors of the strata council met, again with no notice to 445001, and approved an application put forward by Mr. Haladin for Derby Reach to amend the provisions of the COV, resulting in its removal, although no sewer had yet been built.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mid-March, Langley attempted to give notice of a hearing scheduled for March 27, 1995 to consider the application. The notices for the long-term commercial tenants, including 445001, were sent to Derby Reach who did not forward them. The Council's public hearing took place and the Council approved the amendment to the COV.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March 29, 1995, Derby Reach wrote to 445001 asking for the balance due under the lease once the COV had been released from the title.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Realizing there had been an amendment, 445001 filed a petition in the Supreme Court of British Columbia to quash the Council's decision approving the amendment on the basis that 445001 had not been given an opportunity to be heard. The Mayor agreed to reconsider the application and the petition was withdrawn.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Derby Reach then withdrew its application because, according to evidence given on discovery on December 14, 1999, they had been advised by Langley staff that the reconsideration would not be successful (this appears to be at odds with the allegation at paragraph 10(h) in the Statement of Defence of Derby Reach that the reconsideration actually took place and was refused).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Finally, in 1997, after the sewer was built, the COV was removed from title. Derby Reach then transferred title to the strata lots to the other commercial tenants, but refused to do so with respect to 445001, alleging that the petition filed in 1995 had constituted a repudiation of their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On December 16, 1997, 445001 sued Derby Reach for specific performance and damages. Derby Reach counter-claimed for damages which it says it sustained as a result of not being able to transfer title to the long term commercial tenants in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Upon learning during the discovery in December of 1999 that Derby Reach intended to blame its failure to pursue the reconsideration of its application on advice received from Langley staff, 445001 decided to issue a Third Party Notice against Langley and others. This notice is the subject of Langley's application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relevant paragraphs in the Third Party Notice, somewhat shortened and paraphrased, are as follows:</w:t>
      </w:r>
      <w:r>
        <w:rPr>
          <w:rFonts w:ascii="arial" w:eastAsia="arial" w:hAnsi="arial" w:cs="arial"/>
          <w:sz w:val="20"/>
          <w:lang w:val="en-US" w:eastAsia="en-US" w:bidi="ar-SA"/>
        </w:rPr>
        <w:cr/>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[445001] claims against the third parties individually and collectively for damages and costs it has sustained as a result of the actions of the individual third parties...for contribution and indemnity under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for damages as set out in the Statement of Claim...and for the alleged damages as set out in the Statement of Defence...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[445001] claims as against the Third Party The Corporation of the Township of Langley for its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its actions in: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advising [445001]...that the Common Ownership Covenant would not be removed until Heritage Manor had been connected to septic sewer and then advising [Derby Reach] it would be possible to effect such a removal and, in fact, deciding to effect such removal;</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notify [445001] of [Derby Reach's application to amend the Common Ownership Covenant] despite the fact that the 445001 Lease had been registered on title, that 445001 had been issued a permit by Langley to add the tenant improvements in [their strata lot] and that business licences may have been issued by Langley to one or more of the long term tenants;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investigate or properly to investigate the legal effect of the proposed removal of the Common Ownership Covenant from four commercial strata lots and replacing it with one residential strata lot until after the March 27, 1995 public hearing by the Township of Langley;</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ensure proper compliance with all the terms and conditions of [a certain development permit], resulting in a diminishment of value for the Owners and in particular, but without limiting the generality of the foregoing:</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ensure heritage lighting had been completed</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ensure that parking had been supplied</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ensure that landscaping had been completed</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properly to reconsider [Derby Reach's application] by failing to obtain legal advice thereon or improperly fettering its discretion with respect to the reconsideration, or acting outside its statutory authority by requiring [the parties] to agree on the terms of the application before the staff would recommend a reconsideration, by advising the defendant it had no hope of succeeding at the reconsideration, and by failing to inspect or consider inspecting the septic 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There is nothing in the pleadings or argument to indicate why 445001 chose to petition the council when they wanted to buy the strata lot in any event, why Langley changed its position with respect to the COV, or why Derby Reach refuses to transfer title when they apparently always intended to sell the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r>
        <w:rPr>
          <w:rFonts w:ascii="arial" w:eastAsia="arial" w:hAnsi="arial" w:cs="arial"/>
          <w:sz w:val="20"/>
          <w:lang w:val="en-US" w:eastAsia="en-US" w:bidi="ar-SA"/>
        </w:rPr>
        <w:cr/>
      </w:r>
    </w:p>
    <w:p>
      <w:pPr>
        <w:numPr>
          <w:numId w:val="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Do the pleadings as they stand or as they might be amended disclose a cause of action?</w:t>
      </w:r>
    </w:p>
    <w:p>
      <w:pPr>
        <w:numPr>
          <w:numId w:val="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Are the claims as set out in paragraphs 68 (a-c) barred by the six month limitation period set out in section 286 of the Municipal Act </w:t>
      </w:r>
      <w:r>
        <w:rPr>
          <w:rFonts w:ascii="arial" w:eastAsia="arial" w:hAnsi="arial" w:cs="arial"/>
          <w:i/>
          <w:color w:val="000000"/>
          <w:sz w:val="20"/>
          <w:lang w:val="en-US" w:eastAsia="en-US" w:bidi="ar-SA"/>
        </w:rPr>
        <w:t>RSBC 1996 c. 323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According to Hunt v. Carey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the test to be applied under an application under Rule 19(24) 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is it 'plain and obvious' that the plaintiff's statement of claim discloses no reasonable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According to the Court of appeal in Kripps v. Touche Ross &amp; Co. </w:t>
      </w:r>
      <w:hyperlink r:id="rId546" w:history="1">
        <w:r>
          <w:rPr>
            <w:rFonts w:ascii="arial" w:eastAsia="arial" w:hAnsi="arial" w:cs="arial"/>
            <w:i/>
            <w:color w:val="0077CC"/>
            <w:sz w:val="20"/>
            <w:u w:val="single"/>
            <w:shd w:val="clear" w:color="auto" w:fill="FFFFFF"/>
            <w:lang w:val="en-US" w:eastAsia="en-US" w:bidi="ar-SA"/>
          </w:rPr>
          <w:t>(1992) 94 DLR (4th) 284</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issue is whether there is a question fit to be tried, regardless of the complexity, or novelty, of that question, and that issue must be decided on the basis of the pleadings as they stand or as they might be amended.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POSITION OF APPLICANT, TOWNSHIP OF LANGLEY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Langley says that assuming the "failing to advise" claim is intended to be one of negligent misrepresentation, the material facts necessary to support the existence of a duty of care or a breach of that duty by Langley are not pleaded and there is no application to amend before the court. Even if properly pleaded, there is no allegation of misrepresentation of an existing fact; the statement of Langley staff respecting the Common Ownership Covenant is merely a statement of opinion as to what course of action might be taken in the future by an elected council, and a council cannot fetter its discretion by promises.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As for the "failing to notify" claim, Langley says that 445001 could never prove that the failure to notify, even assuming any factual or actionable blame for it could be laid at Langley's door, could have caused any loss, especially of the kind alleged here (pure economic loss). If 445001's judicial review application to compel reconsideration of the amendment is now characterized by Derby Reach as a repudiation of the lease, then opposing the change in the first place would have had the same effect. As well, it is pleaded that Langley sent the notice to Derby Reach who failed to deliver it; any damage is too remote to be foreseeable by Langley.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According to Langley, the claim for "failing to investigate" must fail because there are no facts pleaded from which one could determine what the "legal effect" which could be detrimental to 445001 might be. As well, there is no duty of care owed by a council to investigate the private rights of persons who might be affected by their decisions in order to avoid triggering a possible exposure to pure economic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As for the claim for "failing to enforce the development permit", Langley says 445001 has not pleaded the material facts necessary to establish a duty of care, but even if they had, there is no general duty upon a municipality to enforce its bylaws (see Century Holdings v. Delta (District) </w:t>
      </w:r>
      <w:hyperlink r:id="rId547" w:history="1">
        <w:r>
          <w:rPr>
            <w:rFonts w:ascii="arial" w:eastAsia="arial" w:hAnsi="arial" w:cs="arial"/>
            <w:i/>
            <w:color w:val="0077CC"/>
            <w:sz w:val="20"/>
            <w:u w:val="single"/>
            <w:shd w:val="clear" w:color="auto" w:fill="FFFFFF"/>
            <w:lang w:val="en-US" w:eastAsia="en-US" w:bidi="ar-SA"/>
          </w:rPr>
          <w:t>[1994] B.C.J. No. 693</w:t>
        </w:r>
      </w:hyperlink>
      <w:r>
        <w:rPr>
          <w:rFonts w:ascii="arial" w:eastAsia="arial" w:hAnsi="arial" w:cs="arial"/>
          <w:color w:val="000000"/>
          <w:sz w:val="20"/>
          <w:lang w:val="en-US" w:eastAsia="en-US" w:bidi="ar-SA"/>
        </w:rPr>
        <w:t xml:space="preserve"> (C.A.), and Dusevic v. Columbia Shuswap (Regional District) </w:t>
      </w:r>
      <w:hyperlink r:id="rId548" w:history="1">
        <w:r>
          <w:rPr>
            <w:rFonts w:ascii="arial" w:eastAsia="arial" w:hAnsi="arial" w:cs="arial"/>
            <w:i/>
            <w:color w:val="0077CC"/>
            <w:sz w:val="20"/>
            <w:u w:val="single"/>
            <w:shd w:val="clear" w:color="auto" w:fill="FFFFFF"/>
            <w:lang w:val="en-US" w:eastAsia="en-US" w:bidi="ar-SA"/>
          </w:rPr>
          <w:t>[1989] B.C.J. No. 668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With respect to the claim for "failing to properly reconsider" the decision, Langley says the appropriate remedy is an order for judicial review, not a claim for pure economic loss, and that no tort duty arises in respect of a legislative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Langley also contends that the "failing to advise," "failing to notify," and "failing to investigate" claims were known to 445001 five years before the Third Party Notice was filed and stand alone, having no real connection to the main claim. They are therefore barred by the six month limitation period prescribed by section 286 of the Municipal Act R.S.B.C. (1996), c. 323, and do not come within section 4(1) of the Limitation Act, </w:t>
      </w:r>
      <w:hyperlink r:id="rId549"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POSITION OF 445001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Counsel for 445001 (who is also a principal of the company) says he issued the Third Party Notice reluctantly, and only after receiving information in discovery indicating that Derby Reach intends to blame its decision to withdraw their application to amend the COV on advice received from Langley staff. He has entitled his submission "Possible Causes of Action" and says he requires discovery of Langley before he can properly determine what the Township did and why, and whether they acted in bad faith. He says he included the words "or its actions" in paragraph 68 to encompass other types of claims, such as inducement for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After listening to counsel for 445001 with respect to his claims as advanced in paragraph 68(a),(b),(c) and (e), it appears that his complaint is directed at the operational process undertaken by Langley staff, rather than the legislative process undertaken by Langley Council. He says 445001 relied on information obtained from Langley staff who advised 445001 directly that without sewer, the Covenant could not come off, and then apparently advised Derby Reach that notwithstanding the lack of sewer, the Covenant could come off. 445001 contends that staff, particularly one Paul Crawford, prepared a recommendation to Council which led to the removal of the COV. The recommendation by staff, according to 445001, took into account improper considerations and failed to consider relevant matters. At least partly as a result of this change in position by Langley, and through a complicated series of actions and reactions, 445001 has ended up without title to its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445001 says that Langley staff should have had 445001 in its reasonable contemplation when this change in position occurred. 445001 must therefore be owed a duty of care by Langley to ensure that they were notified and that the subsequent decision was made properly. 445001 says they are in a class of persons known to Langley because they sought advice directly from staff on this issue and because their lease was registered.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445001 says that if the filing of the petition constituted repudiation of the lease, which they deny, then Langley's actions were a factor in 445001's decision to take that step - in particular, the failure to give proper notice and the consideration by Langley staff of improper matters and the failure to consider relevant matters in recommending that Council approve the amended Covenant.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respect of paragraph 68(d) above, counsel for 445001 says Langley had a duty to ensure compliance with Derby Reach's development permit, and that duty is enforceable by the third party beneficiaries who rely on it (that is the future owners of the strata lots). 445001 refers to 706686 Ontario Inc. v. North Dumfries </w:t>
      </w:r>
      <w:hyperlink r:id="rId550" w:history="1">
        <w:r>
          <w:rPr>
            <w:rFonts w:ascii="arial" w:eastAsia="arial" w:hAnsi="arial" w:cs="arial"/>
            <w:i/>
            <w:color w:val="0077CC"/>
            <w:sz w:val="20"/>
            <w:u w:val="single"/>
            <w:shd w:val="clear" w:color="auto" w:fill="FFFFFF"/>
            <w:lang w:val="en-US" w:eastAsia="en-US" w:bidi="ar-SA"/>
          </w:rPr>
          <w:t>29 M.P.L.R. (2d) 266</w:t>
        </w:r>
      </w:hyperlink>
      <w:r>
        <w:rPr>
          <w:rFonts w:ascii="arial" w:eastAsia="arial" w:hAnsi="arial" w:cs="arial"/>
          <w:color w:val="000000"/>
          <w:sz w:val="20"/>
          <w:lang w:val="en-US" w:eastAsia="en-US" w:bidi="ar-SA"/>
        </w:rPr>
        <w:t xml:space="preserve"> as authority for the proposition that a Township may be held liable for failing to enforce development permits.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Paragraph 67 and 68 (a-c)(e)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There are a bewildering variety of issues thrown about in this case, and to say the pleadings are vague and unclear is generous. It would be an onerous job to suggest how they might be clarified and improved because the underlying facts are nebulous. Their significance depends upon the position taken by the defendant and the ultimate success or failure of that position, a position which, on the limited information before me, seems difficult to understand. Although 445001 included some suggestions for additional paragraphs in their submissions, there is no application to amend before the court, and I do not intend to struggle with it myself.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am of the view that the substance of a potential claim could be found in the facts as pleaded, particularly as I have set out the position given to me during argument reflected in paragraphs 24, 25 and 26 above, although its success at trial is very uncertain. Of course, the mere fact that the case is weak or not likely to succeed is no basis for striking it out (Minnes v. Minnes (1962), 39 W.W.R. 112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the pleadings as they presently stand, although the basic facts are included, they are not characterized in any way which would allow me to determine on the face of the pleadings the precise nature of the claims advanced, other than providing a general impression that Langley's change in position contributed to the situation in which 445001 now finds itself. The word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is mentioned, but the nature of the alleged duty of care, the breach, and the loss attributable to it is not there. Langley has the right to know the case it has to meet.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Also, it would have been helpful if the pleadings had made it clear that the claim against Langley was being advanced in respect of an operational rather than a legislative process, as many of Langley's submissions before me were concerned with appropriate remedies against legislative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Of course, when constructing its pleadings, 445001 must be aware of the law as set out in Kripps, supra, at page 291, which requires, as a foundation for a claim for pure economic loss arising from reliance, that the court will need to infer an "undertaking" on the part of the defendant to exercise care for the plaintiff's economic interests":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that the defendant ought to have known that persons in the position of the plaintiff might rely on the defendant to exercise care for their economic interests, that the plaintiff did, in fact, so rely on the defendant, and that such reliance was reasonable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must say that I do not see any facts pleaded to support a claim of inducement of breach of contract, as argued by 445001, but as such a claim is not asserted in the Notice in any event I need not deal further with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have considered whether the limitations argument is a final bar to the claims under paragraph 68 (a-c). Langley argues that the claims are independent, not claims for contribution against Derby Reach, and therefore not connected to the landlord-tenant dispute in the main action. The claims in paragraph 68 (a-c) concern themselves with the change in position of Langley with respect to the removal of the Covenant. Although the facts were known to the plaintiff in 1995, counsel for 445001 says they only assumed legal significance after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It seems to me, however, from a reading of the pleadings, that the legal significance of those facts as constituting a possible defence for Derby Reach or a basis upon which 445001 might be compelled to seek contribution and indemnity must have been apparent at least upon the filing of the Statement of Defence on January 28, 1998. Although the Third Party Notice was filed September 6, 2000, outside the six months, the Notice is clearly "relating to or connected with the subject matter of the original action," (see section 4(1) of the Limitation Act) in that Derby Reach's defence and counterclaim in the landlord/tenant dispute turn on 445001's petition against Langley, which in turn allegedly resulted from the lack of notice and Langley's change in position. On the material presently before me, then I am of the view that the paragraphs are saved by section 4(1) of the Limitation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Paragraph 68(d)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claim set out in paragraph 68(d) is unconnected to the other claims. 445001 seeks damages from Langley for failing to ensure compliance with the terms of Derby Reach's development permit, and says it thereby suffered a diminution in the value of its property - that is, a pure economic loss. The cases cited by Langley (referred to above) are concerned with enforcement of by-laws or restrictive covenants, and support the position that a municipality is under no general duty to enforce these instruments.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Arguably, there may be different considerations for a development permit pertaining to a particular parcel of land with particular tenants, depending on the circumstances. City of Kamloops v. Neilson </w:t>
      </w:r>
      <w:hyperlink r:id="rId11" w:history="1">
        <w:r>
          <w:rPr>
            <w:rFonts w:ascii="arial" w:eastAsia="arial" w:hAnsi="arial" w:cs="arial"/>
            <w:i/>
            <w:color w:val="0077CC"/>
            <w:sz w:val="20"/>
            <w:u w:val="single"/>
            <w:shd w:val="clear" w:color="auto" w:fill="FFFFFF"/>
            <w:lang w:val="en-US" w:eastAsia="en-US" w:bidi="ar-SA"/>
          </w:rPr>
          <w:t>(1984), 10 D.L.R. (4th) 641</w:t>
        </w:r>
      </w:hyperlink>
      <w:r>
        <w:rPr>
          <w:rFonts w:ascii="arial" w:eastAsia="arial" w:hAnsi="arial" w:cs="arial"/>
          <w:color w:val="000000"/>
          <w:sz w:val="20"/>
          <w:lang w:val="en-US" w:eastAsia="en-US" w:bidi="ar-SA"/>
        </w:rPr>
        <w:t xml:space="preserve"> (S.C.C.) contains a full discussion of public and private law duties and types of recoverable loss in the municipal context. This is conveniently summarized in Kripps, supra, at p. 291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second, quite distinct, line of cases under which it seems possible that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pure economic loss simpliciter may be established, concerns public authorities and is founded on a duty of care arising from the exercise by such authorities of certain types of statutory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court goes on to say that a private law duty of care towards a particular class of persons may be inferred from the nature of the statutory scheme. While there may be a cause of action against a municipality for failing to enforce development permits in a particular situation, there is nothing pleaded here to indicate a factual basis upon which a private law duty of care would be owed in these circumstances; nor is there any suggestion, even implicitly, that the development permit was intended or could be inferred to intend to guard against economic loss by the tenants. There was no argument advanced nor facts pleaded as to any other type of loss or any other basis for this claim, such as some sort of reliance by 445001 upon Langley. I cannot see how amendment would suffice to save this paragraph by clarifying a cause of action. This paragraph is struck out as failing to disclose a clause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Paragraph 68(d) is struck out. The remainder of the application pursuant to Rule 19(24) is adjourned to allow 445001 to put forward a proposal for amendments to clarify the issues and causes of action. These proposed amendments, if undertaken, should be sent to Langley within 30 days of the date of these reasons. Nothing in these reasons should be taken as preventing Langley from renewing this motion upon receiving the proposed amendments, and I would expect it to come back before me if I am available; otherwise another judge could hear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If there is a subsequent hearing on the pleadings, costs will be dealt with at that time. If, after production of the proposed amendments, there is no necessity for a future hearing, costs of this motion will be to Langley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HUMPHRIES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4" style="position:absolute;z-index:2518773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51"/>
          <w:headerReference w:type="default" r:id="rId552"/>
          <w:footerReference w:type="even" r:id="rId553"/>
          <w:footerReference w:type="default" r:id="rId554"/>
          <w:headerReference w:type="first" r:id="rId555"/>
          <w:footerReference w:type="first" r:id="rId55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57" w:history="1">
        <w:r>
          <w:rPr>
            <w:rFonts w:ascii="arial" w:eastAsia="arial" w:hAnsi="arial" w:cs="arial"/>
            <w:b/>
            <w:bCs/>
            <w:i/>
            <w:color w:val="0077CC"/>
            <w:kern w:val="32"/>
            <w:sz w:val="28"/>
            <w:szCs w:val="32"/>
            <w:u w:val="single"/>
            <w:shd w:val="clear" w:color="auto" w:fill="FFFFFF"/>
            <w:lang w:val="en-US" w:eastAsia="en-US" w:bidi="ar-SA"/>
          </w:rPr>
          <w:t>Abay v. Keung, [2006] B.C.J. No. 1861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Cohen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19 - 21,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14,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M032863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1861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1236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151 A.C.W.S. (3d) 979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Luel Niguese Abay, Plaintiff, and Yeung Wai Keung and Yeung Yuen,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5" style="position:absolute;z-index:251681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50" w:name="Keywords_21"/>
      <w:bookmarkEnd w:id="150"/>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Rules of the road — Action by the plaintiff for damages sustained in a motor vehicle accident with the defendants allowed in part — The defendants' vehicle struck the plaintiff's vehicle as it attempted to turn left and cross the roadway traveled by the defendants — The court found that the plaintiff failed to maintain a proper lookout or yield the right of way, and the defendant failed to take reasonable care to avoid the collision — Liability was thus apportioned equally between the parties.</w:t>
      </w:r>
    </w:p>
    <w:p>
      <w:pPr>
        <w:jc w:val="both"/>
        <w:rPr>
          <w:rFonts w:ascii="arial" w:eastAsia="arial" w:hAnsi="arial" w:cs="arial"/>
          <w:sz w:val="20"/>
          <w:lang w:val="en-US" w:eastAsia="en-US" w:bidi="ar-SA"/>
        </w:rPr>
      </w:pPr>
      <w:bookmarkStart w:id="151" w:name="Legislation Cited_16"/>
      <w:bookmarkEnd w:id="15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6" style="position:absolute;z-index:2517329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558" w:history="1">
        <w:r>
          <w:rPr>
            <w:rFonts w:ascii="arial" w:eastAsia="arial" w:hAnsi="arial" w:cs="arial"/>
            <w:i/>
            <w:color w:val="0077CC"/>
            <w:sz w:val="20"/>
            <w:u w:val="single"/>
            <w:shd w:val="clear" w:color="auto" w:fill="FFFFFF"/>
            <w:lang w:val="en-US" w:eastAsia="en-US" w:bidi="ar-SA"/>
          </w:rPr>
          <w:t>R.S.B.C. 1996, c. 333, s. 1</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Motor Vehicle Act, </w:t>
      </w:r>
      <w:hyperlink r:id="rId559" w:history="1">
        <w:r>
          <w:rPr>
            <w:rFonts w:ascii="arial" w:eastAsia="arial" w:hAnsi="arial" w:cs="arial"/>
            <w:i/>
            <w:color w:val="0077CC"/>
            <w:sz w:val="20"/>
            <w:u w:val="single"/>
            <w:shd w:val="clear" w:color="auto" w:fill="FFFFFF"/>
            <w:lang w:val="en-US" w:eastAsia="en-US" w:bidi="ar-SA"/>
          </w:rPr>
          <w:t>R.S.B.C. 1996, c. 318, s. 174</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52" w:name="Counsel_22"/>
      <w:bookmarkEnd w:id="15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7" style="position:absolute;z-index:2517841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M.E. Campbell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P.T. Gordon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3" w:name="Judgment_22"/>
      <w:bookmarkEnd w:id="153"/>
      <w:r>
        <w:pict>
          <v:line id="_x0000_s1138" style="position:absolute;z-index:25183436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4" w:name="COHEN J._0"/>
            <w:bookmarkEnd w:id="154"/>
            <w:r>
              <w:rPr>
                <w:rFonts w:ascii="arial" w:eastAsia="arial" w:hAnsi="arial" w:cs="arial"/>
                <w:b/>
                <w:color w:val="000000"/>
                <w:sz w:val="30"/>
                <w:lang w:val="en-US" w:eastAsia="en-US" w:bidi="ar-SA"/>
              </w:rPr>
              <w:t>COHEN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ACCIDENT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and defendant driver, Mr. Wai Keung Yeung, were involved in a motor vehicle accident on June 13, 2001, at the intersection of Nanaimo Street and Turner Avenue in the City of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was driving his 1991 Acura Integra northbound on Nanaimo Street and making a left hand turn onto Turner Avenue when the 1987 Dodge Caravan driven by the defendant southbound on Nanaimo Street struck the middle of the passenger's side of the plaintiff's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Nanaimo Street is a major thoroughfare, with each side having two northbound and two southbound lanes for travel separated by a single solid yellow centre line, and a parallel parking lane. I shall hereinafter refer to the travel lane next to the centre line as the outside lane, the next travel lane as the inside lane and the parking lane as the curb lane. The two northbound and two southbound travel lanes are separated by divided white lines; there is no dividing line between the inside and curb lanes. Turner Avenue intersects with Nanaimo Street at a 90 degree angle and has single lanes for eastbound and westbound traffic. At the intersection of Nanaimo Street and Turner Avenue, the traffic on Turner Avenue is controlled by stop signs. There are no traffic control devices on Nanaimo Street at this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Each party blames the other for the accident. This decision will deal with liability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SUMMARY OF THE EVIDENCE IN THE PLAINTIFF'S CASE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1.</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Plaintiff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who was on his way to a friend's home, was alone in his vehicle at the time of the accident, which took place at about 8:15 p.m. He had not consumed any drugs or alcohol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said that just prior to the accident he was not smoking, listening to the radio or talking on a cell phone. The weather was clear and sunny. He did not recall any cars coming towards him as he approached the intersection at Turner Avenue. He turned on his left turn signal about one half block before he reached the intersection, started to turn left, crossed the outside lane of southbound traffic and was approaching the inside lane when he heard "the voice of brakes". At that moment he saw a white van coming towards him. The driver of the white van was holding a cell phone. The force of the impact between the two vehicles pushed his vehicle over to rest against the curb on the southwest corner of Turner Avenue. The defendant's vehicle came to rest in the middle of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said that at the time he approached the intersection he was paying attention for any cars that might be approaching Nanaimo Street from Turner Avenue. He said that his eyes were mostly on Turner Avenue. He did not see any vehicles coming towards him southbound on Nanaimo Street. He heard the sound of brakes, and at the point turned his face to see the white van coming towards him. He repeated in his testimony that the driver of the white van was holding a cell phone in his right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testified that the white van was about 15 to 20 feet away from him when he first saw it. He said that the time between when he first saw the white van to when the collision took place was just a few seconds, that the white van was travelling really fast and that when the white van struck his vehicle it was travelling at a speed of over 65 km/h.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testified that the white van contacted the passenger's side of his vehicle at about the middle, towards the rear. No horns were sounded before the collision and the only sign of warning he heard was the sound of brakes.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collision broke the front and back passenger's side windows of the plaintiff's vehicle. He did not recall anything between the time of the impact and the time when the defendant stood beside the driver's side door of the plaintiff's vehicle yelling at the plaintiff that he had made the defendant late for work. The plaintiff got out of his vehicle and exchanged heated words with the defendant for a couple of minutes until passers by broke up their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testified that after the accident the defendant was on his cell phone telling someone on the other end of the call that the plaintiff had made him late for work. About 40 minutes after the collision the police attended. They interviewed some of the people in the area, talked to the plaintiff and defendant and then measured the skid marks left on the road. The police were at the scene of the accident for about 30 to 40 minutes (a police report was not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When asked how he could explain the sudden appearance of the defendant's vehicle the plaintiff did not have an answer, except to suggest that there were other streets in the area where the defendant might have come from, or that he may have been parked on the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testified that before the collision the defendant's vehicle was changing from the outside lane to the inside lane and that at the time of the collision the defendant's vehicle was at the edge of the separation between the inside lane and the curb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was shown a diagram of the accident scene depicting where the vehicles collided in the intersection. He disagreed with the placement of the vehicles in the diagram, stating that he had almost completed his left turn onto Turner Avenue. He said that there were cars parked on both sides of Turner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2.</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Mr. Ashok Murgai</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Murgai is an independent witness to the accident. At the time he lived in a house on the north side of Turner Avenue, two houses in from the intersection where the accident took place. He said he was standing in his front yard and first noticed the defendant's vehicle by the sound of the crash coming from the collision at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He testified that before the collision he could clearly see the whole intersection from where he was standing in his front yard. He said that when he saw the defendant's vehicle enter the intersection it was travelling at a speed of 50 or 60 km/h, maybe more. He saw the defendant's vehicle a few feet before it entered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He testified that there are no garages on Turner Avenue, explaining that most of the homeowners park their vehicles in front of their homes. He said that in the evening most of the parking spaces on both sides of the street are full.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After the accident he saw the plaintiff and defendant arguing. He said that the defendant had a cell phone and that he was talking on the phone.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When shown a photograph of a white van he said that he did not recognize it as one of the vehicles in the collision. He recalled that one of the vehicles involved in the accident was blue in colour, and that the other was a van with a straight front like a cargo van with no hood.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cross-examination, Mr. Murgai said that his attention was drawn to the intersection when he heard a noise at the same time as he saw the collision. He said he saw the white van before it hit the plaintiff's vehicle. He estimated the speed of the white van at 50 to 60 km/h, but agreed that he was not professional at estimating speed. He said that he has been driving for 24 years and that this was his guess at the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3.</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Expert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Gerald Sdoutz prepared a report for the defence. However, he was called to testify in the plaintiff's case. He was qualified to testify as a forensic engineer specializing in accident reconstruction. His report, dated March 22, 2006, was filed. Mr. Sdoutz reviewed photographs showing the damage to the parties' vehicles and the accident scene. He concluded:</w:t>
      </w:r>
      <w:r>
        <w:rPr>
          <w:rFonts w:ascii="arial" w:eastAsia="arial" w:hAnsi="arial" w:cs="arial"/>
          <w:sz w:val="20"/>
          <w:lang w:val="en-US" w:eastAsia="en-US" w:bidi="ar-SA"/>
        </w:rPr>
        <w:cr/>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impact occurred in the southwest quadrant of the intersection. At impact, the plaintiff's vehicle appeared to have been turned approximately 70 degrees and was headed into the oncoming eastbound lane of Turner Avenue.</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vehicle's impact speed was estimated at 18 to 27 km/h. The plaintiff's impact speed could not be established from the available evidence.</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impact, the defendant's vehicle skidded for 15 metres, from pre-braking speed of 55 to 58 km/h.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chief, Mr. Sdoutz testified that skid marks are caused when there is braking to the point where the tires lock. The length of the skid marks represents the energy that the vehicle lost while depositing the skid marks. He also explained that the energy is directly related to the speed the vehicle had. Skid marks show the portion of braking when the tires are locked. If there is braking less than the maximum then the vehicle will slow down but not leave skid marks.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Sdoutz explained that temperature, rain, and the volume of traffic will wear skid marks off a roadway, explaining that after five days to a week skid marks will start to fade. The onset area of the skid marks will be the first aspect of the skid marks to fade.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diagram of the accident scene shown to the plaintiff was drawn by Mr. Sdoutz. He created the drawing to scale and placed the skid marks on the diagram by reference to the photos he was given of the accident scene. He also used vehicle damage to assess the speed of the vehicles because skid marks do not tell the whole story. He said that incorrect information about vehicle damage would impact his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cross-examination, Mr. Sdoutz testified that if the van he had observed in the photos he was provided was not the van involved in the collision the use of the photos would eliminate one of his checks. He said that the main speed calculations were based on the plaintiff's vehicle but these would be less reliable if he had been given photos of a different van.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He also explained that he determined the point of impact by the change in the direction of the skid marks. He was told the skid marks were 15 metres in length and based on this information and what he observed in the photos he estimated where the vehicles were positioned at the time of impact. He said that if the information he received was wrong and the van he observed in the photos was not the van involved in the accident then the information he used was pretty thin. He said that using as information only the damage to one vehicle is not very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Sdoutz said that an average driver perceives an event and responds in about 1.1 seconds, with the minimum being about .75 seconds. He explained that this is the minimal amount of time in which a person can factually put together everything he or she is faced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Using the diagram, Mr. Sdoutz said that the plaintiff's vehicle travelled 11 metres after it crossed the centre line of Nanaimo Street. He said that at 30 km/h a vehicle travels at 8.3 metres per second. Thus, if the plaintiff's vehicle was making a left turn he would get to the point of impact in 1.3 seconds. If he was travelling at 20 km/h it would be just shy of 2 seconds. If the plaintiff was travelling at 20 km/h, given that an average person requires 1.1 seconds to perceive an event and take evasive action, the defendant would have less than 1 second to try to avoid a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III.</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SUMMARY OF EVIDENCE IN THE DEFENDANT'S CASE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defendant testified that on the day of the accident he was driving a van owned by his sister. Just prior to the accident he was travelling on Hastings Street in a westbound direction (Hastings Street runs parallel to, and is two blocks north of, Turner Avenue). He made a left hand turn onto Nanaimo Street to proceed southbound. He was travelling at about 40 to 45 km/h. He said that the plaintiff's vehicle turned into him, and that he "t-boned" the plaintiff's vehicle on the passenger's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defendant said that he did not see the plaintiff's vehicle's left turn signal. When he saw the plaintiff's vehicle turn he stepped on his brakes but could not avoid hitting the vehicle: it happened so fast.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defendant said that he had a cell phone, but that he was not talking on his cell phone at the time of the accident. He also said that he was not doing anything to distract him and that as he approached the intersection of Nanaimo Street and Turner Avenue he was driving at a constant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Following the accident he had a heated argument with the plaintiff. They each accused the other of being in the wrong and causing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IV.</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PLAINTIFF'S SUBMISSIONS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her submissions, plaintiff's counsel referred to the plaintiff as a credible witness. At the time of the accident he held a class 4 driver's license, and was not in a rush to go anywhere. He had slept following his night shift employment and was refreshed and was on his way to his friend's house on Turner Avenue, a block from the intersection, after taking a route that he was very familiar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She noted that Nanaimo Street is a wide street with two travelling lanes in each direction. Turner Avenue, on the other hand, is made narrow by reason of the fact that there are no garages or laneways and therefore the residents park their vehicles on both sides of the street. This, she said, has an impact upon the speed at which a vehicle can enter Turner Avenue, given that vehicles travelling east and westbound on Turner Avenue have to share a single lane. She said that the plaintiff did not attempt to cut the corner when making his turn, but rather approached the entrance to Turner Avenue in a correct and reasonable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Counsel argued that a close review of the position of the vehicles in the expert's diagram indicated that the plaintiff's vehicle was half way into the curb lane on the west side of Nanaimo Street at the point of impact. She said that if the defendant had kept his vehicle in the centre of the inside lane he would have struck the rear of the plaintiff's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Counsel said that while the plaintiff had difficulty with estimating distances and speed he was not attempting to deceive the Court. The plaintiff understood that he would have to enter Turner Avenue at a slow speed. On the other hand, she submitted that the Court could infer from the evidence that the defendant was in a rush, noting that he was in an agitated state following the accident because the collision had made him late for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Counsel said that the fact the defendant did not produce cell phone records, as requested of him at his discovery, to confirm or deny that he was talking on a cell phone at the time of the collision, goes to his overall credibility. She said that he was being most deceptive in his evidence about whether he owned a cell phone, or whether he was using a cell phone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Counsel also said that if the Court accepts the defendant's testimony that he turned left at Hastings Street and proceeded southbound on Nanaimo Street in the outside lane then the evidence establishes that he made a lane change. She noted his testimony that he always does a shoulder check when he changes lanes. Counsel submitted that just before the collision the defendant was looking back over his shoulder and had the added distraction of using a cell phone, which together delayed his reaction time. She also said that there was speed involved. She referred to the evidence of the skid marks and Mr. Murgai's evidence about his estimate of the defendant's speed and submitted that the defendant must have been travelling at 50 to 60 km/h at the time of the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Counsel said that Mr. Sdoutz's report provides an indication of the minimum speed at which the defendant was travelling just prior to braking. She submitted that the Court can infer a higher speed given that: the damage to the defendant's vehicle as portrayed in the photos is not consistent with the defendant's description of the damage to his vehicle from the collision; and, the evidence that after several days skid marks will fade and the fact that the photos relied upon by the expert were five to seven days old. Thus, as damage is a significant factor in the expert's calculations, he would have underestimated the speed of the defendant's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Counsel argued that speed and the lane change were contributory causes of the accident. She said that if the defendant had not changed lanes he would not have struck the plaintiff's vehicle. Moreover, if the defendant was not speeding the plaintiff would have completed his left turn before the defendant arrived at the intersection. She said that the defendant was moving from the fast outside lane into the inside lane while exceeding the speed limit.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Counsel argued that there is grave difficulty in finding the truth in the defendant's testimony. She submitted that he has obstructed a just and fair review of the evidence and that in the circumstances there should be a presumption in favour of the plaintiff. She said that the Court can reasonably infer that the defendant failed in his duty of care towards the plaintiff and that the plaintiff should receive the benefit of the doubt.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DEFENDANT'S SUBMISSIONS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Defence counsel argued that if the defendant was not paying attention as plaintiff's counsel submitted, then he would not have braked before he collided with the plaintiff's vehicle. Counsel said that the defendant perceived, acted and reacted to the circumstances he was facing, which is shown by his having braked hard enough to cause a lengthy skid mark.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Counsel submitted that the onus is on the plaintiff to show that when the plaintiff turned left that the oncoming vehicle could have avoided the accident by the driver taking an evasive manoeuvre. He said that the plaintiff has not even attempted to show that. He argued that there is not one shred of evidence that the defendant could have or should have done anything differently. He also said that any doubt on this point must be resolved in the favour of the defendant as the dominant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Counsel submitted that there was no evidence that the defendant was travelling faster than 50 km/h, or that if he was that it would have made a difference. He said that the plaintiff's evidence about speed is unreliable; he lied and was prepared to make up evidence to suit the strength of his case. Counsel also said that Mr. Sdoutz's conclusions rebut the evidence of the plaintiff and Mr. Murgai about how fast the defendant was travelling.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Counsel also said that even if the defendant was travelling at the speed the expert calculated, 50 to 55 km/h pre-braking, then it raises the question: was driving 5 km/h above the speed limit causative? Counsel said that there was no compelling or convincing evidence that driving 55 km/h rather than 50 km/h would have made a difference. He noted that at 5 km/h a vehicle is travelling at 1.4 metres per second and submitted that it would not have been enough to make a difference in this case. He submitted that if a driver pulls in front of you the speed of your vehicle may be irrelevant.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As for the allegation that the defendant was using a cell phone at the time of the accident, counsel submitted that use of a cell phone is not illegal if while using it the driver still maintains a proper lookout. He also said that no negative inference should be drawn from the absence of the cell phone records: there was conflicting evidence from the witnesses about the time of the accident, the plaintiff placing the time of the accident at about 8:15 p.m. and Mr. Murgai stating that it was about an hour or so earlier. In such a situation there is no way that cell phone records might assist the Court to establish with any degree of certainty whether a cell phone was being used by the defendant at the exact time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As for the evidence about the defendant's vehicle, counsel noted that the expert assumed the van shown in the photos was the defendant's vehicle and, on cross-examination, the defendant said that the van in the photos was his van. However, the plaintiff had earlier led evidence from Mr. Murgai that the defendant had been driving a different vehicle at the time of the collision. Counsel submitted that the plaintiff's evidence about the vehicle does not take the plaintiff's case anywhere - the real issue to be determined is why the plaintiff turned left in front of the defendant's oncoming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VI.</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CREDIBILITY OF THE PARTIES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There are significant credibility gaps in both parties' testimony. In my opinion, the parties were more intent on giving evidence to bolster their cases than on being completely frank or forthright with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cross-examination, the plaintiff estimated that his speed proceeding through the intersection was about 10 to 20 km/h. Defence counsel pointed out to the plaintiff that during his examination in chief he had estimated his speed to be 25 to 30 km/h and at his discovery, when he was asked how fast his vehicle was going when it was hit, he had estimated not more than 35 to 40 km/h. The plaintiff insisted that he was merely guessing at his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Defence counsel asked the plaintiff whether before he turned left he could see northbound on Nanaimo Street up to Hastings Street. He said he could not. Counsel then pointed out to him that at his discovery he said he could see as far as Hastings Street. He said that his discovery answer was the truth.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 also said that he was guessing when he estimated that he did not see the defendant's van until it was 10 to 15 feet away. He said that when he saw the van he was able to estimate its speed and to observe the driver of the van holding a cell phone in his right hand up to his ear. He also said that his best estimate of the time it took the van to travel the 10 to 15 feet before the collision was maybe two to three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However, contrary to his evidence in cross-examination, in re-examination, the plaintiff said that he heard the sound of brakes, turned his head and saw the white van coming - and that the time that elapsed was only seconds.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Furthermore, counsel pointed out to the plaintiff that at his discovery, he said that he first saw the defendant talking on the phone when he stopped and the plaintiff looked at him, testifying, "I get out, move my car. He was still in the car and talking on the phone." The plaintiff then claimed that he did not recall the questions or his answers.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plaintiff also disagreed with his own expert's evidence. The plaintiff testified that the expert's diagram placing the vehicles in the intersection at the point of impact put the defendant's van in the wrong place. He said that the van did not travel in a straight line but curved. He thought the point of impact should have been shown further to the west (further from the middle of the intersection and closer to where he would have completed his left hand turn). He also claimed that the position of his vehicle on the diagram was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Thus, there are major conflicts in the plaintiff's testimony on his speed when travelling through the intersection; his visibility of oncoming traffic; the time that elapsed between the first time he noticed the defendant's vehicle and the collision; and, whether he saw the defendant talking on a cell phone before the collision. Furthermore, he disagreed with some of the expert evidence of his own witness. In my view, these conflicts cast serious doubt on the reliability of the plaintiff's version of the events leading up to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By the same token, the defendant's testimony is fraught with conflicts and is, in my opinion, not only generally unreliable, but on some points also untruthful.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defendant displayed a selective memory. For example, while he was absolutely certain that he was not talking on a cell phone just prior to the collision, he said he could not recall which lane he was travelling in when he turned onto Nanaimo Street. He then claimed that he remained in the outside lane and that just before the accident he thought he was in the inside lane, but then said he could not remember whether he was in the inside or outside lane, because the accident was so long ago. He conceded in cross-examination that he might have changed lanes a block after he turned onto Nanaimo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As for traffic, the defendant first said that there was no traffic around, that the street was pretty empty. He then said that there was a car here and there, now and then - that it was not like a ghost town, but it was also not like rush hour. When referred to his discovery evidence that there was no traffic, he said his answer was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defendant was most evasive about whether he had a cell phone with him on the day of the accident and whether he was using a cell phone just before the accident. He testified that he always had a cell phone with him. However, at his discovery he said that he was never using a cell phone prior to the accident, and that he was not borrowing a cell phone on the day of the accident, and that he did not use a cell phone on the day of the accident. He then said that what he meant to say was that he might have used a cell phone on the day of the accident, but not while he was driving. He also claimed that he had two hands on the wheel.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When counsel suggested to the defendant that he did not notice the plaintiff until he was into the intersection, the defendant said that he saw the plaintiff's vehicle coming towards him but he did not think that he would turn in front of him. Counsel then put to the defendant his discovery answer that he was just in the intersection when he first saw the plaintiff, and that the plaintiff suddenly came in front of him. The defendant said that his discovery answer was true. He then said that he saw the plaintiff's vehicle, but that he did not know that he was going to turn in front of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defendant said that he always does a shoulder check when changing lanes. Counsel suggested to the defendant that just as he approached the intersection he was going to change lanes, that he did a shoulder check, was on his cell phone and did not see the plaintiff's vehicle. The defendant denied that he changed lanes, or that he was on a cell phone.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defendant said that a few weeks after the accident ICBC contacted him and asked him to bring in his vehicle. The defendant identified the vehicle shown in the photos marked as Exhibit 3 as the vehicle he was driving on the day of the accident. The van shown in Exhibit 3 has only some minor damage to the front end. Counsel suggested to the defendant that his vehicle sustained a great deal more damage in the collision than that depicted in the exhibit. She then referred the defendant to his discovery answers, where he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just tell me the damage to the vehicle, if you could?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Whose damage, his, mine?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Yours.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whole front is gone.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Were the lights smashed in?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grills, the light, and the radiator is leaking. The whole front is crunched in?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the front part of the vehicle was crunched in?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defendant said that he gave the answers and that they were true. Counsel also suggested to the defendant that the license plate shown on the vehicle depicted in Exhibit 3 looks like it had gone through an accident. The defendant said that the license plate had belonged to another vehicle and was transferred onto the vehicle shown in the exhibit. He said he could not explain how the license plate got so banged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defendant could not recall having a heated argument with the plaintiff following the accident and accusing the plaintiff of making him late for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defendant disagreed with counsel's suggestion that if he had remained in the inside lane there would not have been an accident. He said it did not matter which lane he travelled in because the plaintiff turned in front of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VII.</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DECISION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Section 174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a vehicle is in an intersection and its driver intends to turn left, the driver must yield the right of way to traffic approaching from the opposite direction that is in the intersection or so close as to constitute an immediate hazard, but having yielded and given a signal as required by sections 171 and 172, the driver may turn the vehicle to the left, and traffic approaching the intersection from the opposite direction must yield the right of way to the vehicle making the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law surrounding the responsibility of a left-turning driver was succinctly stated by Donald J.A., speaking for the Court, in </w:t>
      </w:r>
      <w:r>
        <w:rPr>
          <w:rFonts w:ascii="arial" w:eastAsia="arial" w:hAnsi="arial" w:cs="arial"/>
          <w:b/>
          <w:i/>
          <w:color w:val="000000"/>
          <w:sz w:val="20"/>
          <w:lang w:val="en-US" w:eastAsia="en-US" w:bidi="ar-SA"/>
        </w:rPr>
        <w:t>Hiscox v. Armstrong</w:t>
      </w:r>
      <w:r>
        <w:rPr>
          <w:rFonts w:ascii="arial" w:eastAsia="arial" w:hAnsi="arial" w:cs="arial"/>
          <w:color w:val="000000"/>
          <w:sz w:val="20"/>
          <w:lang w:val="en-US" w:eastAsia="en-US" w:bidi="ar-SA"/>
        </w:rPr>
        <w:t xml:space="preserve">, </w:t>
      </w:r>
      <w:hyperlink r:id="rId560" w:history="1">
        <w:r>
          <w:rPr>
            <w:rFonts w:ascii="arial" w:eastAsia="arial" w:hAnsi="arial" w:cs="arial"/>
            <w:i/>
            <w:color w:val="0077CC"/>
            <w:sz w:val="20"/>
            <w:u w:val="single"/>
            <w:shd w:val="clear" w:color="auto" w:fill="FFFFFF"/>
            <w:lang w:val="en-US" w:eastAsia="en-US" w:bidi="ar-SA"/>
          </w:rPr>
          <w:t>11 M.V.R. (4th) 34</w:t>
        </w:r>
      </w:hyperlink>
      <w:r>
        <w:rPr>
          <w:rFonts w:ascii="arial" w:eastAsia="arial" w:hAnsi="arial" w:cs="arial"/>
          <w:color w:val="000000"/>
          <w:sz w:val="20"/>
          <w:lang w:val="en-US" w:eastAsia="en-US" w:bidi="ar-SA"/>
        </w:rPr>
        <w:t xml:space="preserve">, </w:t>
      </w:r>
      <w:hyperlink r:id="rId560" w:history="1">
        <w:r>
          <w:rPr>
            <w:rFonts w:ascii="arial" w:eastAsia="arial" w:hAnsi="arial" w:cs="arial"/>
            <w:i/>
            <w:color w:val="0077CC"/>
            <w:sz w:val="20"/>
            <w:u w:val="single"/>
            <w:shd w:val="clear" w:color="auto" w:fill="FFFFFF"/>
            <w:lang w:val="en-US" w:eastAsia="en-US" w:bidi="ar-SA"/>
          </w:rPr>
          <w:t>154 B.C.A.C. 184</w:t>
        </w:r>
      </w:hyperlink>
      <w:r>
        <w:rPr>
          <w:rFonts w:ascii="arial" w:eastAsia="arial" w:hAnsi="arial" w:cs="arial"/>
          <w:color w:val="000000"/>
          <w:sz w:val="20"/>
          <w:lang w:val="en-US" w:eastAsia="en-US" w:bidi="ar-SA"/>
        </w:rPr>
        <w:t xml:space="preserve">, </w:t>
      </w:r>
      <w:hyperlink r:id="rId560" w:history="1">
        <w:r>
          <w:rPr>
            <w:rFonts w:ascii="arial" w:eastAsia="arial" w:hAnsi="arial" w:cs="arial"/>
            <w:i/>
            <w:color w:val="0077CC"/>
            <w:sz w:val="20"/>
            <w:u w:val="single"/>
            <w:shd w:val="clear" w:color="auto" w:fill="FFFFFF"/>
            <w:lang w:val="en-US" w:eastAsia="en-US" w:bidi="ar-SA"/>
          </w:rPr>
          <w:t>2001 BCCA 258</w:t>
        </w:r>
      </w:hyperlink>
      <w:r>
        <w:rPr>
          <w:rFonts w:ascii="arial" w:eastAsia="arial" w:hAnsi="arial" w:cs="arial"/>
          <w:color w:val="000000"/>
          <w:sz w:val="20"/>
          <w:lang w:val="en-US" w:eastAsia="en-US" w:bidi="ar-SA"/>
        </w:rPr>
        <w:t>, at para. 4,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As a left-turning motorist the plaintiff had to be sure that he could clear each lane in safety. The defendant had the right-of-way. In order for the plaintiff to succeed in attaching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the defendant he had to present evidence in accordance with the often quoted words of Mr. Justice Fauteux in </w:t>
      </w:r>
      <w:r>
        <w:rPr>
          <w:rFonts w:ascii="arial" w:eastAsia="arial" w:hAnsi="arial" w:cs="arial"/>
          <w:b/>
          <w:i/>
          <w:color w:val="000000"/>
          <w:sz w:val="20"/>
          <w:lang w:val="en-US" w:eastAsia="en-US" w:bidi="ar-SA"/>
        </w:rPr>
        <w:t>Walker v. Brownlee and Harmen</w:t>
      </w:r>
      <w:r>
        <w:rPr>
          <w:rFonts w:ascii="arial" w:eastAsia="arial" w:hAnsi="arial" w:cs="arial"/>
          <w:color w:val="000000"/>
          <w:sz w:val="20"/>
          <w:lang w:val="en-US" w:eastAsia="en-US" w:bidi="ar-SA"/>
        </w:rPr>
        <w:t xml:space="preserve">, </w:t>
      </w:r>
      <w:hyperlink r:id="rId561"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at 461: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decision of every motor vehicle collision case must depend on its particular facts, I am of opinion that when A, the driver in the servient position, proceeds through an intersection in complete disregard of his statutory duty to yield the right-of-way and a collision results, if he seeks to cast any portion of the blame upon B, the driver having the right-of-way, A must establish that after B became aware, or by the exercise of reasonable care should have become aware, of A's disregard of the law B had in fact a sufficient opportunity to avoid the accident of which a reasonably careful and skilful driver would have availed himself; and I do not think that in such circumstances any doubts should be resolved in favour of A, whose unlawful conduct was </w:t>
      </w:r>
      <w:r>
        <w:rPr>
          <w:rFonts w:ascii="arial" w:eastAsia="arial" w:hAnsi="arial" w:cs="arial"/>
          <w:i/>
          <w:color w:val="000000"/>
          <w:sz w:val="20"/>
          <w:lang w:val="en-US" w:eastAsia="en-US" w:bidi="ar-SA"/>
        </w:rPr>
        <w:t>fons et origo mali</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Defence counsel argued that the defendant could not have avoided the accident in the instant case as the collision occurred only a few seconds, at most, after the defendant would have been able to perceive the plaintiff turning into his path of travel. He also argued that the fact that the defendant braked, leaving skid marks in the very few seconds or even fraction of a second available to him proved that he was maintaining a proper lookout. With respect, I disagree with the defence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law is clear: liability for a collision may not always rest entirely with a left-turning driver who fails to yield the right-of-way; to avoid possible liability, the dominant driver must, if reasonable, neutralize the left-turning driver's failure to yield the right-of-way by taking steps to avoid a collision. In my opinion, doing the best that I can with the highly unreliable state of the parties' testimony, I find that both parties should be held partially responsible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It is at least common ground that on the day of the accident, it was clear and sunny; there was little or no traffic on Nanaimo Street; there were no obstructions to block either party's view of the intersection; and, both parties were there to be seen by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all of the circumstances, I find that the plaintiff is partially responsible for the accident for not maintaining a proper lookout and not yielding the right-of-way while making his left turn from Nanaimo Street to proceed westbound on Turner Avenue. In my opinion, the primary reason why the plaintiff did not see the defendant's vehicle closely approaching the intersection was because, as he admitted in chief, his eyes were mainly focused on completing his left hand turn. His attention was focused on Turner Avenue because cars were parked on both sides of the street thus narrowing the street for two-way traffic. Because of this situation, he knew from past experience that he had to keep a close watch for vehicles travelling eastbound and exiting from Turner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find the plaintiff's speculation about why he did not see the defendant's vehicle until just prior to the collision completely implausible. He thought that the defendant might have come from a nearby street or may even have been parked. This evidence is in direct conflict with the evidence that the plaintiff read in to his case from the defendant's discovery that he was proceeding southbound on Nanaimo Street just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also find that the defendant was partially responsible for the accident. I find that just prior to the accident the defendant turned left from Hastings Street to proceed southbound on Nanaimo Street in the outside lane. In the short distance between Hastings Street and Turner Avenue the defendant, for an unexplained reason, decided to make a lane change from the outside lane to the inside lane. I find that in making this lane change the defendant was not maintaining a proper lookout, because as he changed lanes he was looking over his shoulder and not paying attention to traffic in the upcoming intersection. Although I find that the defendant had a cell phone in his vehicle, I cannot conclude that the defendant was talking on the cell phone at the time of the collision, as there is strongly conflicting evidence on this point. However, I am satisfied that the lane change was made unsafe by reason of the defendant looking over his shoulder, and the fact that the defendant's vehicle was exceeding the speed limit. On this latter point I turn to the following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Murgai, whose evidence I accept on this point, testified that when the defendant entered the intersection he was travelling at a speed of 50 to 60 km/h, or even more. Mr. Sdoutz concluded that the defendant's van had a pre-skid speed of 55 to 58 km/h. Obviously, Mr. Sdoutz's assessment of speed was based partly on the minimal damage shown to the defendant's vehicle in Exhibit 3, whereas according to the defendant's discovery testimony, which he accepted as true, the damage to his vehicle was far more extensive than that depicted in the exhibit. Hence, I think it can be reasonably inferred that prior to impact the defendant was probably travelling at a speed greater than 55 to 58 km/h. I think this reinforces the speed estimate made by Mr. Murgai, and strongly belies the defendant's testimony that his speed was only 40 to 45 km/h.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While I am mindful that travelling over the speed limit does not in and of itself constitute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it will constitute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if excessive speed probably prevented the driver from taking reasonable measures to avoid the accident: See </w:t>
      </w:r>
      <w:r>
        <w:rPr>
          <w:rFonts w:ascii="arial" w:eastAsia="arial" w:hAnsi="arial" w:cs="arial"/>
          <w:b/>
          <w:i/>
          <w:color w:val="000000"/>
          <w:sz w:val="20"/>
          <w:lang w:val="en-US" w:eastAsia="en-US" w:bidi="ar-SA"/>
        </w:rPr>
        <w:t>Santos (Guardian ad litem of) v. Raes</w:t>
      </w:r>
      <w:r>
        <w:rPr>
          <w:rFonts w:ascii="arial" w:eastAsia="arial" w:hAnsi="arial" w:cs="arial"/>
          <w:color w:val="000000"/>
          <w:sz w:val="20"/>
          <w:lang w:val="en-US" w:eastAsia="en-US" w:bidi="ar-SA"/>
        </w:rPr>
        <w:t xml:space="preserve">, </w:t>
      </w:r>
      <w:hyperlink r:id="rId562" w:history="1">
        <w:r>
          <w:rPr>
            <w:rFonts w:ascii="arial" w:eastAsia="arial" w:hAnsi="arial" w:cs="arial"/>
            <w:i/>
            <w:color w:val="0077CC"/>
            <w:sz w:val="20"/>
            <w:u w:val="single"/>
            <w:shd w:val="clear" w:color="auto" w:fill="FFFFFF"/>
            <w:lang w:val="en-US" w:eastAsia="en-US" w:bidi="ar-SA"/>
          </w:rPr>
          <w:t>[1998] B.C.J. No. 389</w:t>
        </w:r>
      </w:hyperlink>
      <w:r>
        <w:rPr>
          <w:rFonts w:ascii="arial" w:eastAsia="arial" w:hAnsi="arial" w:cs="arial"/>
          <w:color w:val="000000"/>
          <w:sz w:val="20"/>
          <w:lang w:val="en-US" w:eastAsia="en-US" w:bidi="ar-SA"/>
        </w:rPr>
        <w:t xml:space="preserve"> (S.C.) at para. 15. In my opinion, the combination of the defendant making a lane change, looking over his shoulder at the time and driving in excess of the speed limit all contributed to the accident. I think that with the exercise of reasonable care the defendant should have been aware of the presence of the plaintiff, who was well into completing his left hand turn, and would have had a sufficient opportunity to avoid colliding with the plaintiff's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Section 1 of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provides that liability among contributing tortfeasors should be allocated in proportion to the degree to which each was at fault. Fault is measured in terms of relative or comparative blameworthiness or culpability, i.e. the extent to which each of the parties departed from the norm of reasonable conduct: See </w:t>
      </w:r>
      <w:r>
        <w:rPr>
          <w:rFonts w:ascii="arial" w:eastAsia="arial" w:hAnsi="arial" w:cs="arial"/>
          <w:b/>
          <w:i/>
          <w:color w:val="000000"/>
          <w:sz w:val="20"/>
          <w:lang w:val="en-US" w:eastAsia="en-US" w:bidi="ar-SA"/>
        </w:rPr>
        <w:t>Anderson v. Stevens</w:t>
      </w:r>
      <w:r>
        <w:rPr>
          <w:rFonts w:ascii="arial" w:eastAsia="arial" w:hAnsi="arial" w:cs="arial"/>
          <w:color w:val="000000"/>
          <w:sz w:val="20"/>
          <w:lang w:val="en-US" w:eastAsia="en-US" w:bidi="ar-SA"/>
        </w:rPr>
        <w:t xml:space="preserve"> </w:t>
      </w:r>
      <w:hyperlink r:id="rId563" w:history="1">
        <w:r>
          <w:rPr>
            <w:rFonts w:ascii="arial" w:eastAsia="arial" w:hAnsi="arial" w:cs="arial"/>
            <w:i/>
            <w:color w:val="0077CC"/>
            <w:sz w:val="20"/>
            <w:u w:val="single"/>
            <w:shd w:val="clear" w:color="auto" w:fill="FFFFFF"/>
            <w:lang w:val="en-US" w:eastAsia="en-US" w:bidi="ar-SA"/>
          </w:rPr>
          <w:t>(1981), 29 B.C.L.R. 355</w:t>
        </w:r>
      </w:hyperlink>
      <w:r>
        <w:rPr>
          <w:rFonts w:ascii="arial" w:eastAsia="arial" w:hAnsi="arial" w:cs="arial"/>
          <w:color w:val="000000"/>
          <w:sz w:val="20"/>
          <w:lang w:val="en-US" w:eastAsia="en-US" w:bidi="ar-SA"/>
        </w:rPr>
        <w:t xml:space="preserve"> at p. 362, </w:t>
      </w:r>
      <w:hyperlink r:id="rId563" w:history="1">
        <w:r>
          <w:rPr>
            <w:rFonts w:ascii="arial" w:eastAsia="arial" w:hAnsi="arial" w:cs="arial"/>
            <w:i/>
            <w:color w:val="0077CC"/>
            <w:sz w:val="20"/>
            <w:u w:val="single"/>
            <w:shd w:val="clear" w:color="auto" w:fill="FFFFFF"/>
            <w:lang w:val="en-US" w:eastAsia="en-US" w:bidi="ar-SA"/>
          </w:rPr>
          <w:t>125 D.L.R. (3d) 736</w:t>
        </w:r>
      </w:hyperlink>
      <w:r>
        <w:rPr>
          <w:rFonts w:ascii="arial" w:eastAsia="arial" w:hAnsi="arial" w:cs="arial"/>
          <w:color w:val="000000"/>
          <w:sz w:val="20"/>
          <w:lang w:val="en-US" w:eastAsia="en-US" w:bidi="ar-SA"/>
        </w:rPr>
        <w:t xml:space="preserve"> (S.C.), adopting </w:t>
      </w:r>
      <w:r>
        <w:rPr>
          <w:rFonts w:ascii="arial" w:eastAsia="arial" w:hAnsi="arial" w:cs="arial"/>
          <w:b/>
          <w:i/>
          <w:color w:val="000000"/>
          <w:sz w:val="20"/>
          <w:lang w:val="en-US" w:eastAsia="en-US" w:bidi="ar-SA"/>
        </w:rPr>
        <w:t>Clyke v. Blenkhorn</w:t>
      </w:r>
      <w:r>
        <w:rPr>
          <w:rFonts w:ascii="arial" w:eastAsia="arial" w:hAnsi="arial" w:cs="arial"/>
          <w:color w:val="000000"/>
          <w:sz w:val="20"/>
          <w:lang w:val="en-US" w:eastAsia="en-US" w:bidi="ar-SA"/>
        </w:rPr>
        <w:t xml:space="preserve"> </w:t>
      </w:r>
      <w:hyperlink r:id="rId564" w:history="1">
        <w:r>
          <w:rPr>
            <w:rFonts w:ascii="arial" w:eastAsia="arial" w:hAnsi="arial" w:cs="arial"/>
            <w:i/>
            <w:color w:val="0077CC"/>
            <w:sz w:val="20"/>
            <w:u w:val="single"/>
            <w:shd w:val="clear" w:color="auto" w:fill="FFFFFF"/>
            <w:lang w:val="en-US" w:eastAsia="en-US" w:bidi="ar-SA"/>
          </w:rPr>
          <w:t>(1958), 13 D.L.R. (2d) 293</w:t>
        </w:r>
      </w:hyperlink>
      <w:r>
        <w:rPr>
          <w:rFonts w:ascii="arial" w:eastAsia="arial" w:hAnsi="arial" w:cs="arial"/>
          <w:color w:val="000000"/>
          <w:sz w:val="20"/>
          <w:lang w:val="en-US" w:eastAsia="en-US" w:bidi="ar-SA"/>
        </w:rPr>
        <w:t xml:space="preserve"> at p. 304, </w:t>
      </w:r>
      <w:hyperlink r:id="rId564" w:history="1">
        <w:r>
          <w:rPr>
            <w:rFonts w:ascii="arial" w:eastAsia="arial" w:hAnsi="arial" w:cs="arial"/>
            <w:i/>
            <w:color w:val="0077CC"/>
            <w:sz w:val="20"/>
            <w:u w:val="single"/>
            <w:shd w:val="clear" w:color="auto" w:fill="FFFFFF"/>
            <w:lang w:val="en-US" w:eastAsia="en-US" w:bidi="ar-SA"/>
          </w:rPr>
          <w:t>41 M.P.R. 1</w:t>
        </w:r>
      </w:hyperlink>
      <w:r>
        <w:rPr>
          <w:rFonts w:ascii="arial" w:eastAsia="arial" w:hAnsi="arial" w:cs="arial"/>
          <w:color w:val="000000"/>
          <w:sz w:val="20"/>
          <w:lang w:val="en-US" w:eastAsia="en-US" w:bidi="ar-SA"/>
        </w:rPr>
        <w:t xml:space="preserve"> (N.S.C.A.).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the circumstances of the case at bar, I find each party 50% liable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COHEN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9"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5"/>
          <w:headerReference w:type="default" r:id="rId566"/>
          <w:footerReference w:type="even" r:id="rId567"/>
          <w:footerReference w:type="default" r:id="rId568"/>
          <w:headerReference w:type="first" r:id="rId569"/>
          <w:footerReference w:type="first" r:id="rId57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571" w:history="1">
        <w:r>
          <w:rPr>
            <w:rFonts w:ascii="arial" w:eastAsia="arial" w:hAnsi="arial" w:cs="arial"/>
            <w:b/>
            <w:bCs/>
            <w:i/>
            <w:color w:val="0077CC"/>
            <w:kern w:val="32"/>
            <w:sz w:val="28"/>
            <w:szCs w:val="32"/>
            <w:u w:val="single"/>
            <w:shd w:val="clear" w:color="auto" w:fill="FFFFFF"/>
            <w:lang w:val="en-US" w:eastAsia="en-US" w:bidi="ar-SA"/>
          </w:rPr>
          <w:t>Albrecht (Guardian ad litem of) v. Mitchell, [2002] B.C.J. No. 868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Preston J. (In Chambers)</w:t>
      </w:r>
    </w:p>
    <w:p>
      <w:pPr>
        <w:spacing w:before="120" w:line="260" w:lineRule="atLeast"/>
        <w:jc w:val="center"/>
        <w:rPr>
          <w:lang w:val="en-US" w:eastAsia="en-US" w:bidi="ar-SA"/>
        </w:rPr>
      </w:pPr>
      <w:r>
        <w:rPr>
          <w:rFonts w:ascii="arial" w:eastAsia="arial" w:hAnsi="arial" w:cs="arial"/>
          <w:color w:val="000000"/>
          <w:sz w:val="20"/>
          <w:lang w:val="en-US" w:eastAsia="en-US" w:bidi="ar-SA"/>
        </w:rPr>
        <w:t>Heard: January 30, 2002.</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April 10, 2002.</w:t>
      </w:r>
    </w:p>
    <w:p>
      <w:pPr>
        <w:spacing w:before="120" w:line="260" w:lineRule="atLeast"/>
        <w:jc w:val="center"/>
        <w:rPr>
          <w:lang w:val="en-US" w:eastAsia="en-US" w:bidi="ar-SA"/>
        </w:rPr>
      </w:pPr>
      <w:r>
        <w:rPr>
          <w:rFonts w:ascii="arial" w:eastAsia="arial" w:hAnsi="arial" w:cs="arial"/>
          <w:color w:val="000000"/>
          <w:sz w:val="20"/>
          <w:lang w:val="en-US" w:eastAsia="en-US" w:bidi="ar-SA"/>
        </w:rPr>
        <w:t>New Westminster Registry No. S041124</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[2002] B.C.J. No. 868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2002 BCSC 526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113 A.C.W.S. (3d) 346</w:t>
      </w:r>
    </w:p>
    <w:p>
      <w:pPr>
        <w:spacing w:before="120" w:line="260" w:lineRule="atLeast"/>
        <w:rPr>
          <w:lang w:val="en-US" w:eastAsia="en-US" w:bidi="ar-SA"/>
        </w:rPr>
      </w:pPr>
      <w:r>
        <w:rPr>
          <w:rFonts w:ascii="arial" w:eastAsia="arial" w:hAnsi="arial" w:cs="arial"/>
          <w:color w:val="000000"/>
          <w:sz w:val="20"/>
          <w:lang w:val="en-US" w:eastAsia="en-US" w:bidi="ar-SA"/>
        </w:rPr>
        <w:t>Between Bronson Lee Albrecht also known as Bronson Paul Michel Albrecht, an infant, by his Guardian ad litem, Danelle Candace Michel, plaintiffs, and Dr. G.W. Erle Mitchell and British Columbia's Women's Hospital and Health Care Society,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(21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40" style="position:absolute;z-index:25168281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55" w:name="Keywords_22"/>
      <w:bookmarkEnd w:id="155"/>
      <w:r>
        <w:rPr>
          <w:rFonts w:ascii="arial" w:eastAsia="arial" w:hAnsi="arial" w:cs="arial"/>
          <w:b/>
          <w:color w:val="000000"/>
          <w:sz w:val="20"/>
          <w:lang w:val="en-US" w:eastAsia="en-US" w:bidi="ar-SA"/>
        </w:rPr>
        <w:t xml:space="preserve">Medicine — Liability of practitioners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or fault — Standard of care — Evidence — Practice — Judgments and orders — Summary judgments — To dismiss action — Requirement that question at issue be beyond doubt.</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56" w:name="Case Summary_21"/>
            <w:bookmarkEnd w:id="156"/>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Application by the defendant, Mitchell, to dismiss the action of the plaintiff, Michel. Mitchell was an obstetrician and gynaecologist who performed therapeutic abortions. Michel attended at the hospital for him to perform an abortion. The abortion could not be completed because Michel experienced pain. It was rescheduled. The procedure never occurred because Michel decided not to terminate her pregnancy. Michel claimed that she suffered a torn vagina because of Mitchell's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She claimed general damages for pain, suffering, mental trauma and stress. Michel did not tender any evidence from her attending physicians. She did not provide expert evidence to support her claim. The evidence indicated that Michel did not suffer vaginal damage from the procedure. The expert opinion evidence was that Mitchell met or exceeded the usual standard of care. </w:t>
            </w:r>
            <w:r>
              <w:rPr>
                <w:lang w:val="en-US" w:eastAsia="en-US" w:bidi="ar-SA"/>
              </w:rPr>
              <w:cr/>
            </w:r>
          </w:p>
          <w:p>
            <w:pPr>
              <w:spacing w:before="120" w:line="260" w:lineRule="atLeast"/>
              <w:ind w:left="240"/>
              <w:jc w:val="both"/>
              <w:rPr>
                <w:lang w:val="en-US" w:eastAsia="en-US" w:bidi="ar-SA"/>
              </w:rPr>
            </w:pPr>
            <w:bookmarkStart w:id="157" w:name="Holdings of Court_17"/>
            <w:bookmarkEnd w:id="157"/>
            <w:r>
              <w:rPr>
                <w:rFonts w:ascii="arial" w:eastAsia="arial" w:hAnsi="arial" w:cs="arial"/>
                <w:color w:val="000000"/>
                <w:sz w:val="20"/>
                <w:lang w:val="en-US" w:eastAsia="en-US" w:bidi="ar-SA"/>
              </w:rPr>
              <w:t>HELD: Application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Michel's action was discontinued. Michel failed to establish a cause of action against Mitchell. The evidence overwhelmingly proved that Mitchell's care was unexceptionable. </w:t>
            </w:r>
            <w:r>
              <w:rPr>
                <w:lang w:val="en-US" w:eastAsia="en-US" w:bidi="ar-SA"/>
              </w:rPr>
              <w:cr/>
            </w:r>
          </w:p>
          <w:p>
            <w:pPr>
              <w:rPr>
                <w:lang w:val="en-US" w:eastAsia="en-US" w:bidi="ar-SA"/>
              </w:rPr>
            </w:pPr>
          </w:p>
        </w:tc>
      </w:tr>
    </w:tbl>
    <w:p>
      <w:pPr>
        <w:jc w:val="both"/>
        <w:rPr>
          <w:lang w:val="en-US" w:eastAsia="en-US" w:bidi="ar-SA"/>
        </w:rPr>
      </w:pPr>
      <w:bookmarkStart w:id="158" w:name="Legislation Cited_17"/>
      <w:bookmarkEnd w:id="158"/>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141" style="position:absolute;z-index:25173401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British Columbia Supreme Court Rules, Rule 18A.</w:t>
      </w:r>
      <w:r>
        <w:rPr>
          <w:lang w:val="en-US" w:eastAsia="en-US" w:bidi="ar-SA"/>
        </w:rPr>
        <w:cr/>
      </w:r>
    </w:p>
    <w:p>
      <w:pPr>
        <w:keepNext/>
        <w:spacing w:before="240" w:line="340" w:lineRule="atLeast"/>
        <w:rPr>
          <w:lang w:val="en-US" w:eastAsia="en-US" w:bidi="ar-SA"/>
        </w:rPr>
      </w:pPr>
      <w:bookmarkStart w:id="159" w:name="Counsel_23"/>
      <w:bookmarkEnd w:id="159"/>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42" style="position:absolute;z-index:25178521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D-J. O'Donnell, for the plaintiffs. M.L. McBride, for the defendant, Dr. G.W. Erle Mitchell.</w:t>
      </w:r>
      <w:r>
        <w:rPr>
          <w:lang w:val="en-US" w:eastAsia="en-US" w:bidi="ar-SA"/>
        </w:rPr>
        <w:cr/>
      </w:r>
    </w:p>
    <w:p>
      <w:pPr>
        <w:spacing w:after="240"/>
        <w:rPr>
          <w:lang w:val="en-US" w:eastAsia="en-US" w:bidi="ar-SA"/>
        </w:rPr>
      </w:pPr>
      <w:bookmarkStart w:id="160" w:name="Judgment_23"/>
      <w:bookmarkEnd w:id="160"/>
      <w:r>
        <w:pict>
          <v:line id="_x0000_s1143" style="position:absolute;z-index:251835392"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61" w:name="PRESTON J."/>
            <w:bookmarkEnd w:id="161"/>
            <w:r>
              <w:rPr>
                <w:rFonts w:ascii="arial" w:eastAsia="arial" w:hAnsi="arial" w:cs="arial"/>
                <w:b/>
                <w:color w:val="000000"/>
                <w:sz w:val="30"/>
                <w:lang w:val="en-US" w:eastAsia="en-US" w:bidi="ar-SA"/>
              </w:rPr>
              <w:t>PRESTON J.</w:t>
            </w:r>
          </w:p>
        </w:tc>
      </w:tr>
    </w:tbl>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Background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Ms. Michel, brought an action on her own behalf and on behalf of her infant son claiming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defendants, Dr. Mitchell and British Columbia's Women's Hospital and Health Care Society (the "Hospital") with respect to an abortion procedure performed on June 23, 1995. This is the second of two 18A applications brought by the defendants to dismiss the action. On March 31, 2000, Mr. Justice Boyle heard the first application. He dismissed the action of the infant plaintiff against both defendants and the action of Ms. Michel against the Hospital. Boyle J. also dismissed Ms. Michel's claims against Dr. Mitchell, including her claim for the cost of raising the infant plaintiff to maturity, except for Ms. Michel's claim for general non-pecuniary damages for pain, suffering, mental trauma and stress. That remaining non-pecuniary damage claim forms the subject matter of this 18A application.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Dr. Mitchell, the defendant, is an obstetrician and gynaecologist who has been practising in those specialities since 1975. He performed therapeutic abortions at the B.C. Women's Hospital and had admitting privileges at both B.C. Women's Hospital and Vancouver General Hospital.</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Facts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June 23, 1995 Ms. Michel attended B.C. Women's Hospital for a therapeutic abortion. Dr. Mitchell performed the procedure. During the abortion procedure, Ms. Michel reported that she was experiencing pain during the application of suction to the uterus. Dr. Mitchell discontinued the suction and examined the uterus. He found the fundus to be intact. He attempted suction a second time. Again, Ms. Michel experienced pain. Because Dr. Mitchell was concerned about the possibility of uterine perforation he arranged for Ms. Michel to be transferred to Vancouver General Hospital for overnight supervision. Ms. Michel spent the night at the Hospital. Before she was discharged the next day, Ms. Michel was examined by another physician, Dr. Jackson, who was providing weekend coverage for Dr. Mitchell. His examination and other testing at Vancouver General Hospital did not reveal uterine perforation or any other complications. An ultrasound examination at the hospital showed that Ms. Michel was still pregnant.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Dr. Mitchell reported the incident to Ms. Michel's family physician, Dr. Hasham. By letter dated June 27, 1995, Dr. Mitchell indicated that the patient was to contact him the week of June 25, 1995, so that he could review her condition and make arrangements for the termination of the pregnancy under general anesthetic. Dr. Mitchell then arranged for another therapeutic abortion to be carried out on June 28, 1995. Although this date was discussed with Ms. Michel, the procedure never took place. Ms. Michel elected not to terminate her pregnancy and, on December 9, 1995, she gave birth to a healthy child.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Plaintiff's Position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plaintiff asserts that she suffered a torn vagina as a result of Dr. Mitchell's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She claims general damages for pain, suffering, mental trauma and stress.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her affidavit sworn April 16, 2001, Ms. Michel asserts that Dr. Mitchell "perforated the wall of my vagina leaving part of the vaginal wall hanging loose inside me". She also states that the "damage ...is in my vagina and clearly visible on examination". The plaintiff asserts that in the summer of 2000 she attended Eagle Ridge Hospital for treatment of an episiotomy scar. Her physician at that time, Dr. MacDonald, in the words of Ms. Michel "observed the condition of my vagina at that time as did the nurse who assisted him". The plaintiff says further that on September 11, 2001, she saw a Dr. Wilkie (referred to her by her general practitioner, Dr. Milne) to "cut off the loose vaginal wall and resew the remaining wall".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has not tendered any evidence from any of her attending physicians, nor has she provided the court with expert evidence in support of her claim.</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Defendant's Position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 denies that he was negligent in his treatment of Ms. Michel. Further, he denies that Ms. Michel suffered any injury as a result of the therapeutic abortion procedure. He stated that pain and a reflex reaction is not uncommon when the abortion procedure is carried out.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Evidence of Ms. Michel's treating physicians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Dr. Hasham, Ms. Michel's family doctor, has been treating Ms. Michel since June 1995. He saw Ms. Michel on June 26, 1995, three days after the discontinued abortion procedure. He also provided pre-natal care for Ms. Michel during her pregnancy. In Dr. Hasham's opinion, based in part on his examinations of Ms. Michel, "there was no vaginal damage to [Ms. Michel] during the attempted termination procedure by Dr. Mitchell". It was also his opinion that "it is unlikely that [Ms. Michel] suffered a perforated uterus during the course of the attempted termination procedure".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Dr. Milne, a general practitioner who treated Ms. Michel from 1999, performed a cervical examination of Ms. Michel on July 1, 1999. He did not note any vaginal or uterine damage and said that he would have noted such damage on the chart if he had seen it. In December 2000, after Ms. Michel "raised concerns of vaginal difficulties", Dr. Milne referred her to Dr. Wilkie. In a letter to Dr. Milne in February 2001, Dr. Wilkie identified the area of concern in the vagina as a hymenal remnant on the right side rather than damage to the vagina or uterus. In Dr. Milne's opinion, Ms. Michel "did not suffer any vaginal or uterine damage during the course of the attempted termination procedure carried out by Dr. Mitchell".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addition to Dr. Hasam and Dr. Milne, Dr. Karim Ebrahim and Dr. Salim Ebrahim also saw the plaintiff. Dr. Karim Ebrahim performed pelvic examinations of Ms. Michel in March 1998, July 1998, February 1999 and finally in December 2000. None of these examinations disclosed uterine perforation or vaginal damage. Following each of the pelvic exams, Dr. Karim Ebrahim referred Ms. Michel to an obstetrician/gynaecologist, and on each occasion, the referral doctor reported no damage or abnormality. In Dr. Karim Ebrahim's opinion, Ms. Michel "did not suffer any vaginal injury or uterine perforation during the course of the attempted termination procedure, carried out by Dr. Mitchell". Dr. Samil Ebrahim examined Ms. Michel in June 2000. He "did not observe her to have any vaginal or uterine damage." In his opinion, Ms. Michel "did not suffer from any vaginal or uterine damage during the course of the termination procedure carried out by Dr. Mitchell."</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Evidence of Ms. Michel's examining bstetricians/ gynaecologists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Four specialists in obstetrics/gynaecology examined Ms. Michel on referral from Drs. Ebrahim and Milne. In August 1998, Ms. Michel saw Dr. Beresford. His examination confirmed normal pelvic anatomy.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September 1999, Ms. Michel was examined by Dr. Vaughan. In his letter to Dr. Karim Ebrahim, Dr. Vaughan wrote that Ms. Michel "claims that there is a chunk of skin hanging out of the vagina," which she "blames ...on an apparently unsuccessful T.A. carried out about 4 years ago. She believes that trauma occurred and that the above mentioned tissue was created at the time along with various lacerations of the vulva. This seems to be a most unusual situation to say the least." Dr. Vaughan's examination revealed that the piece of skin that Ms. Michel complained of is in fact a somewhat enlarged hymenal tag. He expressed the opinion that the rest of the vagina and cervix appeared normal.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May 2000, Ms. Michel saw Dr. Faulkner. Following examination, Dr. Faulkner noted that he could not see any tears or any abnormality of the anatomy of the vagina. He did note that on the right side there was a particularly prominent hymenal tag, which the patient indicated to be the problem area.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February 2001, Dr. Wilkie examined Ms. Michel. In a letter written to Dr. Milne, Dr. Wilkie reported that Ms. Michel "has a sense of some irregular tissue that my have been torn just inside the vagina and this sometimes interferes with comfort during intercourse". With the assistance of Ms. Michel, he was able to identify the area of concern as the hymenal remnant on the right side. He also stated that his examination disclosed that the cervix, abdomen and external genitalia were all normal.</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Expert Reports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Dr. Cronhelm has been an obstetrician and gynaecologist since 1964. He has over 25 years of experience with therapeutic abortion patients. He provided an independent written report and reviewed the medical records of Drs. Mitchell, Beresford, Hasham, Wilkie, Milne, Ebrahim and Ebrahim. He also reviewed the records of the Care Place Medical Centre, Vancouver General Hospital and the Eagle Ridge Hospital. Dr. Cronhelm examined Ms. Michel on November 6, 2001. Following that examination, Dr. Cronhelm noted that other than the healing following the vaginal repair surgery, the rest of the vagina was completely normal for a woman who had had two children. The pelvic examination was also normal.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Dr. Cronhelm's opinion, Dr. Mitchell began the abortion procedure using the accepted and usual techniques including IV, sedation and local anaesthesia. Prior to the procedure, the plaintiff received information about the benefits and risks of the procedure. The plaintiff signed the consent form and was interviewed by Dr. Mitchell. A routine medical examination was carried out. Although there was a small possibility of uterine rupture because of the apparent severity of the pain, in Dr. Cronhelm's opinion it was unlikely that a rupture occurred. He based his opinion in part on the fact that the plaintiff stabilized quickly with a reduction of pain. Dr. Cronhelm also advised that while the suction evident in the procedure momentarily grabs the vaginal wall, it is "never known to cause any trauma and certainly not a vaginal tear". He went on to note that it is "unlikely that such occurred in this case". Dr. Cronhelm expressed the opinion that Dr. Mitchell met the usual standard of care of an obstetrician/gynaecologist.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Dr. Sutter is also an obstetrician and gynaecologist with extensive experience in performing therapeutic abortions. In coming to her conclusions, Dr. Sutter reviewed the records of Dr. Mitchell as well as the records of B.C. Women's Hospital and Vancouver General Hospital. Dr. Sutter determined that there was no aspect of Dr. Mitchell's care of Ms. Michel in which Dr. Mitchell failed to meet the standard of care expected of him. First, Dr. Sutter noted that Dr. Mitchell's decision to attempt to suction a second time by using a smaller dilator prior to ceasing the procedure altogether was acceptable. That approach was the approach she would expect a competent obstetrician/gynaecologist to take. Second, once the plaintiff showed signs of pain, it was entirely appropriate for Dr. Mitchell to arrange that the patient be admitted to hospital, put on IV and given antibiotics. An ultrasound was also arranged. Third, when the patient appeared well the following morning, it was appropriate for her to be discharged with instructions to follow up with Dr. Mitchell the following week. Dr. Sutter also noted that had the patient suffered a uterine perforation or another serious injury, her condition would have worsened overnight and the need for further intervention would have been clear in the morning. This did not occur. Fourth, Dr. Mitchell met the standard of care when he arranged for another equally qualified physician to provide weekend coverage and make all necessary decisions. Fifth, in Dr. Sutter's opinion, the June 27, 1997 letter written by Dr. Mitchell to Ms. Michel's family physician actually exceeded the standard of care required. Lastly, once Dr. Mitchell determined that Ms. Michel planned to continue with the pregnancy, it was well within the standard of care for Dr. Mitchell to not meet again with the patient. In summary, in Dr. Sutter's opinion, Dr. Mitchell's care of Ms. Michel either met or exceeded the usual standard of care.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Conclusion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burden of establishing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rests upon the plaintiff. The overwhelming conclusion to be drawn from the evidence before me on this application is that Dr. Mitchell's care of Ms. Michel was unexceptionable. The plaintiff has not discharged the burden upon her to establish a cause of 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Dr. Mitchell's application to dismiss Ms. Michel's claim is allowed.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plaintiff's claim against Dr. Mitchell is dismissed with costs on scale 3.</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PRESTON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4" style="position:absolute;z-index:2518794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78" w:history="1">
        <w:r>
          <w:rPr>
            <w:rFonts w:ascii="arial" w:eastAsia="arial" w:hAnsi="arial" w:cs="arial"/>
            <w:b/>
            <w:bCs/>
            <w:i/>
            <w:color w:val="0077CC"/>
            <w:kern w:val="32"/>
            <w:sz w:val="28"/>
            <w:szCs w:val="32"/>
            <w:u w:val="single"/>
            <w:shd w:val="clear" w:color="auto" w:fill="FFFFFF"/>
            <w:lang w:val="en-US" w:eastAsia="en-US" w:bidi="ar-SA"/>
          </w:rPr>
          <w:t>AME Distribution Inc. v. Wang (c.o.b. Coastal Metal Depot), [2018] B.C.J. No. 491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C.L. Forth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13,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19,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S153988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491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426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AME Distribution Inc., Plaintiff, and Yuanji Wang, carrying on business as Coastal Metal Depot,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5" style="position:absolute;z-index:2516838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62" w:name="Keywords_23"/>
      <w:bookmarkEnd w:id="162"/>
      <w:r>
        <w:rPr>
          <w:rFonts w:ascii="arial" w:eastAsia="arial" w:hAnsi="arial" w:cs="arial"/>
          <w:b/>
          <w:color w:val="000000"/>
          <w:sz w:val="20"/>
          <w:lang w:val="en-US" w:eastAsia="en-US" w:bidi="ar-SA"/>
        </w:rPr>
        <w:t xml:space="preserve">Commercial law — Bailment — Duties of bailee — Duty of care — Application by plaintiff for summary trial on action for breach of contract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allowed — Plaintiff entered into verbal contract with defendant for defendant to upgrade six vacuum table machines — Terms of contract included that defendant would store machines until sold at which time it would receive partial payment — Following completion of work, defendant stored machines outside, exposed to elements, which caused damage — Defendant breached terms of contract by unilaterally attempting to change payment terms — Defendant was bailee for reward and breached duty of care by storing machines outside — Plaintiff entitled to damages of $38,710.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Contracts — Breach of contract — Application by plaintiff for summary trial on action for breach of contract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allowed — Plaintiff entered into verbal contract with defendant for defendant to upgrade six vacuum table machines — Terms of contract included that defendant would store machines until sold at which time it would receive partial payment — Following completion of work, defendant stored machines outside, exposed to elements, which caused damage — Defendant breached terms of contract by unilaterally attempting to change payment terms — Defendant was bailee for reward and breached duty of care by storing machines outside — Plaintiff entitled to damages of $38,710.</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Contracts — Remedies — Damages — Amount — Application by plaintiff for summary trial on action for breach of contract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allowed — Plaintiff entered into verbal contract with defendant for defendant to upgrade six vacuum table machines — Terms of contract included that defendant would store machines until sold at which time it would receive partial payment — Following completion of work, defendant stored machines outside, exposed to elements, which caused damage — Defendant breached terms of contract by unilaterally attempting to change payment terms — Defendant was bailee for reward and breached duty of care by storing machines outside — Plaintiff entitled to damages of $38,710.</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63" w:name="Case Summary_22"/>
            <w:bookmarkEnd w:id="16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for summary trial on its action for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 alleged that it entered into a verbal contract with the defendant for the defendant to do some upgrade work to six vacuum table machines. The plaintiff claimed the price for the work was $30,000. The plaintiff was to pay $10,000 upon delivery of the machines to the defendant and $5,000 upon the plaintiff selling each of four of the machines. The plaintiff paid the first invoice for $10,000. Six months after the plaintiff delivered the machines, the defendant completed the work. However, when the plaintiff inspected the machines it noted deficiencies. Thereafter, there was some disagreement about the terms of the contract regarding storage of the machines until they were sold. The defendant threatened to store the machines outside and later threatened to remove the work that was done to the machines unless payment was made. When the plaintiff attended the defendant, he found that the machines had been stored outside. The machines suffered damage from being exposed to the elements and the upgraded work at been removed. The machines were so damaged they were unsaleable. The plaintiff commenced a claim for damages for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It sought damages of $38,710. The defendant alleged that the contract was made with a different corporate entity, that the work was performed, that the plaintiff failed to pick up the machines and failed to pay the price for the work performed. It counterclaimed for $22,400 for the amount owing under the contract. The defendant took the position that the matter was not appropriate for a summary trial and that the summary trial should be delayed to permit cross-examination on affidavits.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64" w:name="Holdings of Court_18"/>
            <w:bookmarkEnd w:id="164"/>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claim was allowed and the counterclaim was dismissed. The matter was suitable for summary trial given the amount involved, the nature of the claim and the lack of material credibility issues. The defendant was the correct entity to sue. In its response and amended response, the defendant admitted that it was the entity that entered into the contract with the plaintiff. In addition, the invoice was issued in the name of Coastal Metal Depot, a sole proprietorship operated by the defendant. The defendant breached the terms of the contract by attempting to unilaterally change the terms, requiring the plaintiff to pay for all of the work prior to releasing the machines and prior to the plaintiff selling the four machines. As the defendant held the machines for the benefit of both parties in the performance of the contract, the defendant was a bailee for reward and was required to store the machines with due care and diligence. The defendant breached that standard by storing the machines outside, exposed to the elements. Based on this determination, the claim for occupier's liability could not be maintained. The plaintiff was entitled to damages of $38,710. As this was the cost to import the machines, plus the deposit, that amount was sufficient to put the plaintiff in the position it would have been had the contract been performed. The defendant was entitled to keep the machines.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65" w:name="Legislation Cited_18"/>
      <w:bookmarkEnd w:id="16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46" style="position:absolute;z-index:2517350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Occupiers Liability Act, </w:t>
      </w:r>
      <w:hyperlink r:id="rId579" w:history="1">
        <w:r>
          <w:rPr>
            <w:rFonts w:ascii="arial" w:eastAsia="arial" w:hAnsi="arial" w:cs="arial"/>
            <w:i/>
            <w:color w:val="0077CC"/>
            <w:sz w:val="20"/>
            <w:u w:val="single"/>
            <w:shd w:val="clear" w:color="auto" w:fill="FFFFFF"/>
            <w:lang w:val="en-US" w:eastAsia="en-US" w:bidi="ar-SA"/>
          </w:rPr>
          <w:t>R.S.B.C. 1996, c. 337, s. 9(d)</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1-3, Rule 7-7(5), Rule 7-7(5) (c), Rule 9-7(15)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66" w:name="Counsel_24"/>
      <w:bookmarkEnd w:id="16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7" style="position:absolute;z-index:251786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Vincent Y. Guo.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Simon Lin.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7" w:name="Judgment_24"/>
      <w:bookmarkEnd w:id="167"/>
      <w:r>
        <w:pict>
          <v:line id="_x0000_s1148" style="position:absolute;z-index:25183641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8" w:name="C.L. FORTH J."/>
            <w:bookmarkEnd w:id="168"/>
            <w:r>
              <w:rPr>
                <w:rFonts w:ascii="arial" w:eastAsia="arial" w:hAnsi="arial" w:cs="arial"/>
                <w:b/>
                <w:color w:val="000000"/>
                <w:sz w:val="30"/>
                <w:lang w:val="en-US" w:eastAsia="en-US" w:bidi="ar-SA"/>
              </w:rPr>
              <w:t>C.L. FORTH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AME Distribution Inc. ("AME"), claims that it entered into a verbal contract with the defendant, Yuanji Wang, carrying on business as Coastal Metal Depot, in or about April 2014 (the "Contract"). The Contract related to six vacuum table machines (the "Machines") and required the defendant to do some upgrade work to the Machines (the "Upgrade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This is a summary trial brought by the plaintiff for judgment for the sum of $38,710 for breach of contract,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a bailee or as an occupier under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alleges that the Contract was made with a different corporate entity, claims that the Upgrade Work was performed, that the plaintiff failed to pick up the Machines, and pay the final price for the Upgrade Work performed.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the counterclaim, the defendant seeks judgment for $22,400 for the plaintiff's breach of the Contract for failure to pay the defendant after the completion of the Upgrade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 takes the position that the matter is not appropriate for a summary trial on a number of grounds, and that the summary trial should be delayed to permit cross-examination on affidavits.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There is no trial date 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AME, is a company registered under the laws of British Columbia with a registered office at 1415 Purcell Drive, Coquitlam, British Columbia. It is in the business of supplying industrial machines.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Jen Der Lin was the manager of AME and acted as an agent for AME at all relevant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 Yuanji Wang, is alleged to carry on business as Coastal Metal Depot, a business operating as a sole proprietorship with its registered office at 2130 Hartley Avenue, Coquitlam,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Nam Myong (also known as Nam Wang) was an employee and agent of the defendant. He is Mr. Wang's 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 is alleged to operate a workshop at 9434 193A Street, Surrey, British Columbia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 claims it entered into the verbal Contract with the defendant to do the following Upgrade Work on the Machines:</w:t>
      </w:r>
      <w:r>
        <w:rPr>
          <w:rFonts w:ascii="arial" w:eastAsia="arial" w:hAnsi="arial" w:cs="arial"/>
          <w:sz w:val="20"/>
          <w:lang w:val="en-US" w:eastAsia="en-US" w:bidi="ar-SA"/>
        </w:rPr>
        <w:cr/>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remove the original mechanical arm system and install a new mechanical arm system on each Machine;</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upgrade the internal vacuum system on each Machine;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install a grounding cable on each Machine.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claims that the Upgrade Work on the six Machines was to be performed on the Premises for a payment of $30,000 plus tax on the following terms:</w:t>
      </w:r>
      <w:r>
        <w:rPr>
          <w:rFonts w:ascii="arial" w:eastAsia="arial" w:hAnsi="arial" w:cs="arial"/>
          <w:sz w:val="20"/>
          <w:lang w:val="en-US" w:eastAsia="en-US" w:bidi="ar-SA"/>
        </w:rPr>
        <w:cr/>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$10,000 plus tax upon the delivery of the Machines to the defendant's Premises, entitling the plaintiff to pick up two updated Machines from the defendant; and</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$5,000 plus tax upon the plaintiff selling each of the third through sixth upgraded Machines to the plaintiff's customers, at which point the plaintiff would be entitled to pick up the Machines from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April 2014, the defendant picked up the six Machines from the plaintiff's rented storage facility and delivered them to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April 22, 2014, Coastal Metal Depot issued an invoice for the sum of $10,000 plus tax in accordance with the terms of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Lin deposes that AME paid the invoice in May 2014. Mr. Myong deposes that the invoice was paid in June 2014. It suffices to say that it was paid between May and June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November 2014, Mr. Lin received a call from Mr. Myong, advising that the Upgrade Work was complete and requesting payment of $20,000 for the remaining four Machines.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November 24, 2014, Mr. Myong emailed Mr. Lin confirming that:</w:t>
      </w:r>
      <w:r>
        <w:rPr>
          <w:rFonts w:ascii="arial" w:eastAsia="arial" w:hAnsi="arial" w:cs="arial"/>
          <w:sz w:val="20"/>
          <w:lang w:val="en-US" w:eastAsia="en-US" w:bidi="ar-SA"/>
        </w:rPr>
        <w:cr/>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Your (Six) Vacuum tables, once you are satisfied with them, please set a deadline to move them out as well. I will accommodate storing it in my shop for the time being, but I need deadlines so that I don't store them indefinitely at no charge.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Vaccum table retrofit was estimated to be $5,000.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$10,000 has already been paid from AME in advance, for (Two) Vaccum tables, which you can take at any point.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propose that you pay for the remaining (Four) Vacuum tables, at a cost of $20,000 and take them. If you think otherwise, please let me know what you suggest.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December 8, 2014, Mr. Lin responded, noting that it had been six months since the $10,000 had been paid and requesting a time to come and inspect the Machines.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Lin inspected the six Machines in December 2014 and noted the following deficiencies:</w:t>
      </w:r>
      <w:r>
        <w:rPr>
          <w:rFonts w:ascii="arial" w:eastAsia="arial" w:hAnsi="arial" w:cs="arial"/>
          <w:sz w:val="20"/>
          <w:lang w:val="en-US" w:eastAsia="en-US" w:bidi="ar-SA"/>
        </w:rPr>
        <w:cr/>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vacuum valves did not close completely;</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leakages in the vacuum filter boxes and along the edges of the vacuum areas, causing a loss or significant diminishment of the vacuum function;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grounding cables were missing;</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mechanical arms did not move freely across the vacuum table surfaces; and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warning signs needed to be added to the brush protective lids.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(collectively, the "Deficiencies")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December 15, 2014, Mr. Lin emailed Mr. Myong and advised of the Deficiencies.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Later on December 15, 2014, Mr. Myong advised that all leaks had been closed on the Machines. He requested that Mr. Lin come and see the Machines to advise what else needed to be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Lin understood that the Premises were closed for business from December 19, 2014 until January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January 23, 2015, Mr. Myong advised that the six Machines were completed "last year", that he was running out of room at the shop, and that he may have to move them outside the following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Later on January 23, 2015, Mr. Lin responded, requesting to attend at the Premises on January 29, 2015, so that he could check the six Machines. He advised that between August and October 2014 he had four inquires for the Machines but he had not had any inquires in the last two months. He reiterated that the arrangement was for the plaintiff to "pay $5,000 each from the 3rd one if we take. That means you will keep machines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January 29, 2015, Mr. Lin attended at the Premises and inspected the Machines. The only remaining Deficiencies were missing grounding cables and hazard stickers.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On February 4, 2015, Mr. Myong confirmed that the only missing Deficiencies were the hazard stickers and grounding cables and that these were to be dealt with. However, he disputed that the defendant ever agreed to store the Machines.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February 5, 2015, Mr. Lin emailed Mr. Myong and reminded him that Mr. Wang had agreed that for the third Machine and "the followings", payment would only be needed when they were sold.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February 18, 2015, Mr. Myong confirmed that the Upgrade Work was complete on the Machines and that the plaintiff could pick up two of the Machines immediately and the other four Machines upon the payment of $5,000 each. Mr. Myong warned that he would be placing the Machines outside for storage by the end of February.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 February 19, 2015, Mr. Lin sought clarification on whether the defendant wanted all six units moved or only two units. He further confirmed that the $5,000 per Machine would only be paid after each of the units were sold.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Later on February 19, 2015, Mr. Myong advised that he was not prepared to release all the Machines until payment was made. He threatened to remove the work that was done on the six Machines unless full payment was made. He further threatened to leave the Machines outside for pick up on the public road. He advised that the Machines would be left outside on February 23. He threatened to remove all the work performed on the Machines, and stated that he would sell the arms and other parts to the plaintiff for $5,000, but after the plaintiff had made its sales.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February 28, 2015, Mr. Lin attended at the Premises. He deposes that the Machines were not outside, in the workshop, or on the public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April 6, 2015, Mr. Lin was advised by Mr. Wang that the Machines had been placed in the yard. Mr. Lin attended at the Premises and discovered the Machines had been placed outside in the yard exposed to the elements, and had suffered damage including rust and water damage. In addition, the upgraded mechanical arms had been removed from the Machines, and the original mechanical arms had not been replaced.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 claims that the Machines were so extensively damaged that they were unsaleable and of no value, except as scrap metal.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Machines have been kept by the defendant, who claims that they are still in full working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issues raised by the pleadings, evidence and submissions are:</w:t>
      </w:r>
      <w:r>
        <w:rPr>
          <w:rFonts w:ascii="arial" w:eastAsia="arial" w:hAnsi="arial" w:cs="arial"/>
          <w:sz w:val="20"/>
          <w:lang w:val="en-US" w:eastAsia="en-US" w:bidi="ar-SA"/>
        </w:rPr>
        <w:cr/>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matter suitable for resolution by a summary trial?</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correct legal entity been sued?</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were the terms of the Contract?</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there a breach of the Contract?</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defendant a bailee, and if so, what is the nature of the bailment?</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the claim subject to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damages has the plaintiff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Threshold Issue of Suitability for Summary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claims that the factual issues are not complex and that the only two issues are the terms of the Contract respecting the storage of the Machines and the scope of the work completed.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terms of storage provide for only two possibilities: either, (1) the plaintiff did not have to pay for Machines three to six until it sold them, but the defendant had to release the Machines to the plaintiff without receiving payment; or (2) the defendant had to keep the Machines on its Premises until the plaintiff sold them, and then the Machines would be picked up and the payment would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plaintiff's position is that the defendant breached the Contract regardless of the interpretation.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 contends that the scope of the work to be completed is clear, and the only issue is when the work was completed. This does not warrant a full trial or a cross-examination on the affidavit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Furthermore, the plaintiff asserts that it would be further prejudiced if this matter is not determined by way of a summary trial, and that the amount at issue is such that a summary trial is the appropriate process.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defendant submits that the court cannot find the necessary facts to decide the legal and/or factual issues, and that it would be unjust to determine the issues at a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defendant asserts that oral testimony is required to determine the oral terms of the Contract and to assess the credibility of Mr. Lin.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Rule 9-7(15)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authorizes the court to grant judgment in favor of a party on the hearing of a summary trial application unless "the court is unable, on the whole of the evidence before the court on the application, to find the facts necessary to decide the issues of fact or law, or the court is of the opinion it would be unjust to decide the issues on the application." The decision as to the suitability of a summary trial is discretionary.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This Rule distills to a consideration of two critical factors:</w:t>
      </w:r>
      <w:r>
        <w:rPr>
          <w:rFonts w:ascii="arial" w:eastAsia="arial" w:hAnsi="arial" w:cs="arial"/>
          <w:sz w:val="20"/>
          <w:lang w:val="en-US" w:eastAsia="en-US" w:bidi="ar-SA"/>
        </w:rPr>
        <w:cr/>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there sufficient facts before the Court in which to make the necessary findings of facts or law?</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it unjust to decide the case on a summary trial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concept of proportionality is codified in Rule 1-3, which states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Object</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object of these Supreme Court Civil Rules is to secure the just, speedy and inexpensive determination of every proceeding on its merits.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Proportionality</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Securing the just, speedy and inexpensive determination of a proceeding on its merits includes, so far as is practicable, conducting the proceeding in ways that are proportionate to</w:t>
      </w:r>
    </w:p>
    <w:p>
      <w:pPr>
        <w:numPr>
          <w:numId w:val="2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involved in the proceeding,</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importance of the issues in dispute, and</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complexity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importance of the summary trial process is best captured in the comments of Karakatsanis J., in the opening paragraphs of </w:t>
      </w:r>
      <w:r>
        <w:rPr>
          <w:rFonts w:ascii="arial" w:eastAsia="arial" w:hAnsi="arial" w:cs="arial"/>
          <w:i/>
          <w:color w:val="000000"/>
          <w:sz w:val="20"/>
          <w:lang w:val="en-US" w:eastAsia="en-US" w:bidi="ar-SA"/>
        </w:rPr>
        <w:t>Hryniak v. Mauldin</w:t>
      </w:r>
      <w:r>
        <w:rPr>
          <w:rFonts w:ascii="arial" w:eastAsia="arial" w:hAnsi="arial" w:cs="arial"/>
          <w:color w:val="000000"/>
          <w:sz w:val="20"/>
          <w:lang w:val="en-US" w:eastAsia="en-US" w:bidi="ar-SA"/>
        </w:rPr>
        <w:t xml:space="preserve">, </w:t>
      </w:r>
      <w:hyperlink r:id="rId195" w:history="1">
        <w:r>
          <w:rPr>
            <w:rFonts w:ascii="arial" w:eastAsia="arial" w:hAnsi="arial" w:cs="arial"/>
            <w:i/>
            <w:color w:val="0077CC"/>
            <w:sz w:val="20"/>
            <w:u w:val="single"/>
            <w:shd w:val="clear" w:color="auto" w:fill="FFFFFF"/>
            <w:lang w:val="en-US" w:eastAsia="en-US" w:bidi="ar-SA"/>
          </w:rPr>
          <w:t>2014 SCC 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Mauldin</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Ensuring access to justice is the greatest challenge to the rule of law in Canada today. Trials have become increasingly expensive and protracted. Most Canadians cannot afford to sue when they are wronged or defend themselves when they are sued, and cannot afford to go to trial. Without an effective and accessible means of enforcing rights, the rule of law is threatened. Without public adjudication of civil cases, the development of the common law is stunted.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Increasingly, there is recognition that a culture shift is required in order to create an environment promoting timely and affordable access to the civil justice system. This shift entails simplifying pre-trial procedures and moving the emphasis away from the conventional trial in favour of proportional procedures tailored to the needs of the particular case. The balance between procedure and access struck by our justice system must come to reflect modern reality and recognize that new models of adjudication can be fair and just.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Summary judgment motions provide one such opportunity.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question to be asked is whether the expense and delay of a full trial is required to obtain a just result after a fair process. In considering this question, the factors mentioned in the oft-cited case </w:t>
      </w:r>
      <w:r>
        <w:rPr>
          <w:rFonts w:ascii="arial" w:eastAsia="arial" w:hAnsi="arial" w:cs="arial"/>
          <w:i/>
          <w:color w:val="000000"/>
          <w:sz w:val="20"/>
          <w:lang w:val="en-US" w:eastAsia="en-US" w:bidi="ar-SA"/>
        </w:rPr>
        <w:t>Inspiration Mgmt. Ltd. v. McDermid St. Lawrence Ltd</w:t>
      </w:r>
      <w:r>
        <w:rPr>
          <w:rFonts w:ascii="arial" w:eastAsia="arial" w:hAnsi="arial" w:cs="arial"/>
          <w:color w:val="000000"/>
          <w:sz w:val="20"/>
          <w:lang w:val="en-US" w:eastAsia="en-US" w:bidi="ar-SA"/>
        </w:rPr>
        <w:t xml:space="preserve">. </w:t>
      </w:r>
      <w:hyperlink r:id="rId190"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 cited in </w:t>
      </w:r>
      <w:r>
        <w:rPr>
          <w:rFonts w:ascii="arial" w:eastAsia="arial" w:hAnsi="arial" w:cs="arial"/>
          <w:i/>
          <w:color w:val="000000"/>
          <w:sz w:val="20"/>
          <w:lang w:val="en-US" w:eastAsia="en-US" w:bidi="ar-SA"/>
        </w:rPr>
        <w:t>Davies v. Canada Shineray Suppliers Group Inc.</w:t>
      </w:r>
      <w:r>
        <w:rPr>
          <w:rFonts w:ascii="arial" w:eastAsia="arial" w:hAnsi="arial" w:cs="arial"/>
          <w:color w:val="000000"/>
          <w:sz w:val="20"/>
          <w:lang w:val="en-US" w:eastAsia="en-US" w:bidi="ar-SA"/>
        </w:rPr>
        <w:t xml:space="preserve">, </w:t>
      </w:r>
      <w:hyperlink r:id="rId580" w:history="1">
        <w:r>
          <w:rPr>
            <w:rFonts w:ascii="arial" w:eastAsia="arial" w:hAnsi="arial" w:cs="arial"/>
            <w:i/>
            <w:color w:val="0077CC"/>
            <w:sz w:val="20"/>
            <w:u w:val="single"/>
            <w:shd w:val="clear" w:color="auto" w:fill="FFFFFF"/>
            <w:lang w:val="en-US" w:eastAsia="en-US" w:bidi="ar-SA"/>
          </w:rPr>
          <w:t>2016 BCSC 1853</w:t>
        </w:r>
      </w:hyperlink>
      <w:r>
        <w:rPr>
          <w:rFonts w:ascii="arial" w:eastAsia="arial" w:hAnsi="arial" w:cs="arial"/>
          <w:color w:val="000000"/>
          <w:sz w:val="20"/>
          <w:lang w:val="en-US" w:eastAsia="en-US" w:bidi="ar-SA"/>
        </w:rPr>
        <w:t xml:space="preserve"> at para. 32, should be considered: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w:t>
      </w:r>
      <w:r>
        <w:rPr>
          <w:rFonts w:ascii="arial" w:eastAsia="arial" w:hAnsi="arial" w:cs="arial"/>
          <w:i/>
          <w:color w:val="000000"/>
          <w:sz w:val="20"/>
          <w:lang w:val="en-US" w:eastAsia="en-US" w:bidi="ar-SA"/>
        </w:rPr>
        <w:t>Inspiration Mgmt. Ltd. v. McDermid St. Lawrence Ltd</w:t>
      </w:r>
      <w:r>
        <w:rPr>
          <w:rFonts w:ascii="arial" w:eastAsia="arial" w:hAnsi="arial" w:cs="arial"/>
          <w:color w:val="000000"/>
          <w:sz w:val="20"/>
          <w:lang w:val="en-US" w:eastAsia="en-US" w:bidi="ar-SA"/>
        </w:rPr>
        <w:t xml:space="preserve">. </w:t>
      </w:r>
      <w:hyperlink r:id="rId190"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(C.A.) remains the leading authority on the principles to be applied in deciding the issue of suitability for summary trial. Chief Justice McEachern, writing for the Court of Appeal, identified some of the factors the court may consider in determining whether it would be unjust to give judgment, including the amount involved, the complexity and urgency of the matter, any prejudice likely to arise by reason of delay, the cost of taking the case forward to conventional trial, and the course of the proceedings to date. Other factors include whether the summary trial would take considerable time, whether credibility is a critical factor and has cross examination occurred, and whether the summary trial may create unnecessary complexity in the resolution of the dispute or "result in litigating in slices": </w:t>
      </w:r>
      <w:r>
        <w:rPr>
          <w:rFonts w:ascii="arial" w:eastAsia="arial" w:hAnsi="arial" w:cs="arial"/>
          <w:i/>
          <w:color w:val="000000"/>
          <w:sz w:val="20"/>
          <w:lang w:val="en-US" w:eastAsia="en-US" w:bidi="ar-SA"/>
        </w:rPr>
        <w:t>Dahl et al. v. Royal Bank of Canada et al.</w:t>
      </w:r>
      <w:r>
        <w:rPr>
          <w:rFonts w:ascii="arial" w:eastAsia="arial" w:hAnsi="arial" w:cs="arial"/>
          <w:color w:val="000000"/>
          <w:sz w:val="20"/>
          <w:lang w:val="en-US" w:eastAsia="en-US" w:bidi="ar-SA"/>
        </w:rPr>
        <w:t xml:space="preserve">, </w:t>
      </w:r>
      <w:hyperlink r:id="rId191" w:history="1">
        <w:r>
          <w:rPr>
            <w:rFonts w:ascii="arial" w:eastAsia="arial" w:hAnsi="arial" w:cs="arial"/>
            <w:i/>
            <w:color w:val="0077CC"/>
            <w:sz w:val="20"/>
            <w:u w:val="single"/>
            <w:shd w:val="clear" w:color="auto" w:fill="FFFFFF"/>
            <w:lang w:val="en-US" w:eastAsia="en-US" w:bidi="ar-SA"/>
          </w:rPr>
          <w:t>2005 BCSC 1263</w:t>
        </w:r>
      </w:hyperlink>
      <w:r>
        <w:rPr>
          <w:rFonts w:ascii="arial" w:eastAsia="arial" w:hAnsi="arial" w:cs="arial"/>
          <w:color w:val="000000"/>
          <w:sz w:val="20"/>
          <w:lang w:val="en-US" w:eastAsia="en-US" w:bidi="ar-SA"/>
        </w:rPr>
        <w:t xml:space="preserve"> at para. 12, aff'd </w:t>
      </w:r>
      <w:hyperlink r:id="rId192" w:history="1">
        <w:r>
          <w:rPr>
            <w:rFonts w:ascii="arial" w:eastAsia="arial" w:hAnsi="arial" w:cs="arial"/>
            <w:i/>
            <w:color w:val="0077CC"/>
            <w:sz w:val="20"/>
            <w:u w:val="single"/>
            <w:shd w:val="clear" w:color="auto" w:fill="FFFFFF"/>
            <w:lang w:val="en-US" w:eastAsia="en-US" w:bidi="ar-SA"/>
          </w:rPr>
          <w:t>2006 BCCA 369</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my view, this case is suitable for a summary trial disposition. The following factors support this finding:</w:t>
      </w:r>
      <w:r>
        <w:rPr>
          <w:rFonts w:ascii="arial" w:eastAsia="arial" w:hAnsi="arial" w:cs="arial"/>
          <w:sz w:val="20"/>
          <w:lang w:val="en-US" w:eastAsia="en-US" w:bidi="ar-SA"/>
        </w:rPr>
        <w:cr/>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at issue is just above the Small Claims Court's jurisdiction, and the procedure of a summary trial process is one that fits the nature of this claim.</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matter is not complex and has been outstanding since May of 2015. If a trial is now scheduled, it would likely be over a year away. Litigants are entitled to prompt judicial resolutions. There is some urgency to having the matter resolved, as the Machines are still being kept by the defendant at their Premises.</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 of taking the matter forward to a conventional trial is out of proportion to the amount of the claim. The use of sworn affidavit evidence and submissions of counsel are legitimate means of arriving at a just result.</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summary trial was argued in less than a day.</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some credibility factors but none that are critical to the findings to be made.</w:t>
      </w:r>
    </w:p>
    <w:p>
      <w:pPr>
        <w:numPr>
          <w:numId w:val="3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little that would be gained in permitting cross-examination of the affiants.</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summary trial will resolve the issues between the parties, and as such, the concern of "litigating in slices" does not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conclude that there is sufficient evidence before me to find that this is an appropriate case to make a determination by way of a summary trial process and it would be just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Correct Legal Entity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defendant took the position at the summary trial that the plaintiff had sued the wrong entity, submitting that the plaintiff entered into the Contract with Mogil Modular Structures Corp. (now renamed Mogil Holdings Ltd.) ("Mogil").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It asserts that the defendant, Mr. Wang, is a retired businessperson, whose son, Mr. Myong, manages the day-to-day business of Mogil.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It was Mogil that at all material times operated out of the Premises and held a business licence, which was displayed on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defendant was acting as an agent for Mogil in entering into the Contract.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defendant admitted as true, in the response to civil claim filed June 11, 2015, the following paragraphs of the notice of civil claim filed May 14, 2015: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The Defendant, YUANJI WANG, carrying on business as COASTAL METAL DEPOT, is a company operating as a sole proprietorship with its registered office at 2130 Hartley Avenue, Coquitlam, British Columbia.</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 The Defendant operates a workshop located at 9434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193A Street, Surrey, British Columbia (the "Premises")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In or about April 2014, the Plaintiff entered into an oral agreement (the "Agreement") with the Defendant in relation to six vacuum table machines belonging to the Plaintiff (the "Machines").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An amended notice of civil claim was filed on September 26, 2016, and the amended response to civil claim filed October 13, 2016 made the same admissions.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There was no issue raised in the response or in the amended response that the defendant was incorrectly identified.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counterclaim filed June 11, 2015 repeated the statement of facts contained in paras. 1 to 20 of Part 1, Divisions 2 and 3 of the response to civil claim, which includes the admissions made at paras. 3, 4 and 5 of the notice of civil claim. In the counterclaim, the defendant further set out the legal basis of its claim as:</w:t>
      </w:r>
      <w:r>
        <w:rPr>
          <w:rFonts w:ascii="arial" w:eastAsia="arial" w:hAnsi="arial" w:cs="arial"/>
          <w:sz w:val="20"/>
          <w:lang w:val="en-US" w:eastAsia="en-US" w:bidi="ar-SA"/>
        </w:rPr>
        <w:cr/>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Coastal Metal's claim against AME is for breach of contract. Coastal Metal and AME entered into the Agreement whereby Coastal Metal agreed to carry out the Upgrade Work and AME agreed to pay Coastal Metal for the same. Coastal Metal completed the Upgrade Work but AME failed to pay Coastal Metal.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There has been no application made by the defendant to withdraw the admissions made in the response and amended response, in accordance with Rule 7-7(5)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Furthermore, there has been no amended counterclaim filed to amend the claim made by Coastal Metal Depot against 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plaintiff takes the position that it is entitled to rely upon the admissions made by the defendant in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 statement of registration of sole proprietorship from the BC Registry Services confirms that Mr. Wang has, since April 7, 2010, registered as a business name Coastal Metal Depot, operating as a sole proprietorship. The plaintiff further points out that the invoice dated April 22, 2015, for the Upgrade Work for two of the Machines, was rendered by the defendant under the name of Coastal Metal Depot.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object and function of pleadings were well summarized by Voith J. in </w:t>
      </w:r>
      <w:r>
        <w:rPr>
          <w:rFonts w:ascii="arial" w:eastAsia="arial" w:hAnsi="arial" w:cs="arial"/>
          <w:i/>
          <w:color w:val="000000"/>
          <w:sz w:val="20"/>
          <w:lang w:val="en-US" w:eastAsia="en-US" w:bidi="ar-SA"/>
        </w:rPr>
        <w:t>Sahyoun v. Ho</w:t>
      </w:r>
      <w:r>
        <w:rPr>
          <w:rFonts w:ascii="arial" w:eastAsia="arial" w:hAnsi="arial" w:cs="arial"/>
          <w:color w:val="000000"/>
          <w:sz w:val="20"/>
          <w:lang w:val="en-US" w:eastAsia="en-US" w:bidi="ar-SA"/>
        </w:rPr>
        <w:t xml:space="preserve">, </w:t>
      </w:r>
      <w:hyperlink r:id="rId581" w:history="1">
        <w:r>
          <w:rPr>
            <w:rFonts w:ascii="arial" w:eastAsia="arial" w:hAnsi="arial" w:cs="arial"/>
            <w:i/>
            <w:color w:val="0077CC"/>
            <w:sz w:val="20"/>
            <w:u w:val="single"/>
            <w:shd w:val="clear" w:color="auto" w:fill="FFFFFF"/>
            <w:lang w:val="en-US" w:eastAsia="en-US" w:bidi="ar-SA"/>
          </w:rPr>
          <w:t>2013 BCSC 1143</w:t>
        </w:r>
      </w:hyperlink>
      <w:r>
        <w:rPr>
          <w:rFonts w:ascii="arial" w:eastAsia="arial" w:hAnsi="arial" w:cs="arial"/>
          <w:color w:val="000000"/>
          <w:sz w:val="20"/>
          <w:lang w:val="en-US" w:eastAsia="en-US" w:bidi="ar-SA"/>
        </w:rPr>
        <w:t xml:space="preserve"> at paras. 16-20 [</w:t>
      </w:r>
      <w:r>
        <w:rPr>
          <w:rFonts w:ascii="arial" w:eastAsia="arial" w:hAnsi="arial" w:cs="arial"/>
          <w:i/>
          <w:color w:val="000000"/>
          <w:sz w:val="20"/>
          <w:lang w:val="en-US" w:eastAsia="en-US" w:bidi="ar-SA"/>
        </w:rPr>
        <w:t>Sahyoun</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The new Rules alter the structure in which pleadings are to be prepared. The core object of a notice of civil claim, however, remains the same. That object is concisely captured in Frederick M. Irvine, ed., </w:t>
      </w:r>
      <w:r>
        <w:rPr>
          <w:rFonts w:ascii="arial" w:eastAsia="arial" w:hAnsi="arial" w:cs="arial"/>
          <w:i/>
          <w:color w:val="000000"/>
          <w:sz w:val="20"/>
          <w:lang w:val="en-US" w:eastAsia="en-US" w:bidi="ar-SA"/>
        </w:rPr>
        <w:t>McLachlin and Taylor, British Columbia Practice</w:t>
      </w:r>
      <w:r>
        <w:rPr>
          <w:rFonts w:ascii="arial" w:eastAsia="arial" w:hAnsi="arial" w:cs="arial"/>
          <w:color w:val="000000"/>
          <w:sz w:val="20"/>
          <w:lang w:val="en-US" w:eastAsia="en-US" w:bidi="ar-SA"/>
        </w:rPr>
        <w:t>, 3rd ed., vol. 1 (Markham, Ont.: LexisNexis Canada Inc., 2006) at 3-4 - 3-4.1: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 statement of claim (or, under the current Rules, a notice of civil claim) is to serve the ultimate function of pleadings, namely, the clear definition of the issues of fact and law to be determined by the court, the material facts of each cause of action relied upon should be stated with certainty and precision, and in their natural order, so as to disclose the three elements essential to every cause of action, namely, the plaintiff's right or title; the defendant's wrongful act violating that right or title; and the consequent damage, whether nominal or substantial. The material facts should be stated succinctly and the particulars should follow and should be identified as such...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These requirements serve two foundational purposes: efficiency and fairness. These purposes align with Rule 1-3 which confirms that "the object of [the] Supreme Court Rules is to secure the just, speedy and inexpensive determination of every proceeding on its merits."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I emphasize efficiency because a proper notice of civil claim enables a defendant to identify the claim he or she must address and meet. The response filed by a defendant, together with the notice of civil claim and further particulars, if any, will confine the ambit of examinations for discovery and of the issues addressed at the trial itself. Proper pleadings limit the prospect of delay or adjournments. They allow parties to focus their resources on those matters that are of import and to ignore those that are not. They facilitate effective case management and the role of the trier of fact.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A proper notice of civil claim also advances the fairness of pre-trial processes and of the trial. Defendants should not be required to divine the claim(s) being made against them. They should not have to guess what it is they are alleged to have done.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In </w:t>
      </w:r>
      <w:r>
        <w:rPr>
          <w:rFonts w:ascii="arial" w:eastAsia="arial" w:hAnsi="arial" w:cs="arial"/>
          <w:i/>
          <w:color w:val="000000"/>
          <w:sz w:val="20"/>
          <w:lang w:val="en-US" w:eastAsia="en-US" w:bidi="ar-SA"/>
        </w:rPr>
        <w:t>Keene v. British Columbia (Ministry of Children and Family Development)</w:t>
      </w:r>
      <w:r>
        <w:rPr>
          <w:rFonts w:ascii="arial" w:eastAsia="arial" w:hAnsi="arial" w:cs="arial"/>
          <w:color w:val="000000"/>
          <w:sz w:val="20"/>
          <w:lang w:val="en-US" w:eastAsia="en-US" w:bidi="ar-SA"/>
        </w:rPr>
        <w:t xml:space="preserve">, </w:t>
      </w:r>
      <w:hyperlink r:id="rId582" w:history="1">
        <w:r>
          <w:rPr>
            <w:rFonts w:ascii="arial" w:eastAsia="arial" w:hAnsi="arial" w:cs="arial"/>
            <w:i/>
            <w:color w:val="0077CC"/>
            <w:sz w:val="20"/>
            <w:u w:val="single"/>
            <w:shd w:val="clear" w:color="auto" w:fill="FFFFFF"/>
            <w:lang w:val="en-US" w:eastAsia="en-US" w:bidi="ar-SA"/>
          </w:rPr>
          <w:t>2003 BCSC 1544</w:t>
        </w:r>
      </w:hyperlink>
      <w:r>
        <w:rPr>
          <w:rFonts w:ascii="arial" w:eastAsia="arial" w:hAnsi="arial" w:cs="arial"/>
          <w:color w:val="000000"/>
          <w:sz w:val="20"/>
          <w:lang w:val="en-US" w:eastAsia="en-US" w:bidi="ar-SA"/>
        </w:rPr>
        <w:t xml:space="preserve">, </w:t>
      </w:r>
      <w:hyperlink r:id="rId582" w:history="1">
        <w:r>
          <w:rPr>
            <w:rFonts w:ascii="arial" w:eastAsia="arial" w:hAnsi="arial" w:cs="arial"/>
            <w:i/>
            <w:color w:val="0077CC"/>
            <w:sz w:val="20"/>
            <w:u w:val="single"/>
            <w:shd w:val="clear" w:color="auto" w:fill="FFFFFF"/>
            <w:lang w:val="en-US" w:eastAsia="en-US" w:bidi="ar-SA"/>
          </w:rPr>
          <w:t>20 B.C.L.R. (4th) 170</w:t>
        </w:r>
      </w:hyperlink>
      <w:r>
        <w:rPr>
          <w:rFonts w:ascii="arial" w:eastAsia="arial" w:hAnsi="arial" w:cs="arial"/>
          <w:color w:val="000000"/>
          <w:sz w:val="20"/>
          <w:lang w:val="en-US" w:eastAsia="en-US" w:bidi="ar-SA"/>
        </w:rPr>
        <w:t>, Justice Parrett confirmed that the essential purpose of pleadings is to define the issues, giving the opposing parties notice of the case they have to meet and to provide the "boundaries and the context for effective pre-trial case management, the extent of disclosure required, as well as the parameters or necessity of expert opinions"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Rule 7-7(5)(c) provides that:</w:t>
      </w:r>
      <w:r>
        <w:rPr>
          <w:rFonts w:ascii="arial" w:eastAsia="arial" w:hAnsi="arial" w:cs="arial"/>
          <w:sz w:val="20"/>
          <w:lang w:val="en-US" w:eastAsia="en-US" w:bidi="ar-SA"/>
        </w:rPr>
        <w:cr/>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is not entitled to withdraw</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admission made in a pleading, petition or response to petition except by consent or with leave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Goundar v. Nguyen</w:t>
      </w:r>
      <w:r>
        <w:rPr>
          <w:rFonts w:ascii="arial" w:eastAsia="arial" w:hAnsi="arial" w:cs="arial"/>
          <w:color w:val="000000"/>
          <w:sz w:val="20"/>
          <w:lang w:val="en-US" w:eastAsia="en-US" w:bidi="ar-SA"/>
        </w:rPr>
        <w:t xml:space="preserve">, </w:t>
      </w:r>
      <w:hyperlink r:id="rId583" w:history="1">
        <w:r>
          <w:rPr>
            <w:rFonts w:ascii="arial" w:eastAsia="arial" w:hAnsi="arial" w:cs="arial"/>
            <w:i/>
            <w:color w:val="0077CC"/>
            <w:sz w:val="20"/>
            <w:u w:val="single"/>
            <w:shd w:val="clear" w:color="auto" w:fill="FFFFFF"/>
            <w:lang w:val="en-US" w:eastAsia="en-US" w:bidi="ar-SA"/>
          </w:rPr>
          <w:t>2013 BCCA 251</w:t>
        </w:r>
      </w:hyperlink>
      <w:r>
        <w:rPr>
          <w:rFonts w:ascii="arial" w:eastAsia="arial" w:hAnsi="arial" w:cs="arial"/>
          <w:color w:val="000000"/>
          <w:sz w:val="20"/>
          <w:lang w:val="en-US" w:eastAsia="en-US" w:bidi="ar-SA"/>
        </w:rPr>
        <w:t xml:space="preserve"> at paras. 21 and 28, Harris, J.A. discussed Rule 7-7(5):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 The rule is of general application and there are no stated exceptions to, or limitations on, its application to these circumstances. The rule is one of the legal rules that govern the conduct of civil actions in the province to promote the object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It is a part of the general law applicable to the conduct of actions and is part of the legal framework within which admissions may be made and, in the appropriate circumstances, withdrawn. The application was to withdraw an admission brought under and governed by the rule. I do not think that the fact that the genesis of the admission made in the pleading was an agreement limits the application of the rule permitting admissions in pleadings to be withdrawn.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Allowing the withdrawal of an admission is a discretionary matter ...</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defendant has not sought to withdraw the admissions made in the response and amended response. As mentioned, the defendant admitted that it was the entity that entered into the Contract with the plaintiff. Moreover, the invoice issued was in the name of Coastal Metal Depot, which is a sole proprietorship operated by Mr. Wang. The argument of the defendant that the correct entity has not been sued has no merit in light of the admissions made in the pleadings and the evidence of the invoice.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Terms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terms of the Contract for the scope of the Upgrade Work and for the fee schedule is agreed between the parties. The scope of the Upgrade Work included among other things, "[g]eneral upgrades to the machines to conform to Canadian safety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With respect to the terms of payment, of significance is the affidavit of Mr. Myong, in which he deposes at paras. 16 and 20 that:</w:t>
      </w:r>
      <w:r>
        <w:rPr>
          <w:rFonts w:ascii="arial" w:eastAsia="arial" w:hAnsi="arial" w:cs="arial"/>
          <w:sz w:val="20"/>
          <w:lang w:val="en-US" w:eastAsia="en-US" w:bidi="ar-SA"/>
        </w:rPr>
        <w:cr/>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payment for AME's work order was that the upgrade work would be charged at $5,000 per machine for six machines. The fees for the first two machines would be paid up front and Mogil would extend credit for the fees for the remaining machines, which would be paid to Mogil once AME sells each of the four machines.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arrangement with AME was the machines would be picked-up from Mogil's premises once they complete a satisfactory inspection of the machines.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accept that this evidence accurately represents the payment terms of the Contract. It does not appear that the parties discussed the issue of storage costs if the Machines were not picked up on a timely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evidence supports that the Upgrade Work was not completed until February 4 to 18, 2015. Mr. Myong deposes that "[p]rior to the conversation on November 25, 2014, the upgrade work for all six machines were already completed", and that "Mr. Lin visited our premises again on or about January 29, 2015 and confirmed that the machines were satisfactory". These statements are inconsistent with email correspondence submitted into evidence. I note the following:</w:t>
      </w:r>
      <w:r>
        <w:rPr>
          <w:rFonts w:ascii="arial" w:eastAsia="arial" w:hAnsi="arial" w:cs="arial"/>
          <w:sz w:val="20"/>
          <w:lang w:val="en-US" w:eastAsia="en-US" w:bidi="ar-SA"/>
        </w:rPr>
        <w:cr/>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email dated December 15, 2014, Mr. Lin wrote in part that, "[h]ope you could improve the leakages, and add the warning sign on the brush protective lid and the ground cable per the inspector's request last time".</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email dated February 4, 2015, Mr. Myong wrote that, "I understand that a hazard sticker, and grounding cable is the only deficiency you came across--which will be taken care of".</w:t>
      </w:r>
    </w:p>
    <w:p>
      <w:pPr>
        <w:numPr>
          <w:numId w:val="4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email dated February 18, 2015, Mr. Myong wrote that, "I wish you would pick up your 2 units, and handle the rest of the 4 units--they are all complete with no deficiency."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give weight to the email history, as it is contemporaneous and also consistent with the affidavit of Mr. Lin, in which he deposes that he inspected the Machines on January 29, 2015, and that "there were still some remaining Deficiencies with the Machines, including missing grounding cable attachments and hazard stickers, which are necessary to conform to safety regulations".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Unfortunately by February 18, 2015, the communications between the parties had become adversarial. What is clear is that by February 19, 2015, the defendant took the position, contrary to the Contract, that before the Machines could be picked up, the defendant would have to pay in full. Mr. Myong deposes that "[p]rior to preparing the machines for pick-up I removed the upgrade work done by Mogil from four of the machines and notified AME that we can immediately restore the upgrade work to the machine, upon payment of the $5,000 fee for payment of that machine." This was not part of the initial bargain 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am satisfied that the defendant breached the Contract by attempting to unilaterally change the terms, requiring the plaintiff to pay for all of the Upgrade Work prior to releasing the Machines and prior to the plaintiff selling the four Machines.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hindsight the deal that the defendant reached may not have been a prudent business decision, but, as Mr. Myong deposes, the rationale for this payment plan was to "foster better business relations and to develop more goodwill with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Myong admits in his affidavit that he decided to change the terms of the Contract because he became concerned that payment might not be made. He states that, "it became obvious to me that there was a significant risk that AME would not pay for our work should we release the machines. Thereafter, I determined that we should not extend further credit to AME and sought to make proper payment arrangements". It is not the right of the defendant to unilaterally change the Contract terms for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As I have found that the defendant breached an express term of the Contract, I need not address the defendant's submissions on implied contractual terms, aside from the submission that there is an implied term that items brought in for repair are to be picked up within a reasonable time: see e.g. </w:t>
      </w:r>
      <w:r>
        <w:rPr>
          <w:rFonts w:ascii="arial" w:eastAsia="arial" w:hAnsi="arial" w:cs="arial"/>
          <w:i/>
          <w:color w:val="000000"/>
          <w:sz w:val="20"/>
          <w:lang w:val="en-US" w:eastAsia="en-US" w:bidi="ar-SA"/>
        </w:rPr>
        <w:t>Davis v. Henry Birk &amp; Sons Ltd</w:t>
      </w:r>
      <w:r>
        <w:rPr>
          <w:rFonts w:ascii="arial" w:eastAsia="arial" w:hAnsi="arial" w:cs="arial"/>
          <w:color w:val="000000"/>
          <w:sz w:val="20"/>
          <w:lang w:val="en-US" w:eastAsia="en-US" w:bidi="ar-SA"/>
        </w:rPr>
        <w:t xml:space="preserve">. </w:t>
      </w:r>
      <w:hyperlink r:id="rId584" w:history="1">
        <w:r>
          <w:rPr>
            <w:rFonts w:ascii="arial" w:eastAsia="arial" w:hAnsi="arial" w:cs="arial"/>
            <w:i/>
            <w:color w:val="0077CC"/>
            <w:sz w:val="20"/>
            <w:u w:val="single"/>
            <w:shd w:val="clear" w:color="auto" w:fill="FFFFFF"/>
            <w:lang w:val="en-US" w:eastAsia="en-US" w:bidi="ar-SA"/>
          </w:rPr>
          <w:t>(1982), 41 B.C.L.R. 137</w:t>
        </w:r>
      </w:hyperlink>
      <w:r>
        <w:rPr>
          <w:rFonts w:ascii="arial" w:eastAsia="arial" w:hAnsi="arial" w:cs="arial"/>
          <w:color w:val="000000"/>
          <w:sz w:val="20"/>
          <w:lang w:val="en-US" w:eastAsia="en-US" w:bidi="ar-SA"/>
        </w:rPr>
        <w:t xml:space="preserve"> at para. 7 (C.A.). As the defendant breached the payment terms only a day after communicating the completion of the Upgrade Work, I do not find that the plaintiff's conduct has been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For the same reason, I reject the defendant's submission that Mogil is entitled to a repairer's lien. The case at hand, i.e., a contract in which a vendor has agreed to extend credit and postpone collection, is very factually different from the case cited by counsel for the defendant, </w:t>
      </w:r>
      <w:r>
        <w:rPr>
          <w:rFonts w:ascii="arial" w:eastAsia="arial" w:hAnsi="arial" w:cs="arial"/>
          <w:i/>
          <w:color w:val="000000"/>
          <w:sz w:val="20"/>
          <w:lang w:val="en-US" w:eastAsia="en-US" w:bidi="ar-SA"/>
        </w:rPr>
        <w:t>Rayner v. Corvette</w:t>
      </w:r>
      <w:r>
        <w:rPr>
          <w:rFonts w:ascii="arial" w:eastAsia="arial" w:hAnsi="arial" w:cs="arial"/>
          <w:color w:val="000000"/>
          <w:sz w:val="20"/>
          <w:lang w:val="en-US" w:eastAsia="en-US" w:bidi="ar-SA"/>
        </w:rPr>
        <w:t xml:space="preserve">, </w:t>
      </w:r>
      <w:hyperlink r:id="rId585" w:history="1">
        <w:r>
          <w:rPr>
            <w:rFonts w:ascii="arial" w:eastAsia="arial" w:hAnsi="arial" w:cs="arial"/>
            <w:i/>
            <w:color w:val="0077CC"/>
            <w:sz w:val="20"/>
            <w:u w:val="single"/>
            <w:shd w:val="clear" w:color="auto" w:fill="FFFFFF"/>
            <w:lang w:val="en-US" w:eastAsia="en-US" w:bidi="ar-SA"/>
          </w:rPr>
          <w:t>[1988] B.C.J. No. 320</w:t>
        </w:r>
      </w:hyperlink>
      <w:r>
        <w:rPr>
          <w:rFonts w:ascii="arial" w:eastAsia="arial" w:hAnsi="arial" w:cs="arial"/>
          <w:color w:val="000000"/>
          <w:sz w:val="20"/>
          <w:lang w:val="en-US" w:eastAsia="en-US" w:bidi="ar-SA"/>
        </w:rPr>
        <w:t xml:space="preserve">, in which the vendor billed an amount in excess of what was agreed, and then incorrectly sold the chattel. Moreover, the court in </w:t>
      </w:r>
      <w:r>
        <w:rPr>
          <w:rFonts w:ascii="arial" w:eastAsia="arial" w:hAnsi="arial" w:cs="arial"/>
          <w:i/>
          <w:color w:val="000000"/>
          <w:sz w:val="20"/>
          <w:lang w:val="en-US" w:eastAsia="en-US" w:bidi="ar-SA"/>
        </w:rPr>
        <w:t>Rayner</w:t>
      </w:r>
      <w:r>
        <w:rPr>
          <w:rFonts w:ascii="arial" w:eastAsia="arial" w:hAnsi="arial" w:cs="arial"/>
          <w:color w:val="000000"/>
          <w:sz w:val="20"/>
          <w:lang w:val="en-US" w:eastAsia="en-US" w:bidi="ar-SA"/>
        </w:rPr>
        <w:t xml:space="preserve"> held that the vendor failed to comply with statutory requirements. This authority is not persuasive, and no other statutory or case authority has been submitted on the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 find that the defendant breached the terms of the Contract, and as such, the plaintiff is entitled to damages for the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Defendant as a Bailee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Although I have already found that the defendant breached the Contract, I will still address the plaintiff's submission that the defendant owed a duty of care as a bailee and that it breached the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The plaintiff submits that the defendant was a bailee for reward, as it stored the Machines on its Premises as part of the overall Contract for the Upgrade Work: see </w:t>
      </w:r>
      <w:r>
        <w:rPr>
          <w:rFonts w:ascii="arial" w:eastAsia="arial" w:hAnsi="arial" w:cs="arial"/>
          <w:i/>
          <w:color w:val="000000"/>
          <w:sz w:val="20"/>
          <w:lang w:val="en-US" w:eastAsia="en-US" w:bidi="ar-SA"/>
        </w:rPr>
        <w:t>Robertson v. Stang</w:t>
      </w:r>
      <w:r>
        <w:rPr>
          <w:rFonts w:ascii="arial" w:eastAsia="arial" w:hAnsi="arial" w:cs="arial"/>
          <w:color w:val="000000"/>
          <w:sz w:val="20"/>
          <w:lang w:val="en-US" w:eastAsia="en-US" w:bidi="ar-SA"/>
        </w:rPr>
        <w:t xml:space="preserve">, </w:t>
      </w:r>
      <w:hyperlink r:id="rId586" w:history="1">
        <w:r>
          <w:rPr>
            <w:rFonts w:ascii="arial" w:eastAsia="arial" w:hAnsi="arial" w:cs="arial"/>
            <w:i/>
            <w:color w:val="0077CC"/>
            <w:sz w:val="20"/>
            <w:u w:val="single"/>
            <w:shd w:val="clear" w:color="auto" w:fill="FFFFFF"/>
            <w:lang w:val="en-US" w:eastAsia="en-US" w:bidi="ar-SA"/>
          </w:rPr>
          <w:t>1997 CanLII 2122</w:t>
        </w:r>
      </w:hyperlink>
      <w:r>
        <w:rPr>
          <w:rFonts w:ascii="arial" w:eastAsia="arial" w:hAnsi="arial" w:cs="arial"/>
          <w:color w:val="000000"/>
          <w:sz w:val="20"/>
          <w:lang w:val="en-US" w:eastAsia="en-US" w:bidi="ar-SA"/>
        </w:rPr>
        <w:t xml:space="preserve"> at paras. 57 and 66 (B.C.S.C.) [</w:t>
      </w:r>
      <w:r>
        <w:rPr>
          <w:rFonts w:ascii="arial" w:eastAsia="arial" w:hAnsi="arial" w:cs="arial"/>
          <w:i/>
          <w:color w:val="000000"/>
          <w:sz w:val="20"/>
          <w:lang w:val="en-US" w:eastAsia="en-US" w:bidi="ar-SA"/>
        </w:rPr>
        <w:t>Robertson</w:t>
      </w:r>
      <w:r>
        <w:rPr>
          <w:rFonts w:ascii="arial" w:eastAsia="arial" w:hAnsi="arial" w:cs="arial"/>
          <w:color w:val="000000"/>
          <w:sz w:val="20"/>
          <w:lang w:val="en-US" w:eastAsia="en-US" w:bidi="ar-SA"/>
        </w:rPr>
        <w:t>]. The plaintiff submits that the defendant should be held to the standard of "due care and diligence" (at para. 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As the defendant held the Machines for the benefit of both parties in the performance of the Contract, I find that the defendant was a bailee for reward, and the standard of care required in storing the Machines was due care and diligence. This entails that the defendant take reasonable steps to ensure that the property does not sustain damage while in its care. The evidence supports that the defendant breached this standard by leaving the Machines outside, exposed to the elements. I accept the statement of Mr. Lin that the "Machines contain sensitive electronic and mechanical parts" that are "not designed to be waterproof". Photographs submitted into evidence by the plaintiff show water on the Machines and visible rust spots. This is not mitigated by Mr. Myong's statement that "Mr. Lin did not advise me at any time that the machines cannot be placed outdoors".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Occupier's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On the basis of my bailee determination, and pursuant to s. 9(d) of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the plaintiff's claim under the </w:t>
      </w:r>
      <w:r>
        <w:rPr>
          <w:rFonts w:ascii="arial" w:eastAsia="arial" w:hAnsi="arial" w:cs="arial"/>
          <w:i/>
          <w:color w:val="000000"/>
          <w:sz w:val="20"/>
          <w:lang w:val="en-US" w:eastAsia="en-US" w:bidi="ar-SA"/>
        </w:rPr>
        <w:t>OLA</w:t>
      </w:r>
      <w:r>
        <w:rPr>
          <w:rFonts w:ascii="arial" w:eastAsia="arial" w:hAnsi="arial" w:cs="arial"/>
          <w:color w:val="000000"/>
          <w:sz w:val="20"/>
          <w:lang w:val="en-US" w:eastAsia="en-US" w:bidi="ar-SA"/>
        </w:rPr>
        <w:t xml:space="preserve"> can not be maintained: see also </w:t>
      </w:r>
      <w:r>
        <w:rPr>
          <w:rFonts w:ascii="arial" w:eastAsia="arial" w:hAnsi="arial" w:cs="arial"/>
          <w:i/>
          <w:color w:val="000000"/>
          <w:sz w:val="20"/>
          <w:lang w:val="en-US" w:eastAsia="en-US" w:bidi="ar-SA"/>
        </w:rPr>
        <w:t>Robertson</w:t>
      </w:r>
      <w:r>
        <w:rPr>
          <w:rFonts w:ascii="arial" w:eastAsia="arial" w:hAnsi="arial" w:cs="arial"/>
          <w:color w:val="000000"/>
          <w:sz w:val="20"/>
          <w:lang w:val="en-US" w:eastAsia="en-US" w:bidi="ar-SA"/>
        </w:rPr>
        <w:t xml:space="preserve"> at para. 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plaintiff seeks damages in the amount of $38,710 for the breach of contract, or in the alternative for the defendant's failure to meet its standard of care as a bailee. The amount is composed of the following: replacement costs of the six original Machines ($4,585 each), and the return of the deposit ($11,200 including taxes).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The fundamental principle in assessing damages for breach of contract is that the plaintiff is to be placed in the same position he or she would have been had the contract been performed. In </w:t>
      </w:r>
      <w:r>
        <w:rPr>
          <w:rFonts w:ascii="arial" w:eastAsia="arial" w:hAnsi="arial" w:cs="arial"/>
          <w:i/>
          <w:color w:val="000000"/>
          <w:sz w:val="20"/>
          <w:lang w:val="en-US" w:eastAsia="en-US" w:bidi="ar-SA"/>
        </w:rPr>
        <w:t>Abramowich v. Azima Developments Ltd</w:t>
      </w:r>
      <w:r>
        <w:rPr>
          <w:rFonts w:ascii="arial" w:eastAsia="arial" w:hAnsi="arial" w:cs="arial"/>
          <w:color w:val="000000"/>
          <w:sz w:val="20"/>
          <w:lang w:val="en-US" w:eastAsia="en-US" w:bidi="ar-SA"/>
        </w:rPr>
        <w:t xml:space="preserve">. </w:t>
      </w:r>
      <w:hyperlink r:id="rId587" w:history="1">
        <w:r>
          <w:rPr>
            <w:rFonts w:ascii="arial" w:eastAsia="arial" w:hAnsi="arial" w:cs="arial"/>
            <w:i/>
            <w:color w:val="0077CC"/>
            <w:sz w:val="20"/>
            <w:u w:val="single"/>
            <w:shd w:val="clear" w:color="auto" w:fill="FFFFFF"/>
            <w:lang w:val="en-US" w:eastAsia="en-US" w:bidi="ar-SA"/>
          </w:rPr>
          <w:t>(1993), 86 B.C.L.R. (2d) 129</w:t>
        </w:r>
      </w:hyperlink>
      <w:r>
        <w:rPr>
          <w:rFonts w:ascii="arial" w:eastAsia="arial" w:hAnsi="arial" w:cs="arial"/>
          <w:color w:val="000000"/>
          <w:sz w:val="20"/>
          <w:lang w:val="en-US" w:eastAsia="en-US" w:bidi="ar-SA"/>
        </w:rPr>
        <w:t xml:space="preserve"> at para. 23 (C.A.), the Court of Appeal quoted McLachlin J. (as she then was) in </w:t>
      </w:r>
      <w:r>
        <w:rPr>
          <w:rFonts w:ascii="arial" w:eastAsia="arial" w:hAnsi="arial" w:cs="arial"/>
          <w:i/>
          <w:color w:val="000000"/>
          <w:sz w:val="20"/>
          <w:lang w:val="en-US" w:eastAsia="en-US" w:bidi="ar-SA"/>
        </w:rPr>
        <w:t>Ritcher v. Simpson</w:t>
      </w:r>
      <w:r>
        <w:rPr>
          <w:rFonts w:ascii="arial" w:eastAsia="arial" w:hAnsi="arial" w:cs="arial"/>
          <w:color w:val="000000"/>
          <w:sz w:val="20"/>
          <w:lang w:val="en-US" w:eastAsia="en-US" w:bidi="ar-SA"/>
        </w:rPr>
        <w:t xml:space="preserve"> </w:t>
      </w:r>
      <w:hyperlink r:id="rId588" w:history="1">
        <w:r>
          <w:rPr>
            <w:rFonts w:ascii="arial" w:eastAsia="arial" w:hAnsi="arial" w:cs="arial"/>
            <w:i/>
            <w:color w:val="0077CC"/>
            <w:sz w:val="20"/>
            <w:u w:val="single"/>
            <w:shd w:val="clear" w:color="auto" w:fill="FFFFFF"/>
            <w:lang w:val="en-US" w:eastAsia="en-US" w:bidi="ar-SA"/>
          </w:rPr>
          <w:t>(1982), 37 B.C.L.R. 325</w:t>
        </w:r>
      </w:hyperlink>
      <w:r>
        <w:rPr>
          <w:rFonts w:ascii="arial" w:eastAsia="arial" w:hAnsi="arial" w:cs="arial"/>
          <w:color w:val="000000"/>
          <w:sz w:val="20"/>
          <w:lang w:val="en-US" w:eastAsia="en-US" w:bidi="ar-SA"/>
        </w:rPr>
        <w:t xml:space="preserve"> at 327 (S.C.), for the following proposition: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fundamental principle in assessing damages for breach of contract is that the plaintiff is to be placed in the same position he would have been had the contract been performed. A qualification on this principle is that he is not entitled to recover losses which he could have avoided by taking reasonable steps; that is, he is obligated to mitigate his loss. While damages are most often assessed as of the date of breach, this is not an absolute rule; the court has power to fix such other date as may be appropriate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circumstances of the case at hand justify deviating from the usual approach of fixing damages at the date of the breach. In this case, the initial breach occurred on February 19, 2015, when Mr. Myong took the position that payment was required for the defendant to release the Machines. It is not precisely clear when the defendant began storing the Machines outside, but the evidence supports that it most likely began in late February or early March 2015. For example, on February 19, 2015, Mr. Wyong emailed the defendant that, "I will be leaving your machines outside this coming Monday 23rd Feb"; furthermore, the defendant has submitted into evidence historical precipitation records in Coquitlam for February and March 2015. I do note, however, that Mr. Lin deposes that he visited the Premises on February 28, 2015 and did not see the Machines on the sidewalk or in the yard.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Therefore, at the time of initial breach on February 19, 2015, the damage for which the plaintiff now seeks a remedy may not yet have materialized. However, because of the nature of the breach, i.e., the defendant failing to relinquish possession of the Machines, the plaintiff was not in a position to adequately mitigate losses during the period in which the Machines were stored outdoors. As the Machines are still currently in the possession of the defendant, I find that damages are to be assessed based on the value of the Machines when inspected by Mr. Lin.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Lin deposes that the damage to the Machines "was so extensive that the Machines had no more commercial sale value except as scrap metal." In response, Mr. Myong deposes that he has tested the Machines since April 2015 and they are in full working order as of today. As Mr. Lin is in the business of sales and distribution for industrial equipment and the photo evidence shows rust on the Machines, I accept that the value of the Machines was significantly impacted by being placed outside unprotected from the elements.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plaintiff submits that to be put in the same position it would have been in had the Contract been performed, the appropriate award is $38,710. The circumstances of this case make it difficult to assess the plaintiff's economic position had the Contract been performed, as the full performance of the Contract was contingent on the sale of the four Machines to third parties, and I have insufficient evidence on the details of the potential sales. However, because the sought amount is limited to the import costs of the Machines, plus the deposit, I am satisfied that $38,710 is sufficient to put the plaintiff back in the position it would have been in had the contract been performed and that it is a just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find that the defendant is entitled to keep the Machines. If they are in the working condition that the defendant asserts it can take steps to sell the Machines. If they are not in working condition than the Machines can be scrapped. The defendant is entitled to keep whatever value it recovers from the selling or scrapping of the Machines.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Based on all of the above findings, I also dismiss the defendant's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plaintiff is entitled to its cost on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C.L. FORTH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9"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9"/>
          <w:headerReference w:type="default" r:id="rId590"/>
          <w:footerReference w:type="even" r:id="rId591"/>
          <w:footerReference w:type="default" r:id="rId592"/>
          <w:headerReference w:type="first" r:id="rId593"/>
          <w:footerReference w:type="first" r:id="rId59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595" w:history="1">
        <w:r>
          <w:rPr>
            <w:rFonts w:ascii="arial" w:eastAsia="arial" w:hAnsi="arial" w:cs="arial"/>
            <w:b/>
            <w:bCs/>
            <w:i/>
            <w:color w:val="0077CC"/>
            <w:kern w:val="32"/>
            <w:sz w:val="28"/>
            <w:szCs w:val="32"/>
            <w:u w:val="single"/>
            <w:shd w:val="clear" w:color="auto" w:fill="FFFFFF"/>
            <w:lang w:val="en-US" w:eastAsia="en-US" w:bidi="ar-SA"/>
          </w:rPr>
          <w:t>Baptiste v. Cahoose, [2002] B.C.J. No. 273</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Williams Lake,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Meiklem J.</w:t>
      </w:r>
    </w:p>
    <w:p>
      <w:pPr>
        <w:spacing w:before="120" w:line="260" w:lineRule="atLeast"/>
        <w:jc w:val="center"/>
        <w:rPr>
          <w:lang w:val="en-US" w:eastAsia="en-US" w:bidi="ar-SA"/>
        </w:rPr>
      </w:pPr>
      <w:r>
        <w:rPr>
          <w:rFonts w:ascii="arial" w:eastAsia="arial" w:hAnsi="arial" w:cs="arial"/>
          <w:color w:val="000000"/>
          <w:sz w:val="20"/>
          <w:lang w:val="en-US" w:eastAsia="en-US" w:bidi="ar-SA"/>
        </w:rPr>
        <w:t>Heard: January 28 and 29, 2002.</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February 4, 2002.</w:t>
      </w:r>
    </w:p>
    <w:p>
      <w:pPr>
        <w:spacing w:before="120" w:line="260" w:lineRule="atLeast"/>
        <w:jc w:val="center"/>
        <w:rPr>
          <w:lang w:val="en-US" w:eastAsia="en-US" w:bidi="ar-SA"/>
        </w:rPr>
      </w:pPr>
      <w:r>
        <w:rPr>
          <w:rFonts w:ascii="arial" w:eastAsia="arial" w:hAnsi="arial" w:cs="arial"/>
          <w:color w:val="000000"/>
          <w:sz w:val="20"/>
          <w:lang w:val="en-US" w:eastAsia="en-US" w:bidi="ar-SA"/>
        </w:rPr>
        <w:t>Williams Lake Registry No. 9711400</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[2002] B.C.J. No. 273</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2002 BCSC 175</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111 A.C.W.S. (3d) 1050</w:t>
      </w:r>
    </w:p>
    <w:p>
      <w:pPr>
        <w:spacing w:before="120" w:line="260" w:lineRule="atLeast"/>
        <w:rPr>
          <w:lang w:val="en-US" w:eastAsia="en-US" w:bidi="ar-SA"/>
        </w:rPr>
      </w:pPr>
      <w:r>
        <w:rPr>
          <w:rFonts w:ascii="arial" w:eastAsia="arial" w:hAnsi="arial" w:cs="arial"/>
          <w:color w:val="000000"/>
          <w:sz w:val="20"/>
          <w:lang w:val="en-US" w:eastAsia="en-US" w:bidi="ar-SA"/>
        </w:rPr>
        <w:t>Between Lillian Baptiste, plaintiff, and Dennis Patrick Cahoose and John Doe,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(29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50" style="position:absolute;z-index:251684864"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69" w:name="Keywords_24"/>
      <w:bookmarkEnd w:id="169"/>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standard of care of driver — Keeping a proper lookout — Travelling too close to vehicles ahead (tailgating) — Respecting pedestrians and bicyclists — Circumstances requiring caution or extreme caution — Defences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particular cases — Motor vehicle accidents — Intoxication.</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70" w:name="Case Summary_23"/>
            <w:bookmarkEnd w:id="170"/>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Baptiste against Cahoose for damages for injuries suffered in a motor vehicle accident. Baptiste was intoxicated and was walking along a road on New Year's Eve when she was struck by a vehicle driven by Cahoose. Cahoose testified that he saw Baptiste walking along the road with another individual. The road was commonly used as a walkway. He stated that as he approached them, Baptiste suddenly ran into his path. </w:t>
            </w:r>
            <w:r>
              <w:rPr>
                <w:lang w:val="en-US" w:eastAsia="en-US" w:bidi="ar-SA"/>
              </w:rPr>
              <w:cr/>
            </w:r>
          </w:p>
          <w:p>
            <w:pPr>
              <w:spacing w:before="120" w:line="260" w:lineRule="atLeast"/>
              <w:ind w:left="240"/>
              <w:jc w:val="both"/>
              <w:rPr>
                <w:lang w:val="en-US" w:eastAsia="en-US" w:bidi="ar-SA"/>
              </w:rPr>
            </w:pPr>
            <w:bookmarkStart w:id="171" w:name="Holdings of Court_19"/>
            <w:bookmarkEnd w:id="171"/>
            <w:r>
              <w:rPr>
                <w:rFonts w:ascii="arial" w:eastAsia="arial" w:hAnsi="arial" w:cs="arial"/>
                <w:color w:val="000000"/>
                <w:sz w:val="20"/>
                <w:lang w:val="en-US" w:eastAsia="en-US" w:bidi="ar-SA"/>
              </w:rPr>
              <w:t>HELD: Action allowed in part.</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Baptiste was 70 per cent responsible for the accident and Cahoose was 30 per cent liable. Cahoose was negligent in following the vehicle in front of him too closely, and in failing to keep an adequate lookout in the special circumstances that existed. Cahoose should have been aware that the roadway was used by pedestrians who may have been intoxicated and he should have kept a proper lookout for the risk that occurred. However, Baptiste was also negligent. </w:t>
            </w:r>
            <w:r>
              <w:rPr>
                <w:lang w:val="en-US" w:eastAsia="en-US" w:bidi="ar-SA"/>
              </w:rPr>
              <w:cr/>
            </w:r>
          </w:p>
          <w:p>
            <w:pPr>
              <w:rPr>
                <w:lang w:val="en-US" w:eastAsia="en-US" w:bidi="ar-SA"/>
              </w:rPr>
            </w:pPr>
          </w:p>
        </w:tc>
      </w:tr>
    </w:tbl>
    <w:p>
      <w:pPr>
        <w:jc w:val="both"/>
        <w:rPr>
          <w:lang w:val="en-US" w:eastAsia="en-US" w:bidi="ar-SA"/>
        </w:rPr>
      </w:pPr>
      <w:bookmarkStart w:id="172" w:name="Legislation Cited_19"/>
      <w:bookmarkEnd w:id="172"/>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151" style="position:absolute;z-index:25173606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Motor Vehicle Act, s. 181(b).</w:t>
      </w:r>
      <w:r>
        <w:rPr>
          <w:lang w:val="en-US" w:eastAsia="en-US" w:bidi="ar-SA"/>
        </w:rPr>
        <w:cr/>
      </w:r>
    </w:p>
    <w:p>
      <w:pPr>
        <w:keepNext/>
        <w:spacing w:before="240" w:line="340" w:lineRule="atLeast"/>
        <w:rPr>
          <w:lang w:val="en-US" w:eastAsia="en-US" w:bidi="ar-SA"/>
        </w:rPr>
      </w:pPr>
      <w:bookmarkStart w:id="173" w:name="Counsel_25"/>
      <w:bookmarkEnd w:id="173"/>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52" style="position:absolute;z-index:25178726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K.J. O'Brien, for the plaintiff. S.J. Oliver, for the defendant, Dennis Patrick Cahoose.</w:t>
      </w:r>
      <w:r>
        <w:rPr>
          <w:lang w:val="en-US" w:eastAsia="en-US" w:bidi="ar-SA"/>
        </w:rPr>
        <w:cr/>
      </w:r>
    </w:p>
    <w:p>
      <w:pPr>
        <w:spacing w:after="240"/>
        <w:rPr>
          <w:lang w:val="en-US" w:eastAsia="en-US" w:bidi="ar-SA"/>
        </w:rPr>
      </w:pPr>
      <w:bookmarkStart w:id="174" w:name="Judgment_25"/>
      <w:bookmarkEnd w:id="174"/>
      <w:r>
        <w:pict>
          <v:line id="_x0000_s1153" style="position:absolute;z-index:251837440"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75" w:name="MEIKLEM J."/>
            <w:bookmarkEnd w:id="175"/>
            <w:r>
              <w:rPr>
                <w:rFonts w:ascii="arial" w:eastAsia="arial" w:hAnsi="arial" w:cs="arial"/>
                <w:b/>
                <w:color w:val="000000"/>
                <w:sz w:val="30"/>
                <w:lang w:val="en-US" w:eastAsia="en-US" w:bidi="ar-SA"/>
              </w:rPr>
              <w:t>MEIKLEM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sole issue in this trial was liability for a pedestrian/motor vehicle collision that occurred following a 1996 New Year's dance at the Anahim Lake community hall.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plaintiff's memory of events is fragmentary and she acknowledges that she was intoxicated, having consumed 13 ounces of vodka prior to attending the dance at about 9:00 p.m. and then more than 15 cans of beer while at the dance. She testified that she left the community hall and was walking on Christenson Road with an unidentified man wearing a cowboy hat with whom she had shared a beer. She said that they were walking to his residence to get some more beer to take to another residence on the reserve. She has no recollection of the accident itself. Her last memory prior to the accident is of walking along the road past the bridge over the Dean River. Her next recollection is of lying injured with people standing around 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Mr. Cahoose, testified that he attended the same dance, arriving at approximately 11:00 p.m. He said that he drank half of one beer shortly after his arrival, and later on had one-half of another beer, but that he was not feeling any effects of alcohol when he started to drive home at the end of the dance about 2:00 a.m. He said he had spent the evening just standing around visiting people. His wife remained at home with their children.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As he entered onto Christenson Road he pulled in behind two other vehicles and followed the vehicle in front of him by two to three truck lengths. Christenson Road, he testified, is a 2-lane road with snow banks approximately 2 feet high on each side. There are no sidewalks. He said some snow had fallen a couple of days previously and was compacted, not plowed. He did not adopt his examination for discovery evidence to the effect that the road was icy.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He first saw the man wearing a cowboy hat walking on the extreme right side of the road next to the snowbank, and then the plaintiff walking in the middle of the opposing lane, both travelling in the same direction as himself. The plaintiff and the man with the cowboy hat were approximately 40 feet ahead, and even with the vehicle that he was following when he first saw them as they were illuminated by his headlights. Neither appeared to pose a danger and he carried on following the other traffic at 30 to 40 km. per hour, without slowing his pace, sounding his horn or changing his course. Mr Cahoose said that all roads in Anahim are also walkways. The location of the accident was about a one-minute drive from the dance hall.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As he approached within 7-10 feet of the plaintiff, Mr. Cahoose said, she suddenly stumbled or ran from her position in the oncoming lane into the path of his vehicle. He testified that although his first instinct was to yank the steering wheel to the right, he could not do so because of the presence of the man to his right. According to Mr. Cahoose's evidence the plaintiff was on his side of the imaginary centerline of the roadway when he struck her. The left front of his vehicle struck her and she was spun around and some portion of her body made contact with his windshield and her head or shoulder hit his driver side rear view mirror.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He said that he thought he had killed the plaintiff. He stopped his vehicle and jumped out. The plaintiff was lying about 4-5 feet behind his car. In his panic, he dragged her to the side of the road. He did not see the male pedestrian again and does not know his identity. Mr. Cahoose drove the short distance home, where he awakened his wife and told her that he had hit Lillian and that they had to return to the scene.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defendant's wife drove him back to the scene where there were a lot of people gathered around the injured plaintiff. His wife checked the plaintiff's status and they drove back home. Mr. Cahoose remained at home while his wife and his mother spent the night at the medical clinic where the plaintiff was taken for treatment. He telephoned the RCMP at 8:00 a.m. and reported his involvement in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suggested to the defendant that his flight from the scene supports an inference that, contrary to his testimony, he had been driving under the influence of alcohol, and was anxious to avoid responsibility for that. I cannot draw a specific inference of impairment on the evidence. Mr Cahoose's testimony to the contrary was uncontradicted, and I have no basis to doubt his honesty.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It was suggested to the defendant and repeated in closing argument that he should have felt blameless and would not have panicked if the facts were as he testified. That suggestion has some merit, although even on Mr. Cahoose's uncontradicted version of events he is not totally blameless, and his erroneous perception that he had killed her (his words) probably interfered with his reasoning to the extent that he did not engage in an analysis of comparative fault.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Cahoose agreed that the road was straight at the location of the accident and that the colour of the plaintiffs clothing was not a factor. He acknowledged that he knew that there would be drivers and pedestrians using the road who had been drinking at the New Years dance and that he specifically knew that these two pedestrians were probably coming from the dance and would have been drinking.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Plaintiff's counsel argued persuasively that Mr Cahoose's evidence that Ms. Baptiste remained 4 to 5 feet into the opposing lane until he was within 7-10 feet of drawing even with her cannot be correct, considering his speed of 30 to 40 kph. Counsel suggests that I should infer either that he moved to the left to allow more room to pass the pedestrian on the right, and was passing closer to Ms Baptiste than he said, or she was closer to the middle of the road when he first saw 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plaintiff's argument is that the defendant was negligent in driving too quickly and too closely behind the vehicles in front of him to react to revealed dangers, and in failing to keep an adequate lookout considering the special circumstances that he knew existed at the end of the community's New Year's celebration. It is suggested that on this straight stretch of road there was no excuse for not seeing the plaintiff on the roadway much sooner.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It is also argued that he should have sounded his horn, as required by s. 181(b) of the Motor Vehicle Act. Mr Cahoose's explanation for not doing so was in effect that pedestrian usage of the roadways in the community was too commonplace to call for that response in the absence of special danger, and he did not perceive special danger until the plaintiff made her sudden move.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defendant submits that there was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his part. He maintains that he was keeping a proper lookout, driving at a reasonable speed consistent with the other traffic, and maintaining a reasonable space between his vehicle and the other traffic. He argues that the emergency arose suddenly when the plaintiff stumbled from a position of safety into his path, without any forewarning. It is argued that in the circumstances his speed was irrelevant given the proximity of the plaintiff, and that the accident would have occurred even if he had been travelling slower.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defendant reminded the court of the well established principle that the mere fact that a driver has not seen a pedestrian before striking him or until it is too late to avoid a collision does not necessarily establish an inadequate lookout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driver: Embury v. Vanderryst (unreported), Vancouver Registry, B936743, July 4, 1997 (B.C.S.C.), citing Plett v. I.C.B.C. </w:t>
      </w:r>
      <w:hyperlink r:id="rId531" w:history="1">
        <w:r>
          <w:rPr>
            <w:rFonts w:ascii="arial" w:eastAsia="arial" w:hAnsi="arial" w:cs="arial"/>
            <w:i/>
            <w:color w:val="0077CC"/>
            <w:sz w:val="20"/>
            <w:u w:val="single"/>
            <w:shd w:val="clear" w:color="auto" w:fill="FFFFFF"/>
            <w:lang w:val="en-US" w:eastAsia="en-US" w:bidi="ar-SA"/>
          </w:rPr>
          <w:t>(1987), 12 B.C.L.R. (2d) 336</w:t>
        </w:r>
      </w:hyperlink>
      <w:r>
        <w:rPr>
          <w:rFonts w:ascii="arial" w:eastAsia="arial" w:hAnsi="arial" w:cs="arial"/>
          <w:color w:val="000000"/>
          <w:sz w:val="20"/>
          <w:lang w:val="en-US" w:eastAsia="en-US" w:bidi="ar-SA"/>
        </w:rPr>
        <w:t xml:space="preserve"> (C.A.). He also relies on the principle that a driver is entitled to proceed on the highway on the basis that pedestrians will observe the traffic rules and special precautions are not required simply on the possibility that an emergency will arise. However, if an emergency is or should be reasonably apparent to the driver, then the driver must take precautions to avoid a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my opinion, the plaintiff has satisfied the burden of establishing that the defendant's driving fell short of the standard of care expected of a reasonably prudent driver in all the circumstances. His knowledge and expectation that the roadway would be used by pedestrians who were intoxicated and unlikely to observe the normal traffic rules called for special precautions and alertness. If his vision was limited to the roadway for 40 feet in front of him then in all the circumstances a speed of 40 km. per hour, which is equivalent to 36.5 feet per second, was inordinately risky. His reliance on the vehicles travelling in front as to setting the pace was not appropriate, and did not excuse him from keeping a special lookout where one of the obvious risks was that an intoxicated pedestrian might do exactly what the plaintiff here did, and he would have only approximately one second to react and take evasive action. Clearly that was completely inadequate, particularly on a compact snow road surface.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 find the defendant negligent in following too closely the vehicle in front of him and in failing to maintain an adequate lookout in the special circumstances that he knew existed. I also find that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 contributing cause of the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obvious and the greater proportion of fault must lie with her. In apportioning liability, guidance can be obtained by comparing the facts of this case to the circumstances of other cases with varying degrees of similarity.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defendant has referred to me the case of Zeleniski Estate v. Fairway </w:t>
      </w:r>
      <w:hyperlink r:id="rId596" w:history="1">
        <w:r>
          <w:rPr>
            <w:rFonts w:ascii="arial" w:eastAsia="arial" w:hAnsi="arial" w:cs="arial"/>
            <w:i/>
            <w:color w:val="0077CC"/>
            <w:sz w:val="20"/>
            <w:u w:val="single"/>
            <w:shd w:val="clear" w:color="auto" w:fill="FFFFFF"/>
            <w:lang w:val="en-US" w:eastAsia="en-US" w:bidi="ar-SA"/>
          </w:rPr>
          <w:t>(1998), 60 B.C.L.R. (3d) 76</w:t>
        </w:r>
      </w:hyperlink>
      <w:r>
        <w:rPr>
          <w:rFonts w:ascii="arial" w:eastAsia="arial" w:hAnsi="arial" w:cs="arial"/>
          <w:color w:val="000000"/>
          <w:sz w:val="20"/>
          <w:lang w:val="en-US" w:eastAsia="en-US" w:bidi="ar-SA"/>
        </w:rPr>
        <w:t>. The reasons for judgment set out the facts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Logger's Lane is a partly paved road with no dividing line and no side-walks or shoulders. It is not lit, except by sparse lighting coming from adjacent houses. The speed limit on the road is 50 km/h, though evidence was given at trial that many people drove faster. Evidence was also given that due to the road's condition, many vehicles travel down the centre of the road when there is no oncoming traffic. Before the accident, the defendant had driven down Logger's Lane about 10 times.</w:t>
      </w:r>
    </w:p>
    <w:p>
      <w:pPr>
        <w:spacing w:before="120" w:line="260" w:lineRule="atLeast"/>
        <w:ind w:left="720"/>
        <w:rPr>
          <w:lang w:val="en-US" w:eastAsia="en-US" w:bidi="ar-SA"/>
        </w:rPr>
      </w:pPr>
      <w:r>
        <w:rPr>
          <w:rFonts w:ascii="arial" w:eastAsia="arial" w:hAnsi="arial" w:cs="arial"/>
          <w:color w:val="000000"/>
          <w:sz w:val="20"/>
          <w:lang w:val="en-US" w:eastAsia="en-US" w:bidi="ar-SA"/>
        </w:rPr>
        <w:t>The accident occurred at night on an unpaved portion of the road. The defendant was following another car, driven by Adrianna Howe, at a distance of about 100 metres, and was travelling along the centre of the road at about 80 km/h. Ms. Howe's car was kicking up dust, but the defendant considered visibility to be acceptable as he had his low beams on and could see Ms. Howe's taillights. The defendant did not think there would be any pedestrians on the road, and did not feel that the driving conditions created any increased need for safety precautions.</w:t>
      </w:r>
    </w:p>
    <w:p>
      <w:pPr>
        <w:spacing w:before="120" w:line="260" w:lineRule="atLeast"/>
        <w:ind w:left="720"/>
        <w:rPr>
          <w:lang w:val="en-US" w:eastAsia="en-US" w:bidi="ar-SA"/>
        </w:rPr>
      </w:pPr>
      <w:r>
        <w:rPr>
          <w:rFonts w:ascii="arial" w:eastAsia="arial" w:hAnsi="arial" w:cs="arial"/>
          <w:color w:val="000000"/>
          <w:sz w:val="20"/>
          <w:lang w:val="en-US" w:eastAsia="en-US" w:bidi="ar-SA"/>
        </w:rPr>
        <w:t>The deceased was walking along the middle of the road, facing the defendant's oncoming vehicle. The defendant did not see the deceased until the deceased was very close to the car. Upon seeing him, the defendant swerved to the left, thinking there was the most room in that direction to avoid him, and then applied the car's brakes. However, at the same time the deceased also took a step to the defendant's left, and the defendant hit the deceased, killing him.</w:t>
      </w:r>
    </w:p>
    <w:p>
      <w:pPr>
        <w:spacing w:before="120" w:line="260" w:lineRule="atLeast"/>
        <w:ind w:left="720"/>
        <w:rPr>
          <w:lang w:val="en-US" w:eastAsia="en-US" w:bidi="ar-SA"/>
        </w:rPr>
      </w:pPr>
      <w:r>
        <w:rPr>
          <w:rFonts w:ascii="arial" w:eastAsia="arial" w:hAnsi="arial" w:cs="arial"/>
          <w:color w:val="000000"/>
          <w:sz w:val="20"/>
          <w:lang w:val="en-US" w:eastAsia="en-US" w:bidi="ar-SA"/>
        </w:rPr>
        <w:t>The deceased had been drinking that night, and at the time of the accident had a blood alcohol level of 0.14%. At trial, an expert witness testified that this blood alcohol level causes impairment of mental, sensory, and motor function. As well, the deceased was wearing a long, dark coat and jeans.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Court of Appeal did not interfere with the jury's determination of apportionment of fault as 90% to the deceased pedestrian and 10% to the driver. The obvious distinction between the facts of that case and the case at bar is that the defendant in that case did not think there would be any pedestrians on the road, let alone intoxicated pedestrians whereas Mr. Cahoose knew there would be intoxicated pedestrians on the road.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Crites v. Branston, </w:t>
      </w:r>
      <w:hyperlink r:id="rId597" w:history="1">
        <w:r>
          <w:rPr>
            <w:rFonts w:ascii="arial" w:eastAsia="arial" w:hAnsi="arial" w:cs="arial"/>
            <w:i/>
            <w:color w:val="0077CC"/>
            <w:sz w:val="20"/>
            <w:u w:val="single"/>
            <w:shd w:val="clear" w:color="auto" w:fill="FFFFFF"/>
            <w:lang w:val="en-US" w:eastAsia="en-US" w:bidi="ar-SA"/>
          </w:rPr>
          <w:t>[1973] O.J. No. 177</w:t>
        </w:r>
      </w:hyperlink>
      <w:r>
        <w:rPr>
          <w:rFonts w:ascii="arial" w:eastAsia="arial" w:hAnsi="arial" w:cs="arial"/>
          <w:color w:val="000000"/>
          <w:sz w:val="20"/>
          <w:lang w:val="en-US" w:eastAsia="en-US" w:bidi="ar-SA"/>
        </w:rPr>
        <w:t xml:space="preserve">, a 17 year old high school student who had been attending a house party and drinking was walking quickly or jogging along a street without a sidewalk at approximately 2:00 a.m. He was observed by the defendant driver travelling in the same direction from a distance of several hundred feet. The defendant was driving at approximately 30 miles per hour and never changed his speed other than applying his brakes immediately before the collision and he was driving with his lights on low beam illuminating the road for 30 to 40 feet in front of him. The court rejected the defendant's testimony that the pedestrian darted into the side of his car as he passed even with him and determined that the pedestrian started to cross the roadway when the motor vehicle was not less than 75 feet and more likely as far as 90 feet from him. The court apportioned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80% against the infant plaintiff and 20% against the defendant holding that the presence of the pedestrian walking quickly or jogging on the shoulder of the road at 2:00 in the morning in an area where there was relatively no traffic and no pedestrians should have alerted the defendant. It was further held that the defendant should have been aware that his headlights did not create a reflection beyond 30 to 40 feet and street lights would have interfered with the ability of the pedestrian to become aware of the approaching vehicle. The driver should have sounded his horn, flicked his lights, changed his speed, or moved to his left and closer to the middle of the road as he approached the single pedestrian who was proceeding no more than 2 to 3 feet from the travelled portion of the road.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Leblanc v. Burcevski, </w:t>
      </w:r>
      <w:hyperlink r:id="rId598" w:history="1">
        <w:r>
          <w:rPr>
            <w:rFonts w:ascii="arial" w:eastAsia="arial" w:hAnsi="arial" w:cs="arial"/>
            <w:i/>
            <w:color w:val="0077CC"/>
            <w:sz w:val="20"/>
            <w:u w:val="single"/>
            <w:shd w:val="clear" w:color="auto" w:fill="FFFFFF"/>
            <w:lang w:val="en-US" w:eastAsia="en-US" w:bidi="ar-SA"/>
          </w:rPr>
          <w:t>[1995] A.J. No. 909</w:t>
        </w:r>
      </w:hyperlink>
      <w:r>
        <w:rPr>
          <w:rFonts w:ascii="arial" w:eastAsia="arial" w:hAnsi="arial" w:cs="arial"/>
          <w:color w:val="000000"/>
          <w:sz w:val="20"/>
          <w:lang w:val="en-US" w:eastAsia="en-US" w:bidi="ar-SA"/>
        </w:rPr>
        <w:t xml:space="preserve">, an intoxicated adult plaintiff, who was walking near the centre line of a 100 km. per hour highway was struck by the defendant, who saw him only at a distance of 3 feet after completing a pass of another vehicle. The defendant was held 40% liable for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not becoming aware of the presence of the plaintiff sooner.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Plaintiff's counsel cited two cases from the British Columbia Court of Appeal, namely Townsend v. Kroppmanns (unreported) Victoria Registry Docket V02658, April 3, 1998, and Liston v. Striegler, </w:t>
      </w:r>
      <w:hyperlink r:id="rId599" w:history="1">
        <w:r>
          <w:rPr>
            <w:rFonts w:ascii="arial" w:eastAsia="arial" w:hAnsi="arial" w:cs="arial"/>
            <w:i/>
            <w:color w:val="0077CC"/>
            <w:sz w:val="20"/>
            <w:u w:val="single"/>
            <w:shd w:val="clear" w:color="auto" w:fill="FFFFFF"/>
            <w:lang w:val="en-US" w:eastAsia="en-US" w:bidi="ar-SA"/>
          </w:rPr>
          <w:t>[1996] B.C.J. No. 1408</w:t>
        </w:r>
      </w:hyperlink>
      <w:r>
        <w:rPr>
          <w:rFonts w:ascii="arial" w:eastAsia="arial" w:hAnsi="arial" w:cs="arial"/>
          <w:color w:val="000000"/>
          <w:sz w:val="20"/>
          <w:lang w:val="en-US" w:eastAsia="en-US" w:bidi="ar-SA"/>
        </w:rPr>
        <w:t>, where liability was apportioned to the defendants 45% and 40% respectively.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Townsend the plaintiff was a 19-year female hitchhiker, who was very intoxicated and was struck down in the middle of the curb lane westbound on Sooke Road in Colwood. A taxi preceding the defendant's vehicle managed to see the plaintiff although she was difficult to see and moved into the centre lane to avoid her, but the defendant, whose intention was diverted momentarily as he looked at a church sign, failed to observe the plaintiff in time to avoid a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Liston v. Striegler the defendant was driving a motorcycle northbound approaching an unmarked intersection. A witness to the accident was travelling in a car in the same direction in a lane to the left of the defendant. The plaintiff was an intoxicated barefoot pedestrian who ran across the street north of the intersection outside the boundaries of the crosswalk. The area was not well lit and she was wearing dark clothing. The witness had to brake sharply to avoid striking her but she continued running and ran into the path of the defendant's motorcycle. The trial judge found the driver of the motorcycle negligent in failing to keep a proper lookout in the special circumstances where he was aware of fairly heavy traffic in a large group of pedestrians in a town where there was a midsummer festival taking place. His 50 km. per hour speed was also inappropriate given the busy traffic and festival setting. The conclusion of the Court of Appeal was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The trial judge's findings regarding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each of the parties which contributed to the accident lead inexorably to the conclusion that Ms. Liston was more at fault for the accident than was Mr. Striegler. While it is always difficult to apportion degrees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where the evidence suffers from the frailties to which I have referred, I conclude that an appropriate apportionment of liability in this case would be 60/40 against Ms. Liston.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Liston v. Striegler case was considered in Langu v. Popatia, (unreported) Vancouver Registry, B952839, March 31, 1998 (B.C.S.C.). In that case a pedestrian changed her mind while crossing an intersection and turned back into the path of a vehicle travelling in the curb lane, where she was struck by the defendant's vehicle. Neither the plaintiff nor the defendant saw each other before impact. The defendant had been travelling in heavy slow moving traffic at 5 to 10 km. per hour. The court declined to accept the plaintiff's submission that the defendant was driving at a speed that was excessive but found that the defendant, who admitted he was looking straight ahead without watching traffic in the lanes on either side, could have been more vigilant. Liability was apportioned 2/3 to the plaintiff pedestrian and 1/3 to the defendant driver.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Each party in the case before me has also cited cases where fault is attributed solely to either the driver or the pedestrian but I will not review those as I have rejected both of those scenarios. In my view the appropriate apportionment of liability is 70% to the plaintiff and 30% to the 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parties did not make submissions on costs. If they are unable to agree on the matter of costs they are at liberty to apply.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MEIKLEM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88147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00"/>
          <w:headerReference w:type="default" r:id="rId601"/>
          <w:footerReference w:type="even" r:id="rId602"/>
          <w:footerReference w:type="default" r:id="rId603"/>
          <w:headerReference w:type="first" r:id="rId604"/>
          <w:footerReference w:type="first" r:id="rId60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06" w:history="1">
        <w:r>
          <w:rPr>
            <w:rFonts w:ascii="arial" w:eastAsia="arial" w:hAnsi="arial" w:cs="arial"/>
            <w:b/>
            <w:bCs/>
            <w:i/>
            <w:color w:val="0077CC"/>
            <w:kern w:val="32"/>
            <w:sz w:val="28"/>
            <w:szCs w:val="32"/>
            <w:u w:val="single"/>
            <w:shd w:val="clear" w:color="auto" w:fill="FFFFFF"/>
            <w:lang w:val="en-US" w:eastAsia="en-US" w:bidi="ar-SA"/>
          </w:rPr>
          <w:t>Bingul v. Youngson, [2016] B.C.J. No. 2120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W.G. Baker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4-8 and February 11-12,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12,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M136347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2120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07" w:history="1">
        <w:r>
          <w:rPr>
            <w:rFonts w:ascii="arial" w:eastAsia="arial" w:hAnsi="arial" w:cs="arial"/>
            <w:i/>
            <w:color w:val="0077CC"/>
            <w:sz w:val="20"/>
            <w:u w:val="single"/>
            <w:shd w:val="clear" w:color="auto" w:fill="FFFFFF"/>
            <w:lang w:val="en-US" w:eastAsia="en-US" w:bidi="ar-SA"/>
          </w:rPr>
          <w:t>2016 BCSC 1868</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Murat Bingul, Plaintiff, and Spencer Youngson, ParkAvenue Leasing Corporation and Tupper Landscaping Inc.,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5" style="position:absolute;z-index:2516858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76" w:name="Keywords_25"/>
      <w:bookmarkEnd w:id="176"/>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driver — Evidence and proof — Claim by plaintiff for damages for injuries arising from motor vehicle accident dismissed — Plaintiff's vehicle was struck from rear by defendant's — It was solely plaintiff's sudden and negligent move into defendant's lane that created risk of collision and resulted in accident — Issue of liability had to be resolved by assessing parties' credibility, which depended on internal consistency of their testimony and its consistency with other testimony and evidence — Court preferred defendant's evidence.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77" w:name="Case Summary_24"/>
            <w:bookmarkEnd w:id="17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Claim by the plaintiff for damages for injuries arising from a motor vehicle accident. The plaintiff's vehicle was struck from the rear by the defendant's. The plaintiff claimed that the accident was caused by the defendant's failure to bring his vehicle to a stop in time. The defendant said that the accident was caused by the plaintiff's abrupt move into the defendant's lane of traffic and stop. No independent witness testified, but the defendant's employer, who was following some distance behind him, did.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78" w:name="Holdings of Court_20"/>
            <w:bookmarkEnd w:id="178"/>
            <w:r>
              <w:rPr>
                <w:rFonts w:ascii="arial" w:eastAsia="arial" w:hAnsi="arial" w:cs="arial"/>
                <w:color w:val="000000"/>
                <w:sz w:val="20"/>
                <w:lang w:val="en-US" w:eastAsia="en-US" w:bidi="ar-SA"/>
              </w:rPr>
              <w:t>HELD: Claim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was solely the plaintiff's sudden and negligent move into the defendant's lane that created the risk of collision and resulted in the accident. The issue of liability had to be resolved by assessing the parties' credibility, which depended on the internal consistency of their testimony and its consistency with other testimony and evidence. The court preferred the defendant's evidence. There was a significant inconsistency between the plaintiff's statement to an insurance adjuster and the plaintiff's testimony about the timing of the collision in relation to a green light. There were some discrepancies between the plaintiff's answers on examination for discovery and at trial. The plaintiff's testimony about when he first saw the defendant's vehicle and when it changed lanes was less than precise. The defendant's testimony was consistent and supported to some extent by the employer's testimony that he saw a vehicle move from the center lane to the middle one in front of the defendant's vehicle just before seeing its flashers activated.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9" w:name="Legislation Cited_20"/>
      <w:bookmarkEnd w:id="17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6" style="position:absolute;z-index:2517370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608" w:history="1">
        <w:r>
          <w:rPr>
            <w:rFonts w:ascii="arial" w:eastAsia="arial" w:hAnsi="arial" w:cs="arial"/>
            <w:i/>
            <w:color w:val="0077CC"/>
            <w:sz w:val="20"/>
            <w:u w:val="single"/>
            <w:shd w:val="clear" w:color="auto" w:fill="FFFFFF"/>
            <w:lang w:val="en-US" w:eastAsia="en-US" w:bidi="ar-SA"/>
          </w:rPr>
          <w:t>R.S.B.C. 1996, c. 318, s. 144</w:t>
        </w:r>
      </w:hyperlink>
      <w:r>
        <w:rPr>
          <w:rFonts w:ascii="arial" w:eastAsia="arial" w:hAnsi="arial" w:cs="arial"/>
          <w:color w:val="000000"/>
          <w:sz w:val="20"/>
          <w:lang w:val="en-US" w:eastAsia="en-US" w:bidi="ar-SA"/>
        </w:rPr>
        <w:t>(1), s. 151(a), s. 162(1)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80" w:name="Counsel_26"/>
      <w:bookmarkEnd w:id="18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57" style="position:absolute;z-index:251788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Farouk Jiwa, Alexia Majidi and N. Mann, Articling Student.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Kisa J. Macdonald.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1" w:name="Judgment_26"/>
      <w:bookmarkEnd w:id="181"/>
      <w:r>
        <w:pict>
          <v:line id="_x0000_s1158" style="position:absolute;z-index:25183846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2" w:name="W.G. BAKER J."/>
            <w:bookmarkEnd w:id="182"/>
            <w:r>
              <w:rPr>
                <w:rFonts w:ascii="arial" w:eastAsia="arial" w:hAnsi="arial" w:cs="arial"/>
                <w:b/>
                <w:color w:val="000000"/>
                <w:sz w:val="30"/>
                <w:lang w:val="en-US" w:eastAsia="en-US" w:bidi="ar-SA"/>
              </w:rPr>
              <w:t>W.G. BAKER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Mr. Bingul, was injured on November 24, 2011 when the vehicle he was driving was struck from the rear by a vehicle driven by the defendant Spencer Youngson. Mr. Youngson's vehicle was leased by his employer Tupper Landscaping Inc. from the registered owner ParkAvenue Leasing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Mr. Bingul alleges that the accident was caused by Mr. Youngson's negligent failure to bring his vehicle to a stop in time to avoid the collision. The defendants say that the accident was caused by Mr. Bingul's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abruptly moving into the lane of traffic occupied by Mr. Youngson's vehicle and stopping; when it was unsafe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admit that Mr. Bingul suffered some injury as a result of the accident, but dispute the nature, severity and duration of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primary issue in this lawsuit is liability for the accident. Although the parties agree about the date, location, and approximate time of the accident, Mr. Bingul and Mr. Youngsun gave very different accounts of how the accident happened. No independent witness testified about the circumstances of the accident, but Michael Tupper, the principal of the defendant Tupper Landscaping Inc. gave evidence relevant to the issue of liability. Essentially, the issue of liability must be resolved by assessing the credibility of the testimony given by Mr. Bingul and Mr. Youngson, taking into account the onus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Murat Bingul was 34 years old at the time of the accident and 38 years old at time of trial. In November 2011, he was employed by a construction company. He had worked at a job site on November 23; gone home after work to his apartment in the west end of Vancouver; and then had driven to Maple Ridge where he spent the night at the home of his girlfriend, Rochelle Martin. Mr. Bingul was expected to be at work at a job site on Granville Island in Vancouver on the morning of November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Bingul testified that he left Ms. Martin's Maple Ridge home at 5:30 am on November 24, 2011, driving his 1991 Toyota Corolla. He testified that he normally gave himself two hours to get from Mr. Martin's home to his job site. He intended to go to his apartment in the west end and then to the job site. After leaving Ms. Rochelle's home, Mr. Bingul received a call on his cellular phone from a friend. The friend suggested that the two men should meet at the Grand Villa Casino located just off Canada Way in Burnaby. Mr. Bingul agreed, and he drove to the Casino. He estimated that he arrived there around 6:00 or perhaps 6:15 a.m. He waited but either his friend did not come to the Casino or the two men did not see each other there. Mr. Bingul played slot machines for a time, and then left the Casino and headed for home. He estimated it would take 20 to 30 minutes to drive to his Vancouver west end apartment from the Casino. He had intended to arrive home by 7:00 a.m. I infer that he was heading home before going to the job site because he needed to change into his work clothes.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At trial, Mr. Bingul testified he was not sure how long he had stayed at the Casino but that it was probably 15 or 20 minutes. On examination for discovery, he had testified that although not certain, he thought he had stayed at the Casino for about an hour. He gave the one-hour estimate in response to two separate questions. He agreed in cross-examination at trial that it was easy to lose track of time when playing slot machines. He agreed that if he had stayed at the Casino for an hour he would have been running late by the time he left the Casino. He said he did not call his employer to say he would be late getting to the job site. He testified that he was not concerned about being a little late. Essentially, he rejected defence counsel's suggestion that by the time he left the Casino he knew he was going to be late for work and drove incautiously in order to try to make up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After leaving the Casino, Mr. Bingul took Canada Way to Boundary Road, drove north on Boundary Road to Lougheed Highway (which turns into Broadway) and made a left turn onto Lougheed Highway, into the curb lane, heading west. I shall refer to the Lougheed Highway as Broadway in the continuing narrative.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Bingul testified that he was very familiar with the route he was following. He named Nanaimo Street, Victoria Drive, Commercial Drive and Clark Drive as the major north-south roads intersecting with Broadway that he would cross over as he headed west on Broadway. In general, on Broadway, there are three westbound lanes. I shall refer to the lane closest to the curb as the "curb lane"; the lane closest to the centre line dividing east and westbound traffic as the "centre lane" and the lane between the centre lane and the curb lane as the "middle lane". At some intersections, there is a fourth lane for left-turning vehicles. I shall refer to that lane as the "left-turn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Bingul recalled that traffic was light on Broadway. In chief, Mr. Bingul testified that when he turned onto Broadway he entered the curb lane and that he remained in the curb lane until he stopped for a red light at Victoria Drive and that after the light turned green he moved into the middle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cross-examination, he testified he could not recall what lane he was in at the intersection with Nanaimo Street; that he was in the curb lane when he reached the Victoria Drive intersection; and that between Victoria Drive and Commercial Drive he moved to the middle lane. In cross examination, Mr. Bingul testified that at the intersection with Broadway and Commercial Drive he noticed a truck that had been travelling in a different lane move into the middle lane behind him. At trial, Mr. Bingul first testified that the truck had been travelling in the lane to his right (the curb lane) but then said the truck had been travelling in the lane closest to the centre line (the centre lane) before moving into the middle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cross-examination, Mr. Bingul was referred to different testimony he had given on examination for discovery. On examination for discovery, he testified that he had moved into the lane the truck was driving in somewhere around the intersection with Victoria Drive, but did not notice the truck until the intersection with Commercial Drive. Mr. Bingul appeared to adopt this prior statement as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Bingul testified that he remained in the middle lane as he approached Clark Drive, with the truck behind him in the same lane. Mr. Bingul testified that at the intersection with Clark Drive, there are four lanes for westbound traffic on Broadway -- the same three lanes previously described, plus a left-turn lane. Mr. Bingul testified that when the light turned red there was one car in front of his vehicle in the middle lane and that both vehicles stopped for the red light. Mr. Bingul recalled there was also a vehicle in the left-turn lane, signalling to turn left onto Clark Drive.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Bingul testified that when he stopped for the red light at Clark the sky was starting to lighten. He had his headlights on. It was not raining. Mr. Bingul testified that the truck was stopped behind him in the middle lane and in a statement he gave to the insurance adjuster on November 28, 2011 he said that the truck had stopped very close to the rear of his vehicle and seemed to be trying to get closer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Bingul testified at trial that after being stopped at the light for two to three minutes the light turned green for westbound traffic and the car ahead of him started to move forward. Mr. Bingul still had his foot on the brake of his vehicle and had not started to move forward when his vehicle was suddenly struck from behind by the truck driven by Mr. Youngson. This evidence was different from what Mr. Bingul had said in a statement given to an insurance adjuster one week after the accident, which he adopted as true. In the statement, Mr. Bingul stated "Before the light changed to green he hit me." In that statement, he also indicated that he believed, at the time of the collision, that the driver of the truck had driven into him on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Youngsun was born in 1981. He was 29 years old when the accident happened; 34 at time of trial. In November 2011, Mr. Youngsun was employed by the defendant Tupper Landscaping Inc. As stated earlier in these Reasons, Michael Tupper is the principal of that company. Mr. Youngsun had been with the company for about four years and was the most senior employee next to Mr. Tupper. Mr. Youngson worked as a mechanic and welder, drove a truck, and operated heavy machinery. He had had a Class 1 commercial licence for ten years; having taken driving lessons from the North Shore Driving School; and having worked his way up from a Class 5 licence. He testified that a Class 1 commercial licence permitted him to drive any size of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Youngsun had left Tupper Landscaping Inc. in 2015 and started his own company - Coastal Heavy Haul Inc. - but continued to be on good terms with Michael Tupper.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Youngsun testified that on the morning of November 24, 2011 he arrived at Tupper Landscaping's premises in North Vancouver at about 6:00 a.m. Mr. Youngsun was expected to be at a job site on Granville Street in Vancouver by 7:30 a.m. He followed his usual practice of inspecting the vehicle he was going to be driving. That vehicle was a 2006 Sterling Tandem Axle dump truck, and it was hitched to a trailer loaded with a John Deere 135C excavator. Mr. Youngsun estimated the combined weight of the truck, trailer and excavator at about 44,000 kgs.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Youngsun was very familiar with the dump truck, having driven it on many previous occasions. The dump truck is equipped with air brakes. Mr. Youngsun waited for air pressure to build on the gauges while inspecting the vehicle. He had loaded the excavator the previous night but checked to make sure the excavator was still secured on the trailer; completed an inspection report, and left the yard at about 6:40 or 6:45 a.m. There is no evidence suggesting the brakes on the truck were in any way deficient.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Youngsun testified that he crossed the Second Narrows Bridge, took the McGill off-ramp, drove west on McGill, and then south on Nanaimo Street to Broadway, turning right on Broadway and heading west. He intended to remain on Broadway until the intersection with Granville Street in Vancouver; and then head south on Granville Street to the job site where he was to deliver the excavator.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Youngson recalled the traffic on Broadway as light to moderate. He recalled that the day was dry and the sky clear; and that it was starting to get light. He had his headlights on. He estimated his speed on Broadway at between 45 and 50 kph. He recalled travelling in the middle lane most of the time after turning onto Broadway. He testified he does not like to drive in the curb lane because there are sometimes parked cars in that lane; and that commercial vehicles are not supposed to travel in the centre lane as that is a passing lane for speedier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Youngson recalled that about 7:00 a.m. he was travelling west on Broadway, approaching the intersection with Clark Drive. He recalled no traffic in front of him in his lane, but some slower-moving vehicles in the lane to his left (the centre lane). He saw the light for westbound traffic turn yellow at the intersection with Clark Drive and he started braking and down-shifting to prepare to stop at the intersection. He recalled that there were still no vehicles ahead of him in his lane; but two vehicles in the centre lane to his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Youngson testified that when he was about 30 feet from the stop line and had slowed to perhaps 30 to 35 kph, Mr. Bingul's vehicle suddenly pulled from the centre lane into the middle lane directly in front of Mr. Youngson's truck and stopped at the stop line. Mr. Youngson braked hard; the trailer brakes seized up and his vehicle came to a stop but not before it "nudged" the rear of Mr. Bingul's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Youngson said that the impact was not a "hit" or a "smash", just a light impact; although he agreed that Mr. Bingul's vehicle may have been pushed ahead by the force of the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Youngson testified that he had the impression that Mr. Bingul had changed lanes in order to be the first vehicle in the middle lane and therefore able to pull away from the intersection as soon as the light turned green. Mr. Youngson testified that had Mr. Bingul's vehicle not pulled in front of his, cutting his braking distance in half; he would have been able to bring his vehicle to a full stop before the stop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Both Mr. Bingul and Mr. Youngsun testified that they got out of their vehicles and that they had an argument about exchanging driver's licence and registration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Bingul testified that Mr. Youngsun initially refused to provide Mr. Bingul with his driver's licence and registration information -- that Mr. Youngsun said words to the effect of "Why should I exchange information with you -- you just cut me off." In the statement Mr. Bingul gave to an insurance adjuster on November 28, 2011, he stated that Mr. Youngsun had claimed that Mr. Bingul had changed lanes.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Mr. Youngson's statement to an insurance adjuster on December 12, 2011, he stated that Mr. Bingul had "cut him off" by suddenly pulling into his lane in front of him. This is, of course, hearsay and not admissible to prove the truth of the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Bingul testified that he called the police on his cellular phone. Mr. Youngsun testified that he also called the police; but that the police said that as there were no injuries, they would not come to the scene. The police officer told Mr. Youngson to exchange information with the other driver and the two drivers followed this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Youngson testified that he inspected the front of his truck and the rear of Mr. Bingul's vehicle. He could see no damage to the front of the truck. He saw lots of old damage and rust on the rear of Mr. Bingul's vehicle; the only "new damage" he saw was a dent in the Toyota's trunk.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As stated earlier in these Reasons, no independent witness testified at trial about the circumstances of the accident. Based on their testimony at trial, neither Mr. Youngson nor Mr. Bingul made any effort to identify or detain any other person at the accident scene who might have been able to verify either party's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Some relevant evidence was provided by Michael Tupper, the principal of the defendant Tupper Landscaping Inc., who, as it happened, was following some distance behind Mr. Youngson's vehicle; having left the North Vancouver premises of Tupper Landscaping after Mr. Youngson departed; and heading for the same job site on Granville Street. Mr. Tupper was driving a pick-up truck -- a much smaller vehicle than that driven by Mr. Youngson.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Tupper had taken a slightly different route to get onto Broadway. He entered Broadway from Rupert Street. Rupert Street is east of Nanaimo Street. Mr. Tupper testified Mr. Youngson could not drive his big rig on Rupert Street and had to take Nanaimo instead. Mr. Tupper eventually closed the distance between his vehicle and the slower-moving vehicle being driven by Mr. Youngson. He testified that he spotted Mr. Youngson's vehicle ahead of him when Mr. Tupper was about 10 blocks or so east of Commercial Drive. Mr. Youngson had a green light at Commercial Drive and went through the intersection, but by the time Mr. Tupper reached Commercial Drive he had to stop for a red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When the light turned green for westbound traffic on Broadway, Mr. Tupper drove through the Commercial Drive intersection and began to narrow the distance between his vehicle and the vehicle driven by Mr. Youngson.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Tupper was travelling in the middle lane -- the same lane in which Mr. Youngson was driving. As Mr. Tupper was driving towards the intersection with Clark Drive, but still some distance away, he saw the brake lights of Mr. Youngson's vehicle come on and then saw the rear lights of a vehicle moving from the centre lane into the middle lane ahead of Mr. Youngson's vehicle. Then he saw the four-way flashers come on at the rear of Mr. Youngson's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Tupper pulled up at the intersection where he saw Mr. Youngson and Mr. Bingul arguing at the side of the road. He heard Mr. Bingul say "Look what you did to my car", and he heard Mr. Youngson say "That damage couldn't have happened now -- look, it's rusty." Mr. Tupper inspected the front of the truck driven by Mr. Youngson and the rear of Mr. Bingul's vehicle. He did not see any damage to the truck except, perhaps, a wear mark on the bumper. He did not see any damage to the rear of Mr. Bingul's vehicle but recalled Mr. Bingul pointing to the bumper and saying to Mr. Youngson "Look what you did; look what you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Bingul testified that Mr. Youngson called "his friend" on a cellular phone after the telephone calls to police and that the friend (whom we now know was Mr. Tupper) did not arrive at the scene of the accident until 10 or 15 minutes after the collision occurred and left before Mr. Bingul and Mr. Youngson exchanged information. This sequence of events does not accord with Mr. Bingul's earlier testimony that as soon as he called the police Mr. Youngson calmed down and provided driver's licence and registration information with him. Mr. Youngson and Mr. Tupper both place Mr. Tupper's arrival very soon after the collision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 AND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parties provided the Court with five authorities I consider relevant to the issue of liability in this case - </w:t>
      </w:r>
      <w:r>
        <w:rPr>
          <w:rFonts w:ascii="arial" w:eastAsia="arial" w:hAnsi="arial" w:cs="arial"/>
          <w:i/>
          <w:color w:val="000000"/>
          <w:sz w:val="20"/>
          <w:lang w:val="en-US" w:eastAsia="en-US" w:bidi="ar-SA"/>
        </w:rPr>
        <w:t>Cue v. Breitkreuz</w:t>
      </w:r>
      <w:r>
        <w:rPr>
          <w:rFonts w:ascii="arial" w:eastAsia="arial" w:hAnsi="arial" w:cs="arial"/>
          <w:color w:val="000000"/>
          <w:sz w:val="20"/>
          <w:lang w:val="en-US" w:eastAsia="en-US" w:bidi="ar-SA"/>
        </w:rPr>
        <w:t xml:space="preserve">, </w:t>
      </w:r>
      <w:hyperlink r:id="rId609" w:history="1">
        <w:r>
          <w:rPr>
            <w:rFonts w:ascii="arial" w:eastAsia="arial" w:hAnsi="arial" w:cs="arial"/>
            <w:i/>
            <w:color w:val="0077CC"/>
            <w:sz w:val="20"/>
            <w:u w:val="single"/>
            <w:shd w:val="clear" w:color="auto" w:fill="FFFFFF"/>
            <w:lang w:val="en-US" w:eastAsia="en-US" w:bidi="ar-SA"/>
          </w:rPr>
          <w:t>2010 BCSC 617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Singleton v. Morris</w:t>
      </w:r>
      <w:r>
        <w:rPr>
          <w:rFonts w:ascii="arial" w:eastAsia="arial" w:hAnsi="arial" w:cs="arial"/>
          <w:color w:val="000000"/>
          <w:sz w:val="20"/>
          <w:lang w:val="en-US" w:eastAsia="en-US" w:bidi="ar-SA"/>
        </w:rPr>
        <w:t xml:space="preserve">, </w:t>
      </w:r>
      <w:hyperlink r:id="rId610" w:history="1">
        <w:r>
          <w:rPr>
            <w:rFonts w:ascii="arial" w:eastAsia="arial" w:hAnsi="arial" w:cs="arial"/>
            <w:i/>
            <w:color w:val="0077CC"/>
            <w:sz w:val="20"/>
            <w:u w:val="single"/>
            <w:shd w:val="clear" w:color="auto" w:fill="FFFFFF"/>
            <w:lang w:val="en-US" w:eastAsia="en-US" w:bidi="ar-SA"/>
          </w:rPr>
          <w:t>2010 BCCA 48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Stanikzai v. Bola</w:t>
      </w:r>
      <w:r>
        <w:rPr>
          <w:rFonts w:ascii="arial" w:eastAsia="arial" w:hAnsi="arial" w:cs="arial"/>
          <w:color w:val="000000"/>
          <w:sz w:val="20"/>
          <w:lang w:val="en-US" w:eastAsia="en-US" w:bidi="ar-SA"/>
        </w:rPr>
        <w:t xml:space="preserve">, </w:t>
      </w:r>
      <w:hyperlink r:id="rId611" w:history="1">
        <w:r>
          <w:rPr>
            <w:rFonts w:ascii="arial" w:eastAsia="arial" w:hAnsi="arial" w:cs="arial"/>
            <w:i/>
            <w:color w:val="0077CC"/>
            <w:sz w:val="20"/>
            <w:u w:val="single"/>
            <w:shd w:val="clear" w:color="auto" w:fill="FFFFFF"/>
            <w:lang w:val="en-US" w:eastAsia="en-US" w:bidi="ar-SA"/>
          </w:rPr>
          <w:t>2012 BCSC 846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Rai v. Fowler</w:t>
      </w:r>
      <w:r>
        <w:rPr>
          <w:rFonts w:ascii="arial" w:eastAsia="arial" w:hAnsi="arial" w:cs="arial"/>
          <w:color w:val="000000"/>
          <w:sz w:val="20"/>
          <w:lang w:val="en-US" w:eastAsia="en-US" w:bidi="ar-SA"/>
        </w:rPr>
        <w:t xml:space="preserve">, </w:t>
      </w:r>
      <w:hyperlink r:id="rId612" w:history="1">
        <w:r>
          <w:rPr>
            <w:rFonts w:ascii="arial" w:eastAsia="arial" w:hAnsi="arial" w:cs="arial"/>
            <w:i/>
            <w:color w:val="0077CC"/>
            <w:sz w:val="20"/>
            <w:u w:val="single"/>
            <w:shd w:val="clear" w:color="auto" w:fill="FFFFFF"/>
            <w:lang w:val="en-US" w:eastAsia="en-US" w:bidi="ar-SA"/>
          </w:rPr>
          <w:t>2007 BCSC 1678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Ayers v. Singh</w:t>
      </w:r>
      <w:r>
        <w:rPr>
          <w:rFonts w:ascii="arial" w:eastAsia="arial" w:hAnsi="arial" w:cs="arial"/>
          <w:color w:val="000000"/>
          <w:sz w:val="20"/>
          <w:lang w:val="en-US" w:eastAsia="en-US" w:bidi="ar-SA"/>
        </w:rPr>
        <w:t xml:space="preserve">, </w:t>
      </w:r>
      <w:hyperlink r:id="rId613" w:history="1">
        <w:r>
          <w:rPr>
            <w:rFonts w:ascii="arial" w:eastAsia="arial" w:hAnsi="arial" w:cs="arial"/>
            <w:i/>
            <w:color w:val="0077CC"/>
            <w:sz w:val="20"/>
            <w:u w:val="single"/>
            <w:shd w:val="clear" w:color="auto" w:fill="FFFFFF"/>
            <w:lang w:val="en-US" w:eastAsia="en-US" w:bidi="ar-SA"/>
          </w:rPr>
          <w:t>[1997] B.C.J. No. 350</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Stanikzai v. Bola</w:t>
      </w:r>
      <w:r>
        <w:rPr>
          <w:rFonts w:ascii="arial" w:eastAsia="arial" w:hAnsi="arial" w:cs="arial"/>
          <w:color w:val="000000"/>
          <w:sz w:val="20"/>
          <w:lang w:val="en-US" w:eastAsia="en-US" w:bidi="ar-SA"/>
        </w:rPr>
        <w:t>, Justice N. Smith noted, at para. 7,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one vehicle hits another from behind, the onus is on the driver of the rear vehicle to show that the collision was not caused by his or her fault: </w:t>
      </w:r>
      <w:r>
        <w:rPr>
          <w:rFonts w:ascii="arial" w:eastAsia="arial" w:hAnsi="arial" w:cs="arial"/>
          <w:i/>
          <w:color w:val="000000"/>
          <w:sz w:val="20"/>
          <w:lang w:val="en-US" w:eastAsia="en-US" w:bidi="ar-SA"/>
        </w:rPr>
        <w:t>Barrie v. Marshall</w:t>
      </w:r>
      <w:r>
        <w:rPr>
          <w:rFonts w:ascii="arial" w:eastAsia="arial" w:hAnsi="arial" w:cs="arial"/>
          <w:color w:val="000000"/>
          <w:sz w:val="20"/>
          <w:lang w:val="en-US" w:eastAsia="en-US" w:bidi="ar-SA"/>
        </w:rPr>
        <w:t xml:space="preserve">, </w:t>
      </w:r>
      <w:hyperlink r:id="rId614" w:history="1">
        <w:r>
          <w:rPr>
            <w:rFonts w:ascii="arial" w:eastAsia="arial" w:hAnsi="arial" w:cs="arial"/>
            <w:i/>
            <w:color w:val="0077CC"/>
            <w:sz w:val="20"/>
            <w:u w:val="single"/>
            <w:shd w:val="clear" w:color="auto" w:fill="FFFFFF"/>
            <w:lang w:val="en-US" w:eastAsia="en-US" w:bidi="ar-SA"/>
          </w:rPr>
          <w:t>2010 BCSC 981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 also noted, however, in para. 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while liability for a rear end collision usually rests entirely with the following driver, that is not an invariable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that case, like the case at bar, the plaintiff and defendant gave conflicting versions of the accident circumstances that could not be reconciled. In that case, the plaintiff was the following driver who maintained that the defendant had suddenly moved into his lane of travel. There was an independent witness whose testimony supported some aspects of the plaintiff's testimony. Justice Smith preferred the testimony of the independent witness and the plaintiff and found the defendant to be 75% liable for causing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another decision of Justice N. Smith - </w:t>
      </w:r>
      <w:r>
        <w:rPr>
          <w:rFonts w:ascii="arial" w:eastAsia="arial" w:hAnsi="arial" w:cs="arial"/>
          <w:i/>
          <w:color w:val="000000"/>
          <w:sz w:val="20"/>
          <w:lang w:val="en-US" w:eastAsia="en-US" w:bidi="ar-SA"/>
        </w:rPr>
        <w:t>Cue v. Breitkreuz</w:t>
      </w:r>
      <w:r>
        <w:rPr>
          <w:rFonts w:ascii="arial" w:eastAsia="arial" w:hAnsi="arial" w:cs="arial"/>
          <w:color w:val="000000"/>
          <w:sz w:val="20"/>
          <w:lang w:val="en-US" w:eastAsia="en-US" w:bidi="ar-SA"/>
        </w:rPr>
        <w:t xml:space="preserve"> - the defendant struck the plaintiff's vehicle from the rear, but the plaintiff's action was dismissed. Justice Smith concluded that the plaintiff had caused the accident by negligently making an abrupt lane change and stop; creating a situation in which the defendant did not have a safe stopping distance behind the plaintiff's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There are provisions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relevant to the issue of liability in this case. Section 144(1) of that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person must not drive a motor vehicle on a highway</w:t>
      </w:r>
      <w:r>
        <w:rPr>
          <w:rFonts w:ascii="arial" w:eastAsia="arial" w:hAnsi="arial" w:cs="arial"/>
          <w:sz w:val="20"/>
          <w:lang w:val="en-US" w:eastAsia="en-US" w:bidi="ar-SA"/>
        </w:rPr>
        <w:cr/>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due care and attention</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reasonable consideration for other persons using the highway, or</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a speed that is excessive relative to the road, traffic, visibility or weather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Section 162(1)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driver of a vehicle must not cause or permit the vehicle to follow another vehicle more closely than is reasonable and prudent, having due regard for the speed of the vehicles and the amount and nature of traffic on and the condition of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And section 151(a) provides: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driver who is driving a vehicle on a laned roadway</w:t>
      </w:r>
      <w:r>
        <w:rPr>
          <w:rFonts w:ascii="arial" w:eastAsia="arial" w:hAnsi="arial" w:cs="arial"/>
          <w:sz w:val="20"/>
          <w:lang w:val="en-US" w:eastAsia="en-US" w:bidi="ar-SA"/>
        </w:rPr>
        <w:cr/>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not drive from one lane to another when a broken line only exists between the lanes, unless the driver has ascertained that movement can be made with safety and will in no way affect the travel of another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Singleton v. Morris</w:t>
      </w:r>
      <w:r>
        <w:rPr>
          <w:rFonts w:ascii="arial" w:eastAsia="arial" w:hAnsi="arial" w:cs="arial"/>
          <w:color w:val="000000"/>
          <w:sz w:val="20"/>
          <w:lang w:val="en-US" w:eastAsia="en-US" w:bidi="ar-SA"/>
        </w:rPr>
        <w:t xml:space="preserve">, </w:t>
      </w:r>
      <w:hyperlink r:id="rId610" w:history="1">
        <w:r>
          <w:rPr>
            <w:rFonts w:ascii="arial" w:eastAsia="arial" w:hAnsi="arial" w:cs="arial"/>
            <w:i/>
            <w:color w:val="0077CC"/>
            <w:sz w:val="20"/>
            <w:u w:val="single"/>
            <w:shd w:val="clear" w:color="auto" w:fill="FFFFFF"/>
            <w:lang w:val="en-US" w:eastAsia="en-US" w:bidi="ar-SA"/>
          </w:rPr>
          <w:t>2010 BCCA 48</w:t>
        </w:r>
      </w:hyperlink>
      <w:r>
        <w:rPr>
          <w:rFonts w:ascii="arial" w:eastAsia="arial" w:hAnsi="arial" w:cs="arial"/>
          <w:color w:val="000000"/>
          <w:sz w:val="20"/>
          <w:lang w:val="en-US" w:eastAsia="en-US" w:bidi="ar-SA"/>
        </w:rPr>
        <w:t xml:space="preserve">; the Court heard an appeal by a plaintiff from the dismissal of her case against a driver who had collided with the rear of the plaintiff's vehicle. The trial judge had found that there was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 but that the defendant having provided an explanation as to how the accident could have happened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her part (presence of an oily substance on the road's surface); the onus of proving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remained on the plaintiff. The trial judge concluded that plaintiff had failed to establish that the defendant was driving at an excessive speed or braked too late and therefore the action was dismissed. The Court of Appeal found no error in the trial judge's application of the law and dismissed the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There was nothing particular about the appearance or demeanour of Mr. Bingul or Mr. Youngson, or for that matter, Mr. Tupper while testifying, that cast real doubt on the veracity or reliability of any witness. Rather, the assessment of the credibility of the two versions of events offered by the two drivers must depend on the internal consistency of their testimony and the consistency of their testimony with other testimony and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have already noted a significant inconsistency between the statement Mr. Bingul made to an insurance adjuster on November 28, 2011 and the testimony he gave at trial about the timing of the collision in relation to the green light for westbound traffic on Broadway; and some discrepancies between answers given on examination for discovery and at trial. Mr. Bingul's testimony about when he first saw Mr. Youngson's vehicle and when that vehicle changed lanes, and from which lane, was less than precise.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Cross-examination of Mr. Youngson did not reveal any significant inconsistencies with his pre-trial statement. His testimony at trial about how the accident happened was not inconsistent with his statement to the insurance adjuster on December 12, 2011; and was consistent with assertions that Mr. Bingul testified were made by Mr. Youngson immediately after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Youngson's testimony is also supported to some extent by the testimony of Michael Tupper that he saw a vehicle move from the centre lane to the middle lane in front of Mr. Youngson's vehicle, just before he saw Mr. Youngson's flashers activated. Although it is unlikely, in my view, that Mr. Tupper could positively identify Mr. Bingul's vehicle as the vehicle that changed lanes in front of Mr. Youngson's vehicle, given Mr. Tupper's distance from the two vehicles involved in the collision, I also consider it improbable that the vehicle he saw changing lanes could have been any vehicle other than that driven by Mr. Bingul.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Court had more opportunity to assess the consistency and credibility of Mr. Bingul's testimony during the trial because he testified about his injuries and his employment history. I accept that Mr. Bingul was injured as a result of the accident. There were, however, some inconsistencies in his testimony about his employment history that also reflect on his general credibility as a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Bingul proved to be a poor historian in relation to his work history; particularly in 2011 - the year in which the accident happened. In 2011, Mr. Bingul had quit his job with his employer of many years following a conflict with another employee. He went to work for a roofing company; but then was rehired by his previous employer. Mr. Bingul initially said he had been back at work for his original employer for perhaps five or six months before the accident happened. According to the employer's records; he had actually been back to work for his original employer for only one month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Bingul also testified that he had been earning about $50,000 a year in the years before the accident; and expected he would have earned about the same amount in 2011 if the accident had not happened. Tax returns entered into evidence indicated that Mr. Bingul never earned more than $33,000 a year in the several years before the accident and was unlikely to have earned more than $25,000 in 2011 even if the accident had not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Having considered these and other matters relevant to credibility, and taking into account the testimony of Mr. Tupper, which supports the testimony of Mr. Youngson, I conclude that I must and do prefer the evidence of Mr. Youngson about the circumstances of the accident. I conclude that Mr. Youngson has provided an explanation for the collision -- the sudden and unexpected lane change made by Mr. Bingul -- that negatives the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assumption of liability on the following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 am unable to conclude that anything done or not done by Mr. Youngson constituted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caused or contributed to the collision. Mr. Youngson testified that as he was approaching the intersection with Clark Drive he anticipated having to bring his vehicle to a stop for a red light. He braked and down-shifted and reduced his speed to 30 to 35 kph as he approached the intersection. He testified that had Mr. Bingul not suddenly moved into his lane ahead of him, he would have able to bring his vehicle to a complete stop at or before the stop line, but that Mr. Bingul's move reduced his stopping distance to an unsafe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Bingul was aware that there was a large and heavy vehicle in the lane. I conclude that it was solely Mr. Bingul's sudden and negligent move into the lane of travel of Mr. Youngson's large and heavy vehicle that created the risk of collision and resulted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therefore dismiss the plaintiff's claims against all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If the parties are unable to agree about costs, any party may make application in Civil Chambers to resolve the costs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W.G. BAKER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59"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5"/>
          <w:headerReference w:type="default" r:id="rId616"/>
          <w:footerReference w:type="even" r:id="rId617"/>
          <w:footerReference w:type="default" r:id="rId618"/>
          <w:headerReference w:type="first" r:id="rId619"/>
          <w:footerReference w:type="first" r:id="rId62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621" w:history="1">
        <w:r>
          <w:rPr>
            <w:rFonts w:ascii="arial" w:eastAsia="arial" w:hAnsi="arial" w:cs="arial"/>
            <w:b/>
            <w:bCs/>
            <w:i/>
            <w:color w:val="0077CC"/>
            <w:kern w:val="32"/>
            <w:sz w:val="28"/>
            <w:szCs w:val="32"/>
            <w:u w:val="single"/>
            <w:shd w:val="clear" w:color="auto" w:fill="FFFFFF"/>
            <w:lang w:val="en-US" w:eastAsia="en-US" w:bidi="ar-SA"/>
          </w:rPr>
          <w:t>Bradaric v. Dr. B.B.K. Pirani Inc., [2006] B.C.J. No. 1683</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Chilliwack,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Gill J.</w:t>
      </w:r>
    </w:p>
    <w:p>
      <w:pPr>
        <w:spacing w:before="120" w:line="260" w:lineRule="atLeast"/>
        <w:jc w:val="center"/>
        <w:rPr>
          <w:lang w:val="en-US" w:eastAsia="en-US" w:bidi="ar-SA"/>
        </w:rPr>
      </w:pPr>
      <w:r>
        <w:rPr>
          <w:rFonts w:ascii="arial" w:eastAsia="arial" w:hAnsi="arial" w:cs="arial"/>
          <w:color w:val="000000"/>
          <w:sz w:val="20"/>
          <w:lang w:val="en-US" w:eastAsia="en-US" w:bidi="ar-SA"/>
        </w:rPr>
        <w:t>Heard: December 12-16, 2005.</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June 30, 2006.</w:t>
      </w:r>
    </w:p>
    <w:p>
      <w:pPr>
        <w:spacing w:before="120" w:line="260" w:lineRule="atLeast"/>
        <w:jc w:val="center"/>
        <w:rPr>
          <w:lang w:val="en-US" w:eastAsia="en-US" w:bidi="ar-SA"/>
        </w:rPr>
      </w:pPr>
      <w:r>
        <w:rPr>
          <w:rFonts w:ascii="arial" w:eastAsia="arial" w:hAnsi="arial" w:cs="arial"/>
          <w:color w:val="000000"/>
          <w:sz w:val="20"/>
          <w:lang w:val="en-US" w:eastAsia="en-US" w:bidi="ar-SA"/>
        </w:rPr>
        <w:t>Chilliwack Registry No. S13679</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[2006] B.C.J. No. 1683</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2006 BCSC 1026</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151 A.C.W.S. (3d) 958</w:t>
      </w:r>
    </w:p>
    <w:p>
      <w:pPr>
        <w:spacing w:before="120" w:line="260" w:lineRule="atLeast"/>
        <w:rPr>
          <w:lang w:val="en-US" w:eastAsia="en-US" w:bidi="ar-SA"/>
        </w:rPr>
      </w:pPr>
      <w:r>
        <w:rPr>
          <w:rFonts w:ascii="arial" w:eastAsia="arial" w:hAnsi="arial" w:cs="arial"/>
          <w:color w:val="000000"/>
          <w:sz w:val="20"/>
          <w:lang w:val="en-US" w:eastAsia="en-US" w:bidi="ar-SA"/>
        </w:rPr>
        <w:t>Between Sofia Bradaric, plaintiff, and Dr. B.B.K. Pirani Inc.,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(62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60" style="position:absolute;z-index:251686912"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83" w:name="Keywords_26"/>
      <w:bookmarkEnd w:id="183"/>
      <w:r>
        <w:rPr>
          <w:rFonts w:ascii="arial" w:eastAsia="arial" w:hAnsi="arial" w:cs="arial"/>
          <w:b/>
          <w:color w:val="000000"/>
          <w:sz w:val="20"/>
          <w:lang w:val="en-US" w:eastAsia="en-US" w:bidi="ar-SA"/>
        </w:rPr>
        <w:t xml:space="preserve">Damages — For torts — Affecting the person — Assault and battery — The plaintiff was awarded $20,000 in damages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for the loss of her fertility after the defendant doctor performed a hysterectomy in contradiction with her expressed wishes.</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 xml:space="preserve">Health law — Health care professionals — Liability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Treatment, authorization for — Consent — The plaintiff was awarded $20,000 in damages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for the loss of her fertility after the defendant doctor performed a hysterectomy in contradiction with her expressed wishes.</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 xml:space="preserve">Professional responsibility — Professions — Health care — Doctors — The plaintiff was awarded $20,000 in damages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for the loss of her fertility after the defendant doctor performed a hysterectomy in contradiction with her expressed wishes.</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 xml:space="preserve">Tort law — Trespass — To person — Battery — The plaintiff was awarded $20,000 in damages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for the loss of her fertility after the defendant doctor performed a hysterectomy in contradiction with her expressed wishes.</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84" w:name="Case Summary_25"/>
            <w:bookmarkEnd w:id="184"/>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plaintiff for battery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 doctor arising from the plaintiff's loss of fertility -- The plaintiff signed a consent for the defendant to perform a hysterectomy -- The plaintiff claimed that she had consented to the procedure if necessary to remove a fibroid, but that she and the defendant had verbally agreed that the defendant would not perform the hysterectomy if he discovered that she only had endometriosis, as she wished to have children if possible -- HELD: Action allowed in part and plaintiff awarded $20,000 in damages -- Actions for battery were confined to cases where no consent at all was given or treatment was performed beyond that to which there was consent -- Given the evidence, it could not be concluded that the plaintiff failed to consent to the treatment as given, so there was no basis for a finding in battery -- However, the evidence indicated that the plaintiff had told the defendant that she wished to preserve her fertility -- As a result, the defendant failed to meet the required standard of care by proceeding with the hysterectomy in the circumstances -- Given that the plaintiff's chances of conceiving were small before the surgery, she was entitled to damages of $20,000. </w:t>
            </w:r>
            <w:r>
              <w:rPr>
                <w:lang w:val="en-US" w:eastAsia="en-US" w:bidi="ar-SA"/>
              </w:rPr>
              <w:cr/>
            </w:r>
          </w:p>
          <w:p>
            <w:pPr>
              <w:rPr>
                <w:lang w:val="en-US" w:eastAsia="en-US" w:bidi="ar-SA"/>
              </w:rPr>
            </w:pPr>
          </w:p>
        </w:tc>
      </w:tr>
    </w:tbl>
    <w:p>
      <w:pPr>
        <w:jc w:val="both"/>
        <w:rPr>
          <w:lang w:val="en-US" w:eastAsia="en-US" w:bidi="ar-SA"/>
        </w:rPr>
      </w:pPr>
      <w:bookmarkStart w:id="185" w:name="Counsel_27"/>
      <w:bookmarkEnd w:id="185"/>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61" style="position:absolute;z-index:25173811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The Plaintiff, appearing in person: Sofia Bradaric</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 Barbara J. Norell</w:t>
      </w:r>
      <w:r>
        <w:rPr>
          <w:lang w:val="en-US" w:eastAsia="en-US" w:bidi="ar-SA"/>
        </w:rPr>
        <w:cr/>
      </w:r>
    </w:p>
    <w:p>
      <w:pPr>
        <w:spacing w:after="240"/>
        <w:rPr>
          <w:lang w:val="en-US" w:eastAsia="en-US" w:bidi="ar-SA"/>
        </w:rPr>
      </w:pPr>
      <w:bookmarkStart w:id="186" w:name="Judgment_27"/>
      <w:bookmarkEnd w:id="186"/>
      <w:r>
        <w:pict>
          <v:line id="_x0000_s1162" style="position:absolute;z-index:251789312" from="0,12pt" to="512pt,12pt" strokecolor="#009ddb" strokeweight="1.5pt">
            <v:stroke linestyle="single"/>
          </v:line>
        </w:pict>
      </w:r>
    </w:p>
    <w:p>
      <w:pPr>
        <w:spacing w:before="120" w:line="240" w:lineRule="atLeast"/>
        <w:ind w:firstLine="240"/>
        <w:rPr>
          <w:lang w:val="en-US" w:eastAsia="en-US" w:bidi="ar-SA"/>
        </w:rPr>
      </w:pPr>
      <w:r>
        <w:rPr>
          <w:rFonts w:ascii="arial" w:eastAsia="arial" w:hAnsi="arial" w:cs="arial"/>
          <w:color w:val="000000"/>
          <w:sz w:val="18"/>
          <w:lang w:val="en-US" w:eastAsia="en-US" w:bidi="ar-SA"/>
        </w:rPr>
        <w:t>[Editor's note: A corrigendum was released by the Court July 21, 2006; the correction has been made to the text and the corrigendum is appended to this document.]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2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87" w:name="GILL J."/>
            <w:bookmarkEnd w:id="187"/>
            <w:r>
              <w:rPr>
                <w:rFonts w:ascii="arial" w:eastAsia="arial" w:hAnsi="arial" w:cs="arial"/>
                <w:b/>
                <w:color w:val="000000"/>
                <w:sz w:val="30"/>
                <w:lang w:val="en-US" w:eastAsia="en-US" w:bidi="ar-SA"/>
              </w:rPr>
              <w:t>GILL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Ms. Bradaric was referred to Dr. Pirani, an obstetrician and gynaecologist, by her family physician because of pain in the left lower abdomen. On September 18, 2001, a hysterectomy was performed. Although the plaintiff signed a consent form stating that she authorized Dr. Pirani to carry out a total abdominal hysterectomy, it is her assertion that she did not want a hysterectomy as she had hoped to become pregnant. She says she signed the consent relying on Dr. Pirani's agreement, made when surgery was being discussed, that a hysterectomy would be done only if necessary.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 who has represented herself throughout these proceedings, seeks damages for loss of fertility. In her statement of claim, it is alleged that she did not consent to the surgery that was performed. It is alleged that notwithstanding that an ultrasound report stated that she had a fibroid, Ms. Bradaric did not believe she had a fibroid. Rather, it was her belief that she had an ovarian cyst. She asked Dr. Pirani not to remove her uterus if at the time of surgery it was determined that she had an ovarian cyst, but he did not do so and instead, "went against my pre-operation verbal agreement with him". The plaintiff did not plead or argue that her consent was uninformed as it was given for treatment of a condition which was misdiagnosed, nor was there evidence that additional relevant information should have been disclosed to her. It is also alleged that she received substandard care in that tests were denied prior to surgery, Dr. Pirani did not recommend a myomectomy and he was mistaken in his belief that she had previously been diagnosed as having a fibroid or endometriosis. Damages are sought for battery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evidence of Ms. Bradaric and Dr. Pirani about their discussions is contradictory. Before reviewing their testimony, it is useful to set out background facts which are not controversial and to refer to certain letters and reports.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Dr. Ormston was the plaintiff's family physician. She saw the plaintiff on April 27, 2001, at which time Ms. Bradaric was complaining of rectal bleeding. On examination, Dr. Ormston noted a mass in the right pelvic area and Ms. Bradaric's abdomen was generally tender. She therefore arranged for a pelvic ultrasound.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radiology report in respect of the ultrasound states that there is a large uterine fibroid at the posterior right aspect of the front of the uterus measuring 7.2 x 6 x 11.5 centimetres and cysts on the right and left ovaries. An appointment was arranged with Dr. Pirani for May 24, 2001.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Dr. Ormston's referral letter of May 10, 2001, to Dr. Pirani is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Thank you for seeing this lady who presented with rectal bleeding, likely secondary to excessive vitamin C and Iron and was found to have a right pelvic mass. On ultrasound she has a uterine fibroid and bilateral ovarian cysts.</w:t>
      </w:r>
    </w:p>
    <w:p>
      <w:pPr>
        <w:spacing w:before="120" w:line="260" w:lineRule="atLeast"/>
        <w:ind w:left="720"/>
        <w:rPr>
          <w:lang w:val="en-US" w:eastAsia="en-US" w:bidi="ar-SA"/>
        </w:rPr>
      </w:pPr>
      <w:r>
        <w:rPr>
          <w:rFonts w:ascii="arial" w:eastAsia="arial" w:hAnsi="arial" w:cs="arial"/>
          <w:color w:val="000000"/>
          <w:sz w:val="20"/>
          <w:lang w:val="en-US" w:eastAsia="en-US" w:bidi="ar-SA"/>
        </w:rPr>
        <w:t>Sofia has severe psoriatic arthropathy for which she has bilateral total hip arthroplasty and for which she takes Indomethacin 50 mg. two or three times daily and Cyclosporine 100 mg. bid. She also has inflammatory bowel disease for which she takes Loperamide 2 mg. when necessary. She also takes 8 Tylenol #3 per day and Oxycocet one to two per day and Ativan .5 mg. one to two per day. She is followed along by Dr. Kam Shojania, a Rheumatologist.</w:t>
      </w:r>
    </w:p>
    <w:p>
      <w:pPr>
        <w:spacing w:before="120" w:line="260" w:lineRule="atLeast"/>
        <w:ind w:left="720"/>
        <w:rPr>
          <w:lang w:val="en-US" w:eastAsia="en-US" w:bidi="ar-SA"/>
        </w:rPr>
      </w:pPr>
      <w:r>
        <w:rPr>
          <w:rFonts w:ascii="arial" w:eastAsia="arial" w:hAnsi="arial" w:cs="arial"/>
          <w:color w:val="000000"/>
          <w:sz w:val="20"/>
          <w:lang w:val="en-US" w:eastAsia="en-US" w:bidi="ar-SA"/>
        </w:rPr>
        <w:t>I am not certain of Sofia's present social situation but in the fairly recent past she had talked about a pregnancy but I did suggest to her that her high analgesic use was a relative contraindication.</w:t>
      </w:r>
    </w:p>
    <w:p>
      <w:pPr>
        <w:spacing w:before="120" w:line="260" w:lineRule="atLeast"/>
        <w:ind w:left="720"/>
        <w:rPr>
          <w:lang w:val="en-US" w:eastAsia="en-US" w:bidi="ar-SA"/>
        </w:rPr>
      </w:pPr>
      <w:r>
        <w:rPr>
          <w:rFonts w:ascii="arial" w:eastAsia="arial" w:hAnsi="arial" w:cs="arial"/>
          <w:color w:val="000000"/>
          <w:sz w:val="20"/>
          <w:lang w:val="en-US" w:eastAsia="en-US" w:bidi="ar-SA"/>
        </w:rPr>
        <w:t>Sofia feels some discomfort in the left lower abdomen at times and I think that she would like to discuss surgical treatment of the problem with you.</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As Dr. Ormston noted in her letter, the plaintiff suffers from psoriatic arthritis. It has been resistant to disease modifying therapies. Ms. Bradaric has inflammation of the spine as well as the peripheral joints. She also has an inflammatory bowel disease which is often associated with psoriatic arthritis. Both of her hips have been replaced, the right in 1997 and the left in 1998. Ms. Bradaric is under the care of a rheumatologist, Dr. Shojania. Treatment of her inflammatory arthritis has included Cyclosporine, which is not recommended for use during pregnancy, and Tylenol 3.</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was seen by Dr. Pirani on May 24. His consultation report of that same date sets out his findings and diagnosis. It states: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Many thanks for your letter about this patient whom I saw at the office on 24 May 2001. She is a 36 year old, G0P0 patient whose main complaint is that of pain in the L lower abdomen for the last 5-6 years. She had previously seen a gynaecologist in Surrey and was told that she had fibroids and endometriosis. She was treated with Danazol for about a year which helped her quite a lot. However the pain has returned. Her periods are normal and regular. The latest ultrasound of the pelvis has revealed a large uterine fibroid at the posterior R aspect of the front of the uterus measuring 7.2 x 6.0 x 11.5 cm in size.</w:t>
      </w:r>
    </w:p>
    <w:p>
      <w:pPr>
        <w:spacing w:before="120" w:line="260" w:lineRule="atLeast"/>
        <w:ind w:left="720"/>
        <w:rPr>
          <w:lang w:val="en-US" w:eastAsia="en-US" w:bidi="ar-SA"/>
        </w:rPr>
      </w:pPr>
      <w:r>
        <w:rPr>
          <w:rFonts w:ascii="arial" w:eastAsia="arial" w:hAnsi="arial" w:cs="arial"/>
          <w:i/>
          <w:color w:val="000000"/>
          <w:sz w:val="20"/>
          <w:lang w:val="en-US" w:eastAsia="en-US" w:bidi="ar-SA"/>
        </w:rPr>
        <w:t>Past Medical History</w:t>
      </w:r>
      <w:r>
        <w:rPr>
          <w:rFonts w:ascii="arial" w:eastAsia="arial" w:hAnsi="arial" w:cs="arial"/>
          <w:color w:val="000000"/>
          <w:sz w:val="20"/>
          <w:lang w:val="en-US" w:eastAsia="en-US" w:bidi="ar-SA"/>
        </w:rPr>
        <w:t>: She has got psoriatic arthropathy, bilateral hip replacement, irritable bowel syndrome.</w:t>
      </w:r>
    </w:p>
    <w:p>
      <w:pPr>
        <w:spacing w:before="120" w:line="260" w:lineRule="atLeast"/>
        <w:ind w:left="720"/>
        <w:rPr>
          <w:lang w:val="en-US" w:eastAsia="en-US" w:bidi="ar-SA"/>
        </w:rPr>
      </w:pPr>
      <w:r>
        <w:rPr>
          <w:rFonts w:ascii="arial" w:eastAsia="arial" w:hAnsi="arial" w:cs="arial"/>
          <w:i/>
          <w:color w:val="000000"/>
          <w:sz w:val="20"/>
          <w:lang w:val="en-US" w:eastAsia="en-US" w:bidi="ar-SA"/>
        </w:rPr>
        <w:t>Medications</w:t>
      </w:r>
      <w:r>
        <w:rPr>
          <w:rFonts w:ascii="arial" w:eastAsia="arial" w:hAnsi="arial" w:cs="arial"/>
          <w:color w:val="000000"/>
          <w:sz w:val="20"/>
          <w:lang w:val="en-US" w:eastAsia="en-US" w:bidi="ar-SA"/>
        </w:rPr>
        <w:t>: She takes Oxycocet, Cyclosporine and Tylenol 3.</w:t>
      </w:r>
    </w:p>
    <w:p>
      <w:pPr>
        <w:spacing w:before="120" w:line="260" w:lineRule="atLeast"/>
        <w:ind w:left="720"/>
        <w:rPr>
          <w:lang w:val="en-US" w:eastAsia="en-US" w:bidi="ar-SA"/>
        </w:rPr>
      </w:pPr>
      <w:r>
        <w:rPr>
          <w:rFonts w:ascii="arial" w:eastAsia="arial" w:hAnsi="arial" w:cs="arial"/>
          <w:i/>
          <w:color w:val="000000"/>
          <w:sz w:val="20"/>
          <w:lang w:val="en-US" w:eastAsia="en-US" w:bidi="ar-SA"/>
        </w:rPr>
        <w:t>Drug Allergies</w:t>
      </w:r>
      <w:r>
        <w:rPr>
          <w:rFonts w:ascii="arial" w:eastAsia="arial" w:hAnsi="arial" w:cs="arial"/>
          <w:color w:val="000000"/>
          <w:sz w:val="20"/>
          <w:lang w:val="en-US" w:eastAsia="en-US" w:bidi="ar-SA"/>
        </w:rPr>
        <w:t>: Mathotraxate.</w:t>
      </w:r>
    </w:p>
    <w:p>
      <w:pPr>
        <w:spacing w:before="120" w:line="260" w:lineRule="atLeast"/>
        <w:ind w:left="720"/>
        <w:rPr>
          <w:lang w:val="en-US" w:eastAsia="en-US" w:bidi="ar-SA"/>
        </w:rPr>
      </w:pPr>
      <w:r>
        <w:rPr>
          <w:rFonts w:ascii="arial" w:eastAsia="arial" w:hAnsi="arial" w:cs="arial"/>
          <w:i/>
          <w:color w:val="000000"/>
          <w:sz w:val="20"/>
          <w:lang w:val="en-US" w:eastAsia="en-US" w:bidi="ar-SA"/>
        </w:rPr>
        <w:t>Social History</w:t>
      </w:r>
      <w:r>
        <w:rPr>
          <w:rFonts w:ascii="arial" w:eastAsia="arial" w:hAnsi="arial" w:cs="arial"/>
          <w:color w:val="000000"/>
          <w:sz w:val="20"/>
          <w:lang w:val="en-US" w:eastAsia="en-US" w:bidi="ar-SA"/>
        </w:rPr>
        <w:t>: She is on disability and a non-smoker.</w:t>
      </w:r>
    </w:p>
    <w:p>
      <w:pPr>
        <w:spacing w:before="120" w:line="260" w:lineRule="atLeast"/>
        <w:ind w:left="720"/>
        <w:rPr>
          <w:lang w:val="en-US" w:eastAsia="en-US" w:bidi="ar-SA"/>
        </w:rPr>
      </w:pPr>
      <w:r>
        <w:rPr>
          <w:rFonts w:ascii="arial" w:eastAsia="arial" w:hAnsi="arial" w:cs="arial"/>
          <w:i/>
          <w:color w:val="000000"/>
          <w:sz w:val="20"/>
          <w:lang w:val="en-US" w:eastAsia="en-US" w:bidi="ar-SA"/>
        </w:rPr>
        <w:t>On Examination:</w:t>
      </w:r>
      <w:r>
        <w:rPr>
          <w:rFonts w:ascii="arial" w:eastAsia="arial" w:hAnsi="arial" w:cs="arial"/>
          <w:color w:val="000000"/>
          <w:sz w:val="20"/>
          <w:lang w:val="en-US" w:eastAsia="en-US" w:bidi="ar-SA"/>
        </w:rPr>
        <w:t xml:space="preserve"> Her general condition was satisfactory.</w:t>
      </w:r>
    </w:p>
    <w:p>
      <w:pPr>
        <w:spacing w:before="120" w:line="260" w:lineRule="atLeast"/>
        <w:ind w:left="720"/>
        <w:rPr>
          <w:lang w:val="en-US" w:eastAsia="en-US" w:bidi="ar-SA"/>
        </w:rPr>
      </w:pPr>
      <w:r>
        <w:rPr>
          <w:rFonts w:ascii="arial" w:eastAsia="arial" w:hAnsi="arial" w:cs="arial"/>
          <w:i/>
          <w:color w:val="000000"/>
          <w:sz w:val="20"/>
          <w:lang w:val="en-US" w:eastAsia="en-US" w:bidi="ar-SA"/>
        </w:rPr>
        <w:t>Abdominal Examination</w:t>
      </w:r>
      <w:r>
        <w:rPr>
          <w:rFonts w:ascii="arial" w:eastAsia="arial" w:hAnsi="arial" w:cs="arial"/>
          <w:color w:val="000000"/>
          <w:sz w:val="20"/>
          <w:lang w:val="en-US" w:eastAsia="en-US" w:bidi="ar-SA"/>
        </w:rPr>
        <w:t>: Revealed a palpable mass approximately 12 week size to the L of the mid line suprapubically.</w:t>
      </w:r>
    </w:p>
    <w:p>
      <w:pPr>
        <w:spacing w:before="120" w:line="260" w:lineRule="atLeast"/>
        <w:ind w:left="720"/>
        <w:rPr>
          <w:lang w:val="en-US" w:eastAsia="en-US" w:bidi="ar-SA"/>
        </w:rPr>
      </w:pPr>
      <w:r>
        <w:rPr>
          <w:rFonts w:ascii="arial" w:eastAsia="arial" w:hAnsi="arial" w:cs="arial"/>
          <w:i/>
          <w:color w:val="000000"/>
          <w:sz w:val="20"/>
          <w:lang w:val="en-US" w:eastAsia="en-US" w:bidi="ar-SA"/>
        </w:rPr>
        <w:t>On Pelvic Examination</w:t>
      </w:r>
      <w:r>
        <w:rPr>
          <w:rFonts w:ascii="arial" w:eastAsia="arial" w:hAnsi="arial" w:cs="arial"/>
          <w:color w:val="000000"/>
          <w:sz w:val="20"/>
          <w:lang w:val="en-US" w:eastAsia="en-US" w:bidi="ar-SA"/>
        </w:rPr>
        <w:t>: The cervix was healthy, the uterus was irregular and enlarged to 12 week size with fibroids and there were no abnormalities in the fornices.</w:t>
      </w:r>
    </w:p>
    <w:p>
      <w:pPr>
        <w:spacing w:before="120" w:line="260" w:lineRule="atLeast"/>
        <w:ind w:left="720"/>
        <w:rPr>
          <w:lang w:val="en-US" w:eastAsia="en-US" w:bidi="ar-SA"/>
        </w:rPr>
      </w:pPr>
      <w:r>
        <w:rPr>
          <w:rFonts w:ascii="arial" w:eastAsia="arial" w:hAnsi="arial" w:cs="arial"/>
          <w:i/>
          <w:color w:val="000000"/>
          <w:sz w:val="20"/>
          <w:lang w:val="en-US" w:eastAsia="en-US" w:bidi="ar-SA"/>
        </w:rPr>
        <w:t>Diagnosis</w:t>
      </w:r>
      <w:r>
        <w:rPr>
          <w:rFonts w:ascii="arial" w:eastAsia="arial" w:hAnsi="arial" w:cs="arial"/>
          <w:color w:val="000000"/>
          <w:sz w:val="20"/>
          <w:lang w:val="en-US" w:eastAsia="en-US" w:bidi="ar-SA"/>
        </w:rPr>
        <w:t>: Symptomatic fibroid.</w:t>
      </w:r>
    </w:p>
    <w:p>
      <w:pPr>
        <w:spacing w:before="120" w:line="260" w:lineRule="atLeast"/>
        <w:ind w:left="720"/>
        <w:rPr>
          <w:lang w:val="en-US" w:eastAsia="en-US" w:bidi="ar-SA"/>
        </w:rPr>
      </w:pPr>
      <w:r>
        <w:rPr>
          <w:rFonts w:ascii="arial" w:eastAsia="arial" w:hAnsi="arial" w:cs="arial"/>
          <w:color w:val="000000"/>
          <w:sz w:val="20"/>
          <w:lang w:val="en-US" w:eastAsia="en-US" w:bidi="ar-SA"/>
        </w:rPr>
        <w:t>The patient is not interested in myomectomy or hysterectomy as she wishes to have children in the future. I have suggested uterine artery embolization to her and she was very keen on the idea. I have given her information and she will get in touch with people in Vancouver for an appointment.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final paragraph of the above report refers to the British Columbia Fibroid Embolization Project conducted at the University of British Columbia. A study was being done comparing treatments for fibroids, the treatments being uterine artery embolization (shutting down the blood supply to the fibroid by use of a catheter introduced through a puncture in the groin) and treatment by operation (myomectomy or hysterectomy). The information given to the plaintiff described the advantage of embolization as being "that it can shrink the fibroids without the need for an open operation, and your uterus remains with you". It was for that reason that Ms. Bradaric was, as Dr. Pirani stated, keen on the idea.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For reasons which will be articulated when the plaintiff s testimony is reviewed, Ms. Bradaric never became part of the study. On August 20, she was seen by Dr. Ormston, who noted that she was in "lots of pain" and had marked tenderness above the pubic bone. Another appointment with Dr. Pirani was made and he saw the plaintiff two days later. His consultation report to Dr. Ormston includes the following:</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Many thanks for your telephone call about this patient whom I saw at the office on 23 August 2001. Her history is well known to you. She is a 36 year old, G0P0 patient whom I first saw in May 2001 because of pain the L lower abdomen for the previous 5-6 years. She had previously seen a gynaecologist in Surrey and was told that she had endometriosis as well as uterine fibroids. She was treated with Danazol which gave her relief for about a year or so. The latest ultrasound had revealed a R sided fibroid measuring 7.2 x 6.0 x 11.5 cm in diameter. I had discussed myomectomy or hysterectomy with the patient but she was more interested in uterine artery embolization. Arrangements were made for her to be seen in Vancouver. However she continues to experience a lot of pain and now wishes to have definitive treatment with surgery. She was asking to have a hysterectomy. Once again I discussed myomectomy with the patient but she would prefer to have hysterectomy as she is planning not to have any children. ...</w:t>
      </w:r>
    </w:p>
    <w:p>
      <w:pPr>
        <w:spacing w:before="120" w:line="260" w:lineRule="atLeast"/>
        <w:ind w:left="720"/>
        <w:rPr>
          <w:lang w:val="en-US" w:eastAsia="en-US" w:bidi="ar-SA"/>
        </w:rPr>
      </w:pPr>
      <w:r>
        <w:rPr>
          <w:rFonts w:ascii="arial" w:eastAsia="arial" w:hAnsi="arial" w:cs="arial"/>
          <w:i/>
          <w:color w:val="000000"/>
          <w:sz w:val="20"/>
          <w:lang w:val="en-US" w:eastAsia="en-US" w:bidi="ar-SA"/>
        </w:rPr>
        <w:t>On Examination</w:t>
      </w:r>
      <w:r>
        <w:rPr>
          <w:rFonts w:ascii="arial" w:eastAsia="arial" w:hAnsi="arial" w:cs="arial"/>
          <w:color w:val="000000"/>
          <w:sz w:val="20"/>
          <w:lang w:val="en-US" w:eastAsia="en-US" w:bidi="ar-SA"/>
        </w:rPr>
        <w:t>: Her general condition was satisfactory, CVS-heart sounds normal, no murmurs. RS - chest clear.</w:t>
      </w:r>
    </w:p>
    <w:p>
      <w:pPr>
        <w:spacing w:before="120" w:line="260" w:lineRule="atLeast"/>
        <w:ind w:left="720"/>
        <w:rPr>
          <w:lang w:val="en-US" w:eastAsia="en-US" w:bidi="ar-SA"/>
        </w:rPr>
      </w:pPr>
      <w:r>
        <w:rPr>
          <w:rFonts w:ascii="arial" w:eastAsia="arial" w:hAnsi="arial" w:cs="arial"/>
          <w:i/>
          <w:color w:val="000000"/>
          <w:sz w:val="20"/>
          <w:lang w:val="en-US" w:eastAsia="en-US" w:bidi="ar-SA"/>
        </w:rPr>
        <w:t>Abdominal Examination</w:t>
      </w:r>
      <w:r>
        <w:rPr>
          <w:rFonts w:ascii="arial" w:eastAsia="arial" w:hAnsi="arial" w:cs="arial"/>
          <w:color w:val="000000"/>
          <w:sz w:val="20"/>
          <w:lang w:val="en-US" w:eastAsia="en-US" w:bidi="ar-SA"/>
        </w:rPr>
        <w:t>: Normal</w:t>
      </w:r>
    </w:p>
    <w:p>
      <w:pPr>
        <w:spacing w:before="120" w:line="260" w:lineRule="atLeast"/>
        <w:ind w:left="720"/>
        <w:rPr>
          <w:lang w:val="en-US" w:eastAsia="en-US" w:bidi="ar-SA"/>
        </w:rPr>
      </w:pPr>
      <w:r>
        <w:rPr>
          <w:rFonts w:ascii="arial" w:eastAsia="arial" w:hAnsi="arial" w:cs="arial"/>
          <w:i/>
          <w:color w:val="000000"/>
          <w:sz w:val="20"/>
          <w:lang w:val="en-US" w:eastAsia="en-US" w:bidi="ar-SA"/>
        </w:rPr>
        <w:t>On Pelvic Examination</w:t>
      </w:r>
      <w:r>
        <w:rPr>
          <w:rFonts w:ascii="arial" w:eastAsia="arial" w:hAnsi="arial" w:cs="arial"/>
          <w:color w:val="000000"/>
          <w:sz w:val="20"/>
          <w:lang w:val="en-US" w:eastAsia="en-US" w:bidi="ar-SA"/>
        </w:rPr>
        <w:t>: The cervix was healthy, the uterus was irregular and enlarged to 12 week size and there was no abnormalities in the fornices.</w:t>
      </w:r>
    </w:p>
    <w:p>
      <w:pPr>
        <w:spacing w:before="120" w:line="260" w:lineRule="atLeast"/>
        <w:ind w:left="720"/>
        <w:rPr>
          <w:lang w:val="en-US" w:eastAsia="en-US" w:bidi="ar-SA"/>
        </w:rPr>
      </w:pPr>
      <w:r>
        <w:rPr>
          <w:rFonts w:ascii="arial" w:eastAsia="arial" w:hAnsi="arial" w:cs="arial"/>
          <w:i/>
          <w:color w:val="000000"/>
          <w:sz w:val="20"/>
          <w:lang w:val="en-US" w:eastAsia="en-US" w:bidi="ar-SA"/>
        </w:rPr>
        <w:t>Diagnosis</w:t>
      </w:r>
      <w:r>
        <w:rPr>
          <w:rFonts w:ascii="arial" w:eastAsia="arial" w:hAnsi="arial" w:cs="arial"/>
          <w:color w:val="000000"/>
          <w:sz w:val="20"/>
          <w:lang w:val="en-US" w:eastAsia="en-US" w:bidi="ar-SA"/>
        </w:rPr>
        <w:t>: Symptomatic uterine fibroids.</w:t>
      </w:r>
    </w:p>
    <w:p>
      <w:pPr>
        <w:spacing w:before="120" w:line="260" w:lineRule="atLeast"/>
        <w:ind w:left="720"/>
        <w:rPr>
          <w:lang w:val="en-US" w:eastAsia="en-US" w:bidi="ar-SA"/>
        </w:rPr>
      </w:pPr>
      <w:r>
        <w:rPr>
          <w:rFonts w:ascii="arial" w:eastAsia="arial" w:hAnsi="arial" w:cs="arial"/>
          <w:i/>
          <w:color w:val="000000"/>
          <w:sz w:val="20"/>
          <w:lang w:val="en-US" w:eastAsia="en-US" w:bidi="ar-SA"/>
        </w:rPr>
        <w:t>Plan</w:t>
      </w:r>
      <w:r>
        <w:rPr>
          <w:rFonts w:ascii="arial" w:eastAsia="arial" w:hAnsi="arial" w:cs="arial"/>
          <w:color w:val="000000"/>
          <w:sz w:val="20"/>
          <w:lang w:val="en-US" w:eastAsia="en-US" w:bidi="ar-SA"/>
        </w:rPr>
        <w:t>: I will arrange for her to have a total hysterectomy with conservation of both ovaries.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Surgery was performed on September 18, 2001. At the time of surgery, it was discovered that the tumour was not a fibroid. Rather, the plaintiff had severe endometriosis. Dr. Pirani continued with the hysterectomy.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Dr. Beresford, a specialist in obstetrics and gynaecology retained by the defence, described endometriosis as a condition in which the tissue lining the uterus becomes displaced outside the structure and therefore has nowhere to be shed. A laparoscopy is the method by which a diagnosis of endometriosis is made. Dr. Pirani described endometriosis as a chronic, progressive disease which is very painful.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There is no question about whether a hysterectomy was an appropriate procedure. It is the opinion of Dr. Beresford that a laparoscopy was not indicated, that the surgery which was performed was an entirely acceptable surgical treatment and that Dr. Pirani met the standard of care in continuing with the hysterectomy when it was discovered during surgery that the plaintiff did not have a fibroid but had endometriosis. His opinion assumes that the plaintiff did not want children, as is set out in Dr. Pirani's consultation report quoted above. Dr. Jackson, a specialist in the same field who gave evidence on behalf of the plaintiff, also expressed the view that the optimal surgical management of endometriosis is an abdominal hysterectomy. However, less than complete surgery is often done in a patient who wishes to become pregnant, so long as the patient is aware of its limitations.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Turning to the evidence of the parties, a central factual issue is what conversations took place between Ms. Bradaric and Dr. Pirani in their two meetings.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Bradaric testified as follows. On April 27, 2001, she saw Dr. Ormston because she had experienced intense pain in the abdomen. Dr. Ormston told her that she had an ovarian cyst and referred her for an ultrasound. Ms. Bradaric denied being told that there were a number of potential causes of her pain, which is what Dr. Ormston believed she would have said. Dr. Ormston also arranged for her to see Dr. Pirani.</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agreed that she told Dr. Pirani that she had pain in the lower left abdomen, but said she described it as sporadic. Surgical options were discussed. She was told that a myomectomy was not possible because he believed her uterus was destroyed. She stressed that she wanted the option of attempting to conceive and it was for that reason that she chose not to have surgery and instead, to participate in the embolization project. On that visit, she also told him that Dr. Ormston believed she had an ovarian cyst and she asked him to requisition a laparoscopy, but he refused. Although she was not happy with Dr. Pirani, she believed that further investigations would be done at UBC.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June 4, the plaintiff had a bone scan, which was unrelated to her abdominal problems, but is relevant in that Ms. Bradaric testified that she formed the conclusion that what she observed on the scan contradicted the ultrasound report. (Her conclusion is not supported by any medical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Before her first visit to UBC, an incident occurred which made her believe she needed immediate treatment. She testified that it felt as if something had ruptured inside her. She was in excruciating pain and passed clear fluid and what seemed like a piece of tissue. She saw Dr. Ormston on August 20 and a second appointment with Dr. Pirani was arranged. Although Dr. Ormston's clinical records state that she was to see Dr. Pirani regarding an early hysterectomy, Ms. Bradaric denied that this was her wish. She did, however, believe that surgical treatment was required.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When the plaintiff saw Dr. Pirani, she was in a great deal of pain. She testified that she asked to be admitted to hospital because she was concerned about infection, but he refused. It was her view that she needed additional testing before she could make any decisions, so she asked again for a laparoscopy. She told him about the bone scan, but he did not listen, stating that the ultrasound was good enough for him. She asked that Danazol be prescribed, but he refused. He told her that she had two choices - participate in the UBC study or have a hysterectomy. Because of the pain, Ms. Bradaric did not believe that participation in the UBC study was an option. It was her evidence that they had a "fight" about his diagnosis and the only reason she signed the consent form was that he agreed that if it was discovered that she had a cyst, her uterus would be preserved. In fact, the only consent form signed on that day was in respect of blood transfusions. The consent to surgery was signed on September 12, 2001, at Mission Memorial Hospital.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Ms. Bradaric was asked why, given her disagreement with Dr. Pirani and his refusal to listen to her concerns or order additional tests, she did not seek a second opinion. She testified that she had made some attempts to find someone else but during this period, health care professionals were engaged in job action. She stated that time was not on her side. Ms. Bradaric was also asked why she chose to have surgery on September 18 when she had an appointment at UBC only a week later. She testified that she felt that there was an emergency situation and she had a number of concerns, including a concern about the consequences of an infection.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the morning after the surgery, the plaintiff spoke with Dr. Pirani. She testified that he was very nervous. He told her that she did not have a fibroid, but had a cyst which had ruptured, and said that he had removed her uterus. Dr. Pirani asked what she wanted to do about what had occurred and who she wanted to sue. Ms. Bradaric was very upset and described herself as screaming at Dr. Pirani. Later that day, she wrote a letter to Dr. Pirani. The letter made reference to the erroneous ultrasound report and requested his help in filing a complaint regarding the report. On September 19, she also spoke with her foster mother, Ms. Bennison, who testified that the plaintiff was very upset that she would be unable to have children.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plaintiff's evidence about her wish to have children and her attempts to become pregnant was as follows. In September, 2000, she had spoken with Dr. Ormston about trying to conceive and was told that she should give herself a year. She ceased trying in May, 2001, because of the problems described above. When cross-examined about how long she had been attempting to conceive, the plaintiff denied that as at September, 2000, she had been trying to conceive for a year. The suggestion of defence counsel was based on Dr. Ormston's clinical records relating to a visit on September 13, 2000. Dr. Ormston testified that on that date, she recorded that the plaintiff had been "hoping for pregnancy" and "trying for one year" and the plaintiff's boyfriend was to have a semenalysis. She also provided Ms. Bradaric with a requisition for an ultrasound because of her history of ovarian cysts. The document referred to primary infertility, meaning that the plaintiff was not pregnant despite having tried for one year. Ms. Bradaric testified that it was on September 13 that she had first spoken to Dr. Ormston about trying to conceive.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turn next to the evidence of Dr. Pirani.</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Dr. Pirani did not have an independent recollection of his first visit with the plaintiff and relied on his notes and his general practice in giving his evidence about that visit. Before seeing the plaintiff on May 24, 2001, he had received Dr. Ormston's referral letter and the ultrasound report. The report indicated that there was a large fibroid arising from the back of the uterus and cysts on the right and left ovaries. He described a fibroid as a common tumour or solid benign growth which causes various symptoms. Treatment options are hysterectomy, myomectomy (removing the growth and preserving the uterus) and embolization. It was his evidence that films are read by a radiologist and like Dr. Beresford, he had not previously encountered errors of this kind.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May 24, he interviewed Ms. Bradaric and conducted an examination. It was his practice to tell patients of his findings and the surgical options. He noted that she did not want a hysterectomy or myomectomy and that he suggested that she contact the UBC embolization project. Dr. Pirani testified that myomectomy was an option for the plaintiff and he denied that he told her otherwise. It was his evidence that there would have been no point in referring the plaintiff to UBC if her uterus was destroyed.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Because of confusion about what UBC required, Dr. Pirani did not complete the necessary checklist until August, 1, 2001. It was noted on the checklist that the plaintiff did not want treatment by myomectomy or hysterectomy and wished to preserve fertility.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Dr. Pirani recalled that Dr. Ormston telephoned him asking that he see the plaintiff on an urgent basis. He was surprised as the documents required for the UBC project had been prepared only weeks before. His notes made August 22, 2001, state that he had a call from Dr. Ormston to tell him that the plaintiff had a lot of pain and bleeding, that she was fed up and wanted to have a TAH, meaning a hysterectomy.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Dr. Pirani saw Ms. Bradaric on August 22. Again, he had no independent recollection of that visit and relied upon his notes, his report to Dr. Ormston and his usual practice. His notes state that the plaintiff told him that she did not wish to wait for embolization. His notes also state that he mentioned myomectomy but the plaintiff preferred a hysterectomy. He testified that he would have discussed the procedure in some detail and would also have explained the possibility that a transfusion would be required and therefore, the need for written consent.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Dr. Pirani denied that the plaintiff had expressed doubts about his diagnosis or that she had asked for a laparoscopy or Danazol. He stated that if a patient expressed reservations, that would be documented. If a patient had wanted to preserve fertility, that would also be noted as it is an important consideration. Here, however, the patient stated she was not planning to have children. Further, if a patient had reservations, a hysterectomy would not be booked. Dr. Pirani denied that there was a verbal agreement as Ms. Bradaric alleged.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It was Dr. Pirani's evidence that prior to the surgery, he did not consider that the plaintiff had endometriosis as his findings supported what had been found on the ultrasound. A laparoscopy was not indicated. There was no reason why the plaintiff would have been hospitalized, nor did she request to be admitted to hospital.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At the time of surgery, the findings were as noted in the operative report, which states in part: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On entering the peritoneal cavity old blood was noted. In the pelvis the uterus was noted to be anteverted, mobile, of normal shape and size, the right ovary was enlarged to approximately 10 cm with a bilocular chocolate cyst suggesting endometrioma and the left ovary had a 5 cm endometrioma and small follicular cyst measuring 3 cm in diameter. There were adhesions between the omentum and the posterior wall of the uterus. In trying to free the right ovarian cyst it ruptured releasing a copious amount of chocolate coloured material. ... As the right ovary had been completely replaced by endometriosis it was decided to remove it. ... On the left side ovarian cystectomy was carried out by removing the cyst together with the capsule. ... A circumferential incision into the vaginal vault was made and the cervix together with the uterus removed in toto.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Pirani was asked why he had continued with a hysterectomy when it became apparent that the ultrasound report was wrong and the plaintiff had endometriosis. He gave a number of reasons for his decision. He referred to the extensive endometriosis, the plaintiff's pain, her statement that she did not want children, the signing of the consent to the treatment and the fact that the plaintiff had declined a myomectomy and did not wish embolization. In his view, a hysterectomy was appropriate and curative. Dr. Pirani testified that he had no doubt that the plaintiff wanted a hysterectomy. He agreed that if the plaintiff had wished to preserve fertility, it would have been appropriate to excise as much as possible, which would be followed by other treatment.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Dr. Pirani testified that after the surgery, Ms. Bradaric's complaint, as made to him, was not with the actual surgery but with the ultrasound findings on which the decision was based. He agreed that she was very upset.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 turn next to the claims of the plaintiff and the arguments advanced. There are two issues to be addressed. Did the plaintiff consent to the surgery performed. If so, did Dr. Pirani meet the standard of care in continuing with the surgery when it became apparent that the problem was endometriosis. If the plaintiff did not consent, she will be entitled to succeed in her claim for battery. If consent, as defined by the authorities, has been proven, it will be necessary to deal with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will deal first with the issue of consent.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Reibl v. Hughes</w:t>
      </w:r>
      <w:r>
        <w:rPr>
          <w:rFonts w:ascii="arial" w:eastAsia="arial" w:hAnsi="arial" w:cs="arial"/>
          <w:color w:val="000000"/>
          <w:sz w:val="20"/>
          <w:lang w:val="en-US" w:eastAsia="en-US" w:bidi="ar-SA"/>
        </w:rPr>
        <w:t xml:space="preserve">, </w:t>
      </w:r>
      <w:hyperlink r:id="rId622" w:history="1">
        <w:r>
          <w:rPr>
            <w:rFonts w:ascii="arial" w:eastAsia="arial" w:hAnsi="arial" w:cs="arial"/>
            <w:i/>
            <w:color w:val="0077CC"/>
            <w:sz w:val="20"/>
            <w:u w:val="single"/>
            <w:shd w:val="clear" w:color="auto" w:fill="FFFFFF"/>
            <w:lang w:val="en-US" w:eastAsia="en-US" w:bidi="ar-SA"/>
          </w:rPr>
          <w:t>[1980] 2 S.C.R. 880</w:t>
        </w:r>
      </w:hyperlink>
      <w:r>
        <w:rPr>
          <w:rFonts w:ascii="arial" w:eastAsia="arial" w:hAnsi="arial" w:cs="arial"/>
          <w:color w:val="000000"/>
          <w:sz w:val="20"/>
          <w:lang w:val="en-US" w:eastAsia="en-US" w:bidi="ar-SA"/>
        </w:rPr>
        <w:t>, the court concluded that if the surgery performed is substantially that of which the plaintiff was advised and then agreed to, there has not been an invasion of the person for which consent was not granted. Actions for battery are confined to cases where no consent at all has been given or treatment has been performed beyond that to which there was consent.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Ms. Bradaric made submissions at the end of trial but they were brief and focussed on the evidence. Counsel for the defendant conceded that if Ms. Bradaric's evidence with respect to the verbal agreement is accepted and it is concluded that Dr. Pirani breached this agreement, then there is liability. However, it was submitted that the plaintiff's evidence regarding her verbal agreement with Dr. Pirani should not be accepted as it is not consistent with the evidence of Dr. Pirani, the clinical records or her conduct. It is also not consistent with the evidence and records of other physicians. It was suggested that Ms. Bradaric regrets her decision to have a hysterectomy and has reconstructed relevant conversations with treating physicians.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agree with certain of the defendant's submissions regarding the reliability of Ms. Bradaric's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Ms. Bradaric's evidence regarding conversations with other physicians is inconsistent with the evidence of those other physicians and their records.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Dr. Shojania testified that it is his practice to have a serious discussion with women in the plaintiff's circumstances, who have rheumatic diseases and are on medications and who are considering pregnancy. His advice is that they should attend at the Women's Hospital Rheumatic Disease and Pregnancy Clinic. Ms. Bradaric testified that had she become pregnant, she would have followed his suggestion. To her mind, going to the pregnancy clinic was an option and she denied that she had been told to do so before she was pregnant. However, it was clear from Dr. Shojania's testimony that his recommendation was that she should attend at the clinic if pregnancy was being considered because of the risks to both mother and child. He does not view it as an option to be considered only when a woman is pregnant.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Ormston was asked about advice that she would have given to the plaintiff about the risks of using medications containing narcotics. Ms. Bradaric said that she was told that a baby would be "cranky", which again significantly minimizes what was actually said to 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Bradaric testified that she did not actually take all of the medications prescribed by Dr. Ormston. However, the clinical records of Dr. Ormston confirm that prescriptions were regularly repeated.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Whether Ms. Bradaric misunderstood what she was being told or was attempting to bolster her evidence that she had been trying to conceive may be debated, but in either case, it calls into question the reliability of at least some of her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As defence counsel argued, Ms. Bradaric's evidence regarding her conversations with Dr. Pirani and most particularly, her conversation with him on August 22, is inconsistent with his clinical records and his evidence. I agree that there are inconsistencies.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As already stated, the plaintiff says that she told Dr. Pirani that she wanted additional testing, but he refused. She asked for Danazol, which he refused to prescribe. She expressed doubt about his diagnosis but he refused to listen to her reasons. She says that Dr. Pirani told her that she was haemorrhaging, but refused to put her in the hospital. She says she was told that a myomectomy was not an option. She described an argument and voices being raised.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Pirani testified that these things did not occur and had they happened, he would have made a note in his chart. If there had been an argument as described by Ms. Bradaric, he would have told her that he could not be her physician and would have referred her to someone else.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It is difficult to accept that the August 22 visit could have gone as badly as Ms. Bradaric described yet nothing was noted in Dr. Pirani's chart and more significantly, he seemingly had no hesitation in continuing to be her physician. If the plaintiff had clearly expressed, as she says she did, that she lacked confidence in Dr. Pirani and felt that she was being badly served, I do not accept that Dr. Pirani would simply have ignored her and carried 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my view, the most significant discrepancy on the issue of consent is the plaintiff's evidence that Dr. Pirani told her that a myomectomy was not possible. I do not accept that he told her that a myomectomy was not an option. He believed that it was an option, his records and letter to Dr. Ormston state that a myomectomy was offered and there was no point in a referral to the UBC project if her uterus was destroyed. As such, I cannot accept that it was orally agreed that a hysterectomy would be done only if necessary.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the end result, I cannot conclude that Ms. Bradaric did not consent.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next question is whether Dr. Pirani met the standard of care when he decided to proceed with a hysterectomy after it was discovered that there was no fibroid but extensive endometriosis.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medical evidence unquestionably leads to the conclusion that a hysterectomy was the appropriate and optimal treatment. The defence accepts, however, that if the plaintiff asserted a wish to preserve fertility or indicated doubt about whether or not she wished to preserve fertility, Dr. Pirani should not have proceeded with the hysterectomy when the diagnosis of endometriosis was known.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As already stated, one of the defence arguments is that the plaintiff regrets her decision and has looked back and reconstructed events to cast blame on Dr. Pirani. It is not my view that the plaintiff has reconstructed events because she regrets her decision. I believe, however, that Ms. Bradaric has a tendency to place her own interpretation on what she has been told by physicians and that she has beliefs about medical matters which are predicated on erroneous assumptions or conclusions. As a simple example, she seemingly continues to believe that the results of a bone scan should have led Dr. Pirani to at least question the diagnosis of a fibroid. It is also the case that the plaintiff came to Dr. Pirani's office on August 22 believing that the situation was an emergency and that she required surgical treatment. She believed that she was haemorrhaging and had a number of concerns, including a concern about the potential for infection. Her belief about her circumstances together with her tendency to place her own interpretation on what she has been told and to formulate her own views may explain why the plaintiff's version of events differs from the evidence of Dr. Pirani.</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While I question the reliability of certain of the evidence of Ms. Bradaric, there is one matter in respect of which I accept her evidence over that of Dr. Pirani. I do not accept that she literally said to him that she "was planning not to have children" or that she said words to the effect that she did not wish to have children.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Ms. Bradaric testified that it was always the case that she wished to preserve fertility. That was certainly her wish at the time of her first visit to Dr. Pirani and only weeks before her second visit, she arranged to have him complete the documentation required for her participation in the embolization project. Dr. Ormston's referral letter and her records confirm that the plaintiff had spoken to her about a pregnancy. There was also evidence that immediately after the surgery, Ms. Bradaric was very upset. Ms. Bennison, the plaintiff's foster mother, testified that the plaintiff telephoned her after the surgery and was very upset that she could not have children. I do not accept that between August 1, when documents required by UBC were prepared, and her second visit to Dr. Pirani only three weeks later, Ms. Bradaric had an abrupt change of heart.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Pirani did not have an independent recollection of his discussions with the plaintiff. Perhaps Dr. Ormston's statement that Ms. Bradaric wanted an early hysterectomy influenced his thinking. Whatever the circumstances, I do not accept that the plaintiff wishes changed and that she no longer wished to preserve fertility.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Given the concession that if there was doubt about whether or not the plaintiff wished to preserve fertility, Dr. Pirani should not have proceeded with surgery, the plaintiff is entitled to succeed.</w:t>
      </w:r>
    </w:p>
    <w:p>
      <w:pPr>
        <w:spacing w:line="260" w:lineRule="atLeast"/>
        <w:jc w:val="both"/>
        <w:rPr>
          <w:lang w:val="en-US" w:eastAsia="en-US" w:bidi="ar-SA"/>
        </w:rPr>
      </w:pPr>
      <w:r>
        <w:rPr>
          <w:lang w:val="en-US" w:eastAsia="en-US" w:bidi="ar-SA"/>
        </w:rPr>
        <w:br/>
      </w:r>
      <w:r>
        <w:rPr>
          <w:rFonts w:ascii="arial" w:eastAsia="arial" w:hAnsi="arial" w:cs="arial"/>
          <w:b/>
          <w:color w:val="000000"/>
          <w:sz w:val="20"/>
          <w:u w:val="single"/>
          <w:lang w:val="en-US" w:eastAsia="en-US" w:bidi="ar-SA"/>
        </w:rPr>
        <w:t>Damages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Ms. Bradaric did not make submissions on this issue and did not refer to any authorities.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evidence clearly establishes that the plaintiff's chances of conceiving were small. Dr. Beresford's opinion is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There is no doubt that the severe endometriosis would have significantly affected the plaintiff's likelihood of conceiving. At the time of the original consultation with Dr. Pirani, the patient stated that she had had pain for 5-6 years. It is quite possible that endometriosis, which is a well recognized cause of infertility, had been present during that time. The plaintiff had unsuccessfully attempted to conceive for at least 20 months prior to her initial consultation with Dr. Pirani. The only stated record of contraceptive use was that of condoms at the time of her consultation with Dr. Jackson in 1995. It is my opinion that there would be a significantly reduced likelihood of the plaintiff conceiving spontaneously given her advancing age (36 years at the time of surgery), the severe endometriosis and her lack of success in the past.</w:t>
      </w:r>
    </w:p>
    <w:p>
      <w:pPr>
        <w:spacing w:before="120" w:line="260" w:lineRule="atLeast"/>
        <w:ind w:left="720"/>
        <w:rPr>
          <w:lang w:val="en-US" w:eastAsia="en-US" w:bidi="ar-SA"/>
        </w:rPr>
      </w:pPr>
      <w:r>
        <w:rPr>
          <w:rFonts w:ascii="arial" w:eastAsia="arial" w:hAnsi="arial" w:cs="arial"/>
          <w:color w:val="000000"/>
          <w:sz w:val="20"/>
          <w:lang w:val="en-US" w:eastAsia="en-US" w:bidi="ar-SA"/>
        </w:rPr>
        <w:t>It is very likely that the plaintiff would have required in vitro fertilization. The success rate, given the age of the patient, the severe endometriosis, the right oophorectomy and the partial resection of the left ovary, would be approximately 15-20% per cycle. The cost per cycle is $4500.00 plus an additional cost for drugs to a maximum of $3000.00 per cycle.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Dr. Beresford referred to the plaintiff's attempts to conceive for 20 months. That conclusion flows from the clinical records of Dr. Ormston. As stated, the plaintiff's evidence was that she had not being attempting to conceive for that length of time. It is not necessary to resolve that issue. Dr. Beresford testified that his opinion would not change if the period in question was only eight months rather than 20. As regards the reference to in vitro fertilization, the plaintiff has limited financial resources.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Beresford's view is shared by Dr. Ormston. During her testimony, she stated that it had been her view that pregnancy was an "unlikely possibility" but did not believe that she had shared that view with Ms. Bradaric.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Ms. Bradaric's circumstances were further complicated by the fact that the medication she takes is contra-indicated in pregnancy.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Defence counsel referred to three authorities: </w:t>
      </w:r>
      <w:r>
        <w:rPr>
          <w:rFonts w:ascii="arial" w:eastAsia="arial" w:hAnsi="arial" w:cs="arial"/>
          <w:b/>
          <w:i/>
          <w:color w:val="000000"/>
          <w:sz w:val="20"/>
          <w:lang w:val="en-US" w:eastAsia="en-US" w:bidi="ar-SA"/>
        </w:rPr>
        <w:t>Bowlby v. Oosterhuis</w:t>
      </w:r>
      <w:r>
        <w:rPr>
          <w:rFonts w:ascii="arial" w:eastAsia="arial" w:hAnsi="arial" w:cs="arial"/>
          <w:color w:val="000000"/>
          <w:sz w:val="20"/>
          <w:lang w:val="en-US" w:eastAsia="en-US" w:bidi="ar-SA"/>
        </w:rPr>
        <w:t xml:space="preserve"> </w:t>
      </w:r>
      <w:hyperlink r:id="rId623" w:history="1">
        <w:r>
          <w:rPr>
            <w:rFonts w:ascii="arial" w:eastAsia="arial" w:hAnsi="arial" w:cs="arial"/>
            <w:i/>
            <w:color w:val="0077CC"/>
            <w:sz w:val="20"/>
            <w:u w:val="single"/>
            <w:shd w:val="clear" w:color="auto" w:fill="FFFFFF"/>
            <w:lang w:val="en-US" w:eastAsia="en-US" w:bidi="ar-SA"/>
          </w:rPr>
          <w:t>(2003), 63 O.R. (3d) 748</w:t>
        </w:r>
      </w:hyperlink>
      <w:r>
        <w:rPr>
          <w:rFonts w:ascii="arial" w:eastAsia="arial" w:hAnsi="arial" w:cs="arial"/>
          <w:color w:val="000000"/>
          <w:sz w:val="20"/>
          <w:lang w:val="en-US" w:eastAsia="en-US" w:bidi="ar-SA"/>
        </w:rPr>
        <w:t xml:space="preserve"> (Ont. S.C.J.); </w:t>
      </w:r>
      <w:r>
        <w:rPr>
          <w:rFonts w:ascii="arial" w:eastAsia="arial" w:hAnsi="arial" w:cs="arial"/>
          <w:b/>
          <w:i/>
          <w:color w:val="000000"/>
          <w:sz w:val="20"/>
          <w:lang w:val="en-US" w:eastAsia="en-US" w:bidi="ar-SA"/>
        </w:rPr>
        <w:t>Johnston v. Hebert</w:t>
      </w:r>
      <w:r>
        <w:rPr>
          <w:rFonts w:ascii="arial" w:eastAsia="arial" w:hAnsi="arial" w:cs="arial"/>
          <w:color w:val="000000"/>
          <w:sz w:val="20"/>
          <w:lang w:val="en-US" w:eastAsia="en-US" w:bidi="ar-SA"/>
        </w:rPr>
        <w:t xml:space="preserve">, </w:t>
      </w:r>
      <w:hyperlink r:id="rId624" w:history="1">
        <w:r>
          <w:rPr>
            <w:rFonts w:ascii="arial" w:eastAsia="arial" w:hAnsi="arial" w:cs="arial"/>
            <w:i/>
            <w:color w:val="0077CC"/>
            <w:sz w:val="20"/>
            <w:u w:val="single"/>
            <w:shd w:val="clear" w:color="auto" w:fill="FFFFFF"/>
            <w:lang w:val="en-US" w:eastAsia="en-US" w:bidi="ar-SA"/>
          </w:rPr>
          <w:t>[2003] A.J. No. 1294</w:t>
        </w:r>
      </w:hyperlink>
      <w:r>
        <w:rPr>
          <w:rFonts w:ascii="arial" w:eastAsia="arial" w:hAnsi="arial" w:cs="arial"/>
          <w:color w:val="000000"/>
          <w:sz w:val="20"/>
          <w:lang w:val="en-US" w:eastAsia="en-US" w:bidi="ar-SA"/>
        </w:rPr>
        <w:t xml:space="preserve">, </w:t>
      </w:r>
      <w:hyperlink r:id="rId624" w:history="1">
        <w:r>
          <w:rPr>
            <w:rFonts w:ascii="arial" w:eastAsia="arial" w:hAnsi="arial" w:cs="arial"/>
            <w:i/>
            <w:color w:val="0077CC"/>
            <w:sz w:val="20"/>
            <w:u w:val="single"/>
            <w:shd w:val="clear" w:color="auto" w:fill="FFFFFF"/>
            <w:lang w:val="en-US" w:eastAsia="en-US" w:bidi="ar-SA"/>
          </w:rPr>
          <w:t>2003 ABQB 859</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Snider v. Henniger et al.</w:t>
      </w:r>
      <w:r>
        <w:rPr>
          <w:rFonts w:ascii="arial" w:eastAsia="arial" w:hAnsi="arial" w:cs="arial"/>
          <w:color w:val="000000"/>
          <w:sz w:val="20"/>
          <w:lang w:val="en-US" w:eastAsia="en-US" w:bidi="ar-SA"/>
        </w:rPr>
        <w:t xml:space="preserve"> </w:t>
      </w:r>
      <w:hyperlink r:id="rId625" w:history="1">
        <w:r>
          <w:rPr>
            <w:rFonts w:ascii="arial" w:eastAsia="arial" w:hAnsi="arial" w:cs="arial"/>
            <w:i/>
            <w:color w:val="0077CC"/>
            <w:sz w:val="20"/>
            <w:u w:val="single"/>
            <w:shd w:val="clear" w:color="auto" w:fill="FFFFFF"/>
            <w:lang w:val="en-US" w:eastAsia="en-US" w:bidi="ar-SA"/>
          </w:rPr>
          <w:t>(1992), 96 D.L.R. (4th) 367</w:t>
        </w:r>
      </w:hyperlink>
      <w:r>
        <w:rPr>
          <w:rFonts w:ascii="arial" w:eastAsia="arial" w:hAnsi="arial" w:cs="arial"/>
          <w:color w:val="000000"/>
          <w:sz w:val="20"/>
          <w:lang w:val="en-US" w:eastAsia="en-US" w:bidi="ar-SA"/>
        </w:rPr>
        <w:t xml:space="preserve"> (B.C.S.C.). Considering those authorities and the plaintiff's particular circumstances, it is my view that an award of $20,000 is appropriate. If there is not agreement on costs, written submissions should be made.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GILL J.</w:t>
      </w:r>
    </w:p>
    <w:p>
      <w:pPr>
        <w:spacing w:line="260" w:lineRule="atLeast"/>
        <w:jc w:val="center"/>
        <w:rPr>
          <w:lang w:val="en-US" w:eastAsia="en-US" w:bidi="ar-SA"/>
        </w:rPr>
      </w:pPr>
      <w:r>
        <w:rPr>
          <w:lang w:val="en-US" w:eastAsia="en-US" w:bidi="ar-SA"/>
        </w:rPr>
        <w:br/>
      </w:r>
      <w:r>
        <w:rPr>
          <w:rFonts w:ascii="arial" w:eastAsia="arial" w:hAnsi="arial" w:cs="arial"/>
          <w:color w:val="000000"/>
          <w:sz w:val="20"/>
          <w:lang w:val="en-US" w:eastAsia="en-US" w:bidi="ar-SA"/>
        </w:rPr>
        <w:t>* * * * *</w:t>
      </w:r>
    </w:p>
    <w:p>
      <w:pPr>
        <w:spacing w:line="260" w:lineRule="atLeast"/>
        <w:jc w:val="center"/>
        <w:rPr>
          <w:lang w:val="en-US" w:eastAsia="en-US" w:bidi="ar-SA"/>
        </w:rPr>
      </w:pPr>
      <w:r>
        <w:rPr>
          <w:lang w:val="en-US" w:eastAsia="en-US" w:bidi="ar-SA"/>
        </w:rPr>
        <w:br/>
      </w:r>
      <w:r>
        <w:rPr>
          <w:rFonts w:ascii="arial" w:eastAsia="arial" w:hAnsi="arial" w:cs="arial"/>
          <w:color w:val="000000"/>
          <w:sz w:val="20"/>
          <w:lang w:val="en-US" w:eastAsia="en-US" w:bidi="ar-SA"/>
        </w:rPr>
        <w:t>CORRIGENDUM</w:t>
      </w:r>
    </w:p>
    <w:p>
      <w:pPr>
        <w:spacing w:line="260" w:lineRule="atLeast"/>
        <w:jc w:val="center"/>
        <w:rPr>
          <w:lang w:val="en-US" w:eastAsia="en-US" w:bidi="ar-SA"/>
        </w:rPr>
      </w:pPr>
      <w:r>
        <w:rPr>
          <w:lang w:val="en-US" w:eastAsia="en-US" w:bidi="ar-SA"/>
        </w:rPr>
        <w:br/>
      </w:r>
      <w:r>
        <w:rPr>
          <w:rFonts w:ascii="arial" w:eastAsia="arial" w:hAnsi="arial" w:cs="arial"/>
          <w:color w:val="000000"/>
          <w:sz w:val="20"/>
          <w:lang w:val="en-US" w:eastAsia="en-US" w:bidi="ar-SA"/>
        </w:rPr>
        <w:t>Released: July 21, 2006</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The docket number for this matter should read:</w:t>
      </w:r>
    </w:p>
    <w:p>
      <w:pPr>
        <w:spacing w:line="260" w:lineRule="atLeast"/>
        <w:jc w:val="center"/>
        <w:rPr>
          <w:lang w:val="en-US" w:eastAsia="en-US" w:bidi="ar-SA"/>
        </w:rPr>
      </w:pPr>
      <w:r>
        <w:rPr>
          <w:lang w:val="en-US" w:eastAsia="en-US" w:bidi="ar-SA"/>
        </w:rPr>
        <w:br/>
      </w:r>
      <w:r>
        <w:rPr>
          <w:rFonts w:ascii="arial" w:eastAsia="arial" w:hAnsi="arial" w:cs="arial"/>
          <w:color w:val="000000"/>
          <w:sz w:val="20"/>
          <w:lang w:val="en-US" w:eastAsia="en-US" w:bidi="ar-SA"/>
        </w:rPr>
        <w:t>"S13679"</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8394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26"/>
          <w:headerReference w:type="default" r:id="rId627"/>
          <w:footerReference w:type="even" r:id="rId628"/>
          <w:footerReference w:type="default" r:id="rId629"/>
          <w:headerReference w:type="first" r:id="rId630"/>
          <w:footerReference w:type="first" r:id="rId63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32" w:history="1">
        <w:r>
          <w:rPr>
            <w:rFonts w:ascii="arial" w:eastAsia="arial" w:hAnsi="arial" w:cs="arial"/>
            <w:b/>
            <w:bCs/>
            <w:i/>
            <w:color w:val="0077CC"/>
            <w:kern w:val="32"/>
            <w:sz w:val="28"/>
            <w:szCs w:val="32"/>
            <w:u w:val="single"/>
            <w:shd w:val="clear" w:color="auto" w:fill="FFFFFF"/>
            <w:lang w:val="en-US" w:eastAsia="en-US" w:bidi="ar-SA"/>
          </w:rPr>
          <w:t>Bryant v. Machado, [2000] B.C.J. No. 2073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Allan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12 - 14,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4,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B980219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2073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1460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 M.V.R. (4th) 284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100 A.C.W.S. (3d) 371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Cindy Irene Bryant, plaintiff, and John Raposo Machado, the Corporation of the District of Squamish and BC Rail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4" style="position:absolute;z-index:2516879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8" w:name="Keywords_27"/>
      <w:bookmarkEnd w:id="188"/>
      <w:r>
        <w:rPr>
          <w:rFonts w:ascii="arial" w:eastAsia="arial" w:hAnsi="arial" w:cs="arial"/>
          <w:b/>
          <w:color w:val="000000"/>
          <w:sz w:val="20"/>
          <w:lang w:val="en-US" w:eastAsia="en-US" w:bidi="ar-SA"/>
        </w:rPr>
        <w:t xml:space="preserve">Damage awards — Injury and death — Leg injuries — Knee — 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 standard of care of driver — Railway crossing — Collision with patrol unit.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89" w:name="Case Summary_26"/>
            <w:bookmarkEnd w:id="18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Bryant for damages for property damage and personal injuries arising out of an accident involving her vehicle which came into collision with a BC Rail patrol unit travelling along intersecting railway tracks. BC Rail counterclaimed for damages to the truck. The main issue was liability. Bryant was making a left-hand turn from Hunter Place onto Cleveland Avenue to go westbound. The railway tracks ran parallel to Hunter Place and crossed Cleveland Avenue. The BC Rail patrol unit stopped at the crossing with Cleveland Avenue and waited for traffic to clear although admitted that he did not look to his right for left-turning vehicles. After advancing into the intersection, he realized that his vehicle had struck another vehicle. Bryant's vehicle was damaged on the left rear corner. The BC Rail patrol unit had its headlights on and a rotating beacon light on top of the vehicle. As a result of the impact, Bryant's head struck the windshield. Her main injuries consisted of swelling and bruising of her forehead, lower abdomen, left forearm, ankle and knee, as well as an aggravation of a pre-existing neck and shoulder injury.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90" w:name="Holdings of Court_21"/>
            <w:bookmarkEnd w:id="190"/>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General damages of $25,000 were awarded to Bryant, and $750 for property damage. The counterclaim was dismissed. The operator of the BC Rail patrol unit was 100 per cent liable for the accident. As the unit was a vehicle and not a train approaching a level crossing, the ordinary rules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applied to the Bryant vehicle. The patrol unit did not activate any of the usual warning signals that a train did as it crossed the level crossing. As a result, there was no reason for Bryant to have looked south as she was proceeding along Cleveland Avenue. She would not have reasonably expected that the patrol unit would be travelling across her path. The patrol unit on the other hand should have anticipated vehicle traffic crossing the road, especially since it was higher than ordinary vehicles and had better visibility as a result. Most of Bryant's injuries were mild or moderate in nature and resolved except for the knee and ankle which may require further treatment.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91" w:name="Legislation Cited_21"/>
      <w:bookmarkEnd w:id="19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5" style="position:absolute;z-index:2517391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Operating Instructions, under the Railway Act, R.S.B.C. 1996, c. 395, s. 16.11.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Motor Vehicle Act, </w:t>
      </w:r>
      <w:hyperlink r:id="rId608" w:history="1">
        <w:r>
          <w:rPr>
            <w:rFonts w:ascii="arial" w:eastAsia="arial" w:hAnsi="arial" w:cs="arial"/>
            <w:i/>
            <w:color w:val="0077CC"/>
            <w:sz w:val="20"/>
            <w:u w:val="single"/>
            <w:shd w:val="clear" w:color="auto" w:fill="FFFFFF"/>
            <w:lang w:val="en-US" w:eastAsia="en-US" w:bidi="ar-SA"/>
          </w:rPr>
          <w:t>R.S.B.C. 1996, c. 318, ss. 144</w:t>
        </w:r>
      </w:hyperlink>
      <w:r>
        <w:rPr>
          <w:rFonts w:ascii="arial" w:eastAsia="arial" w:hAnsi="arial" w:cs="arial"/>
          <w:color w:val="000000"/>
          <w:sz w:val="20"/>
          <w:lang w:val="en-US" w:eastAsia="en-US" w:bidi="ar-SA"/>
        </w:rPr>
        <w:t>, 185.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Railway Act, </w:t>
      </w:r>
      <w:r>
        <w:rPr>
          <w:rFonts w:ascii="arial" w:eastAsia="arial" w:hAnsi="arial" w:cs="arial"/>
          <w:i/>
          <w:color w:val="000000"/>
          <w:sz w:val="20"/>
          <w:lang w:val="en-US" w:eastAsia="en-US" w:bidi="ar-SA"/>
        </w:rPr>
        <w:t>R.S.B.C. 1996, c. 395</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92" w:name="Counsel_28"/>
      <w:bookmarkEnd w:id="19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6" style="position:absolute;z-index:251790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Nancy Wilhelm-Morden, for the plaintiff. Robert D. Shaw,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3" w:name="Judgment_28"/>
      <w:bookmarkEnd w:id="193"/>
      <w:r>
        <w:pict>
          <v:line id="_x0000_s1167" style="position:absolute;z-index:25184051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4" w:name="ALLAN J."/>
            <w:bookmarkEnd w:id="194"/>
            <w:r>
              <w:rPr>
                <w:rFonts w:ascii="arial" w:eastAsia="arial" w:hAnsi="arial" w:cs="arial"/>
                <w:b/>
                <w:color w:val="000000"/>
                <w:sz w:val="30"/>
                <w:lang w:val="en-US" w:eastAsia="en-US" w:bidi="ar-SA"/>
              </w:rPr>
              <w:t>ALLAN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December 18, 1997, shortly after 9 a.m., a collision occurred between a 1980 Chevrolet Chevette driven by the plaintiff, Ms. Bryant, and a BC Rail patrol unit driven by the defendant, Mr. Machado, along the railway tracks in Squamish. The patrol unit was a 1994 Dodge Dakota pickup truck fitted with auxiliary rail wheels that rode along the railway tracks. It was not raining but the roadway and the railway tracks were wet.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Bryant seeks non-pecuniary damages for her injuries and compensation for the damage to her vehicle. BC Rail counterclaims, seeking compensation for the damage to the patrol vehicle. In the course of trial, the plaintiff discontinued her action against one defendant, the Corporation of the District of Squamish.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plaintiff submits that the collision happened solely as a result of Mr. Machado's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defendants counter that the plaintiff was negligent in that she drove without due care and attention, failed to make a proper look out, drove at an excessive speed in the circumstances, and failed to yield the right of way to Mr. Machado's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Bryant was driving northbound in the left-hand lane on Hunter Place and stopped at a red light at the intersection of Hunter Place and Cleveland Avenue. When the light turned green, she approached into the intersection and waited to ensure that it was safe for her to turn left into the left-hand westbound lane on Cleveland Avenue. As she made her turn, she looked over her right shoulder and started to turn into the westbound curb lane on Cleveland Avenue. North-south railway tracks run parallel to Hunter Place and cross Cleveland Avenue just west of Hunter Place. Just as Ms. Bryant was crossing the railroad tracks, her vehicle was struck on the left rear corner by the patrol car. The impact spun Ms. Bryant's car around 180 degrees.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Machado's patrol car was northbound on the railway tracks. The job of a track patrolman is to go ahead of trains and perform a safety inspection to ensure there are no defective rails or debris on the tracks. On the day in question, the train Mr. Machado was preceding was at least one-half hour late and 0.2 miles behind him. A track patrolman is supposed to be between two and five miles ahead of a train. Mr. Machado said that his headlights were on and a rotating beacon light flashed on top of his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Machado approached the crossing and stopped to wait for traffic to clear on Cleveland Avenue. He admitted that he did not look to his right to see if there was left-turning traffic waiting at the intersection of Cleveland Avenue and Hunter Place. He moved forward. Towards the end of the crossing, he heard a bang to his right and saw a car spinning to his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Bryant's head hit and smashed the windshield of her car. There was also damage to the left rear quarter panel, left taillight assembly, and rear bumper of her vehicle. Ms. Bryant obtained two estimates for repairs, both of which estimated the damage at a little over $3,000.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damage to the Dodge pickup, which was to the right front corner, was repaired at a cost of about $7,750.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Brown, an Engineer retained by the plaintiff, was qualified as an expert in accident reconstruction. He estimated that prior to the collision, the speed of the Dodge Dakota was between 30 and 43 km/h and the speed of the Chevette was between 25 and 30 km/h. In response to a question by Mr. Shaw, counsel for the defendants, Mr. Brown admitted that his estimate of speed was based partly upon the apparent resting place of the Chevette, as shown in a photograph taken by Mr. Machado. He was unaware that Ms. Bryant had moved it at some point after the impact. However, there was no evidence as to whether Mr. Machado took the photograph before or after the plaintiff moved her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Machado said he stopped when he reached the crossing and, because the rails were wet, he could not accelerate quickly. Although the tachograph in his vehicle indicated that the truck speed was 60 km/h at the point of impact, he estimated that he was travelling at 20 km/h at the time of impact. Mr. Brown agreed that if the rails were wet, the tachograph reading would not be accurate. It follows that the lack of traction that prevented quick acceleration also prevented a quick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McQuaid, a retired witness with some experience estimating speeds, was in the intersection across from Ms. Bryant. He saw the track unit stop before the crossing and noticed that it had flashing amber bumper lights. He passed Ms. Bryant and then, looking in his rear view mirror and then over his shoulder, observed the collision. He said she pulled into the curb lane on Cleveland Avenue and looked as if she were trying to avoid the defendant's truck. He estimated the speed of the truck at about eight to ten miles an hour (or about 12 to 16 km/h) and the speed of the Chevette at about 25 mph (or 40 km/h). In my opinion, while Mr. McQuaid was an honest witness, he was not in a position to realistically estimate the speed of the vehicles immediately before, or at the point of the collision. I consider Mr. Brown's estimate that Ms. Bryant was travelling at 25 to 30 km/h at the time of the collision to be more realistic, given the obvious fact that she had just completed a left turn from a stopped position, as well as the nature, extent, and location of the damage to the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Tom King, BC Rail's Squamish station supervisor, testified that he had seen the accident occur and that, at the point of impact, the Chevette was travelling at 20 to 25 mph and the patrol unit, at 10 to 15 mph. Ms. Wilhelm-Morden, counsel for the plaintiff, submits that Mr. King did not observe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Machado testified that he radioed the Squamish station after the collision. He said that Supervisor Sandhu came to the accident scene first and, some time later, Tom King arrived. At trial, Mr. Machado testified that he did not know whether Mr. King had observed the accident; however, at his examination for discovery, he agreed that Mr. King had not witnessed it. The RCMP attended to investigate the accident and BC Rail later conducted its own investigation. Mr. King did not volunteer the fact that he had seen the accident to any of the investigators. He was unable to satisfactorily explain why he did not advise the investigators that he had observed the collision. I completely reject his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relevant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collision occurred in the railway crossing, not at an intersection (as intersection is defined in the Motor Vehicle Act,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seeks to invoke section 71 of B.C. Regulation 456/59 which prevents every operator of "a speeder, hand car or similar vehicle" from proceeding over a crossing protected by a gate until the gate is down. A speeder is defined as a platform with four metal wheels, propelled by a small motor (although the earlier version of a speeder was operated manually). It can easily be removed from the track at any point, whereas a track patrol unit can only be attached and detached with specialized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Regulation makes no reference to truck patrol units. While the Dodge Dakota patrol units perform the same function as the speeders of yesteryear, they do not, in my opinion, qualify as "a similar vehicle." I conclude that the Regulation is not applicable.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It is clear that section 16.11 of the General Operating Instructions, approved by the Province of B.C. under the authority of the Railway Act, </w:t>
      </w:r>
      <w:r>
        <w:rPr>
          <w:rFonts w:ascii="arial" w:eastAsia="arial" w:hAnsi="arial" w:cs="arial"/>
          <w:i/>
          <w:color w:val="000000"/>
          <w:sz w:val="20"/>
          <w:lang w:val="en-US" w:eastAsia="en-US" w:bidi="ar-SA"/>
        </w:rPr>
        <w:t>R.S.B.C. 1996, c. 395</w:t>
      </w:r>
      <w:r>
        <w:rPr>
          <w:rFonts w:ascii="arial" w:eastAsia="arial" w:hAnsi="arial" w:cs="arial"/>
          <w:color w:val="000000"/>
          <w:sz w:val="20"/>
          <w:lang w:val="en-US" w:eastAsia="en-US" w:bidi="ar-SA"/>
        </w:rPr>
        <w:t>, governs track patrol units operating over road crossings at grade: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16.11 Track Units Operating Over Road Crossings at Grade: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When approaching a road crossing at grade, a Track Unit must be under full control, prepared to stop where the views is obstructed by buildings, trees, embankments, other obstructions or if the traffic is heavy. Track Units must approach road crossings under control and proceed over such crossing only when it is known to be safe to do so and then at Track Unit speed.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 Traffic on the road crossing at grade must be given the right of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statutory provision applicable to Ms. Bryant is section 144 of the Motor Vehicle Act, supra. That section prohibits a person from driving without due care and attention, driving without reasonable consideration for other persons using the highway, or driving at a speed that is excessive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Section 185, which deals primarily with the duties of a driver approaching a railway crossing when a train is approaching, is not applicable. The defendant suggests that s. 185(6) is relevant. I do not agree. That section provides that "... the driver of a vehicle approaching the track of a railway must proceed with caution to avoid a collision between the vehicle and an approaching train". The patrol unit was not a train.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ordinary principles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apply. Until the Court's decision in Ryan v. Victoria (City), </w:t>
      </w:r>
      <w:hyperlink r:id="rId633" w:history="1">
        <w:r>
          <w:rPr>
            <w:rFonts w:ascii="arial" w:eastAsia="arial" w:hAnsi="arial" w:cs="arial"/>
            <w:i/>
            <w:color w:val="0077CC"/>
            <w:sz w:val="20"/>
            <w:u w:val="single"/>
            <w:shd w:val="clear" w:color="auto" w:fill="FFFFFF"/>
            <w:lang w:val="en-US" w:eastAsia="en-US" w:bidi="ar-SA"/>
          </w:rPr>
          <w:t>[1999] 1 S.C.R. 201</w:t>
        </w:r>
      </w:hyperlink>
      <w:r>
        <w:rPr>
          <w:rFonts w:ascii="arial" w:eastAsia="arial" w:hAnsi="arial" w:cs="arial"/>
          <w:color w:val="000000"/>
          <w:sz w:val="20"/>
          <w:lang w:val="en-US" w:eastAsia="en-US" w:bidi="ar-SA"/>
        </w:rPr>
        <w:t xml:space="preserve">, railway companies enjoyed a "special rule" at common law, under which they benefited from a privileged position within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Ryan, Mr. Justice Major for the Court stated that the duty of care owed by a railway with respect to public crossings is to be determined by the same principles relating to foreseeability and standard of care that govern other private or public 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When a train approaches Cleveland Avenue, gates that come down on either side of the tracks prevent traffic proceeding west and east along Cleveland Avenue from crossing those tracks. Those gates are equipped with warning lights and bells. Further, a mechanism automatically activates an override on the left-hand signal on Hunter Place that prohibits left turns until the train has passed. Mr. Howbold, Senior Safety Inspector of railways for B.C., agreed that relatively few crossings in B.C. were equipped with all of those safety devices and that the number of cautionary measures was related to the safety concerns at a particular crossing.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Having lived in the area since 1993, Ms. Bryant was very familiar with the cautionary procedures at that crossing, signalling an oncoming train. A track patrol unit does not activate any of those warning devices. There was no reason for the plaintiff to look southwards to see if there was a truck coming down the railway tracks.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my opinion, no person in Ms. Bryant's position could reasonably expect to run into a Dodge Dakota truck travelling on the railway tracks. Further, a hedge between the railway tracks and Hunter Place, described by Mr. Machado as about three to four feet high, would have partially obstructed the vision of the plaintiff in her small car when she was still on Hunter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the other hand, Mr. Machado could reasonably expect traffic to cross the tracks in front of him. While he looked left and right to see if traffic was approaching down Cleveland Avenue, he should have also anticipated and watched for vehicles turning left off Hunter Place. Being higher in his vehicle, he would have had a better view of the plaintiff's vehicle than she had of his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Bryant's driver's licence contains a restriction requiring her to wear corrective lenses. At the time of the accident, she was not wearing them, having forgotten both her purse and glasses at home. She said that the effect of not wearing her glasses was that she found signs blurred. In my opinion, her failure to wear her glasses did not cause or contribute to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defendants also suggest that Ms. Bryant was in a hurry and distracted by the fact that she was on her way to the Saan store to support some fellow workers who were on strike and she was late. Indeed, she made some comment to that effect to Mr. Machado following the collision. However, I find that the accident occurred solely as a result of Mr. Machado's failure to yield the right of way to Ms. Bryant and not because of any act or omission on her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summary, although Mr. Machado stopped before he entered the crossing and looked both ways, he failed to yield the right of way to Ms. Bryant. It was obvious that he was not looking out for any cars immediately before the collision because he heard a large bang even before he saw the Chevette. The plaintiff's car was almost past him before the impact. Mr. Machado admitted that he had not checked for left-turning traffic from Hunter Place to Cleveland Avenue. He ought to have been aware that his presence on the crossing would be a surprise to such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Accordingly, I conclude that the accident happened solely as a result of Mr. Machado's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An assessment of Ms. Bryant's damages is complicated by a number of factors, including her pre-existing medical condition and her counsel's inability to obtain a medical-legal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At the time of the accident, Ms. Bryant suffered from Thoracic Outlet Syndrome as a result of injuries she had received in an earlier motor vehicle accident in 1995. She was on medical leave from her employment, awaiting surgery for that condition. After the accident, she underwent two surgeries, in January and September 1998. She was bed-ridden for a month after each surgery. Thus, her activities were limited in any event. On the other hand, her additional injuries were a greater burden to her than would have been the case if she had been in good health at the time of this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find that Ms. Bryant suffered the following injuries as a result of the collision:</w:t>
      </w:r>
      <w:r>
        <w:rPr>
          <w:rFonts w:ascii="arial" w:eastAsia="arial" w:hAnsi="arial" w:cs="arial"/>
          <w:sz w:val="20"/>
          <w:lang w:val="en-US" w:eastAsia="en-US" w:bidi="ar-SA"/>
        </w:rPr>
        <w:cr/>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swollen and bruised left forehead that resolved in about a week;</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tenderness across her lower abdomen from the seat belt that resolved in a few weeks;</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bruised and swollen left forearm that resolved in a few weeks;</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aggravation of pre-existing soreness in her neck and shoulder for several weeks;</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anxiety about driving; and</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bruised and swollen left ankle and a bruised and swollen knee, both of which remain painful.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accident may have also increased her pre-existing headaches. The bruised and swollen ankle and knee are her most serious injuries, and I would categorize them as moderate. They bother her when walking on uneven ground and swell both when she walks more than a mile and at work, where she is on her feet all day. She has done the exercises prescribed by her doctor. Her family doctor has considered the possibility that she may need an arthroscopy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Bryant is 38 years old. She is a single mother who is the sole support for two teen-aged children. She has limited education and works as a sales clerk in a grocery store. She impressed me as a stoic woman who understated her injuries. She does not take time off from her employment even if her knee becomes painful and swollen as a result of standing on it all day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Ms. Bryant's life is a difficult one and the injuries she suffered in this accident added to her stress and pain. She rarely attended her family doctor who practices in Delta, partly because of the time and expense involved in travelling from Squamish to Delta and back. While she may require arthroscopic surgery in the future, no treatment has been indicated for her injuries. In my opinion, simply attending a doctor so that he or she can document the patient's continuing complaints does not assist the Court in assessing appropriate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have considered the cases cited to me by both counsel. I conclude that the plaintiff is entitled to $25,000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Chevette required approximately $3,000 worth of repairs. Ms. Bryant did not repair the car and she later sold it for about $200. She estimated its worth as between $500 and $1,000 at the time of the accident on the basis of something she had read in the "Auto Trader" but was unable to provide any more information of how she arrived at that estimate. I would value the car at $750 and deduct the $200 that she received. Accordingly, I assess her pecuniary loss at $550.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defendants are liable for the collision and the plaintiff's damages. Ms. Bryant is entitled to $25,000 in non-pecuniary damages and $550 in special damages. Court order interest is payable on the latter sum. The defendants' counter-claim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Unless there are matters of which I am unaware, the plaintiff is entitled to her costs at scale three.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ALLAN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8" style="position:absolute;z-index:2518835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34"/>
          <w:headerReference w:type="default" r:id="rId635"/>
          <w:footerReference w:type="even" r:id="rId636"/>
          <w:footerReference w:type="default" r:id="rId637"/>
          <w:headerReference w:type="first" r:id="rId638"/>
          <w:footerReference w:type="first" r:id="rId63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40" w:history="1">
        <w:r>
          <w:rPr>
            <w:rFonts w:ascii="arial" w:eastAsia="arial" w:hAnsi="arial" w:cs="arial"/>
            <w:b/>
            <w:bCs/>
            <w:i/>
            <w:color w:val="0077CC"/>
            <w:kern w:val="32"/>
            <w:sz w:val="28"/>
            <w:szCs w:val="32"/>
            <w:u w:val="single"/>
            <w:shd w:val="clear" w:color="auto" w:fill="FFFFFF"/>
            <w:lang w:val="en-US" w:eastAsia="en-US" w:bidi="ar-SA"/>
          </w:rPr>
          <w:t>Camosun College v. Peterson, [2012] B.C.J. No. 957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J.K. Bracken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3,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15,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08-4925, 11-2080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957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699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Camosun College, Plaintiff, and Carl E. Peterson, Architects Inc., Carl Edward Peterson and Farmer Construction Ltd., Defendants, and Mid-Island Masonry &amp; Contracting Ltd., Farmer Construction Ltd., Carl E. Peterson, Architects Inc., and Carl Edward Peterson and McLeod Masonry Ltd., Third Parties And between Camosun College, Plaintiff, and Levelton Engineering Ltd., Phil Seabrook, Thurber Engineering Ltd., Kevin B. Sterne, Gregory Ovstaas and the said Gregory Ovstaas doing business as G. Ovstaas &amp; Associates, Read Jones Christoffersen Ltd., and Leslie Peer, Defendants, and Levelton Engineering Ltd., Carl E. Peterson Architects Inc., Farmer Construction Ltd., Gregory Ovstaas doing business as G. Ovstaas &amp; Associates, and Read Jones Christoffersen Ltd.,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9" style="position:absolute;z-index:2516889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5" w:name="Keywords_28"/>
      <w:bookmarkEnd w:id="195"/>
      <w:r>
        <w:rPr>
          <w:rFonts w:ascii="arial" w:eastAsia="arial" w:hAnsi="arial" w:cs="arial"/>
          <w:b/>
          <w:color w:val="000000"/>
          <w:sz w:val="20"/>
          <w:lang w:val="en-US" w:eastAsia="en-US" w:bidi="ar-SA"/>
        </w:rPr>
        <w:t xml:space="preserve">Civil litigation — Civil procedure — Actions — Causes of action — Joinder and consolidation — Application by plaintiff to consolidate two actions dismissed — Application by Levelton for production of plaintiff's solicitor's file dismissed — Actions concerned alleged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breach of contract with respect to restoration of building — It was not clear that issues involved common claims, disputes and relationships or that claims were so closely intertwined — It was not clear that consolidation would save time and expense — Consolidation could affect limitations defence — It would be premature to order production of solicitor's file.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Civil litigation — Civil evidence — Documentary evidence — Privileged documents — Privilege — Privileged relationships — Solicitor and client — When privilege available — Application by plaintiff to consolidate two actions dismissed — Application by Levelton for production of plaintiff's solicitor's file dismissed — Actions concerned alleged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breach of contract with respect to restoration of building — It was not clear that issues involved common claims, disputes and relationships or that claims were so closely intertwined — It was not clear that consolidation would save time and expense — Consolidation could affect limitations defence — It would be premature to order production of solicitor's file.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Construction law — Proceedings — Practice and procedure — Evidence — Application by plaintiff to consolidate two actions dismissed — Application by Levelton for production of plaintiff's solicitor's file dismissed — Actions concerned alleged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breach of contract with respect to restoration of building — It was not clear that issues involved common claims, disputes and relationships or that claims were so closely intertwined — It was not clear that consolidation would save time and expense — Consolidation could affect limitations defence — It would be premature to order production of solicitor's file.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96" w:name="Case Summary_27"/>
            <w:bookmarkEnd w:id="19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to consolidate two actions; application by Levelton for production of the plaintiff's solicitor's file. The plaintiff's actions concerned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with respect to the restoration of a building. The plaintiff commenced the first action against Peterson and Farmer. Peterson and Farmer filed a third party notice against Mid-Island. Farmer filed a third party notice against Peterson. Mid-Island filed a third party notice against McLeod. The plaintiff filed the second action against Levelton and Thurber. Thurber filed a third party notice against Levelton, Peterson and Farmer.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97" w:name="Holdings of Court_22"/>
            <w:bookmarkEnd w:id="197"/>
            <w:r>
              <w:rPr>
                <w:rFonts w:ascii="arial" w:eastAsia="arial" w:hAnsi="arial" w:cs="arial"/>
                <w:color w:val="000000"/>
                <w:sz w:val="20"/>
                <w:lang w:val="en-US" w:eastAsia="en-US" w:bidi="ar-SA"/>
              </w:rPr>
              <w:t>HELD: Application for consolidation dismissed; application for production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was not clear that the issues in the two actions involved common claims, disputes and relationships or that the claims in the two actions were so closely intertwined that they should be consolidated. It was not clear that consolidation would save time and expense. Consolidation could affect Levelton's limitations defence. The actions were to be tried at the same time. Although the authorities supported Levelton's submission that the plaintiff waived privilege by asserting that it did not know and could not have known the necessary facts to commence the second action within the limitation period, it would be premature to order production of the solicitor's file. The parties had not conducted discoveries and Levelton was waiting for the plaintiff's list of documents.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98" w:name="Legislation Cited_22"/>
      <w:bookmarkEnd w:id="19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70" style="position:absolute;z-index:2517401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Limitation Act, </w:t>
      </w:r>
      <w:hyperlink r:id="rId549" w:history="1">
        <w:r>
          <w:rPr>
            <w:rFonts w:ascii="arial" w:eastAsia="arial" w:hAnsi="arial" w:cs="arial"/>
            <w:i/>
            <w:color w:val="0077CC"/>
            <w:sz w:val="20"/>
            <w:u w:val="single"/>
            <w:shd w:val="clear" w:color="auto" w:fill="FFFFFF"/>
            <w:lang w:val="en-US" w:eastAsia="en-US" w:bidi="ar-SA"/>
          </w:rPr>
          <w:t>RSBC 1996, CHAPTER 266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Rule 22-5(8)</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99" w:name="Counsel_29"/>
      <w:bookmarkEnd w:id="19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1" style="position:absolute;z-index:251791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C.A. Siver.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Levelton Engineering Ltd. and Phil Seabrook: S.W. Lesiuk.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00" w:name="Judgment_29"/>
      <w:bookmarkEnd w:id="200"/>
      <w:r>
        <w:pict>
          <v:line id="_x0000_s1172" style="position:absolute;z-index:25184153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1" w:name="J.K. BRACKEN J."/>
            <w:bookmarkEnd w:id="201"/>
            <w:r>
              <w:rPr>
                <w:rFonts w:ascii="arial" w:eastAsia="arial" w:hAnsi="arial" w:cs="arial"/>
                <w:b/>
                <w:color w:val="000000"/>
                <w:sz w:val="30"/>
                <w:lang w:val="en-US" w:eastAsia="en-US" w:bidi="ar-SA"/>
              </w:rPr>
              <w:t>J.K. BRACKEN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applies pursuant to Rule 22-5(8) to consolidate Action No. 08-4925 between it and Carl E. Peterson Architects ("Peterson") and others ("the First Action"), with Action No. 11-2080 between the plaintiff and Levelton Engineering Ltd. ("Levelton") and others ("the Second Action") and for leave to make the required amendments to the pleadings. The defendant Levelton is opposed to an order of consolidation but is not opposed to an order that the two actions be tried at the same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In a second application, the defendants Levelton and Seabrook apply for production of the plaintiff's solicitor's file related to the plaintiff's submission that the running of time under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R.S.B.C. 1966, c. 266 was postponed.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First Action was commenced November 17, 2008 and arises out of a major restoration of an historic building known as the Young Building on the plaintiff's Landsdowne Campus in Victoria, British Columbia. The work involved in the project was an exterior restoration and seismic upgrade to the building. The defendant Peterson was the architect for the project and the defendant Farmer Construction Ltd. ("Farmer") was retained by the plaintiff as the general contractor.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contract between the plaintiff and Farmer was settled in May 1999 and the project was completed in September 2000. However, in 2006, the plaintiff noted certain problems with the work and it arranged for an inspection. Following the inspection the plaintiff alleged the work had not been properly done and claimed the defects in the work were the result of faulty design, materials and workmanship.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On December 15, 2008 the defendants in the First Action issued a Third Party Notice to Mid-Island Masonry and Contracting Ltd. ("Mid-Island"), alleging that it was negligent in the construction or supervision of a sub-contract it performed for Farmer or that was in breach of the sub-contract. An amended Third Party Notice was filed April 17, 2009. On June 17, 2009 Farmer filed a Third Party Notice against Peterson and its principal Carl Edward Peterson alleging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providing architectural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On June 24, 2009 Mid-Island filed a Third Party Notice against McLeod Masonry Ltd. ("McLeod") alleging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its contract in supplying and installing cast stone and sealer to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On May 12, 2011 the plaintiff filed the Second Action against Levelton and others including Thurber Engineering Ltd., ("Thurber") alleging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contract. On July 12, 2011 the defendant Thurber filed a Third Party Notice against Levelton, and against Peterson and Farmer who are defendants in the First Action, as well as two other defendants in the Second Action and claimed contribution and indemnification. The pleadings in both actions have now been completed.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root of the problems with the work performed appears to be the delamination and cracking of the cast stones applied to the exterior of the building, and a general deterioration or failure of the building seal. Some of the material was allegedly falling from the building putting those using the building at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submits that it is convenient to consolidate the two actions as all of the claimed damages arise out of a single project and all of the defendants to the claim and third-party defendants participated in the project. Several of the defendants are common to both actions through Third Party proceedings and the plaintiff says the facts and issues in both actions would be more efficiently dealt with in one action rather than two.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 also says the main issues are common to both actions and many expert reports will necessarily be prepared and duplicated if two separate trials are held. In addition, the plaintiff argues there is a potential for inconsistent verdicts if two trials are held before different judges. Finally, the plaintiff says that it will be more economical in terms of both time and money to have one trial rather than two. In addition to the reports of experts, there will be a considerable volume of evidence that will have to be duplicated if the actions are tried separately.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defendant Levelton argues that it has a defence under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that may be lost if the actions are consolidated. Levelton submits the actions should be tried at the same time but not consolidated. It argues the same benefits will flow from both actions being tried at the same time as would result from a consolidation, but without any potential to harm its defence under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Consolidation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plaintiff relies on </w:t>
      </w:r>
      <w:r>
        <w:rPr>
          <w:rFonts w:ascii="arial" w:eastAsia="arial" w:hAnsi="arial" w:cs="arial"/>
          <w:i/>
          <w:color w:val="000000"/>
          <w:sz w:val="20"/>
          <w:lang w:val="en-US" w:eastAsia="en-US" w:bidi="ar-SA"/>
        </w:rPr>
        <w:t>Discovery Enterprises Inc. v. Ebco Enterprises Ltd.</w:t>
      </w:r>
      <w:r>
        <w:rPr>
          <w:rFonts w:ascii="arial" w:eastAsia="arial" w:hAnsi="arial" w:cs="arial"/>
          <w:color w:val="000000"/>
          <w:sz w:val="20"/>
          <w:lang w:val="en-US" w:eastAsia="en-US" w:bidi="ar-SA"/>
        </w:rPr>
        <w:t xml:space="preserve">, </w:t>
      </w:r>
      <w:hyperlink r:id="rId641" w:history="1">
        <w:r>
          <w:rPr>
            <w:rFonts w:ascii="arial" w:eastAsia="arial" w:hAnsi="arial" w:cs="arial"/>
            <w:i/>
            <w:color w:val="0077CC"/>
            <w:sz w:val="20"/>
            <w:u w:val="single"/>
            <w:shd w:val="clear" w:color="auto" w:fill="FFFFFF"/>
            <w:lang w:val="en-US" w:eastAsia="en-US" w:bidi="ar-SA"/>
          </w:rPr>
          <w:t>2001 BCSC 235</w:t>
        </w:r>
      </w:hyperlink>
      <w:r>
        <w:rPr>
          <w:rFonts w:ascii="arial" w:eastAsia="arial" w:hAnsi="arial" w:cs="arial"/>
          <w:color w:val="000000"/>
          <w:sz w:val="20"/>
          <w:lang w:val="en-US" w:eastAsia="en-US" w:bidi="ar-SA"/>
        </w:rPr>
        <w:t>, at para. 23, for the principle that an order for consolidation may be appropriate in a case where the parties are the same and there are common issues that will be resolved in both actions by a decision in one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plaintiff also referred to </w:t>
      </w:r>
      <w:r>
        <w:rPr>
          <w:rFonts w:ascii="arial" w:eastAsia="arial" w:hAnsi="arial" w:cs="arial"/>
          <w:i/>
          <w:color w:val="000000"/>
          <w:sz w:val="20"/>
          <w:lang w:val="en-US" w:eastAsia="en-US" w:bidi="ar-SA"/>
        </w:rPr>
        <w:t>Merritt v. Imasco Enterprises Inc.</w:t>
      </w:r>
      <w:r>
        <w:rPr>
          <w:rFonts w:ascii="arial" w:eastAsia="arial" w:hAnsi="arial" w:cs="arial"/>
          <w:color w:val="000000"/>
          <w:sz w:val="20"/>
          <w:lang w:val="en-US" w:eastAsia="en-US" w:bidi="ar-SA"/>
        </w:rPr>
        <w:t xml:space="preserve"> </w:t>
      </w:r>
      <w:hyperlink r:id="rId642" w:history="1">
        <w:r>
          <w:rPr>
            <w:rFonts w:ascii="arial" w:eastAsia="arial" w:hAnsi="arial" w:cs="arial"/>
            <w:i/>
            <w:color w:val="0077CC"/>
            <w:sz w:val="20"/>
            <w:u w:val="single"/>
            <w:shd w:val="clear" w:color="auto" w:fill="FFFFFF"/>
            <w:lang w:val="en-US" w:eastAsia="en-US" w:bidi="ar-SA"/>
          </w:rPr>
          <w:t>(1992), 2 C.P.C. (3d) 275</w:t>
        </w:r>
      </w:hyperlink>
      <w:r>
        <w:rPr>
          <w:rFonts w:ascii="arial" w:eastAsia="arial" w:hAnsi="arial" w:cs="arial"/>
          <w:color w:val="000000"/>
          <w:sz w:val="20"/>
          <w:lang w:val="en-US" w:eastAsia="en-US" w:bidi="ar-SA"/>
        </w:rPr>
        <w:t xml:space="preserve"> where Master Kirkpatrick, as she then was, set out the test to be applied on an application to consolidate proceedings or set them for trial together at para. 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accept that the foundation of an application under R. 5(8) is indeed disclosed by the pleadings. The examination of the pleadings will answer the first question to be addressed: do common claims, disputes and relationships exist between the parties? But the next question which one must ask is: are they "so interwoven as to make separate trials at different times before different judges undesirable and fraught with problems and economic expense"? </w:t>
      </w:r>
      <w:r>
        <w:rPr>
          <w:rFonts w:ascii="arial" w:eastAsia="arial" w:hAnsi="arial" w:cs="arial"/>
          <w:i/>
          <w:color w:val="000000"/>
          <w:sz w:val="20"/>
          <w:lang w:val="en-US" w:eastAsia="en-US" w:bidi="ar-SA"/>
        </w:rPr>
        <w:t>Webster v. Webster</w:t>
      </w:r>
      <w:r>
        <w:rPr>
          <w:rFonts w:ascii="arial" w:eastAsia="arial" w:hAnsi="arial" w:cs="arial"/>
          <w:color w:val="000000"/>
          <w:sz w:val="20"/>
          <w:lang w:val="en-US" w:eastAsia="en-US" w:bidi="ar-SA"/>
        </w:rPr>
        <w:t xml:space="preserve"> </w:t>
      </w:r>
      <w:hyperlink r:id="rId643" w:history="1">
        <w:r>
          <w:rPr>
            <w:rFonts w:ascii="arial" w:eastAsia="arial" w:hAnsi="arial" w:cs="arial"/>
            <w:i/>
            <w:color w:val="0077CC"/>
            <w:sz w:val="20"/>
            <w:u w:val="single"/>
            <w:shd w:val="clear" w:color="auto" w:fill="FFFFFF"/>
            <w:lang w:val="en-US" w:eastAsia="en-US" w:bidi="ar-SA"/>
          </w:rPr>
          <w:t>(1979) 12 B.C.L.R. 172</w:t>
        </w:r>
      </w:hyperlink>
      <w:r>
        <w:rPr>
          <w:rFonts w:ascii="arial" w:eastAsia="arial" w:hAnsi="arial" w:cs="arial"/>
          <w:color w:val="000000"/>
          <w:sz w:val="20"/>
          <w:lang w:val="en-US" w:eastAsia="en-US" w:bidi="ar-SA"/>
        </w:rPr>
        <w:t xml:space="preserve"> (C.A.). That second question cannot, in my respectful view, be determined solely by reference to the pleadings. Reference must also be made to matters disclosed outside the pleadings:</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will the order sought create a saving in pre-trial procedures, (in particular, pre-trial conferences)?</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will there be a real reduction in the number of trial days taken up by the trials being heard at the same time?;</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potential for a party to be seriously inconvenienced by being required to attend a trial in which that party may have only a marginal interest?; and</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will there be a real saving in experts' time and witness fees?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in no way intended to be an exhaustive list. It merely sets out some of the factors which, it seems to me, ought to be weighed before making an order under R. 5(8).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There were two additional factors added to this list by Master Joyce (as he then was) in </w:t>
      </w:r>
      <w:r>
        <w:rPr>
          <w:rFonts w:ascii="arial" w:eastAsia="arial" w:hAnsi="arial" w:cs="arial"/>
          <w:i/>
          <w:color w:val="000000"/>
          <w:sz w:val="20"/>
          <w:lang w:val="en-US" w:eastAsia="en-US" w:bidi="ar-SA"/>
        </w:rPr>
        <w:t>Shah v. Bakken</w:t>
      </w:r>
      <w:r>
        <w:rPr>
          <w:rFonts w:ascii="arial" w:eastAsia="arial" w:hAnsi="arial" w:cs="arial"/>
          <w:color w:val="000000"/>
          <w:sz w:val="20"/>
          <w:lang w:val="en-US" w:eastAsia="en-US" w:bidi="ar-SA"/>
        </w:rPr>
        <w:t xml:space="preserve"> </w:t>
      </w:r>
      <w:hyperlink r:id="rId644" w:history="1">
        <w:r>
          <w:rPr>
            <w:rFonts w:ascii="arial" w:eastAsia="arial" w:hAnsi="arial" w:cs="arial"/>
            <w:i/>
            <w:color w:val="0077CC"/>
            <w:sz w:val="20"/>
            <w:u w:val="single"/>
            <w:shd w:val="clear" w:color="auto" w:fill="FFFFFF"/>
            <w:lang w:val="en-US" w:eastAsia="en-US" w:bidi="ar-SA"/>
          </w:rPr>
          <w:t>(1996), 20 B.C.L.R. (3d) 393</w:t>
        </w:r>
      </w:hyperlink>
      <w:r>
        <w:rPr>
          <w:rFonts w:ascii="arial" w:eastAsia="arial" w:hAnsi="arial" w:cs="arial"/>
          <w:color w:val="000000"/>
          <w:sz w:val="20"/>
          <w:lang w:val="en-US" w:eastAsia="en-US" w:bidi="ar-SA"/>
        </w:rPr>
        <w:t>, at para. 15:</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one of the actions at a more advanced stage than the other? See: </w:t>
      </w:r>
      <w:r>
        <w:rPr>
          <w:rFonts w:ascii="arial" w:eastAsia="arial" w:hAnsi="arial" w:cs="arial"/>
          <w:i/>
          <w:color w:val="000000"/>
          <w:sz w:val="20"/>
          <w:lang w:val="en-US" w:eastAsia="en-US" w:bidi="ar-SA"/>
        </w:rPr>
        <w:t>Forestral Automation Ltd. v. RMS Industrial Controls Inc. et al. (No. 2)</w:t>
      </w:r>
      <w:r>
        <w:rPr>
          <w:rFonts w:ascii="arial" w:eastAsia="arial" w:hAnsi="arial" w:cs="arial"/>
          <w:color w:val="000000"/>
          <w:sz w:val="20"/>
          <w:lang w:val="en-US" w:eastAsia="en-US" w:bidi="ar-SA"/>
        </w:rPr>
        <w:t xml:space="preserve">, </w:t>
      </w:r>
      <w:hyperlink r:id="rId645" w:history="1">
        <w:r>
          <w:rPr>
            <w:rFonts w:ascii="arial" w:eastAsia="arial" w:hAnsi="arial" w:cs="arial"/>
            <w:i/>
            <w:color w:val="0077CC"/>
            <w:sz w:val="20"/>
            <w:u w:val="single"/>
            <w:shd w:val="clear" w:color="auto" w:fill="FFFFFF"/>
            <w:lang w:val="en-US" w:eastAsia="en-US" w:bidi="ar-SA"/>
          </w:rPr>
          <w:t>[1978] B.C.J. No. 253</w:t>
        </w:r>
      </w:hyperlink>
      <w:r>
        <w:rPr>
          <w:rFonts w:ascii="arial" w:eastAsia="arial" w:hAnsi="arial" w:cs="arial"/>
          <w:color w:val="000000"/>
          <w:sz w:val="20"/>
          <w:lang w:val="en-US" w:eastAsia="en-US" w:bidi="ar-SA"/>
        </w:rPr>
        <w:t>, March 6, 1978, No. C765633/76, Vancouver (B.C.S.C.).</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Will the order result a delay of the trial of one of the actions and, if so, does any prejudice which a party may suffer as a result of that delay outweigh the potential benefits which a combined trial might otherwise have?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plaintiff submits an appropriate order can be drafted to achieve the economy and efficiency sought through consolidation of the actions and still preserve Levelton's right to assert a defence under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In fact, counsel for the plaintiff has submitted a draft order he says will achieve that goal.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Counsel for the defendants Levelton and Seabrook pointed out that the action against them was commenced about twelve years after the date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contract arose. The potential limitation issues are presumably available to all of the defendants in the Second Action. Levelton and Seabrook rely on </w:t>
      </w:r>
      <w:r>
        <w:rPr>
          <w:rFonts w:ascii="arial" w:eastAsia="arial" w:hAnsi="arial" w:cs="arial"/>
          <w:i/>
          <w:color w:val="000000"/>
          <w:sz w:val="20"/>
          <w:lang w:val="en-US" w:eastAsia="en-US" w:bidi="ar-SA"/>
        </w:rPr>
        <w:t>Westbank Holding Ltd. v. Westgate Shopping Centre Ltd.</w:t>
      </w:r>
      <w:r>
        <w:rPr>
          <w:rFonts w:ascii="arial" w:eastAsia="arial" w:hAnsi="arial" w:cs="arial"/>
          <w:color w:val="000000"/>
          <w:sz w:val="20"/>
          <w:lang w:val="en-US" w:eastAsia="en-US" w:bidi="ar-SA"/>
        </w:rPr>
        <w:t xml:space="preserve">, </w:t>
      </w:r>
      <w:hyperlink r:id="rId646" w:history="1">
        <w:r>
          <w:rPr>
            <w:rFonts w:ascii="arial" w:eastAsia="arial" w:hAnsi="arial" w:cs="arial"/>
            <w:i/>
            <w:color w:val="0077CC"/>
            <w:sz w:val="20"/>
            <w:u w:val="single"/>
            <w:shd w:val="clear" w:color="auto" w:fill="FFFFFF"/>
            <w:lang w:val="en-US" w:eastAsia="en-US" w:bidi="ar-SA"/>
          </w:rPr>
          <w:t>2009 BCSC 51</w:t>
        </w:r>
      </w:hyperlink>
      <w:r>
        <w:rPr>
          <w:rFonts w:ascii="arial" w:eastAsia="arial" w:hAnsi="arial" w:cs="arial"/>
          <w:color w:val="000000"/>
          <w:sz w:val="20"/>
          <w:lang w:val="en-US" w:eastAsia="en-US" w:bidi="ar-SA"/>
        </w:rPr>
        <w:t xml:space="preserve"> where the Court held the two actions in that case ought not to be consolidated because one of the actions had a possible defence under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However, in </w:t>
      </w:r>
      <w:r>
        <w:rPr>
          <w:rFonts w:ascii="arial" w:eastAsia="arial" w:hAnsi="arial" w:cs="arial"/>
          <w:i/>
          <w:color w:val="000000"/>
          <w:sz w:val="20"/>
          <w:lang w:val="en-US" w:eastAsia="en-US" w:bidi="ar-SA"/>
        </w:rPr>
        <w:t>BC Rail Partnership v. Canadian National Railway Co.</w:t>
      </w:r>
      <w:r>
        <w:rPr>
          <w:rFonts w:ascii="arial" w:eastAsia="arial" w:hAnsi="arial" w:cs="arial"/>
          <w:color w:val="000000"/>
          <w:sz w:val="20"/>
          <w:lang w:val="en-US" w:eastAsia="en-US" w:bidi="ar-SA"/>
        </w:rPr>
        <w:t xml:space="preserve">, </w:t>
      </w:r>
      <w:hyperlink r:id="rId647" w:history="1">
        <w:r>
          <w:rPr>
            <w:rFonts w:ascii="arial" w:eastAsia="arial" w:hAnsi="arial" w:cs="arial"/>
            <w:i/>
            <w:color w:val="0077CC"/>
            <w:sz w:val="20"/>
            <w:u w:val="single"/>
            <w:shd w:val="clear" w:color="auto" w:fill="FFFFFF"/>
            <w:lang w:val="en-US" w:eastAsia="en-US" w:bidi="ar-SA"/>
          </w:rPr>
          <w:t>2008 BCSC 882</w:t>
        </w:r>
      </w:hyperlink>
      <w:r>
        <w:rPr>
          <w:rFonts w:ascii="arial" w:eastAsia="arial" w:hAnsi="arial" w:cs="arial"/>
          <w:color w:val="000000"/>
          <w:sz w:val="20"/>
          <w:lang w:val="en-US" w:eastAsia="en-US" w:bidi="ar-SA"/>
        </w:rPr>
        <w:t xml:space="preserve">, the Court rejected an application that a defendant in a second action be joined as a defendant in the first action but ordered the two actions consolidated without prejudice to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defence asserted by the proposed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Levelton and Seabrook say that consolidation will result in the two actions losing their separate identities and potentially result in a loss of their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defence. The plaintiff says the defence can be made available by an appropriate court order as was done in the </w:t>
      </w:r>
      <w:r>
        <w:rPr>
          <w:rFonts w:ascii="arial" w:eastAsia="arial" w:hAnsi="arial" w:cs="arial"/>
          <w:i/>
          <w:color w:val="000000"/>
          <w:sz w:val="20"/>
          <w:lang w:val="en-US" w:eastAsia="en-US" w:bidi="ar-SA"/>
        </w:rPr>
        <w:t>BC Rail</w:t>
      </w:r>
      <w:r>
        <w:rPr>
          <w:rFonts w:ascii="arial" w:eastAsia="arial" w:hAnsi="arial" w:cs="arial"/>
          <w:color w:val="000000"/>
          <w:sz w:val="20"/>
          <w:lang w:val="en-US" w:eastAsia="en-US" w:bidi="ar-SA"/>
        </w:rPr>
        <w:t xml:space="preserve"> case. The draft order proposed by the plaintiff purports to preserve the defence to each of the defendants and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While it appears possible with an appropriate order, to preserve a defence based on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in a consolidated action, the issue is not completely without doubt. The defendants in the Second Action are different than the defendants in the First Action. However, Thurber, as a defendant in the Second Action has issued Third Party Proceedings against Levelton and also against Peterson and Farmer who are defendants in the First Action and who are not involved in the Second Action but for the Third Party proceedings. So far as I can tell, the Third Party Notice is the only bridge between the two actions and if the actions are consolidated Thurber's Third Party notice may well affect Levelton's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addition, Levelton and Seabrook argue that the facts of this case do not meet the test for consolidation. They rely on </w:t>
      </w:r>
      <w:r>
        <w:rPr>
          <w:rFonts w:ascii="arial" w:eastAsia="arial" w:hAnsi="arial" w:cs="arial"/>
          <w:i/>
          <w:color w:val="000000"/>
          <w:sz w:val="20"/>
          <w:lang w:val="en-US" w:eastAsia="en-US" w:bidi="ar-SA"/>
        </w:rPr>
        <w:t>Merritt v. Imasco Enterprises Inc.</w:t>
      </w:r>
      <w:r>
        <w:rPr>
          <w:rFonts w:ascii="arial" w:eastAsia="arial" w:hAnsi="arial" w:cs="arial"/>
          <w:color w:val="000000"/>
          <w:sz w:val="20"/>
          <w:lang w:val="en-US" w:eastAsia="en-US" w:bidi="ar-SA"/>
        </w:rPr>
        <w:t>, and submit that it is not possible at this point to determine if there are common "claims, disputes and relationships between the parties" or if the actions are so interwoven as to make separate trials undesirable and more expensive. They point out that the pleadings allege only that they were negligent or in breach of their contract in performing their professional services. The plaintiff has provided more detail of its claim in its Response to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Levelton and Seabrook argue that it is impossible on the pleadings to determine how the plaintiff alleges they caused any damage and it is therefore not possible to know if there are common claims or if the actions are so interwoven as to justify consolidation of the actions. The involvement of Levelton and Seabrook in the project appears to be limited to providing advice on certain materials that were used. The Response of the plaintiff to the application for production of its solicitors file asserts that Levelton and Seabrook were aware of possible risks of using certain materials and that they failed to advise the plaintiff of those risks.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Levelton and Seabrook say that there is no evidence that a consolidation of the two actions will save any time and expense or that the two actions have common issues that are intertwined and thus have not satisfied the test in </w:t>
      </w:r>
      <w:r>
        <w:rPr>
          <w:rFonts w:ascii="arial" w:eastAsia="arial" w:hAnsi="arial" w:cs="arial"/>
          <w:i/>
          <w:color w:val="000000"/>
          <w:sz w:val="20"/>
          <w:lang w:val="en-US" w:eastAsia="en-US" w:bidi="ar-SA"/>
        </w:rPr>
        <w:t>Merritt v. Imasco</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It is clear that the claims all arise from the same project and that the plaintiff has cast its net wide enough to include most, if not all of the participants in the project. However, it is not clear that the issues between the plaintiff and defendant in the First Action and Levelton and Seabrook in the Second Action involve common claims, disputes and relationships or that the claims in the two actions are so closely intertwined that they should be consolidated. Likewise, it is not clear that consolidation rather than having a trial of both actions at the same time will result in more time and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fact, it is likely that consolidation will result in more time and expense to Levelton and Seabrook as they will be drawn into an action that involves claims which are significantly more complex than the claims against them. There does not seem to be any reason why the same benefit could not be gained by ordering that the actions be tried at the same time rather than consolidated. In that way the action involving Levelton and Seabrook will retain its separate identity and all of the evidence will be presented at one trial with greater efficiency and economy.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For these reasons, the application for consolidation of the two actions is dismissed and I order that Action Nos. 08-4925 and 11-2080 be tried at the same time. Rather than try to anticipate the ancillary orders conducive to the orderly conduct of the two actions at this time, I leave the issue of any other orders necessary to a Case Planning Conference to be held once all pleadings are settled and before the matter is scheduled for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Application for Production of Solicitor's Brief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next issue is Levelton's application for production of the plaintiff's solicitor's file. This application arises from the plaintiff's assertion that the running of time under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was postponed. The plaintiff claims it was unaware of the identities of those involved and the facts giving rise to an action against the defendants in the Second Action within the limitation period provided by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Levelton and Seabrook argue that the plaintiff engaged them in 1999 and all of their work was completed within a few months. It is also argued that the plaintiff was aware of problems with the cast stone product as early as August 1999 and Peterson had issued a stop work order on the project in October 1999 because of problems with the cast stone product.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defendants Levelton and Seabrook submit that any privilege the plaintiff had on the issue was implicitly waived by its pleading that the running of time was postponed. They argue that by pleading postponement they have put the plaintiff's "state of mind" at issue and say that by enforcing solicitor-client privilege the plaintiff would have an advantage in the litigation in that it could claim a lack of knowledge the defendants could not properly investigate: </w:t>
      </w:r>
      <w:r>
        <w:rPr>
          <w:rFonts w:ascii="arial" w:eastAsia="arial" w:hAnsi="arial" w:cs="arial"/>
          <w:i/>
          <w:color w:val="000000"/>
          <w:sz w:val="20"/>
          <w:lang w:val="en-US" w:eastAsia="en-US" w:bidi="ar-SA"/>
        </w:rPr>
        <w:t>Lin v. Leung</w:t>
      </w:r>
      <w:r>
        <w:rPr>
          <w:rFonts w:ascii="arial" w:eastAsia="arial" w:hAnsi="arial" w:cs="arial"/>
          <w:color w:val="000000"/>
          <w:sz w:val="20"/>
          <w:lang w:val="en-US" w:eastAsia="en-US" w:bidi="ar-SA"/>
        </w:rPr>
        <w:t xml:space="preserve">, </w:t>
      </w:r>
      <w:hyperlink r:id="rId648" w:history="1">
        <w:r>
          <w:rPr>
            <w:rFonts w:ascii="arial" w:eastAsia="arial" w:hAnsi="arial" w:cs="arial"/>
            <w:i/>
            <w:color w:val="0077CC"/>
            <w:sz w:val="20"/>
            <w:u w:val="single"/>
            <w:shd w:val="clear" w:color="auto" w:fill="FFFFFF"/>
            <w:lang w:val="en-US" w:eastAsia="en-US" w:bidi="ar-SA"/>
          </w:rPr>
          <w:t>[1991] B.C.J. No. 641</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Rogers v. Bank of Montreal</w:t>
      </w:r>
      <w:r>
        <w:rPr>
          <w:rFonts w:ascii="arial" w:eastAsia="arial" w:hAnsi="arial" w:cs="arial"/>
          <w:color w:val="000000"/>
          <w:sz w:val="20"/>
          <w:lang w:val="en-US" w:eastAsia="en-US" w:bidi="ar-SA"/>
        </w:rPr>
        <w:t xml:space="preserve">, </w:t>
      </w:r>
      <w:hyperlink r:id="rId649" w:history="1">
        <w:r>
          <w:rPr>
            <w:rFonts w:ascii="arial" w:eastAsia="arial" w:hAnsi="arial" w:cs="arial"/>
            <w:i/>
            <w:color w:val="0077CC"/>
            <w:sz w:val="20"/>
            <w:u w:val="single"/>
            <w:shd w:val="clear" w:color="auto" w:fill="FFFFFF"/>
            <w:lang w:val="en-US" w:eastAsia="en-US" w:bidi="ar-SA"/>
          </w:rPr>
          <w:t>[1985] B.C.J. No. 2796</w:t>
        </w:r>
      </w:hyperlink>
      <w:r>
        <w:rPr>
          <w:rFonts w:ascii="arial" w:eastAsia="arial" w:hAnsi="arial" w:cs="arial"/>
          <w:color w:val="000000"/>
          <w:sz w:val="20"/>
          <w:lang w:val="en-US" w:eastAsia="en-US" w:bidi="ar-SA"/>
        </w:rPr>
        <w:t xml:space="preserve"> (SC); and </w:t>
      </w:r>
      <w:r>
        <w:rPr>
          <w:rFonts w:ascii="arial" w:eastAsia="arial" w:hAnsi="arial" w:cs="arial"/>
          <w:i/>
          <w:color w:val="000000"/>
          <w:sz w:val="20"/>
          <w:lang w:val="en-US" w:eastAsia="en-US" w:bidi="ar-SA"/>
        </w:rPr>
        <w:t>Mayer v. Mayer</w:t>
      </w:r>
      <w:r>
        <w:rPr>
          <w:rFonts w:ascii="arial" w:eastAsia="arial" w:hAnsi="arial" w:cs="arial"/>
          <w:color w:val="000000"/>
          <w:sz w:val="20"/>
          <w:lang w:val="en-US" w:eastAsia="en-US" w:bidi="ar-SA"/>
        </w:rPr>
        <w:t xml:space="preserve">, </w:t>
      </w:r>
      <w:hyperlink r:id="rId650" w:history="1">
        <w:r>
          <w:rPr>
            <w:rFonts w:ascii="arial" w:eastAsia="arial" w:hAnsi="arial" w:cs="arial"/>
            <w:i/>
            <w:color w:val="0077CC"/>
            <w:sz w:val="20"/>
            <w:u w:val="single"/>
            <w:shd w:val="clear" w:color="auto" w:fill="FFFFFF"/>
            <w:lang w:val="en-US" w:eastAsia="en-US" w:bidi="ar-SA"/>
          </w:rPr>
          <w:t>2012 BCCA 77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particular, Levelton and Seabrook rely on </w:t>
      </w:r>
      <w:r>
        <w:rPr>
          <w:rFonts w:ascii="arial" w:eastAsia="arial" w:hAnsi="arial" w:cs="arial"/>
          <w:i/>
          <w:color w:val="000000"/>
          <w:sz w:val="20"/>
          <w:lang w:val="en-US" w:eastAsia="en-US" w:bidi="ar-SA"/>
        </w:rPr>
        <w:t>Rossner v. Kelowna General Hospital</w:t>
      </w:r>
      <w:r>
        <w:rPr>
          <w:rFonts w:ascii="arial" w:eastAsia="arial" w:hAnsi="arial" w:cs="arial"/>
          <w:color w:val="000000"/>
          <w:sz w:val="20"/>
          <w:lang w:val="en-US" w:eastAsia="en-US" w:bidi="ar-SA"/>
        </w:rPr>
        <w:t xml:space="preserve">, </w:t>
      </w:r>
      <w:hyperlink r:id="rId651" w:history="1">
        <w:r>
          <w:rPr>
            <w:rFonts w:ascii="arial" w:eastAsia="arial" w:hAnsi="arial" w:cs="arial"/>
            <w:i/>
            <w:color w:val="0077CC"/>
            <w:sz w:val="20"/>
            <w:u w:val="single"/>
            <w:shd w:val="clear" w:color="auto" w:fill="FFFFFF"/>
            <w:lang w:val="en-US" w:eastAsia="en-US" w:bidi="ar-SA"/>
          </w:rPr>
          <w:t>[1997] B.C.J. No. 1273</w:t>
        </w:r>
      </w:hyperlink>
      <w:r>
        <w:rPr>
          <w:rFonts w:ascii="arial" w:eastAsia="arial" w:hAnsi="arial" w:cs="arial"/>
          <w:color w:val="000000"/>
          <w:sz w:val="20"/>
          <w:lang w:val="en-US" w:eastAsia="en-US" w:bidi="ar-SA"/>
        </w:rPr>
        <w:t xml:space="preserve"> (S.C.). In that case the plaintiff brought a claim against the hospital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Hospital denied liability and submitted that the action was barred by the provisions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The plaintiff in that case claimed the running of time was postponed because she was unaware of the necessary facts to commence her action in time. The Hospital applied for disclosure of the files of two solicitors who had represented her on an unrelated but overlapping motor vehicle claim. The court ordered the files produced.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After referring to the cases of </w:t>
      </w:r>
      <w:r>
        <w:rPr>
          <w:rFonts w:ascii="arial" w:eastAsia="arial" w:hAnsi="arial" w:cs="arial"/>
          <w:i/>
          <w:color w:val="000000"/>
          <w:sz w:val="20"/>
          <w:lang w:val="en-US" w:eastAsia="en-US" w:bidi="ar-SA"/>
        </w:rPr>
        <w:t>Lin v. Yeung</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Rogers v. Bank of Montreal</w:t>
      </w:r>
      <w:r>
        <w:rPr>
          <w:rFonts w:ascii="arial" w:eastAsia="arial" w:hAnsi="arial" w:cs="arial"/>
          <w:color w:val="000000"/>
          <w:sz w:val="20"/>
          <w:lang w:val="en-US" w:eastAsia="en-US" w:bidi="ar-SA"/>
        </w:rPr>
        <w:t xml:space="preserve"> the court said at para. 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By invoking the postponement provisions of the Act, Ms. Rossner placed her state of mind at the material time in issue. She can neither resile from, nor deflect, the implied waiver of solicitor-client privilege in the solicitors' files relating to the Jones Action by placing her father's state of mind in issue rather than her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There are additional authorities to the same effect. In </w:t>
      </w:r>
      <w:r>
        <w:rPr>
          <w:rFonts w:ascii="arial" w:eastAsia="arial" w:hAnsi="arial" w:cs="arial"/>
          <w:i/>
          <w:color w:val="000000"/>
          <w:sz w:val="20"/>
          <w:lang w:val="en-US" w:eastAsia="en-US" w:bidi="ar-SA"/>
        </w:rPr>
        <w:t>Wirtanen v. British Columbia</w:t>
      </w:r>
      <w:r>
        <w:rPr>
          <w:rFonts w:ascii="arial" w:eastAsia="arial" w:hAnsi="arial" w:cs="arial"/>
          <w:color w:val="000000"/>
          <w:sz w:val="20"/>
          <w:lang w:val="en-US" w:eastAsia="en-US" w:bidi="ar-SA"/>
        </w:rPr>
        <w:t xml:space="preserve">, </w:t>
      </w:r>
      <w:hyperlink r:id="rId652" w:history="1">
        <w:r>
          <w:rPr>
            <w:rFonts w:ascii="arial" w:eastAsia="arial" w:hAnsi="arial" w:cs="arial"/>
            <w:i/>
            <w:color w:val="0077CC"/>
            <w:sz w:val="20"/>
            <w:u w:val="single"/>
            <w:shd w:val="clear" w:color="auto" w:fill="FFFFFF"/>
            <w:lang w:val="en-US" w:eastAsia="en-US" w:bidi="ar-SA"/>
          </w:rPr>
          <w:t>[1994] B.C.J. No. 2150</w:t>
        </w:r>
      </w:hyperlink>
      <w:r>
        <w:rPr>
          <w:rFonts w:ascii="arial" w:eastAsia="arial" w:hAnsi="arial" w:cs="arial"/>
          <w:color w:val="000000"/>
          <w:sz w:val="20"/>
          <w:lang w:val="en-US" w:eastAsia="en-US" w:bidi="ar-SA"/>
        </w:rPr>
        <w:t xml:space="preserve"> (S.C.) at para. 28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Application of s. 6 under the Limitation Act will necessarily involve considerations of the facts within the plaintiff's knowledge during the relevant period, and whether she knew she had an action with a reasonable prospect of success. In other words, she says that she lacked the factual and legal information necessary to commence an action. She has thereby put her legal knowledge in issue and the legal advice she received and instructions she gave must be disclosed.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his submission, counsel for Levelton and Seabrook said the plaintiff has put its state of mind at issue in its Response to the application by asserting that it "did not know and could not have known" the facts necessary to enable it to bring an action against Levelton and Seabrook. Specifically, the plaintiff alleges that it did not know and could not have known the risk associated with the materials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As was pointed out by McColl J. in </w:t>
      </w:r>
      <w:r>
        <w:rPr>
          <w:rFonts w:ascii="arial" w:eastAsia="arial" w:hAnsi="arial" w:cs="arial"/>
          <w:i/>
          <w:color w:val="000000"/>
          <w:sz w:val="20"/>
          <w:lang w:val="en-US" w:eastAsia="en-US" w:bidi="ar-SA"/>
        </w:rPr>
        <w:t>Lin v. Leung</w:t>
      </w:r>
      <w:r>
        <w:rPr>
          <w:rFonts w:ascii="arial" w:eastAsia="arial" w:hAnsi="arial" w:cs="arial"/>
          <w:color w:val="000000"/>
          <w:sz w:val="20"/>
          <w:lang w:val="en-US" w:eastAsia="en-US" w:bidi="ar-SA"/>
        </w:rPr>
        <w:t>, the principle of solicitor-client privilege has long been a highly regarded principle of the common law courts. Waiver of the privilege is always in the hands of the client and may be waived only by the client. The evidence is not excluded because it is not admissible but because it is not compellable. Here, Levelton submits the plaintiff has waived the privilege and therefore its solicitor's file should be produced.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While I agree the authorities support Levelton's submission that the plaintiff has waived privilege up to the commencement of the Second Action by asserting it did not know and could not have known the necessary facts to commence its action within the limitation period, I believe it would be premature to order production of the solicitor's file at this point. The parties have not conducted discoveries and it appears Levelton is still waiting for the plaintiff's list of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Given the high regard the law gives to the solicitor-client privilege, and the fact that it does not appear that any solicitor-client communication is as yet in play, I decline to order production of the solicitor's file at this stage. The issue of the plaintiff's knowledge at the material times may well be resolved through the discovery process. The relevant evidence may well be available through document production or examinations for discovery and, if so, it will be unnecessary to intrude into areas caught by solicitor-client privilege.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 decline to order consolidation of the two actions in order to preserve the separate identity of the Second Action and any defence it may have available pursuant to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I order that the two actions be tried at the same time and that any necessary ancillary orders be dealt with at a Case Planning Conference when the parties are better able to assess what procedural and evidentiary orders are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While I find that the plaintiff has put its state of mind in issue so as to waive solicitor-client privilege, I decline to order production of its solicitor's file at this point. The defendants in the Second Action have liberty to renew the application for production after the discovery process has been completed if it is still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J.K. BRACKEN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3" style="position:absolute;z-index:2518845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53"/>
          <w:headerReference w:type="default" r:id="rId654"/>
          <w:footerReference w:type="even" r:id="rId655"/>
          <w:footerReference w:type="default" r:id="rId656"/>
          <w:headerReference w:type="first" r:id="rId657"/>
          <w:footerReference w:type="first" r:id="rId65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59" w:history="1">
        <w:r>
          <w:rPr>
            <w:rFonts w:ascii="arial" w:eastAsia="arial" w:hAnsi="arial" w:cs="arial"/>
            <w:b/>
            <w:bCs/>
            <w:i/>
            <w:color w:val="0077CC"/>
            <w:kern w:val="32"/>
            <w:sz w:val="28"/>
            <w:szCs w:val="32"/>
            <w:u w:val="single"/>
            <w:shd w:val="clear" w:color="auto" w:fill="FFFFFF"/>
            <w:lang w:val="en-US" w:eastAsia="en-US" w:bidi="ar-SA"/>
          </w:rPr>
          <w:t>Carlson v. Steeves, [2008] B.C.J. No. 371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D.J. Martinson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14-17, 20 and 21,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3,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S056407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371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270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55 C.C.L.T. (3d) 263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CarswellBC 390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165 A.C.W.S. (3d) 747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James Carlson, Plaintiff, and Dr. Jeff H. Steeves,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(162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4" style="position:absolute;z-index:2516899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2" w:name="Keywords_29"/>
      <w:bookmarkEnd w:id="202"/>
      <w:r>
        <w:rPr>
          <w:rFonts w:ascii="arial" w:eastAsia="arial" w:hAnsi="arial" w:cs="arial"/>
          <w:b/>
          <w:color w:val="000000"/>
          <w:sz w:val="20"/>
          <w:lang w:val="en-US" w:eastAsia="en-US" w:bidi="ar-SA"/>
        </w:rPr>
        <w:t xml:space="preserve">Health law — Health care professionals — Liability (malpractice)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Failure to inform — The plaintiff's malpractice claim was dismissed — Although the defendant family doctor breached his duty to disclose the test results, and a reasonable person in the plaintiff's position would have undergone the re-testing suggested and would have followed the recommended treatment had he been told, the plaintiff failed to prove on a balance of probabilities that but for the defendant's failure to disclose the results he would not have gone on to develop pancreatitis.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Professional responsibility — Professions — Health care — Doctors — The plaintiff's malpractice claim was dismissed — Although the defendant family doctor breached his duty to disclose the test results, and a reasonable person in the plaintiff's position would have undergone the re-testing suggested and would have followed the recommended treatment had he been told, the plaintiff failed to prove on a balance of probabilities that but for the defendant's failure to disclose the results he would not have gone on to develop pancreatitis.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Professional — Medical — The plaintiff's malpractice claim was dismissed — Although the defendant family doctor breached his duty to disclose the test results, and a reasonable person in the plaintiff's position would have undergone the re-testing suggested and would have followed the recommended treatment had he been told, the plaintiff failed to prove on a balance of probabilities that but for the defendant's failure to disclose the results he would not have gone on to develop pancreatitis.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3" w:name="Case Summary_28"/>
            <w:bookmarkEnd w:id="20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this medical malpractice case, the plaintiff alleged that the defendant, his family doctor, failed to disclose the results of a blood test taken in August of 1998 and the consequences of those results -- In the summer of 2001 the plaintiff had an attack of acute pancreatitis and was hospitalized until the end of March, 2002 -- The 1998 test results showed he was at an elevated risk for pancreatitis -- The plaintiff alleged that had he been told about the results, he would have undergone further testing (further testing was recommended to him, but for cardiovascular reasons only) and followed the recommended treatment -- The defendant argued he attended to the plaintiff's major risk factors -- HELD: The claim was dismissed -- The defendant had a duty to disclose the test results and their implications, and he breached that duty by failing to do so -- The lab results were valid on their face and the defendant had failed to turn his mind to their validity either when he received them or when he saw the plaintiff in December of 1998 -- The plaintiff had a right to be told there was a low risk of a life-threatening illness if the test results were correct, that it was important to follow up and get the re-testing, and that there was an appropriate course of treatment available to him -- A reasonable person in the plaintiff's position would have undergone the re-testing suggested and would have followed the recommended treatment had he been told -- However, the plaintiff failed to prove on a balance of probabilities that but for the defendant's failure to disclose the results he would not have gone on to develop pancreatitis -- It was more likely than not that the plaintiff's condition was caused by alcohol consumption -- The court was satisfied on re-testing that triglyceride results would likely have been significantly different from and much lower than initially reported in August of 1998 -- In such a case, where the risk was not nearly so serious or imminent, the court seriously doubted that the plaintiff would have heeded the defendant's warnings and modified his lifestyle -- He historically repeatedly ignored warnings about the implications of his numerous risk factors -- Even if the re-testing showed significantly elevated triglyceride levels and he did initially follow the defendant's advice to modify his lifestyle, doing so would likely have reduced the levels significantly within several months -- The onset of the pancreatitis did not happen for two years and eight months -- The plaintiff had not proven on a balance of probabilities that such lifestyle change would have been permanent or long-lasting, particularly once the levels were reduced -- The "but for" test had not been met.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04" w:name="Counsel_30"/>
      <w:bookmarkEnd w:id="20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5" style="position:absolute;z-index:2517411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Paul McGivern.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Raj Samtani and Abigail Turner.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05" w:name="Judgment_30"/>
      <w:bookmarkEnd w:id="205"/>
      <w:r>
        <w:pict>
          <v:line id="_x0000_s1176" style="position:absolute;z-index:25179238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6" w:name="D.J. MARTINSON J."/>
            <w:bookmarkEnd w:id="206"/>
            <w:r>
              <w:rPr>
                <w:rFonts w:ascii="arial" w:eastAsia="arial" w:hAnsi="arial" w:cs="arial"/>
                <w:b/>
                <w:color w:val="000000"/>
                <w:sz w:val="30"/>
                <w:lang w:val="en-US" w:eastAsia="en-US" w:bidi="ar-SA"/>
              </w:rPr>
              <w:t>D.J. MARTINSON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 medical malpractice case, based on an alleged failure to disclose material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the summer of 2001 the plaintiff, James Carlson, had an attack of acute pancreatitis, a very serious, extremely painful and life-threatening illness. He survived, but was hospitalized from August 7, 2001 until March 26, 2002. He is a lawyer and was practicing in Nanaimo at the time. He alleges that the defendant, Dr. Jeff Steeves, a family doctor who saw Mr. Carlson from time to time from 1994 to 1998, failed to disclose the results of a blood test taken in August 1998 and the consequences of the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test results showed grossly elevated triglyceride levels of 48.36 mmol/L. A person with high triglyceride levels, those over 11 mmol/L, is at an increased risk of pancreatitis. Mr. Carlson agrees that Dr. Steeves asked him to take further blood tests to obtain a baseline and he did not do so. He says Dr. Steeves did so in the context of Mr. Carlson's risks of a cardiovascular event: obesity, alcohol use, smoking and his family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Carlson testified. Dr. Garry Feinstadt, a family physician, and Dr. Ian Mackie, an internal medicine specialist, testified on his behalf. The essence of Mr. Carlson's claim is that he did not follow up because he had undergone many tests before, including baseline tests. He knew he had health risks relating to his heart and that they had to be addressed. However, he understood them to be long term risks that he could address in the longer term. If he had been told about the grossly elevated triglyceride levels, their associated imminent risk relating to pancreatitis and the life-threatening nature of pancreatitis, he would have undergone the re-testing and followed the recommended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Carlson says that Dr. Steeves had a duty to tell him about the test results and the related risk. With respect to causation, he argues that he need only prove that a reasonable person in his position would have undergone testing and followed the recommended treatment. He submits that it is not necessary for the Court to decide if it was his triglyceride levels, or the use of alcohol, that caused the pancreatitis. Follow-up testing and treatment would have taken care of both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Dr. Steeves testified and Doctor Fritz and Dr. Donaldson, family physicians, and Dr. Chan-Yan, an internal medicine specialist, testified on his behalf. The essence of Dr. Steeves defence is that he attended to Mr. Carlson's major risk factors. He had concerns about the validity of the test results. It was not appropriate to disclose the test results, given the information he had, and he did not have to warn him about the risk of pancreatitis. He met the standard of a prudent and diligent family doctor in the same circumstances. He says that, if he was in breach of a duty to disclose, Mr. Carlson has not proven that the breach caused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have concluded that Dr. Steeves had a duty to disclose the test results and their implications to Mr. Carlson and he breached that duty by not doing so. I am satisfied that with respect to causation, a reasonable person in Mr. Carlson's position would have done the re-testing suggested and would have followed the recommended treatment if he had been told. However, Mr. Carlson has failed to prove on a balance of probabilities that but for Dr. Steeves' failure to disclose the triglyceride results, he would not have gone on to develop pancreatitis.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OUTLINE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 deal with the issues raised under the following headings: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Facts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Duty to Disclose</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Carlson's Position</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Steeves' Position</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Analysis</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Legal principles</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Application to the Facts</w:t>
      </w:r>
    </w:p>
    <w:p>
      <w:pPr>
        <w:numPr>
          <w:numId w:val="3"/>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w:t>
      </w:r>
    </w:p>
    <w:p>
      <w:pPr>
        <w:numPr>
          <w:numId w:val="4"/>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Decision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Causation</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Carlson's Position</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Steeves' Position</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Analysis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Legal Principles</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Reasonable Person in Mr. Carlson's Position</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"But For" Test</w:t>
      </w:r>
    </w:p>
    <w:p>
      <w:pPr>
        <w:numPr>
          <w:numId w:val="7"/>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Consequences of Taking the Re-test and Following Treatment Advice</w:t>
      </w:r>
    </w:p>
    <w:p>
      <w:pPr>
        <w:numPr>
          <w:numId w:val="8"/>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Specific Evidence Relating to the Cause of Mr. Carlson's Pancreatitis</w:t>
      </w:r>
    </w:p>
    <w:p>
      <w:pPr>
        <w:numPr>
          <w:numId w:val="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Risk Factors for Pancreatitis</w:t>
      </w:r>
    </w:p>
    <w:p>
      <w:pPr>
        <w:numPr>
          <w:numId w:val="10"/>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Evidence of Alcohol Consumption by Mr. Carlson</w:t>
      </w:r>
    </w:p>
    <w:p>
      <w:pPr>
        <w:numPr>
          <w:numId w:val="11"/>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 - "But For"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parties presented a comprehensive Agreed Statement of Facts. There are also disputed facts. I will review the facts in chronological order. The disputed facts relate to two matters. The first is what Dr. Steeves thought and did on August 12, 1998 when he received the elevated triglyceride test results. The second is whether, at his December 8, 1998 visit with Mr. Carlson, Dr. Steeves told him that he was at risk of damaging his pancreas and that he was at risk of immediate or imminent death. With respect to the disputed facts I will review the evidence and make the necessary findings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Carlson was born March 24, 1959. Mr. Carlson was married in June 1997 and has two young children. He first saw Dr. Horn, a general practitioner, on June 7, 1994 at the Edgewood Medical Clinic. At the at time, Dr. Horn obtained a family history of maternal diabetes, maternal high cholesterol, and that Mr. Carlson's grandfather died at age 45 of a heart attack. Mr. Carlson was noted as weighing 230 lbs. and as being 5 foot 11 1/2 inches tall. It was noted that he had been doing some weightlifting. Mr. Carlson gave a history of smoking approximately 25 cigarettes a day and drinking socially. Dr. Horn instructed Mr. Carlson to make an appointment for a physical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Carlson returned to see Dr. Horn on June 17, 1994. On that occasion, he had minor complaints. At this visit Dr. Horn ordered blood and urine tests. The results of the blood and urine tests were recorded on June 29, 1994 and indicated a cholesterol level of 7.61 mmol/L.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Carlson saw Dr. Horn on July 5, 1994 and Dr. Horn conducted a physical examination and discussed the results of the blood work. Dr. Horn instructed Mr. Carlson to lose weight, increase his exercise and follow a low cholesterol diet. Dr. Horn also advised Mr. Carlson that there should be a recheck of his urine in one month and a repeat of the cholesterol levels in six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Carlson saw Dr. Horn on July 7, 1994 and at that time his weight was noted as 263 lbs. He next attended saw Dr. Horn on September 13, 1994 and his cholesterol level was noted at 7.61. Dr. Horn discussed Mr. Carlson's elevated cholesterol level and there was a discussion of diet and of increasing exercise.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December 14, 1994, Mr. Carlson first saw Dr. Steeves. The reason for the visit, which was prolonged, is noted as being counselling for depression. Mr. Carlson advised that his 12 year common law relationship had ended and that he had been "dumped". He advised that he was over-eating, had returned to smoking and was over-drinking. Mr. Carlson further advised that his weight had increased 25 lbs. in the last 18 months and that his energy was down. There was a long discussion of depression. Dr. Steeves diagnosed anhedonia, which is an inability to feel pleasure. Prozac was prescribed with instructions to follow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April 5, 1995, Mr. Carlson returned to see Dr. Steeves. The reason for the visit is charted as "depression". Mr. Carlson advised that he was in a stable relationship, that he was feeling better and no longer wished to continue with the Prozac. There was a discussion of an unrelated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Carlson next saw Dr. Steeves on May 8, 1995. He came with his long time partner, a psychiatric nurse. The reason for the visit is noted as "obesity". He weighed 260 lbs. They discussed reducing his weight to 210 lbs. and diet and exercise. There was a discussion concerning diet and exercise. Mr. Carlson raised the issue of the use of a drug called Tenuate, a drug to assist in weight loss. There was a discussion of the side effects of Tenuate that included an increased risk of heart attack. Dr. Steeves discussed the risks associated with Tenuate and ordered an EKG to make sure there was no significant cardiac rhythm disturbance. The EKG was done on May 8, 1995 and was the result was normal. Dr. Steeves then agreed to the request for the Tenuate. He did not order blood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Carlson returned to see Dr. Horn on August 17, 1995 on an unrelated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January 9, 1996, Mr. Carlson attended at the emergency department of Nanaimo Regional General Hospital for complaints of burning pain between his shoulder blades. On admission to the emergency department, the admitting clerk listed Mr. Carlson's physicians as both Dr. Horn and Dr. Foster, who was the emergency room physician who attended upon Mr. Carlson on this visit. Blood tests were ordered. The test results were recorded as being within the range of normal. Triglyceride levels were not measured. These test results were sent to Dr. Horn but not to Dr. Steeves. Mr. Carlson was referred by Dr. Foster to Dr. Horner, who is a specialist in internal medicine, for an exercise stress test and for lipid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or about January 12, 1996, Mr. Carlson applied to Great-West Life ("Great-West") for disability insurance. In applying for disability insurance, he completed an application for disability insurance form, noting that his personal physician was Dr. Steeves and that he had last consulted Dr. Steeves "one year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 form filled out by an agent for Great-West and dated January 12, 1996 indicates "three liquor" as the number of alcoholic beverages consumed by Mr. Carlson weekly. It states that Dr. Steeves is his personal physician and was last consulted in the summer of 1995 for cosmetic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Carlson saw Dr. Horner on January 16, 1996. He told Dr. Horner that his grandfather had died in his 40s from a heart attack and that his mother had diabetes. Dr. Horner recorded a history of smoking three to four packs of cigarettes a day in the past and that he was now down to three or four a day. Dr. Horner also recorded that Mr. Carlson continued to have one or two drinks a day and noted that over the last few years, he had gained a great deal of weight with the "lawyer's lifestyle". Dr. Horner advised Mr. Carlson to "get busy and lose 20 lbs."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examination, Dr. Horner noted that Mr. Carlson was an obese 36-year-old man in no distress. Dr. Horner did a complete physical examination and a treadmill test. The resting echocardiogram was within normal limits. Dr. Horner reassured Mr. Carlson that he had no problem as far as his heart was concerned. Dr. Horner ordered cholesterol and blood tests. Dr. Horner forwarded the consultation letter to both Dr. Steeves and Dr. Horn with respect to this visit. Dr. Horner, while he cannot recall why he sent the consult report to both Dr. Steeves and Dr. Horn, assumes that he would have obtained Dr. Horn's name from Mr. Carlson.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January 19, 1996, Mr. Carlson was contacted by Dr. Horn's office and invited to discuss the cholesterol results. Mr. Carlson informed Dr. Horn that Dr. Horner was "seeing to his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January 25, 1996, Mr. Carlson was interviewed by a representative of Great-West concerning the disability application. During the course of the interview, he advised that he would drink "daily or less, 1/2 drinks per occasion on average". He also said that he didn't drink every day. On February 6, 1996, Mr. Carlson again was interviewed with respect to the application for disability insurance. At this time, he advised his alcohol consumption was one wine, two beers, one liquor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Laboratory results dated February 13, 1996 obtained for insurance purposes indicated Mr. Carlson's nicotine levels were high.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Blood tests results dated February 21, 1996 indicated Mr. Carlson's serum cholesterol level was 6.59 mmol/L, the triglyceride levels were 8.56 mmol/L and his high density lipoprotein was .85 mmol/L. The laboratory results recorded Dr. Horner as the physician to receive the results. Dr. Steeves received a copy of these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 letter was sent to Mr. Carlson by Great-West dated March 12, 1996 indicating that they were unable to issue a policy and would contact him soon to explain the decision. On or about March 13, 1996, Mr. Carlson corresponded with Great-West requesting that Great-West "... release to my physician Dr. Jeff H. Steeves ... any and all reasons for the recent decline of my disability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April 10, 1996, by way of letter to Dr. Steeves, Great-West confirmed that it had declined to provide disability insurance to Mr. Carlson, noting the decision to decline the application was based on a combination of factors. Mr. Carlson was overweight at 6'l" and 260 lbs. His cholesterol is elevated. He is a smoker. He has a family history of diabetes. The letter says that a report from Dr. Steeves gives a history of reactive depression in December 1994, for which he was prescribed Prozac and received counselling. He also had a history of chest pain in January 1996 for which he was investigated, and tests were normal, a history of hematuria, a history of urethritis, and a history of elevated cholesterol.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May 1, 1998, Mr. Carlson saw Dr. Steeves. This was the first visit since May 8, 1995. The reason for the visit was noted by Dr. Steeves as "anxiety - major". Dr. Steeves reviewed with Mr. Carlson multiple risk factors for heart attack. These included being overweight, smoking, having a borderline BP (blood pressure), a family history of diabetes, increased triglycerides, (which related back to the February 21, 1996 test), little activity and stress at work. Dr. Steeves started Mr. Carlson on Vitamin B folic acid and Vitamin E and advised him to get baseline laboratory results and to follow up for a complete check-up. Mr. Carlson did not have the baseline laboratory investigations requested by Dr. Steeves. Nor did he make an appointment for a complete medical evaluation as requested by Dr. Steeves.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Carlson applied for insurance from the Mutual Group Insurance Company ("Mutual"). Mutual ordered blood tests. The blood test results dated August 1, 1998 indicate Mr. Carlson's serum triglyceride levels at 4,230 mg/dl. This is equivalent to the standard used in Canada of 48.36 mmol/L. These results also indicated elevated cholesterol levels. The documentation does not indicate whether Mr. Carlson abstained from alcohol prior to testing. It does say that Mr. Carlson had not eaten for approximately 13 hours prior to testing. Dr. Steeves asked that Mr. Carlson's serum cholesterol level and his triglyceride level be put into the electronic chart.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There is a dispute as to whether Dr. Steeves took steps to contact Mr. Carlson when he received the test results. Dr. Steeves testified in direct examination that when he got the August 1998 test results he made a note to his secretary to contact Mr. Carlson to come in and review the results. She usually makes the call the same day. There is no record of his note; he says it was discarded. In cross-examination he said he did not have an independent recollection of doing so but was relying on his pattern. He agreed that there is no record of a call being made by his office to Mr. Carlson.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Carlson says he did not get such a call. He says he in fact did not receive a call from Dr. Steeves' office at any time. He came in on December 8, 1998 because of anxiety relating to the dissolution of the relationship with his business partner. Mr. Carlson's testimony as to why he came in is supported by Dr. Steeves' clinical note, which describes the visit as a prolonged visit for counselling. He did not come in as a result of any phone call to review tests. In fact they did not review the test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the absence of any record of either the request or the call and with the evidence of Mr. Carlson that he did not receive one, I cannot be satisfied that there was such a call.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Dr. Steeves testified that the test results show that the triglyceride levels were massively elevated. He had never seen levels that high. There is however a dispute as to whether the test results were valid on their face. He said he had lots of concerns about their validity and was sceptical that they could be that high. He said that there is uncertainty as to whether Mr. Carlson abstained from alcohol or whether it was a fasting sample. He did not know whether the test was taken while Mr. Carlson was lying down. There is a need for serial testing.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He also felt there was a concern about severe haemolysis. In cross-examination Dr. Steeves agreed that at his examination for discovery he did not mention a concern about haemolysis. He testified that he did not answer this specifically as it was not the question. He also said at his examination for discovery that one of his concerns was that the test results were from a lab outside the country. This was incorrect. It was a Canadian lab.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Fritz, in his medical legal report, pointed out that there was no mention of it being a fasting sample, but did not mention any concern about haemolysis. Dr. Chan-Yan, in the summary of his evidence provided before the trial, mentioned that there was no indication as to whether Mr. Carlson had abstained from alcohol, but did not mention any concern about haemolysis. One would expect such a concern to be included in their written reports if it was a significant concern. Dr. Feinstadt testified that haemolysis would have no effect on triglyceride testing, though it might affect other parts of the lab testing.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am satisfied that the lab results were valid on their face and that Dr. Steeves did not turn his mind to the validity of the test results either when he received them, or when he saw Mr. Carlson on December 8, 1998. There is nothing to indicate that it was not a fasting sample or that there was any concern about abstinence from alcohol. The results were from a Canadian lab. There is no notation anywhere that he had the concerns about the test that he now expresses.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question of what the results of a re-test would have been is a different one. I consider that question below when I deal with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Carlson's last visit with Dr. Steeves was on December 8, 1998. The visit is noted as a prolonged visit for counselling and the major reason for the visit is noted as anxiety. At this visit, there was a long review of the stressors in Mr. Carlson's life including partners leaving the business, a premature death in the family, and a "fatalistic view versus attacking risk factors". Dr. Steeves noted that Mr. Carlson must quit smoking. Mr. Carlson advised that he had never met his father but he had died of unknown causes in 1997. Dr. Steeves noted that Mr. Carlson's triglyceride levels were over 4,000 in U.S. units and decided that a baseline was necessary. He instructed Mr. Carlson to attend for the necessary tests. He further noted that Mr. Carlson had multiple factors for ischemic heart disease and that Mr. Carlson must address these risk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Carlson did not return to see Dr. Steeves after December 8, 1998 as requested, nor did he obtain the baseline triglyceride level as requested.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There is a dispute as to whether Dr. Steeves told Mr. Carson at the December 8th visit, when discussing risks, that he could damage his pancreas. Dr. Steeves testified that he did tell him. He said he told Mr. Carlson that he was at risk of imminent death because of all of his risk factors. He testified that he drew a picture of a body and told Mr. Carlson about all of the illnesses for which he was at risk, including damage to the pancreas. He said he would not have used the word pancreatitis as it is jargon and Mr. Carlson would not have understood it. He testified that he explained the risk as a package in a general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He agreed that there is nothing in his clinical records about the pancreas and acknowledged that he attempted to include in the records everything important, within the confines of time. He accepted that one of the fundamental reasons for keeping clinical records is to provide proper continuity of care; they must be accurate and record important information for that reason.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Steeves was questioned about his independent recollection of the December 8, 1998 visit. He agreed that at his examination for discovery he was asked this question and gave this answer with respect to that visit:</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Okay. Tell me about your recollection of that encounter.</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encounter I don't remember much. I'm reading from my notes for that one.</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Okay. Do you remember any of the discussion that you may have had with Mr. Carlson, apart from your pattern of practice?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Just what I've written.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While Dr. Steeves agreed that he said this, he, after much reflection, testified that he was answering a narrow question about re-testing. He was in fact using the notes as a memory aid to allow him to remember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He agreed that he was also asked this question and gave this answer after answering several questions about risk factors:</w:t>
      </w:r>
      <w:r>
        <w:rPr>
          <w:rFonts w:ascii="arial" w:eastAsia="arial" w:hAnsi="arial" w:cs="arial"/>
          <w:sz w:val="20"/>
          <w:lang w:val="en-US" w:eastAsia="en-US" w:bidi="ar-SA"/>
        </w:rPr>
        <w:cr/>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Do you remember your discussion of the risks with Mr. Carlson, or is that something you have to reconstruct?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 it's what's in the clinical notes.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Steeves testified at trial that he did not think that question related to whether there was a difference between what he recalled and what is in his notes. The examiner wanted to know whether he was using the notes as a memory 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Carlson says Dr. Steeves did not tell him about damage to his pancreas.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am satisfied that Dr. Steeves did not tell Mr. Carlson that he could damage his pancreas. The main reason for that conclusion is that there is no note to that effect in the clinical record. If Dr. Steeves had told Mr. Carlson about risk to the pancreas in the context of the massively elevated triglyceride levels, he would have recorded that important advice in the clinical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am also satisfied that Dr. Steeves has no independent recollection of what he said to Mr. Carlson. It is unlikely that he would, given the amount of time that went by before the law suit was commenced and the number of patients he saw in the meantime. I have concluded that he did acknowledge at his examination for discovery that he did not remember the discussion about risks and was relying on the clinical notes when answering questions concerning the risks.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There is also a dispute about whether Dr. Steeves told Mr. Carlson at the December 8, 1998 visit that he was at risk of immediate or imminent death because of his major risk factors. Dr. Steeves said he did, and that there is a note to that effect in his clinical record for that day. The clinical record says "early death secondary to heart disease." It is recorded in the history section and immediately follows the notes about Mr. Carlson's paternal grandfather, a professional athlete, dying in 1944. Dr. Steeves testified that the computer program that was used scrambled what he recorded, based on coding.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Carlson said that they did not discuss his mortality in any immediate or time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am satisfied that Dr. Steeves did not tell Mr. Carlson that he was at risk of imminent or early death. Not only is the comment found in the history section, but on the face of the record the words "early death secondary to heart disease" relate to Mr. Carlson's grandfather's early death, not Mr. Carlson's early death. The placement of the words is logical; there is no indication of scrambling. For the reasons given above, I am satisfied that Dr. Steeves had no independent recollection of what he to said to Mr. Carlson said about risks. There is nothing else in the clinical record for that day relating to early or imminent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On July 21, 2001 Mr. Carlson saw Dr. Latham, a general practitioner. He complained of having abdominal pain for 48 hours. Dr. Latham examined him and his working diagnosis was that Mr. Carlson was suffering from cholecystitis. There is no indication that Dr. Latham was aware of Mr. Carlson's blood work results. Dr. Latham did not warn Mr. Carlson about pancreatitis. Dr. Latham made a chart notation "obese + 2", which was intended to indicate that Mr. Carlson was obese. Dr. Latham ordered lab work and prescribed Emprecet (for pain) and Caftin (an antibiotic).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Mr. Carlson was admitted to the Nanaimo Regional General Hospital ("NRGH") on July 21, 2001 and remained in hospital until July 24, 2001. Dr. Latham is noted as Mr. Carlson's family doctor at the time of admission. Mr. Carlson's chief complaint on admission was a two day history of right upper quadrant pain. While in hospital, an abdominal ultrasound was taken that indicated that the gall bladder appeared normal and there was no cholelithiasis.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On July 23, 2001, blood was collected for laboratory tests. The results of the blood tests indicated that the triglyceride levels were 9.79 mmol/L and the cholesterol level was 10.65 mmol/L. A CT undertaken at NRGH on July 23, 2001 indicated that the pancreatic head was moderately large and mild inflammatory changes were seen within the pancreatic region. The attending physician, Dr. Carr (a general surgeon), concluded that Mr. Carlson was suffering from pancreatitis of the head of the pancreas and there were no other complications. The plan was for an outpatient ERCP (surgical investigative procedure). Mr. Carlson was discharged from hospital on July 24,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Carlson was re-admitted to NRGH on August 7, 2001 with severe exacerbation of pain and remained in the surgical ward and then the intensive care unit until August 10, 2001. On admission, Dr. Latham is noted as the most responsible physician and was accordingly notified of his admission. Dr. Steeves was not advised of the admission at that time. Mr. Carlson was seen by Dr. Carr during this admission and Dr. Carr requested that the most responsible physician designation be changed from Dr. Latham to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While at NRGH, Mr. Carlson was seen by Dr. Frew, a general surgeon, who noted that it was interesting that Mr. Carlson's amylase was not that high and it seemed unlikely that Mr. Carlson would have chronic pancreatitis. He further noted that Mr. Carlson may have hypertriglyceridemia or pancreatitis based on hyperlipidemia. He considered this to be likely given the results of tests that had been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Carlson was also seen by Dr. Silva, an internal medicine practitioner. Dr. Silva concluded, with respect to the cause of the pancreatitis, that it was unclear as to whether the hypertriglyceridemia was at fault or it was merely a secondary event. Dr. Silva commented: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Triglyceride levels in excess of 10 substantially increase the risk of lipid related pancreatitis. I do not see any results in a chart of this order. The extent of James' alcohol consumption is unclear to me. So far there has been no definitive evidence of cholelithiasis as the cause for this problem. The normality of his alkaline phosphatase at 35 and a minimally elevated ALT of 62 tends to mitigate against common bile duct obstruction. A threefold or greater rise in serum ALT concentration is an excellent indicator (95% probability) of biliary pancreatitis and we are not seeing this in this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Carlson was transferred to the Royal Jubilee Hospital on August 10, 2001 and remained there until August 27, 2001. He was transferred to Victoria General Hospital on August 27, 2001 and remained there until October 26, 2001. He was returned to Royal Jubilee Hospital on October 26th and remained there until October 30th. He was then transferred to Victoria General Hospital and remained there until March 26,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Carolson's blood samples analysed on August 19, 2004 show a triglyceride level of 11.62 mmol/L. He has had no further episodes of pancreatitis.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DUTY TO DISCLOSE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&lt;B&gt;</w:t>
      </w:r>
      <w:r>
        <w:rPr>
          <w:rFonts w:ascii="arial" w:eastAsia="arial" w:hAnsi="arial" w:cs="arial"/>
          <w:color w:val="000000"/>
          <w:sz w:val="20"/>
          <w:u w:val="single"/>
          <w:lang w:val="en-US" w:eastAsia="en-US" w:bidi="ar-SA"/>
        </w:rPr>
        <w:t>Mr. Carlson's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Carlson argues that Dr. Steeves was obligated to disclose that the elevated triglyceride levels put him at risk for developing pancreatitis. Material risks include those risks that the doctor knows of, or ought to know of, that a reasonable person in the patient's position would consider in deciding whether to undergo a procedure or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Pancreatitis was a material risk that a reasonable person would want to know of and, therefore, it should have been fully disclosed to Mr. Carlson. Evidence at trial confirms pancreatitis is a material risk of which Dr. Steeves was aware:</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pancreatitis is a potentially life-threatening condition;</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pancreatitis is a very painful condition;</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acute pancreatitis can kill you or cause you to be in the hospital for a very long time;</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any reasonable person would want to know if they were at risk;</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physician has an obligation to assess the patient with a view to analyzing the individual patient's risk for developing the condition;</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patient is at increased risk for the development of pancreatitis after triglyceride levels exceed 11 mmol/L;</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Mutual lab results are accurate, then Mr. Carlson is at significant risk for the development of pancreatitis with triglyceride levels of 48.36 mmol/L;</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results are accurate on their face with no indication that the patient had consumed alcohol prior to the test;</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Dr. Steeves was aware of the increased triglyceride levels in May and December of 1998 and noted the August 1998 results; and</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Steeves was aware when he saw Mr. Carlson that if the August 1998 triglyceride levels were accurate, then Mr. Carlson was at risk for pancreatitis.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Carlson notes that there is general agreement among the experts that a reasonable person would want to know if he or she is at risk for pancreatitis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response to Dr. Steeves' questions about the reliability of the triglyceride levels from the Mutual lab results, Mr. Carlson submits that all the experts agreed that the lab report is valid on its face. If uncertainty existed about the abstention from alcohol, then Dr. Steeves should have made inquiries. He points out that any concerns now raised about haemolysis, or that the sample was too old, are completely irrelevant because they played no part in his decision not to warn Mr. Carlson. In any event, there is evidence from Dr. Feinstadt that haemolysis would have no effect on triglyceride testing.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Carlson makes the point that he does not allege that the decision to ask for confirmation of the August 1, 1998 test results was, in and of itself, negligent. Rather, his complaint is that the recommendation for retesting had to come with a warning to Mr. Carlson that he was potentially at risk because of the elevated triglyceride levels and that the testing was being done to confirm or rule out the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Dr. Steeves'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Physicians have a duty to conduct their practice in accordance with the conduct of a prudent and diligent doctor in the same circumstances. The conduct of physicians must be judged in light of the knowledge that ought to have been reasonably possessed at the time of the alleged act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ter Neuzen v. Korn</w:t>
      </w:r>
      <w:r>
        <w:rPr>
          <w:rFonts w:ascii="arial" w:eastAsia="arial" w:hAnsi="arial" w:cs="arial"/>
          <w:color w:val="000000"/>
          <w:sz w:val="20"/>
          <w:lang w:val="en-US" w:eastAsia="en-US" w:bidi="ar-SA"/>
        </w:rPr>
        <w:t xml:space="preserve">, </w:t>
      </w:r>
      <w:hyperlink r:id="rId660" w:history="1">
        <w:r>
          <w:rPr>
            <w:rFonts w:ascii="arial" w:eastAsia="arial" w:hAnsi="arial" w:cs="arial"/>
            <w:i/>
            <w:color w:val="0077CC"/>
            <w:sz w:val="20"/>
            <w:u w:val="single"/>
            <w:shd w:val="clear" w:color="auto" w:fill="FFFFFF"/>
            <w:lang w:val="en-US" w:eastAsia="en-US" w:bidi="ar-SA"/>
          </w:rPr>
          <w:t>[1995] 3 S.C.R. 674</w:t>
        </w:r>
      </w:hyperlink>
      <w:r>
        <w:rPr>
          <w:rFonts w:ascii="arial" w:eastAsia="arial" w:hAnsi="arial" w:cs="arial"/>
          <w:color w:val="000000"/>
          <w:sz w:val="20"/>
          <w:lang w:val="en-US" w:eastAsia="en-US" w:bidi="ar-SA"/>
        </w:rPr>
        <w:t>. Dr. Steeves submits that he did not have the information necessary to provide appropriate informed consent because Mr. Carlson failed to follow instructions. He, Dr. Steeves, was required to ascertain the nature of risks by assessing Mr. Carlson's general health, family history and lifestyle, and interpreting relevant laboratory test results before he could put his mind to the question of whether any particular risk was material enough to require disclosure.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Dr. Steeves suggests that, in determining the standard of care, the Court should not just look at what types of risks a reasonable person would want to have disclosed, as in the informed consent test in </w:t>
      </w:r>
      <w:r>
        <w:rPr>
          <w:rFonts w:ascii="arial" w:eastAsia="arial" w:hAnsi="arial" w:cs="arial"/>
          <w:b/>
          <w:i/>
          <w:color w:val="000000"/>
          <w:sz w:val="20"/>
          <w:lang w:val="en-US" w:eastAsia="en-US" w:bidi="ar-SA"/>
        </w:rPr>
        <w:t>Reibl v. Hughes</w:t>
      </w:r>
      <w:r>
        <w:rPr>
          <w:rFonts w:ascii="arial" w:eastAsia="arial" w:hAnsi="arial" w:cs="arial"/>
          <w:color w:val="000000"/>
          <w:sz w:val="20"/>
          <w:lang w:val="en-US" w:eastAsia="en-US" w:bidi="ar-SA"/>
        </w:rPr>
        <w:t xml:space="preserve">, </w:t>
      </w:r>
      <w:hyperlink r:id="rId622" w:history="1">
        <w:r>
          <w:rPr>
            <w:rFonts w:ascii="arial" w:eastAsia="arial" w:hAnsi="arial" w:cs="arial"/>
            <w:i/>
            <w:color w:val="0077CC"/>
            <w:sz w:val="20"/>
            <w:u w:val="single"/>
            <w:shd w:val="clear" w:color="auto" w:fill="FFFFFF"/>
            <w:lang w:val="en-US" w:eastAsia="en-US" w:bidi="ar-SA"/>
          </w:rPr>
          <w:t>[1980] 2 S.C.R. 880</w:t>
        </w:r>
      </w:hyperlink>
      <w:r>
        <w:rPr>
          <w:rFonts w:ascii="arial" w:eastAsia="arial" w:hAnsi="arial" w:cs="arial"/>
          <w:color w:val="000000"/>
          <w:sz w:val="20"/>
          <w:lang w:val="en-US" w:eastAsia="en-US" w:bidi="ar-SA"/>
        </w:rPr>
        <w:t>. Rather, it should inquire as to whether the physician used appropriate skill and care to appreciate the risks and whether, in the circumstances, he acted reasonably in his discussion of the risks with the patient. Therefore, he argues, the test for standard of care should be whether, based on the information available, the risk of pancreatitis was such that a reasonable family practitioner would have appreciated and confirmed the extent of the risk, discussed that risk and implemented a treatment plan with Mr. Carlson. He submits that he did not have sufficient information and in the absence of such information, it was unnecessary to raise the issue of pancreatitis.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Dr. Steeves argues that where there are disagreements about the appropriateness of care, known as two schools of thought, the physician has not breached his or her duty of care if he or she follows one of the two reasonable courses. With respect to the August 1998 laboratory results Dr. Steeves argues that the evidence of Dr. Chan-Yan, Dr. Fritz and Dr. Donaldson that the results were unreliable should be preferred in determining treatment protocol. He further argues regarding differences in opinion concerning treatment with Gemfibrosil, that the approach of Dr. Steeves was not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Analysis - Duty to Disclose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u w:val="single"/>
                <w:lang w:val="en-US" w:eastAsia="en-US" w:bidi="ar-SA"/>
              </w:rPr>
              <w:t>Legal Principles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The claim is based on breach of the duty to disclose material information. It is the legal principles that are relevant to that claim that should be applied. Doctors have a duty to disclose material information to patients. The duty is separate from the standard of care in relation to treatment and diagnosis: </w:t>
      </w:r>
      <w:r>
        <w:rPr>
          <w:rFonts w:ascii="arial" w:eastAsia="arial" w:hAnsi="arial" w:cs="arial"/>
          <w:b/>
          <w:i/>
          <w:color w:val="000000"/>
          <w:sz w:val="20"/>
          <w:lang w:val="en-US" w:eastAsia="en-US" w:bidi="ar-SA"/>
        </w:rPr>
        <w:t>O'Grady v. Stokes</w:t>
      </w:r>
      <w:r>
        <w:rPr>
          <w:rFonts w:ascii="arial" w:eastAsia="arial" w:hAnsi="arial" w:cs="arial"/>
          <w:color w:val="000000"/>
          <w:sz w:val="20"/>
          <w:lang w:val="en-US" w:eastAsia="en-US" w:bidi="ar-SA"/>
        </w:rPr>
        <w:t xml:space="preserve">, </w:t>
      </w:r>
      <w:hyperlink r:id="rId661" w:history="1">
        <w:r>
          <w:rPr>
            <w:rFonts w:ascii="arial" w:eastAsia="arial" w:hAnsi="arial" w:cs="arial"/>
            <w:i/>
            <w:color w:val="0077CC"/>
            <w:sz w:val="20"/>
            <w:u w:val="single"/>
            <w:shd w:val="clear" w:color="auto" w:fill="FFFFFF"/>
            <w:lang w:val="en-US" w:eastAsia="en-US" w:bidi="ar-SA"/>
          </w:rPr>
          <w:t>2005 ABQB 247</w:t>
        </w:r>
      </w:hyperlink>
      <w:r>
        <w:rPr>
          <w:rFonts w:ascii="arial" w:eastAsia="arial" w:hAnsi="arial" w:cs="arial"/>
          <w:color w:val="000000"/>
          <w:sz w:val="20"/>
          <w:lang w:val="en-US" w:eastAsia="en-US" w:bidi="ar-SA"/>
        </w:rPr>
        <w:t xml:space="preserve">, </w:t>
      </w:r>
      <w:hyperlink r:id="rId661" w:history="1">
        <w:r>
          <w:rPr>
            <w:rFonts w:ascii="arial" w:eastAsia="arial" w:hAnsi="arial" w:cs="arial"/>
            <w:i/>
            <w:color w:val="0077CC"/>
            <w:sz w:val="20"/>
            <w:u w:val="single"/>
            <w:shd w:val="clear" w:color="auto" w:fill="FFFFFF"/>
            <w:lang w:val="en-US" w:eastAsia="en-US" w:bidi="ar-SA"/>
          </w:rPr>
          <w:t>375 A.R. 109</w:t>
        </w:r>
      </w:hyperlink>
      <w:r>
        <w:rPr>
          <w:rFonts w:ascii="arial" w:eastAsia="arial" w:hAnsi="arial" w:cs="arial"/>
          <w:color w:val="000000"/>
          <w:sz w:val="20"/>
          <w:lang w:val="en-US" w:eastAsia="en-US" w:bidi="ar-SA"/>
        </w:rPr>
        <w:t xml:space="preserve">. (See also Ellen I. Picard and Gerald B. Robertson, </w:t>
      </w:r>
      <w:r>
        <w:rPr>
          <w:rFonts w:ascii="arial" w:eastAsia="arial" w:hAnsi="arial" w:cs="arial"/>
          <w:i/>
          <w:color w:val="000000"/>
          <w:sz w:val="20"/>
          <w:lang w:val="en-US" w:eastAsia="en-US" w:bidi="ar-SA"/>
        </w:rPr>
        <w:t>Legal Liability of Doctors and Hospitals in Canada</w:t>
      </w:r>
      <w:r>
        <w:rPr>
          <w:rFonts w:ascii="arial" w:eastAsia="arial" w:hAnsi="arial" w:cs="arial"/>
          <w:color w:val="000000"/>
          <w:sz w:val="20"/>
          <w:lang w:val="en-US" w:eastAsia="en-US" w:bidi="ar-SA"/>
        </w:rPr>
        <w:t xml:space="preserve"> 3rd ed. (Scarborough, Ont.: Carswell, 1995) at 113). They involve different inquiries.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The principle underlying informed consent is the right of a patient to decide what, if anything, should be done with his or her body. The doctrine of informed consent dictates that every individual has a right to know what risks are involved in undergoing or foregoing medical treatment and a concomitant right to make meaningful decisions based on a full understanding of those risks: </w:t>
      </w:r>
      <w:r>
        <w:rPr>
          <w:rFonts w:ascii="arial" w:eastAsia="arial" w:hAnsi="arial" w:cs="arial"/>
          <w:b/>
          <w:i/>
          <w:color w:val="000000"/>
          <w:sz w:val="20"/>
          <w:lang w:val="en-US" w:eastAsia="en-US" w:bidi="ar-SA"/>
        </w:rPr>
        <w:t>Hollis v. Dow Corning Corp.</w:t>
      </w:r>
      <w:r>
        <w:rPr>
          <w:rFonts w:ascii="arial" w:eastAsia="arial" w:hAnsi="arial" w:cs="arial"/>
          <w:color w:val="000000"/>
          <w:sz w:val="20"/>
          <w:lang w:val="en-US" w:eastAsia="en-US" w:bidi="ar-SA"/>
        </w:rPr>
        <w:t xml:space="preserve">, </w:t>
      </w:r>
      <w:hyperlink r:id="rId662" w:history="1">
        <w:r>
          <w:rPr>
            <w:rFonts w:ascii="arial" w:eastAsia="arial" w:hAnsi="arial" w:cs="arial"/>
            <w:i/>
            <w:color w:val="0077CC"/>
            <w:sz w:val="20"/>
            <w:u w:val="single"/>
            <w:shd w:val="clear" w:color="auto" w:fill="FFFFFF"/>
            <w:lang w:val="en-US" w:eastAsia="en-US" w:bidi="ar-SA"/>
          </w:rPr>
          <w:t>[1995] 4 S.C.R. 634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The standard for whether a risk is material and, therefore, one which should be explained to the patient, is an objective test of whether a reasonable person in the patient's position would want to know of the risk: </w:t>
      </w:r>
      <w:r>
        <w:rPr>
          <w:rFonts w:ascii="arial" w:eastAsia="arial" w:hAnsi="arial" w:cs="arial"/>
          <w:b/>
          <w:i/>
          <w:color w:val="000000"/>
          <w:sz w:val="20"/>
          <w:lang w:val="en-US" w:eastAsia="en-US" w:bidi="ar-SA"/>
        </w:rPr>
        <w:t>Ciarlariello v. Schacter</w:t>
      </w:r>
      <w:r>
        <w:rPr>
          <w:rFonts w:ascii="arial" w:eastAsia="arial" w:hAnsi="arial" w:cs="arial"/>
          <w:color w:val="000000"/>
          <w:sz w:val="20"/>
          <w:lang w:val="en-US" w:eastAsia="en-US" w:bidi="ar-SA"/>
        </w:rPr>
        <w:t xml:space="preserve">, </w:t>
      </w:r>
      <w:hyperlink r:id="rId663" w:history="1">
        <w:r>
          <w:rPr>
            <w:rFonts w:ascii="arial" w:eastAsia="arial" w:hAnsi="arial" w:cs="arial"/>
            <w:i/>
            <w:color w:val="0077CC"/>
            <w:sz w:val="20"/>
            <w:u w:val="single"/>
            <w:shd w:val="clear" w:color="auto" w:fill="FFFFFF"/>
            <w:lang w:val="en-US" w:eastAsia="en-US" w:bidi="ar-SA"/>
          </w:rPr>
          <w:t>[1993] 2 S.C.R. 119</w:t>
        </w:r>
      </w:hyperlink>
      <w:r>
        <w:rPr>
          <w:rFonts w:ascii="arial" w:eastAsia="arial" w:hAnsi="arial" w:cs="arial"/>
          <w:color w:val="000000"/>
          <w:sz w:val="20"/>
          <w:lang w:val="en-US" w:eastAsia="en-US" w:bidi="ar-SA"/>
        </w:rPr>
        <w:t xml:space="preserve">. A risk can be remote, but still be considered material. An unusual or improbable risk should be disclosed if its effects are serious: </w:t>
      </w:r>
      <w:r>
        <w:rPr>
          <w:rFonts w:ascii="arial" w:eastAsia="arial" w:hAnsi="arial" w:cs="arial"/>
          <w:b/>
          <w:i/>
          <w:color w:val="000000"/>
          <w:sz w:val="20"/>
          <w:lang w:val="en-US" w:eastAsia="en-US" w:bidi="ar-SA"/>
        </w:rPr>
        <w:t>Bryan v. Hicks</w:t>
      </w:r>
      <w:r>
        <w:rPr>
          <w:rFonts w:ascii="arial" w:eastAsia="arial" w:hAnsi="arial" w:cs="arial"/>
          <w:color w:val="000000"/>
          <w:sz w:val="20"/>
          <w:lang w:val="en-US" w:eastAsia="en-US" w:bidi="ar-SA"/>
        </w:rPr>
        <w:t xml:space="preserve">, </w:t>
      </w:r>
      <w:hyperlink r:id="rId664" w:history="1">
        <w:r>
          <w:rPr>
            <w:rFonts w:ascii="arial" w:eastAsia="arial" w:hAnsi="arial" w:cs="arial"/>
            <w:i/>
            <w:color w:val="0077CC"/>
            <w:sz w:val="20"/>
            <w:u w:val="single"/>
            <w:shd w:val="clear" w:color="auto" w:fill="FFFFFF"/>
            <w:lang w:val="en-US" w:eastAsia="en-US" w:bidi="ar-SA"/>
          </w:rPr>
          <w:t>10 B.C.L.R. (3d) 239</w:t>
        </w:r>
      </w:hyperlink>
      <w:r>
        <w:rPr>
          <w:rFonts w:ascii="arial" w:eastAsia="arial" w:hAnsi="arial" w:cs="arial"/>
          <w:color w:val="000000"/>
          <w:sz w:val="20"/>
          <w:lang w:val="en-US" w:eastAsia="en-US" w:bidi="ar-SA"/>
        </w:rPr>
        <w:t xml:space="preserve">, </w:t>
      </w:r>
      <w:hyperlink r:id="rId664" w:history="1">
        <w:r>
          <w:rPr>
            <w:rFonts w:ascii="arial" w:eastAsia="arial" w:hAnsi="arial" w:cs="arial"/>
            <w:i/>
            <w:color w:val="0077CC"/>
            <w:sz w:val="20"/>
            <w:u w:val="single"/>
            <w:shd w:val="clear" w:color="auto" w:fill="FFFFFF"/>
            <w:lang w:val="en-US" w:eastAsia="en-US" w:bidi="ar-SA"/>
          </w:rPr>
          <w:t>[1995] 10 W.W.R. 145</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 issue under consideration is a different issue from that involved where the question is whether the doctor carried out his professional activities by applicable professional standards. It is, therefore, not resolved simply by reference to what the medical profession considers appropriate, although expert medical evidence is still relevant: </w:t>
      </w:r>
      <w:r>
        <w:rPr>
          <w:rFonts w:ascii="arial" w:eastAsia="arial" w:hAnsi="arial" w:cs="arial"/>
          <w:b/>
          <w:i/>
          <w:color w:val="000000"/>
          <w:sz w:val="20"/>
          <w:lang w:val="en-US" w:eastAsia="en-US" w:bidi="ar-SA"/>
        </w:rPr>
        <w:t>Reibl v. Hughes</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Ciarlariello v. Schacter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scope of the duty to disclose and whether or not it has been breached are matters that must be decided in relation to the circumstances of each particular case: </w:t>
      </w:r>
      <w:r>
        <w:rPr>
          <w:rFonts w:ascii="arial" w:eastAsia="arial" w:hAnsi="arial" w:cs="arial"/>
          <w:b/>
          <w:i/>
          <w:color w:val="000000"/>
          <w:sz w:val="20"/>
          <w:lang w:val="en-US" w:eastAsia="en-US" w:bidi="ar-SA"/>
        </w:rPr>
        <w:t>Bryan v. Hicks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(b)</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u w:val="single"/>
                <w:lang w:val="en-US" w:eastAsia="en-US" w:bidi="ar-SA"/>
              </w:rPr>
              <w:t>Application to the facts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i.</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Dr. Feinstadt's opinion with respect to the grossly elevated triglyceride test results is that Dr. Steeves should have contacted Mr. Carlson when he received the results. At the December 8, 1998 visit Dr. Steeves should have discussed in no uncertain terms the risk of pancreatitis in addition to his other risk factors. He should have emphasized the life-threatening nature of pancreatitis and that with his severely increased triglyceride levels, Mr. Carlson was now at significant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Dr. Feinstadt's experience is that an effective method of improving and even ensuring compliance is to outline the most immediate and life-threatening risks. By failing to do so, Dr. Steeves' conduct fell below the standard of a family physician practising in Canada in 1998. Even if Dr. Steeves was concerned about the validity of the test, he was required to act on it while waiting for the re-testing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Dr. Feinstadt's says that the fact that Mr. Carlson has consistently displayed a pattern of non-compliance with medical advice is significant. It was essential to very carefully and explicitly inform him of his risk factors, the treatments available, and the recommendations for management of those risk factors. It is also essential that the necessity for careful follow-up be emphasized.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Mackie's opinion is also that the high triglyceride level and the risk of pancreatitis should have been discussed with Mr. Carlson. The link between high triglycerides and pancreatitis is quite clear. Mr. Carlson was at significant risk for pancreatitis so aggressive management should have been instituted.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Both Dr. Fritz and Dr. Donaldson disagree and say that Dr. Steeves did meet the required standard. They say that Dr. Steeves appropriately focused on Mr. Carlson's obesity, alcohol consumption and smoking, which were the major risk factors he faced. His risk for vascular disease was far greater than the very low risk of getting pancreatitis. It was, they say, appropriate to focus on those and deal with pancreatitis later when he received the results of the re-testing. Attending to those factors, by following Dr. Steeves' recommendations, would also have decreased his risk for pancreatitis.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They also are of the view that scare tactics do not work. They expressed concern about the impact on doctor/patient trust if a doctor tells a patient about the risk for serious illness when it turns out not to have been necessary. They say that it was reasonable for Dr. Steeves to advise Mr. Carlson to get the tests and to return. It was reasonable for Dr. Steeves to expect that he would follow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They both expressed concerns about the validity of the August 1, 1998 lab results. They were of the opinion that Dr. Steeves did not have sufficient information to make a determination as to the risk factors relating to pancreatitis and that he needed baseline testing.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Dr. Chan-Yan was similarly of the view that Dr. Steeves' conduct was appropriate and met the standard of care of a family physician. He says that it was reasonable for Dr. Steeves to focus on what appeared to be Mr. Carlson's most imminent health risk, that of a life-threatening cardiovascular event. Given his family history and lifestyle, a cardiac event at anytime was a distinct possibility. The possibility of pancreatitis was, therefore, a less imminent and a potentially less catastrophic event. Blood testing must be put in the context of the entire patient picture, including; the patient's history and presentation; a patient is not a single lab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He says that had Mr. Carlson been compliant with previously recommended attention to lifestyle factors, it is likely that his triglyceride levels would have decreased to below the risk for pancreatitis. It was also appropriate to order further tests. The test results were old and triglyceride levels may fluctuate widely from time to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Dr. Chan-Yan also had concerns about the validity of the August 1, 1998 lab results. He too felt that Dr. Steeves did not have sufficient information to make a determination as to the risk factors relating to pancreatitis and needed baseline testing.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Dr. Steeves testified about his view of his obligations. He had experience with pancreatitis. While he could only recall two cases of pancreatitis in his own practice, he was exposed to many cases during his internship and his second speciality year when he did extra internal medicine training. Mr. Carlson did not have any symptoms of pancreatitis at any time. Like Drs. Fritz, Donaldson and Chan-Yan, he felt that it was best to focus on the more serious risk factors. He repeatedly did that and did so at the December 8, 1998 visit. He felt he did not have enough information to advise Mr. Carlson about the test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He says he did what he should have done, which was request follow-up testing so that he could get a baseline. It was Mr. Carlson's obligation to follow up. He too was concerned about the impact on the patient/doctor relationship of unnecessarily worrying Mr. Carlson. He testified that he "did not want to go off half cocked." To do so would not foster trust between the patient and the doctor, and does not improve compliance. The advice he did give him, if followed, would address any issue with respect to elevated triglycerides.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ii. Decision - Duty to Disclose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risk of pancreatitis was low, but the consequences are serious. It is a material risk and a reasonable person in Mr. Carlson's position would want to know of the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 have concluded that Dr. Steeves thought the triglyceride test results were valid on their face. He knew that, if the results were correct, Mr. Carlson was at an increased risk of developing pancreatitis. He also knew that acute pancreatitis is a very serious, extremely painful and life-threatening illness. He acknowledged that one of his fundamental duties as a physician was to gather information, identify risks and warn patients about those risks. He had gathered all of the information he needed.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essence of the informed consent legal analysis is that Mr. Carlson was entitled to decide what, if anything, should be done with his body. I agree with the opinions of Dr. Mackie and Dr. Feinstadt. Mr. Carlson had a right to be told: that the results of the blood tests he did undergo were that he had grossly elevated triglyceride levels; that there was a low risk of a life-threatening illness if the test results were correct; that it was important to follow up and get the re-testing; and that there was an appropriate course of treatment available to him. Dr. Steeves did not tell him any of those things.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 agree with Dr. Feinstadt that even if Dr. Steeves was concerned about the validity of the test, he was required to act on it while waiting for re-testing to take place. I am satisfied that the duty to disclose required Dr. Steeves to immediately notify Mr. Carlson of the results when he received them in August 1998. It was not appropriate to simply note the results in the clinical record so they would be there if Mr. Carlson made an appointment to see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Dr. Steeves says that if a patient is unnecessarily frightened that will adversely affect the patient's trust in the doctor. Because of the duty to disclose imposed by law, doctors do not have the option of not disclosing for that reason. In any case it is significantly more important to the building of trust between a doctor and a patient that patient be given honest and accurate information about his or her health risks.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A patient is not "a single lab result." That fact is relevant to diagnosis and treatment decisions. It is not relevant to the question of what information must be disclosed by a doctor to a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reaching these conclusions I have considered the arguments advanced on behalf of Dr. Steeves that the evidence of Drs. Mackie and Dr. Feinstadt should be given little weight. They may not have had all the information available to the other doctors. Dr. Mackie was in error with respect to when Mr. Carlson saw Dr. Steeves. However, their evidence on the critical point of whether there should have been disclosure is based on the necessary information and their considerable experience and expertise. Their evidence is entitled to significant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Dr. Steeves therefore had a duty to disclose material information to Mr. Carlson and he breached that duty. It is not necessary, given this decision, to deal with the question of the duty to follow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Mr. Carlson's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Mr. Carlson submits that the medical evidence is unanimous that if the lab test is accurate it mandated treatment. There would have been a number of different approaches to treatment, including medication to bring Mr. Carlson's triglyceride levels down, and lifestyle modification to keep them down. While there was some evidence that alcohol may have played a role in the development of Mr. Carlson's illness, all the medical experts agreed that the treatment regime for elevated triglyceride levels included strict reduction and/or elimination of alcohol from Mr. Carlson's diet.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issue is, therefore, would a reasonable person, in the circumstances of Mr. Carlson, have undertaken the testing recommended by Dr. Steeves and the anticipated follow-up treatment, if properly informed of the risk of pancreatitis.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Mr. Carlson submits that it is not necessary for the Court to decide if it was Mr. Carlson's triglyceride levels, or the alcohol, that caused the pancreatitis. Follow-up testing and treatment would have taken care of both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He argues that the starting point for the determination of the causation issue must be to look at simple common sense. Reasonable people, when advised that tests results indicate that they are at risk for a life-threatening condition, follow up with their physician's recommended tests in order to rule out, or in, the potential disease. Reasonable people follow up with reasonable treatment regimes in order to avoid life-threatening diseases.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test requires the Court to look at Mr. Carlson's position when determining what a reasonable person in his position would have done. He agrees that he had a history, of sorts, of failing to promptly follow up with tests recommended by his physicians. He was not, however, someone who completely disregarded medical advise. The opposite is true. As Dr. Steeves properly conceded in cross-examination, Mr. Carlson did follow up on many of the requests made of him by his physicians. He followed up and obtained: the various blood work and other tests ordered by Dr. Horn in 1994; the requests for follow-up by Dr. Horn; the Chlamydia test ordered by Dr. Horn in 1995; the ECG ordered by Dr. Steeves before giving him the prescription for Tenuate in May 1995; the tests (ECG, blood tests, x-rays) ordered by Dr. Foster (Emergency physician) in 1996; the ECG ordered by Dr. Horner; the requests for blood work in July, 2001 before he became seriously ill; the bloodwork ordered by Dr. Horner; and the referral to Dr. Horner by Dr. Foster.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Mr. Carlson says that his principal failing, which he freely acknowledged, is the failure to follow up with the blood work ordered by Dr. Steeves in May and December of 1998 and his failure to heed his wife's urgings to go and see his general practitioner at some point before the pancreatitis attack. This conduct must be judged on the basis of what he knew, and what he did not know. He says the following factors are relevant in considering his position: he was recently married; he and his new wife were planning a family; and he had been raised without a father and was determined that his children would not suffer the same fate.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With respect to his personal life, he had every reason to follow the advice given to him to address this immediate problem. Mr. Carlson was of the view that his potential cardiac problems were long term potential problems, not short term immediate risks. He had been hearing from his physicians for a number of years of his need to address his weight and his smoking. He understood that they represented a threat to his health and to his life down the road. As Dr. Donaldson testified, reasonable patients often react differently to short or long term risks. Heart disease is often perceived to be decades away and patients often ignore advice to modify lifestyle in the short term. They tend to pay more attention to immediate risks.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Drs. Feinstadt, Fritz and Mackie gave similar evidence. Mr. Carlson says his evidence with respect to why he did not return for the follow-up blood work and physical examination, as recommended in 1998, is credible. He had undergone a series of blood tests over the years, all of which had disclosed the same things - elevated cholesterol and elevated triglycerides. His physical examinations had also consistently shown the same thing - he was overweight. Insofar as the visits from 1998 were concerned, no new information came to light. He knew he was at risk for heart disease. He knew he was at risk for sudden death at some point in his life. He knew he needed to address those issues. New blood work or another physical examination was not going to change anything.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This attitude, he submits, must be put into the context of the medical advice he had received up to this point: he had an ECG done for Dr. Steeves in 1995 before getting the prescription for Tenuate - it was normal; he had another ECG done at the request of Dr. Foster in 1995 when he had the chest pain experience - it was normal; and he had a full physical examination by a specialist, Dr. Horner, in February 1996, including an exercise test, and was reassured by Dr. Horner that "... he had no problem as far as his heart was concerned."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He says he was very reassured by these things. He felt, as he indicated, that he was not a time bomb about to go off. He had health issues which he recognized he needed to address. The real question was simply a question of timing.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Over the ensuing years, two things happened that led Mr. Carlson to finally take serious steps to address his long-term health issues - the birth of his two children. Mr. Carlson had never met his father. His wife's father died when she was only four years old. He was determined to be there for his kids while they were growing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He had two primary health issues - weight and smoking. He chose to attack smoking first. He testified that the evils of smoking had been emphasized to him by Dr. Steeves, Dr. Horner and others, including his brother, who is a doctor. He understood it to be the primary risk to his long-term health. He was not cross-examined on this point. In addition, he felt that he needed to set achievable goals if he was to succeed, one at a time, so he quit smoking. He did not have a cigarette in the seven to eight months before falling ill with pancreatitis.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This, he says, is important for several reasons: it shows that he was in fact attempting to follow up with the advice that everyone agrees he was given with respect to dealing with his health issues. It shows that he was attempting to deal with the most important or serious issues first. It shows he was acting in an appropriate manner in setting achievable goals in order to maximize his chances of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His efforts to deal with his health issues were cut off by his illness. He has been out of hospital for over 5 years now. However, it is important to note that he has continued his efforts to deal with his problems. He was advised by Dr. Rusnak, one of his treating physicians, that it would be appropriate for him to drink occasionally. He has maintained that level of drinking. He has avoided going back to the hard drinking life he lived before. He managed to stay away from cigarettes for a long time, but he is not perfect. He has "drifted back" to low level smoking, having three to four cigarettes a day. He is like a lot of people who struggle with this product - he sometimes backslides. Yet, his determination to maintain his health continues. He has maintained his weight and he is no longer morbidly obese or even overweight. His drinking is moderate. Aside from slipping back to some smoking, there is no suggestion that he is not following medical advice with respect to his health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This all goes to demonstrate that he is acting as any reasonable person in his position would act, with appropriate information. People who are told by their medical advisors that they are at immediate risk for a serious medical problem will react to that and do something about it. This is not always true with respect to long-term health issues. The court does not need to turn to the expert evidence, although the experts did confirm what is common knowledge; people often leave long-term problems for sometime "down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Mr. Carlson also argues that, while the global statistics indicate that pancreatitis is a rare condition, one of the obligations of a physician providing care to a patient is to assess the patient with a view to analyzing that individual patient's risk for developing any condition, including pancreatitis. The purpose of doing to is to determine if the patient is at increased risk for the disease. The evidence confirmed this approach; the approach is found in a well-known study called the Framingham Study. In this case, using this approach makes his risk much higher than in the normal population.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Dr. Steeves'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Dr. Steeves acknowledges that the Court must decide what a reasonable person in Mr. Carlson's position would, on a balance of probabilities, have done in similar circumstance if an appropriate warning had been given. He says that in determining what a reasonable person in Mr. Carlson's position would have decided at the moment of making a decision for or against treatment, the evidence of Mr. Carlson as to the factors affecting that decision must be taken into account: </w:t>
      </w:r>
      <w:r>
        <w:rPr>
          <w:rFonts w:ascii="arial" w:eastAsia="arial" w:hAnsi="arial" w:cs="arial"/>
          <w:b/>
          <w:i/>
          <w:color w:val="000000"/>
          <w:sz w:val="20"/>
          <w:lang w:val="en-US" w:eastAsia="en-US" w:bidi="ar-SA"/>
        </w:rPr>
        <w:t>Reibl v. Hughes</w:t>
      </w:r>
      <w:r>
        <w:rPr>
          <w:rFonts w:ascii="arial" w:eastAsia="arial" w:hAnsi="arial" w:cs="arial"/>
          <w:color w:val="000000"/>
          <w:sz w:val="20"/>
          <w:lang w:val="en-US" w:eastAsia="en-US" w:bidi="ar-SA"/>
        </w:rPr>
        <w:t>. At other points in the submissions, though, he says that the court must be satisfied that, had Mr. Carlson been provided with the advice that elevated triglyceride levels posed a risk to his pancreas, he would have taken steps to address those elevated levels.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He submits that Mr. Carlson would still not have followed up on the recommended blood test or a follow-up appointment. He was warned that he was at risk of death. That threat was not sufficient to motivate him to pursue the blood test and follow-up. Consequently, it is extremely unlikely that any warning of an extremely remote possibility of pancreatitis would have had any effect on the Mr. Carlson.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risk of suffering pancreatitis was extremely low. The risk of life-threatening pancreatitis was even lower. The risk of suffering death from a cardiovascular event was much higher. Even knowing the higher risk of suffering a catastrophic event, namely death, Mr. Carlson was still not motivated to do anything other than that which he did, which was to ignore Dr. Steeves' advice to modify his lifestyle, his requests to obtain blood tests and his requests to follow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Dr. Steeves submits that Mr. Carlson must also demonstrate, on a balance of probabilities, that the failure to warn was the cause of his injuries. He has not done so. Dr. Chan-Yan's evidence indicated that Mr. Carlson's pancreatitis was not caused by his high triglyceride level, but rather by his use of alcohol. Dr. Chan-Yan's opinion accords with common sense. Mr. Carlson had elevated triglyceride levels in 1998, if the lab test is correct. He did not develop pancreatitis until the summer of 2001. Further evidence in this respect is the fact that the Mr. Carlson has had a triglyceride level of 11.62 in August 2004, long after his attack. No pharmacological intervention has been employed since then, yet Mr. Carlson has not developed pancreatitis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Elevated triglyceride levels very rarely cause pancreatitis. If his pancreatitis were attributable to elevated triglyceride levels, this would have been dealt with by the lifestyle modification instructions provided by Dr. Steeves at the outset of his involvement with the Mr. Carlson. Mr. Carlson has, and continues to, disregard lifestyle modification advice. The evidence of Dr. Mackie is that pharmacological intervention would not be successful in the absence of lifestyle modification.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Analysis -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(a)</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u w:val="single"/>
                <w:lang w:val="en-US" w:eastAsia="en-US" w:bidi="ar-SA"/>
              </w:rPr>
              <w:t>Legal Principles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The test for causation in an informed consent case is generally based on the decision that a reasonable person in the patient's position would have made. This modified objective test relies on a combination of objective and subjective factors in order to determine whether the failure to disclose actually caused the harm of which the patient complains. Therefore, I must take into consideration any particular concerns of Mr. Carlson and any special considerations affecting him: </w:t>
      </w:r>
      <w:r>
        <w:rPr>
          <w:rFonts w:ascii="arial" w:eastAsia="arial" w:hAnsi="arial" w:cs="arial"/>
          <w:b/>
          <w:i/>
          <w:color w:val="000000"/>
          <w:sz w:val="20"/>
          <w:lang w:val="en-US" w:eastAsia="en-US" w:bidi="ar-SA"/>
        </w:rPr>
        <w:t>Reibl v. Hughes</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Arndt v. Smith</w:t>
      </w:r>
      <w:r>
        <w:rPr>
          <w:rFonts w:ascii="arial" w:eastAsia="arial" w:hAnsi="arial" w:cs="arial"/>
          <w:color w:val="000000"/>
          <w:sz w:val="20"/>
          <w:lang w:val="en-US" w:eastAsia="en-US" w:bidi="ar-SA"/>
        </w:rPr>
        <w:t xml:space="preserve">, </w:t>
      </w:r>
      <w:hyperlink r:id="rId665" w:history="1">
        <w:r>
          <w:rPr>
            <w:rFonts w:ascii="arial" w:eastAsia="arial" w:hAnsi="arial" w:cs="arial"/>
            <w:i/>
            <w:color w:val="0077CC"/>
            <w:sz w:val="20"/>
            <w:u w:val="single"/>
            <w:shd w:val="clear" w:color="auto" w:fill="FFFFFF"/>
            <w:lang w:val="en-US" w:eastAsia="en-US" w:bidi="ar-SA"/>
          </w:rPr>
          <w:t>[1997] 2 S.C.R. 539</w:t>
        </w:r>
      </w:hyperlink>
      <w:r>
        <w:rPr>
          <w:rFonts w:ascii="arial" w:eastAsia="arial" w:hAnsi="arial" w:cs="arial"/>
          <w:color w:val="000000"/>
          <w:sz w:val="20"/>
          <w:lang w:val="en-US" w:eastAsia="en-US" w:bidi="ar-SA"/>
        </w:rPr>
        <w:t xml:space="preserve">. His reasonable subjective beliefs should be attributed to the hypothetical reasonable person, used to set the objective standard, in order to properly reflect Mr. Carlson's circumstances: </w:t>
      </w:r>
      <w:r>
        <w:rPr>
          <w:rFonts w:ascii="arial" w:eastAsia="arial" w:hAnsi="arial" w:cs="arial"/>
          <w:b/>
          <w:i/>
          <w:color w:val="000000"/>
          <w:sz w:val="20"/>
          <w:lang w:val="en-US" w:eastAsia="en-US" w:bidi="ar-SA"/>
        </w:rPr>
        <w:t>Arndt v. Smith</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This more flexible standard is used because the hypothetical nature of the situation introduces uncertainty into the analysis. It is a determination of what Mr. Carlson would have done, not what he did do. The test is flexible. It enables a court to take into account a wide range of the personal circumstances and, at that same time, recognize that physicians such as Dr. Steeves should not be held responsible when idiosyncratic beliefs of their patients might have prompted unpredictable and unreasonable treatment decisions: </w:t>
      </w:r>
      <w:r>
        <w:rPr>
          <w:rFonts w:ascii="arial" w:eastAsia="arial" w:hAnsi="arial" w:cs="arial"/>
          <w:b/>
          <w:i/>
          <w:color w:val="000000"/>
          <w:sz w:val="20"/>
          <w:lang w:val="en-US" w:eastAsia="en-US" w:bidi="ar-SA"/>
        </w:rPr>
        <w:t>Arndt v. 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It is, therefore, not a requirement that Mr. Carlson must prove that he, rather than a reasonable person in his position, would have taken the test and followed the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In many "failure to disclose" cases the answer to this question will resolve the causation issue as the question is often whether a patient would refuse treatment. The answer to that question itself provides the causal link. For example, if a patient were advised about the risks of a surgical procedure that caused injury, the court could find that a reasonable person in the position of that patient would not have undergone the surgery. The court could be satisfied that, but for the failure to disclose, the injury would not have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However, in this case there is not a direct link between the breach of the duty to disclose and the injury. The acute pancreatitis happened some two years and eight months later. Mr. Carlson does not meet the burden of proving causation just by proving that a reasonable person in his position would have taken the tests recommended by Dr. Steeves and followed the prescribed treatment. As the British Columbia Court of Appeal recently emphasized, although causation need not be proven to a scientific certainty, it still must be proven on a balance of probabilities: </w:t>
      </w:r>
      <w:r>
        <w:rPr>
          <w:rFonts w:ascii="arial" w:eastAsia="arial" w:hAnsi="arial" w:cs="arial"/>
          <w:b/>
          <w:i/>
          <w:color w:val="000000"/>
          <w:sz w:val="20"/>
          <w:lang w:val="en-US" w:eastAsia="en-US" w:bidi="ar-SA"/>
        </w:rPr>
        <w:t>C.P.M. (Guardian ad litem of) v. Martin</w:t>
      </w:r>
      <w:r>
        <w:rPr>
          <w:rFonts w:ascii="arial" w:eastAsia="arial" w:hAnsi="arial" w:cs="arial"/>
          <w:color w:val="000000"/>
          <w:sz w:val="20"/>
          <w:lang w:val="en-US" w:eastAsia="en-US" w:bidi="ar-SA"/>
        </w:rPr>
        <w:t xml:space="preserve">, </w:t>
      </w:r>
      <w:hyperlink r:id="rId666" w:history="1">
        <w:r>
          <w:rPr>
            <w:rFonts w:ascii="arial" w:eastAsia="arial" w:hAnsi="arial" w:cs="arial"/>
            <w:i/>
            <w:color w:val="0077CC"/>
            <w:sz w:val="20"/>
            <w:u w:val="single"/>
            <w:shd w:val="clear" w:color="auto" w:fill="FFFFFF"/>
            <w:lang w:val="en-US" w:eastAsia="en-US" w:bidi="ar-SA"/>
          </w:rPr>
          <w:t>2006 BCCA 333</w:t>
        </w:r>
      </w:hyperlink>
      <w:r>
        <w:rPr>
          <w:rFonts w:ascii="arial" w:eastAsia="arial" w:hAnsi="arial" w:cs="arial"/>
          <w:color w:val="000000"/>
          <w:sz w:val="20"/>
          <w:lang w:val="en-US" w:eastAsia="en-US" w:bidi="ar-SA"/>
        </w:rPr>
        <w:t xml:space="preserve">, </w:t>
      </w:r>
      <w:hyperlink r:id="rId666" w:history="1">
        <w:r>
          <w:rPr>
            <w:rFonts w:ascii="arial" w:eastAsia="arial" w:hAnsi="arial" w:cs="arial"/>
            <w:i/>
            <w:color w:val="0077CC"/>
            <w:sz w:val="20"/>
            <w:u w:val="single"/>
            <w:shd w:val="clear" w:color="auto" w:fill="FFFFFF"/>
            <w:lang w:val="en-US" w:eastAsia="en-US" w:bidi="ar-SA"/>
          </w:rPr>
          <w:t>55 B.C.L.R. (4th) 260</w:t>
        </w:r>
      </w:hyperlink>
      <w:r>
        <w:rPr>
          <w:rFonts w:ascii="arial" w:eastAsia="arial" w:hAnsi="arial" w:cs="arial"/>
          <w:color w:val="000000"/>
          <w:sz w:val="20"/>
          <w:lang w:val="en-US" w:eastAsia="en-US" w:bidi="ar-SA"/>
        </w:rPr>
        <w:t xml:space="preserve"> at </w:t>
      </w:r>
      <w:r>
        <w:rPr>
          <w:rFonts w:ascii="arial" w:eastAsia="arial" w:hAnsi="arial" w:cs="arial"/>
          <w:b/>
          <w:color w:val="000000"/>
          <w:sz w:val="20"/>
          <w:lang w:val="en-US" w:eastAsia="en-US" w:bidi="ar-SA"/>
        </w:rPr>
        <w:t>para.</w:t>
      </w:r>
      <w:r>
        <w:rPr>
          <w:rFonts w:ascii="arial" w:eastAsia="arial" w:hAnsi="arial" w:cs="arial"/>
          <w:color w:val="000000"/>
          <w:sz w:val="20"/>
          <w:lang w:val="en-US" w:eastAsia="en-US" w:bidi="ar-SA"/>
        </w:rPr>
        <w:t xml:space="preserve"> 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The Supreme Court of Canada considered the principles that apply to causation in </w:t>
      </w:r>
      <w:r>
        <w:rPr>
          <w:rFonts w:ascii="arial" w:eastAsia="arial" w:hAnsi="arial" w:cs="arial"/>
          <w:b/>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268"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w:t>
      </w:r>
      <w:hyperlink r:id="rId268" w:history="1">
        <w:r>
          <w:rPr>
            <w:rFonts w:ascii="arial" w:eastAsia="arial" w:hAnsi="arial" w:cs="arial"/>
            <w:i/>
            <w:color w:val="0077CC"/>
            <w:sz w:val="20"/>
            <w:u w:val="single"/>
            <w:shd w:val="clear" w:color="auto" w:fill="FFFFFF"/>
            <w:lang w:val="en-US" w:eastAsia="en-US" w:bidi="ar-SA"/>
          </w:rPr>
          <w:t>[2007] 1 S.C.R. 333</w:t>
        </w:r>
      </w:hyperlink>
      <w:r>
        <w:rPr>
          <w:rFonts w:ascii="arial" w:eastAsia="arial" w:hAnsi="arial" w:cs="arial"/>
          <w:color w:val="000000"/>
          <w:sz w:val="20"/>
          <w:lang w:val="en-US" w:eastAsia="en-US" w:bidi="ar-SA"/>
        </w:rPr>
        <w:t>. The "but for" test applies except in very limited circumstances. The Court summarized them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Much judicial and academic ink has been spilled over the proper test for causation in cases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is neither necessary nor helpful to catalogue the various debates. It suffices at this juncture to simply assert the general principles that emerge from the cases.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First, the basic test for determining causation remains the "but for" test. This applies to multi-cause injuries. The plaintiff bears the burden of showing that "but for" the negligent act or omission of each defendant, the injury would not have occurred. Having done this,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may be apportioned, as permitted by statute.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This fundamental rule has never been displaced and remains the primary test for causation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As stated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67"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14,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Major J., "[t]he general, but not conclusive, test for causation is the but for' test, which requires the plaintiff to show that the injury would not have occurred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Similarly, as I noted in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423" w:history="1">
        <w:r>
          <w:rPr>
            <w:rFonts w:ascii="arial" w:eastAsia="arial" w:hAnsi="arial" w:cs="arial"/>
            <w:i/>
            <w:color w:val="0077CC"/>
            <w:sz w:val="20"/>
            <w:u w:val="single"/>
            <w:shd w:val="clear" w:color="auto" w:fill="FFFFFF"/>
            <w:lang w:val="en-US" w:eastAsia="en-US" w:bidi="ar-SA"/>
          </w:rPr>
          <w:t>[2005] 3 S.C.R. 3</w:t>
        </w:r>
      </w:hyperlink>
      <w:r>
        <w:rPr>
          <w:rFonts w:ascii="arial" w:eastAsia="arial" w:hAnsi="arial" w:cs="arial"/>
          <w:color w:val="000000"/>
          <w:sz w:val="20"/>
          <w:lang w:val="en-US" w:eastAsia="en-US" w:bidi="ar-SA"/>
        </w:rPr>
        <w:t>, at para. 78, "[t]he rules of causation consider generally whether 'but for' the defendant's acts, the plaintiff's damages would have been incurred on a balance of probabilities."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The "but for" test recognizes that compensation for negligent conduct should only be made "where a substantial connection between the injury and the defendant's conduct" is present. It ensures that a defendant will not be held liable for the plaintiff's injuries where they "may very well be due to factors unconnected to the defendant and not the fault of anyone": </w:t>
      </w:r>
      <w:r>
        <w:rPr>
          <w:rFonts w:ascii="arial" w:eastAsia="arial" w:hAnsi="arial" w:cs="arial"/>
          <w:i/>
          <w:color w:val="000000"/>
          <w:sz w:val="20"/>
          <w:lang w:val="en-US" w:eastAsia="en-US" w:bidi="ar-SA"/>
        </w:rPr>
        <w:t>Snell v. Farrell</w:t>
      </w:r>
      <w:r>
        <w:rPr>
          <w:rFonts w:ascii="arial" w:eastAsia="arial" w:hAnsi="arial" w:cs="arial"/>
          <w:color w:val="000000"/>
          <w:sz w:val="20"/>
          <w:lang w:val="en-US" w:eastAsia="en-US" w:bidi="ar-SA"/>
        </w:rPr>
        <w:t xml:space="preserve">, </w:t>
      </w:r>
      <w:hyperlink r:id="rId386"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at p. 327,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Sopinka J.</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However, in special circumstances, the law has recognized exceptions to the basic "but for" test, and applied a "material contribution" test. Broadly speaking, the cases in which the "material contribution" test is properly applied involve two requirements.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25 First, it must be impossible for the plaintiff to prove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plaintiff's injury using the "but for" test. The impossibility must be due to factors that are outside of the plaintiff's control; for example, current limits of scientific knowledge. Second, it must be clear that the defendant breached a duty of care owed to the plaintiff, thereby exposing the plaintiff to an unreasonable risk of injury, and the plaintiff must have suffered that form of injury. In other words, the plaintiff's injury must fall within the ambit of the risk created by the defendant's breach. In those exceptional cases where these two requirements are satisfied, liability may be imposed, even though the "but for" test is not satisfied, because it would offend basic notions of fairness and justice to deny liability by applying a "but for"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The British Columbia Court of Appeal recently considered this issue in </w:t>
      </w:r>
      <w:r>
        <w:rPr>
          <w:rFonts w:ascii="arial" w:eastAsia="arial" w:hAnsi="arial" w:cs="arial"/>
          <w:b/>
          <w:i/>
          <w:color w:val="000000"/>
          <w:sz w:val="20"/>
          <w:lang w:val="en-US" w:eastAsia="en-US" w:bidi="ar-SA"/>
        </w:rPr>
        <w:t>Bohun v. Segal</w:t>
      </w:r>
      <w:r>
        <w:rPr>
          <w:rFonts w:ascii="arial" w:eastAsia="arial" w:hAnsi="arial" w:cs="arial"/>
          <w:color w:val="000000"/>
          <w:sz w:val="20"/>
          <w:lang w:val="en-US" w:eastAsia="en-US" w:bidi="ar-SA"/>
        </w:rPr>
        <w:t xml:space="preserve">, </w:t>
      </w:r>
      <w:hyperlink r:id="rId667" w:history="1">
        <w:r>
          <w:rPr>
            <w:rFonts w:ascii="arial" w:eastAsia="arial" w:hAnsi="arial" w:cs="arial"/>
            <w:i/>
            <w:color w:val="0077CC"/>
            <w:sz w:val="20"/>
            <w:u w:val="single"/>
            <w:shd w:val="clear" w:color="auto" w:fill="FFFFFF"/>
            <w:lang w:val="en-US" w:eastAsia="en-US" w:bidi="ar-SA"/>
          </w:rPr>
          <w:t>2008 BCCA 23</w:t>
        </w:r>
      </w:hyperlink>
      <w:r>
        <w:rPr>
          <w:rFonts w:ascii="arial" w:eastAsia="arial" w:hAnsi="arial" w:cs="arial"/>
          <w:color w:val="000000"/>
          <w:sz w:val="20"/>
          <w:lang w:val="en-US" w:eastAsia="en-US" w:bidi="ar-SA"/>
        </w:rPr>
        <w:t xml:space="preserve">, </w:t>
      </w:r>
      <w:hyperlink r:id="rId667" w:history="1">
        <w:r>
          <w:rPr>
            <w:rFonts w:ascii="arial" w:eastAsia="arial" w:hAnsi="arial" w:cs="arial"/>
            <w:i/>
            <w:color w:val="0077CC"/>
            <w:sz w:val="20"/>
            <w:u w:val="single"/>
            <w:shd w:val="clear" w:color="auto" w:fill="FFFFFF"/>
            <w:lang w:val="en-US" w:eastAsia="en-US" w:bidi="ar-SA"/>
          </w:rPr>
          <w:t>[2008] B.C.J. No. 97</w:t>
        </w:r>
      </w:hyperlink>
      <w:r>
        <w:rPr>
          <w:rFonts w:ascii="arial" w:eastAsia="arial" w:hAnsi="arial" w:cs="arial"/>
          <w:color w:val="000000"/>
          <w:sz w:val="20"/>
          <w:lang w:val="en-US" w:eastAsia="en-US" w:bidi="ar-SA"/>
        </w:rPr>
        <w:t xml:space="preserve"> (Q.L.), a medical malpractice case. The trial judge, applying the principles in </w:t>
      </w:r>
      <w:r>
        <w:rPr>
          <w:rFonts w:ascii="arial" w:eastAsia="arial" w:hAnsi="arial" w:cs="arial"/>
          <w:b/>
          <w:i/>
          <w:color w:val="000000"/>
          <w:sz w:val="20"/>
          <w:lang w:val="en-US" w:eastAsia="en-US" w:bidi="ar-SA"/>
        </w:rPr>
        <w:t>Resurfice Corp v. Hanke</w:t>
      </w:r>
      <w:r>
        <w:rPr>
          <w:rFonts w:ascii="arial" w:eastAsia="arial" w:hAnsi="arial" w:cs="arial"/>
          <w:color w:val="000000"/>
          <w:sz w:val="20"/>
          <w:lang w:val="en-US" w:eastAsia="en-US" w:bidi="ar-SA"/>
        </w:rPr>
        <w:t>, used the material contribution test; the Court of Appeal found the trial judge to be in error, saying it is not appropriate, if the "but for" test fails, to then resort to the material contribution test. Kirkpatrick J.A., for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[52] ... To state it another way, Ms. Johnston had to establish that Dr. Segal's conduct made it more probable than not that the delayed diagnosis of her cancer would cause her death to occur earlier than it would have but for Dr. Segal's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Lord Hoffmann stated in </w:t>
      </w:r>
      <w:r>
        <w:rPr>
          <w:rFonts w:ascii="arial" w:eastAsia="arial" w:hAnsi="arial" w:cs="arial"/>
          <w:b/>
          <w:i/>
          <w:color w:val="000000"/>
          <w:sz w:val="20"/>
          <w:lang w:val="en-US" w:eastAsia="en-US" w:bidi="ar-SA"/>
        </w:rPr>
        <w:t>Barker v. Corus</w:t>
      </w:r>
      <w:r>
        <w:rPr>
          <w:rFonts w:ascii="arial" w:eastAsia="arial" w:hAnsi="arial" w:cs="arial"/>
          <w:color w:val="000000"/>
          <w:sz w:val="20"/>
          <w:lang w:val="en-US" w:eastAsia="en-US" w:bidi="ar-SA"/>
        </w:rPr>
        <w:t>, [2006] 3 All E.R. 785, it was not enough to show that the defendant's conduct increased the likelihood of damage and may have caused it. The evidence of causation in this case fell far short of proof on a balance of probabilities.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[53] Having failed to establish causation on the available "but for" test, the causation analysis ought to have come to an end. It was not open to the plaintiff to prove, or to the trial judge to consider, the material contribution test. As stated in </w:t>
      </w:r>
      <w:r>
        <w:rPr>
          <w:rFonts w:ascii="arial" w:eastAsia="arial" w:hAnsi="arial" w:cs="arial"/>
          <w:b/>
          <w:i/>
          <w:color w:val="000000"/>
          <w:sz w:val="20"/>
          <w:lang w:val="en-US" w:eastAsia="en-US" w:bidi="ar-SA"/>
        </w:rPr>
        <w:t>Resurfice</w:t>
      </w:r>
      <w:r>
        <w:rPr>
          <w:rFonts w:ascii="arial" w:eastAsia="arial" w:hAnsi="arial" w:cs="arial"/>
          <w:color w:val="000000"/>
          <w:sz w:val="20"/>
          <w:lang w:val="en-US" w:eastAsia="en-US" w:bidi="ar-SA"/>
        </w:rPr>
        <w:t xml:space="preserve">, it must be impossible to prove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using the "but for" analysis before resort can be made to the material contribution analysis. I do not read </w:t>
      </w:r>
      <w:r>
        <w:rPr>
          <w:rFonts w:ascii="arial" w:eastAsia="arial" w:hAnsi="arial" w:cs="arial"/>
          <w:b/>
          <w:i/>
          <w:color w:val="000000"/>
          <w:sz w:val="20"/>
          <w:lang w:val="en-US" w:eastAsia="en-US" w:bidi="ar-SA"/>
        </w:rPr>
        <w:t>Resurfice</w:t>
      </w:r>
      <w:r>
        <w:rPr>
          <w:rFonts w:ascii="arial" w:eastAsia="arial" w:hAnsi="arial" w:cs="arial"/>
          <w:color w:val="000000"/>
          <w:sz w:val="20"/>
          <w:lang w:val="en-US" w:eastAsia="en-US" w:bidi="ar-SA"/>
        </w:rPr>
        <w:t xml:space="preserve"> to mean that, because a plaintiff fails to prove causation on the "but for" analysis, a plaintiff may then resort to the less stringent material contribution test. As this Court recently stated in </w:t>
      </w:r>
      <w:r>
        <w:rPr>
          <w:rFonts w:ascii="arial" w:eastAsia="arial" w:hAnsi="arial" w:cs="arial"/>
          <w:b/>
          <w:i/>
          <w:color w:val="000000"/>
          <w:sz w:val="20"/>
          <w:lang w:val="en-US" w:eastAsia="en-US" w:bidi="ar-SA"/>
        </w:rPr>
        <w:t>B.S.A. Investors Ltd. v. DSB</w:t>
      </w:r>
      <w:r>
        <w:rPr>
          <w:rFonts w:ascii="arial" w:eastAsia="arial" w:hAnsi="arial" w:cs="arial"/>
          <w:color w:val="000000"/>
          <w:sz w:val="20"/>
          <w:lang w:val="en-US" w:eastAsia="en-US" w:bidi="ar-SA"/>
        </w:rPr>
        <w:t xml:space="preserve">, </w:t>
      </w:r>
      <w:hyperlink r:id="rId668" w:history="1">
        <w:r>
          <w:rPr>
            <w:rFonts w:ascii="arial" w:eastAsia="arial" w:hAnsi="arial" w:cs="arial"/>
            <w:i/>
            <w:color w:val="0077CC"/>
            <w:sz w:val="20"/>
            <w:u w:val="single"/>
            <w:shd w:val="clear" w:color="auto" w:fill="FFFFFF"/>
            <w:lang w:val="en-US" w:eastAsia="en-US" w:bidi="ar-SA"/>
          </w:rPr>
          <w:t>2007 BCCA 94</w:t>
        </w:r>
      </w:hyperlink>
      <w:r>
        <w:rPr>
          <w:rFonts w:ascii="arial" w:eastAsia="arial" w:hAnsi="arial" w:cs="arial"/>
          <w:color w:val="000000"/>
          <w:sz w:val="20"/>
          <w:lang w:val="en-US" w:eastAsia="en-US" w:bidi="ar-SA"/>
        </w:rPr>
        <w:t xml:space="preserve">, </w:t>
      </w:r>
      <w:hyperlink r:id="rId668" w:history="1">
        <w:r>
          <w:rPr>
            <w:rFonts w:ascii="arial" w:eastAsia="arial" w:hAnsi="arial" w:cs="arial"/>
            <w:i/>
            <w:color w:val="0077CC"/>
            <w:sz w:val="20"/>
            <w:u w:val="single"/>
            <w:shd w:val="clear" w:color="auto" w:fill="FFFFFF"/>
            <w:lang w:val="en-US" w:eastAsia="en-US" w:bidi="ar-SA"/>
          </w:rPr>
          <w:t>69 B.C.L.R. (4th) 242</w:t>
        </w:r>
      </w:hyperlink>
      <w:r>
        <w:rPr>
          <w:rFonts w:ascii="arial" w:eastAsia="arial" w:hAnsi="arial" w:cs="arial"/>
          <w:color w:val="000000"/>
          <w:sz w:val="20"/>
          <w:lang w:val="en-US" w:eastAsia="en-US" w:bidi="ar-SA"/>
        </w:rPr>
        <w:t>, leave to appeal to S.C.C. requested, where the reasons of the trial judge indicate that the plaintiff could not meet the burden of proving causation, then the plaintiff's action should be dismissed (at para.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858"/>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(b)</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u w:val="single"/>
                <w:lang w:val="en-US" w:eastAsia="en-US" w:bidi="ar-SA"/>
              </w:rPr>
              <w:t>Reasonable Person in Mr. Carlson's Position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 am satisfied that a reasonable person in Mr. Carlson's position would have taken the test and followed the prescribed treatment. That reasonable person was repeatedly warned to make lifestyle modifications because of a significant risk for cardiac disease and did not do so. At the same time, the reasonable person complied with several medical directions in the past and was reassured less than three years earlier that he did not have heart problems. Such a reasonable person would get the re-test and follow the prescribed treatment if the person knew that there was an imminent risk, even though a low risk, of a life-threatening illness.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(c)</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u w:val="single"/>
                <w:lang w:val="en-US" w:eastAsia="en-US" w:bidi="ar-SA"/>
              </w:rPr>
              <w:t>The "But For" Test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Mr. Carlson bears the burden of showing that "but for" Dr. Steeves' failure to disclose, the pancreatitis would not have occurred.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i. The Consequences of Taking the Re-test and Following Treatment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All of the doctors say that if Mr. Carlson had modified his lifestyle, lost weight and abstained from alcohol, this would have had a significant beneficial effect on his overall health, decreasing his cardiovascular risk and decreasing his triglyceride levels. The doctors who testified on behalf of Dr. Steeves expressed this view in the context of opining that it was appropriate for Dr. Steeves to focus on the cardiovascular risks, not the elevated triglyceride levels. There was a difference of opinion among the experts as to whether it would have been appropriate to also use a drug such as Gemfibrosil. I am unable to resolve that conflict. Even if such a drug is used, it must be used together with lifestyle modifications.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ii. Specific Evidence Relating to the Cause of Mr. Carlson's Pancreatitis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 pancreas is an organ that sits behind the stomach. Its two main functions are to produce very powerful digestive enzymes that are released into the small intestine to help digest food and to produce insulin, a hormone necessary for control of blood sugar. The presence of food in the stomach signals the pancreas to release the digestive enzymes into the intestine. In pancreatitis, the enzymes that the pancreas produces, rather than being released into the small intestine, are released into the pancreatic tissue, resulting in the pancreas digesting itself. This causes inflammation and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There is very little evidence as to what actually caused Mr. Carlson's pancreatitis in 2001. Dr. Chan-Yan is the only expert who offered an opinion on this question. He said it was alcohol and not the high triglcyeride levels that caused the pancreatitis. The fact that the pancreatitis did not develop until August 2001 is significant in this respect. He testified that Mr. Carlson had developed an inert relationship with his elevated triglyceride levels and had high levels for several years without developing pancreatitis. Drs. Mackie, Feinstadt, Donaldson and Fritz, were not asked to. and did not, express an opinion in this respect. As noted in the agreed facts, both Dr. Frew and Dr. Silva, who treated Mr. Carlson at NRGH, were not able to come to a conclusion with respect to the cause of the pancreatitis.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iii. Risk Factors for Pancreatitis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All of the other evidence relates more generally to risk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That evidence shows that there is a clear link between high triglyceride levels and pancreatitis. There was some difference of opinion as to the level at which the risk begins and a physician should be concerned. Dr. Mackie said it is 8 mmol/L. Drs. Steeves, Chan-Yan and Fritz said it is 10 or 11. Mr. Carlson's test results were 48.36 in August 1998. His other tests results were 8.56 in February 1996, 9.79 on July 23, 2001 and 11.62 on August 19,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Dr. Feinstadt said that the August 1998 test levels were in the median range for development of pancreatitis, meaning that one half of those developing pancreatitis will have levels higher than this and one half will have levels lower than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Pancreatitis is rare in the general population with an incidence of 0.5% in North America. According to Dr. Chan-Yan, the majority of family doctors will never be associated with it in their entire careers.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Acute pancreatitis is often mild and self-limiting, but can be severe in less than 20% of cases. Elevated triglyceride levels, based on global statistics, are a very rare cause of acute pancreatitis. At the same time, one of the obligations of a physician providing care to a patient is to assess the patient with a view to analyzing that individual patient's risk for developing any condition, including pancreatitis, in order to determine if the patient is at increased risk for the disease. This approach is confirmed in an authoritative study mentioned earlier, the Framingham Study. By using this approach, the risk to Mr. Carlson was higher than in the normal population.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Obesity is the most common metabolic stress that causes elevated triglyceride levels, which in turn may lead to pancreatitis. The precise cause of pancreatitis is complicated by the effect of alcohol in causing severe elevated levels. Alcohol itself can directly cause pancreatitis, known as primary alcoholic pancreatitis. It can also elevate triglyceride levels, which can, in turn, cause pancreatitis, known as secondary alcoholic pancreatitis. Alcohol can cause both in the same individual.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Dr. Chan-Yan's uncontradicted evidence is that the relationship between pancreatitis and elevated triglyceride levels is incompletely understood. I accept that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 most common cause of pancreatitis, found in 80% of the cases, is either alcohol use or gallstones. 5% are caused by a myriad of other problems and in 15% of the cases, no cause is found. There is no evidence that Mr. Carlson had gallstone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858"/>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iv.</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18"/>
                <w:lang w:val="en-US" w:eastAsia="en-US" w:bidi="ar-SA"/>
              </w:rPr>
              <w:t>Evidence of Alcohol Consumption by Mr. Carlson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 only direct evidence relating to alcohol consumption comes from Mr. Carlson, himself. He was cross-examined with respect to some entries in the clinical records relating to what he told doctors about his alcohol consumption and with respect to what he said in his Great-West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Mr. Carlson's evidence was, in essence, that he never had a problem with alcohol, though he drank alcohol over the years and drank more during some time periods than during others. For example, he had a long term relationship and while he was together with that woman he did not drink much, as she discouraged it. He said his drinking never interfered with his employment and he never missed work. He played sports. He had stamina and did things with vigour. He was a strong man. No one ever suggested to him that he was drinking too much.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When Mr. Carlson saw Dr. Steeves on December 14, 1994 he advised that he had just broken up with the woman with whom he had a long term relationship. He told Dr. Steeves that he was overdrinking. Mr. Carlson testified that this was an intense emotional period for him and he drank more than he had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In his application for disability insurance with Great-West Life on January 12, 1996, Mr. Carlson said he had three drinks of liquor weekly. He testified that this was not untrue at that time. He was back together with his former partner, who still discouraged his use of alcohol. In cross-examination he agreed that on the application he incorrectly stated both his hours of work and his income. With respect to his smoking habits, he put one and a half under daily use. He testified that he thought that meant the number of packs of cigarettes rather than the number of cigarettes.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On January 16, 1996, Dr. Horner reported that Mr. Carlson continues to have one or two drinks a day. Mr. Carlson did not agree with that statement because he felt the amount was high, given the fact that he was with that partner.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Dr. Steeves completed an "Attending Physician's Statement" dated January 23, 1996 for the purposes of the Great West application. In that statement, Dr. Steeves advised that Mr. Carlson did not have any significant problems with drug or alcohol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On February 6, 1996, Mr. Carlson was interviewed about the application for disability insurance. At this time he advised that his alcohol consumption was one wine, two beer, one liquor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evidence with respect to Mr. Carlson's alcohol consumption in the two or three years leading up to the pancreatitis attack is that of Mr. Carlson, and of statements he made to Dr. Carr, Dr. Ripley and Dr. Barale. He agrees that he was told by Dr. Carr not to consume alcohol and is adamant that he did not do so between his hospitalizations.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Mr. Carlson saw Dr. Ripley at the Victoria General Hospital on December 28, 2001. Dr. Ripley's clinical note says that Mr. Carlson "regrets his alcohol abuse and feels guilty he brought on his own health problems." Mr. Carlson, in his testimony, agreed that he said that in some form or other, though it is not an exact quote. He said he was wracked with guilt and felt as bad as he had ever felt in his life, physically, emotionally and mentally. He did not know what the cause was, and his situation was making life extremely difficult for his wife and children. He had to look at himself before he looked elsewhere.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Mr. Carlson saw Dr. Barale, a psychiatrist, on January 2, 2002 and told him he had a substance dependence on alcohol. Dr. Barale's clinical notes say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Carlson fully acknowledges that he has had a substance dependence on alcohol, which dates back many years, but which has accelerated over the past 2-3 years ... . He drinks almost entirely on his own or with his wife in the evenings. He does not go to bars or drink with colleagues. He alternates one night of not drinking with nights of drinking at least 13 ounces of vodka or rye and/or 1-2 bottles of wine. He says this has become a response to his stress over the years. He has been aware of his excessive drinking, but has not contemplated doing anything about it in the past. He denies ever having consumed alcohol and driving a vehicle. He had no indication that the drinking was having an effect on his health and his sudden health collapse was a shock to him. His wife has not really ever seriously confronted him with his drinking habits and he attributes this to her having grown up in a home of heavy drinkers. No one else has commented on his drinking or advised him to cut back. He denies blackouts. He has never been to any rehabilitation or withdrawal program. There has been at least one period of markedly accelerated drinking with the collapse of his previous fifteen year relationship.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does not feel it had anything to do with his drinking and in fact he was not drinking heavily at that time. This woman would not allow alcohol in the house. [in regards to breakdown of his previous 15 year relationship]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fully acknowledges his alcoholism.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Diagnosis: Axis 1: Major Depression. Substance dependence - alcohol - in remission.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Mr. Carlson, in his testimony, agreed that he told Dr. Barale that he used alcohol at various times and in various amounts. While the amounts got "lost a little bit in the translation", he agreed that he drank a lot every second or third night. He said there was a period in 2001 when his consumption increased but he does not agree that it did so for two to three years. He agreed that his wife asked him to see a physician. He explained that he felt isolated, alone and unneeded. He again said he felt guilty about the situation in which his wife and children were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Mr. Carlson admitted to drinking two cocktails before one of the days of his examination for discovery. He submitted a bill for $35.16 as part of his claim for conduct money. He said that he bought a third drink for someone he met who was a good friend of a friend of his. He agreed that he could not claim as an expense a drink he bought for a friend.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v.</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Conclusion - "But for"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It is more likely than not that Mr. Carlson's acute pancreatitis was caused by alcohol consumption. The statements Mr. Carlson made to Dr. Ripley and Dr. Barale are admissions. He admitted that he has a "substance dependence on alcohol", which dates back many years. He said he abused alcohol. He admitted that he was drinking excessively in the months leading up to his attack. He admitted that he was drinking to such a degree that his wife asked him to see a doctor more than once, and he did not do so. As Dr. Barale put it in his clinical note, Mr. Carlson "fully acknowledged his alcoholism."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 have considered Mr. Carlson's explanation for why he said what he did to Dr. Ripley and Dr. Barale. He undoubtedly found himself in a very difficult and stressful situation. In my opinion, he was expressing genuine remorse that his alcohol abuse likely put him in that situation and he was taking responsibility for his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Alcohol use is one of the most common causes of pancreatitis. Elevated triglyceride levels are a much more rare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 conclude that Mr. Carlson likely had three cocktails on the eve of one of the days of his examination for discovery. Otherwise he would not have claimed for all three. Doing so is an indication of the difficulty he still has, after all that has happened to him relating to his health, in keeping his alcohol consumption under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Dr. Chan-Yan, a very well qualified specialist in internal medicine, is of the view that alcohol caused the pancreatitis. That view is uncontradicted and is entitled to significant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 find that Mr. Carlson has failed to prove on a balance of probabilities that but for Dr. Steeves' failure to disclose the August 1998 triglyceride results, he would not have gone on to develop pancreatitis. I accept that had those results been disclosed, a reasonable person in his position would likely have proceeded to follow Dr. Steeves' directions by taking the required tests and following the prescribed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 have found that the test results were valid on their face, Dr. Steeves treated them as valid and he was required to disclose the results and their implications. However, I am satisfied that on a re-testing, the triglyceride results would likely have been significantly different from and much lower than initially reported in August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 accept the evidence of Dr. Chan-Yan that by December 8, 1998, over four months after the August 1998 test, the triglyceride levels might have been substantially lowered since triglyceride levels in a given patient may fluctuate widely from time to time. In addition, the triglyceride level, at 48.36, was grossly elevated and completely out of line with the 8.56 level in February 1996, the 9.79 level on July 23, 2001, at the time of the onset of the pancreatitis, and the 11.62 level on August 19,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In such a case, when the risk was not nearly so serious or imminent, I seriously doubt that Mr. Carlson would have heeded Dr. Steeves' warnings and modified his lifestyle. He historically repeatedly ignored warnings about the implications of his numerous risk factors. He knew he was at risk of a cardiovascular event, including death and yet he admittedly ignored Dr. Steeves' advice to modify his lifestyle, his requests for blood tests and his requests for follow up. Instead, he continued his dangerous lifestyle.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 am satisfied, for the reasons stated above, that this lifestyle included abusing alcohol. The evidence shows that he tended to minimize his alcohol use and had little insight into his alcohol abuse.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Even if the re-testing showed significantly elevated triglyceride levels and he did initially follow Dr. Steeves' advice to modify his lifestyle, doing so would likely have reduced the levels significantly within several months. The onset of the pancreatitis did not happen for two years and eight months. Mr. Carlson has not, in my view, proven on a balance of probabilities that such lifestyle change would have been permanent or long-lasting, particularly once the levels were reduced.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It is noteworthy in this respect that he abused alcohol in the months leading up to the onset of the pancreatitis in circumstances in which he knew about his significant cardiovascular risks and says he wanted his children to have a father. He did so in spite of his wife's advice to see a doctor about his alcohol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The "but for" has not been met. The special circumstances in which the material contribution test applies do not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Dr. Steeves had a duty to disclose the triclyeride test results and their implications to Mr. Carlson and he breached that duty by not doing so. However, Mr. Carlson has failed to prove on a balance of probabilities that but for Dr. Steeves' failure to disclose the results, he would not have gone on to develop pancreatitis.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claim is therefore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Dr. Steeves is entitled to costs unless either counsel applies for a different result within 30 days of the date of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D.J. MARTINSON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7" style="position:absolute;z-index:2518425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69"/>
          <w:headerReference w:type="default" r:id="rId670"/>
          <w:footerReference w:type="even" r:id="rId671"/>
          <w:footerReference w:type="default" r:id="rId672"/>
          <w:headerReference w:type="first" r:id="rId673"/>
          <w:footerReference w:type="first" r:id="rId67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75" w:history="1">
        <w:r>
          <w:rPr>
            <w:rFonts w:ascii="arial" w:eastAsia="arial" w:hAnsi="arial" w:cs="arial"/>
            <w:b/>
            <w:bCs/>
            <w:i/>
            <w:color w:val="0077CC"/>
            <w:kern w:val="32"/>
            <w:sz w:val="28"/>
            <w:szCs w:val="32"/>
            <w:u w:val="single"/>
            <w:shd w:val="clear" w:color="auto" w:fill="FFFFFF"/>
            <w:lang w:val="en-US" w:eastAsia="en-US" w:bidi="ar-SA"/>
          </w:rPr>
          <w:t>Chapman v. Stacey, 2016 BREG para. 50,842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Real Estate Law Guide</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Supreme Court of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Rogers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January 27,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51001</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British Columbia Real Estate Law Guide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2016</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2016 BREG para. 50,842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76" w:history="1">
        <w:r>
          <w:rPr>
            <w:rFonts w:ascii="arial" w:eastAsia="arial" w:hAnsi="arial" w:cs="arial"/>
            <w:i/>
            <w:color w:val="0077CC"/>
            <w:sz w:val="20"/>
            <w:u w:val="single"/>
            <w:shd w:val="clear" w:color="auto" w:fill="FFFFFF"/>
            <w:lang w:val="en-US" w:eastAsia="en-US" w:bidi="ar-SA"/>
          </w:rPr>
          <w:t>[2016] B.C.J. No. 136</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76" w:history="1">
        <w:r>
          <w:rPr>
            <w:rFonts w:ascii="arial" w:eastAsia="arial" w:hAnsi="arial" w:cs="arial"/>
            <w:i/>
            <w:color w:val="0077CC"/>
            <w:sz w:val="20"/>
            <w:u w:val="single"/>
            <w:shd w:val="clear" w:color="auto" w:fill="FFFFFF"/>
            <w:lang w:val="en-US" w:eastAsia="en-US" w:bidi="ar-SA"/>
          </w:rPr>
          <w:t>2016 BCSC 118</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James Chapman and Heather Chapman v. Gerald Stacey, Kris Stacey, Michael Guthrie, Kathy Ann Guthrie doing business as Vernon Stone Products, and Lamont William Martel; Gerald Stacey, Kris Stacey, Michael Guthrie, Kathy Ann Guthrie dba Vernon Stone Products, Lamont William Martel (Third Parties)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8" style="position:absolute;z-index:2516910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7" w:name="Keywords_30"/>
      <w:bookmarkEnd w:id="207"/>
      <w:r>
        <w:rPr>
          <w:rFonts w:ascii="arial" w:eastAsia="arial" w:hAnsi="arial" w:cs="arial"/>
          <w:b/>
          <w:color w:val="000000"/>
          <w:sz w:val="20"/>
          <w:lang w:val="en-US" w:eastAsia="en-US" w:bidi="ar-SA"/>
        </w:rPr>
        <w:t xml:space="preserve">Purchase/sale agreements — Breach of warranty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 Deck construction — Defendant vendors were general contractors/owner-builders of single family residence — Slope of deck constructed by vendors deviated from architect's instructions — Vendors lived in home from 2003 to 2006 — Plaintiff purchasers bought home in 2006 and noticed water pooling on deck — Vendors effected certain repairs and partially covered costs of replacing tiles — Water pooling, flooding, and rotting of deck railing continued — In May 2013, purchasers commenced action claiming vendors were liable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or for breach of statutory warranty — Action was allowed — Vendors did not construct deck with adequate sloping, which caused pooling of water — Leaks also resulted because undersides of door openings were not watertight — Lack of drainage led to rotting of railing posts, posing potential danger to persons using deck — Vendors were found liable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and in contract for breach of statutory warranty under Homeowner's Protection Act — Purchasers were entitled to claimed costs of replacing deck — Homeowner's Protection Act, </w:t>
      </w:r>
      <w:hyperlink r:id="rId677" w:history="1">
        <w:r>
          <w:rPr>
            <w:rFonts w:ascii="arial" w:eastAsia="arial" w:hAnsi="arial" w:cs="arial"/>
            <w:b/>
            <w:i/>
            <w:color w:val="0077CC"/>
            <w:sz w:val="20"/>
            <w:u w:val="single"/>
            <w:shd w:val="clear" w:color="auto" w:fill="FFFFFF"/>
            <w:lang w:val="en-US" w:eastAsia="en-US" w:bidi="ar-SA"/>
          </w:rPr>
          <w:t>SBC 1998, c. 31, s. 23</w:t>
        </w:r>
      </w:hyperlink>
      <w:r>
        <w:rPr>
          <w:rFonts w:ascii="arial" w:eastAsia="arial" w:hAnsi="arial" w:cs="arial"/>
          <w:b/>
          <w:color w:val="000000"/>
          <w:sz w:val="20"/>
          <w:lang w:val="en-US" w:eastAsia="en-US" w:bidi="ar-SA"/>
        </w:rPr>
        <w: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8" w:name="Case Summary_29"/>
            <w:bookmarkEnd w:id="208"/>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defendants, Gerald Stacey and Kris Stacey (the "vendors"), were general contractors and owner-builders of a single-family residence. They retained an architect who stipulated the dimensions and slope requirements for the deck attached to the rear of the house. One of the vendors, who was a carpenter, built the deck but deviated from the architect's plan in one area: instead of building the deck joists, plywood sheathing, and waterproof membrane with a slope, he built them level and claimed he achieved the needed slope by applying a wedge shaped concrete pad on top of the underlying level waterproof membrane.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house passed inspections in 2003. In 2006, the vendors sold the house to the plaintiff couple (the "purchasers"). The purchasers noticed that water pooled near the edge of the deck and that some of the tiles were cracked. The vendors effected certain repairs to the deck and the parties agreed to split the cost of putting sierra stone on the deck. Water continued to pool on the deck which caused the deck to rot, and also caused leaks around the doors. In May 2013, the purchasers commenced an action claiming the vendors were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alternatively, for breach of statutory warranty. The purchasers sought $96,900, which was the cost of replacing the deck with one with an adequate slope.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09" w:name="Holdings of Court_23"/>
            <w:bookmarkEnd w:id="209"/>
            <w:r>
              <w:rPr>
                <w:rFonts w:ascii="arial" w:eastAsia="arial" w:hAnsi="arial" w:cs="arial"/>
                <w:color w:val="000000"/>
                <w:sz w:val="20"/>
                <w:lang w:val="en-US" w:eastAsia="en-US" w:bidi="ar-SA"/>
              </w:rPr>
              <w:t>HELD: The action was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accepted the findings of experts that the surface of the sierra stone was level. Consequently, the substance on which it lay was level as well. The Court concluded that the vendors had erred when pouring the concrete pad to create a wedge shape, making the deck level instead of sloped as mandated by code. It was necessary for the deck to be sloped so as to not have water pooling. Replacing the tiles with sierra stone did not address the cause of the damage, which was the lack of slope. Another cause of the leaks was that the undersides of door openings were not watertight. This was attributable to the deck being built without an adequate drop from the door to deck surface as well as the vendors' refusal to comply with a request to remove the door while other work was being done around it. The lack of drainage on the deck also led to rotting of the railing posts, which was a safety feature that posed a potential danger to persons using the deck. Accordingly, the vendors were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23(1)(</w:t>
            </w:r>
            <w:r>
              <w:rPr>
                <w:rFonts w:ascii="arial" w:eastAsia="arial" w:hAnsi="arial" w:cs="arial"/>
                <w:i/>
                <w:color w:val="000000"/>
                <w:sz w:val="20"/>
                <w:lang w:val="en-US" w:eastAsia="en-US" w:bidi="ar-SA"/>
              </w:rPr>
              <w:t>c</w:t>
            </w:r>
            <w:r>
              <w:rPr>
                <w:rFonts w:ascii="arial" w:eastAsia="arial" w:hAnsi="arial" w:cs="arial"/>
                <w:color w:val="000000"/>
                <w:sz w:val="20"/>
                <w:lang w:val="en-US" w:eastAsia="en-US" w:bidi="ar-SA"/>
              </w:rPr>
              <w:t xml:space="preserve">) of the </w:t>
            </w:r>
            <w:r>
              <w:rPr>
                <w:rFonts w:ascii="arial" w:eastAsia="arial" w:hAnsi="arial" w:cs="arial"/>
                <w:i/>
                <w:color w:val="000000"/>
                <w:sz w:val="20"/>
                <w:lang w:val="en-US" w:eastAsia="en-US" w:bidi="ar-SA"/>
              </w:rPr>
              <w:t>Homeowner's Protection Act</w:t>
            </w:r>
            <w:r>
              <w:rPr>
                <w:rFonts w:ascii="arial" w:eastAsia="arial" w:hAnsi="arial" w:cs="arial"/>
                <w:color w:val="000000"/>
                <w:sz w:val="20"/>
                <w:lang w:val="en-US" w:eastAsia="en-US" w:bidi="ar-SA"/>
              </w:rPr>
              <w:t xml:space="preserve"> obliged the vendors to provide the purchasers with a warranty against failure to construct the house with "ordinary competence, skill and care". The 10-year warranty ran from when the house was first occupied, which was in November 2003. Accordingly, the purchasers had commenced the proceeding within the warranty period. The vendors were liable to the purchasers in contract for breach of the statutory warranty. The purchasers were entitled to their claimed damages. The purchasers' claims against the third parties who installed the sierra stone and waterproofing were dismissed.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0" w:name="Counsel_31"/>
      <w:bookmarkEnd w:id="21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9" style="position:absolute;z-index:2517422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D.J.M. Griffin for the plaintiffs; the defendants on their own behalf</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1" w:name="Judgment_31"/>
      <w:bookmarkEnd w:id="211"/>
      <w:r>
        <w:pict>
          <v:line id="_x0000_s1180" style="position:absolute;z-index:25179340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7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2" w:name="P. ROGERS J."/>
            <w:bookmarkEnd w:id="212"/>
            <w:r>
              <w:rPr>
                <w:rFonts w:ascii="arial" w:eastAsia="arial" w:hAnsi="arial" w:cs="arial"/>
                <w:b/>
                <w:color w:val="000000"/>
                <w:sz w:val="30"/>
                <w:lang w:val="en-US" w:eastAsia="en-US" w:bidi="ar-SA"/>
              </w:rPr>
              <w:t>P. ROGERS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 dispute over the construction and remediation of a residential deck. The plaintiffs complain that the deck is level rather than sloped. They say the lack of slope causes water to pool on the deck surface and, when water accumulates there, it causes deterioration of the deck structure and it leaks down the exterior walls of their house. The plaintiffs maintain that the defendants, the Staceys, who built the house and who sold it to them, are liable to them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for breach of statutory warranty. The plaintiffs seek the cost of replacing the deck with one built with an adequate slope.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maintain that they built the deck with an adequate slope and that any problems that the plaintiffs have with the deck are caused by a combination of the plaintiffs' failure to properly maintain the deck and the topping that the plaintiffs applied to the deck after they bought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also say that Mr. Martel, the contractor who applied waterproofing to the deck surface, failed to do his job in a workman-like manner and is therefore liable for leaks. They say, as well, that the Guthries, who assigned Mr. Martel to the job, are liable for failing to supervise and inspect his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and Mrs. Stacey acted as general contractors for the construction of a single-family residence at 606 Mt. Thor Drive in Vernon, B.C. They were owner-builders. They built the house in 2003. The Staceys retained an architect to draw up the plans for the house. Among other things, the architect stipulated that the deck attached to the rear of the house be constructed with a 1/8": 1' slope running away from the house exterior. That slope complied with the relevant building code at the time. The architect noted that the deck was to be surfaced with a concrete pad 1.5" thick. The architect's plan said nothing about the amount of drop between the sills of the three doors leading onto the deck and the deck surface. The building code did not, at that time, mandate any particular amount of drop at those locations.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Stacey is a certified carpenter. He has built a number of houses. The Staceys' plan for this particular house was to live in it for a while and then sell it for a profit and move onto another project. Mr. Stacey and his sons did the majority of the work constructing the house. In particular, Mr. Stacey built the deck.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Stacey testified that in building the deck he scrupulously followed the architect's plan. Mr. Stacey admitted, however, that in one area he deviated from the plan. Instead of building the deck joists, plywood sheathing and waterproof membrane with a 1/8": 1' slope, he built those elements essentially level. Mr. Stacey testified that he achieved the needed slope by applying a wedge shaped concrete pad on top of the underlying level waterproof membrane.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Stacey's evidence of how he went about pouring the concrete in a wedge shape was variable and confusing. He testified that he used a laser level to find a mark on the exterior wall a certain distance up from the plywood sheathing, subtracted 1/8" from that level for every foot of the deck's depth, and nailed 2x4 lumber along the deck's outside edge in such a way as to leave the top edge of the lumber jutting the proper distance above the deck. Mr. Stacey testified that by this method he created a sort of wedge shaped form into which he poured the concrete.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Stacey could not say with any exactitude how high up the exterior wall his laser line was, nor could he say by how much the 2x4 lumber jutted above the edge of the deck. Mr. Stacey could not say how thick the resulting concrete pad was. In short, Mr. Stacey was firm that he had done his arithmetic correctly, but he could not say exactly how he put that arithmetic into effect when he built the frame for the deck's concrete pad.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Stacey firmly asserted that the viscosity of the concrete he poured was such that the concrete held its wedge shape as it cured. He testified that he then applied approximately 1/2" of quickset mortar to the concrete and set 1/4" thick ceramic tiles on the quickset. He finished the edges of the tile with grout.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Stacey built a railing around the edge of the deck. The railing's vertical posts are attached by fittings that penetrated through the tile, quickset mortar, concrete, membrane, and plywood sheathing.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house passed inspections by the Regional District of North Okanagan building inspectors. There was no evidence led at trial that the inspectors actually measured the slope of the deck. The Staceys received an occupancy permit on November 27,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and Mrs. Stacey lived in the house from late 2003 to 2006. Mr. Stacey testified that he never had any problems with the deck while he and his wife lived there. He admitted that from time to time rain or melt water would pool in some areas of the tile near the deck's edge. He said that this was never a problem because he conscientiously pushed the water off the deck's surface. He did not let water or snow lie on the deck for any length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the spring of 2006, the Staceys sold the house to Mr. and Mrs. Chapman. The Staceys acknowledge that as owner-builders they were required to deliver to the Chapmans a house that complied with all relevant building code and regulatory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2007, the Chapmans noticed that water pooled near the edge of the deck and that some tiles in that area were cracked. They saw, too, that grout between the tiles was cracked and missing. They called Mr. Stacey to complain about the cracked tiles. Mr. Stacey responded to this complaint by hiring a tile setter and instructing the setter to go to the house and replace the crack tiles. The Chapmans were content with Mr. Stacey's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2008, the Chapmans were still experiencing water pooling near the edge of the deck. They also learned that the fascia boards and several railing posts attached to the deck were rotting or rotted. They asked Mr. Stacey to fix the rotten wood. This time Mr. Stacey went to the house himself. He replaced several rotten railing posts and replaced several ceramic tiles. He removed the fascia boards.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the spring of 2009, the Chapmans were still not happy with the deck. The fascia boards had not been put back on to their satisfaction and water was still pooling on the deck. They called Mr. Stacey to complain. Mr. Stacey went to the house again. This time he and Mr. Chapman discussed replacing the ceramic tiles with some other topping. Mr. Stacey suggested to Mr. Chapman that he might consider a topping material called sierra stone. Mr. Stacey did not know anything about sierra stone other than that his acquaintance Mr. Guthrie, who with his wife Mrs. Guthrie owned and operated the Vernon Stone business, was a dealer and installer of sierra stone and that sierra stone was, in Mr. Stacey's' words, "a nice looking product". Mr. Chapman did not know anything at all about sierra stone. Mr. Stacey expected that the sierra stone would cost more than new ceramic tiles. He and Mr. Chapman agreed that if sierra stone turned out to be suitable for the deck then the two of them would split the cost of its installation equally between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Stacey approached Mr. Guthrie. Mr. Guthrie and Mr. Stacey went to the house and looked at the deck. Mr. Guthrie decided that he could put sierra stone on the deck but that first the existing tile and mortar had to be removed. Mr. Stacey agreed to do that work. The price of the stone itself was never put into evidence at trial, but whatever it was, Mr. Chapman and Mr. Stacey agreed to each pay 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Sometime in April 2009, Mr. Stacey went to the house again and removed the ceramic tiles, grout, and mortar. He also replaced several more rotted railing posts.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Guthrie is an experienced applicator of sierra stone. He knew that before the stone could be laid down the concrete had to be waterproofed. Mr. Guthrie does not do waterproofing. Other than knowing that waterproofing is necessary, Mr. Guthrie does not hold himself out to know how waterproofing should be done. The same is true of Mr. Stacey.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Guthrie hired Mr. Martel to apply waterproofing to the concrete on the deck. Mr. Martel is an experienced roofer and sheet metal worker. He knows how to apply waterproofing to a deck. In April 2009, Mr. Martel went to the house and there he applied a material called torch-on onto the deck's surface. Torch-on is comprised of a tarry material with a cardboard-like middle layer. It comes in a roll. Torch-on is heated with, well, as one might expect, a torch and then it is unrolled onto the deck. The hot tarry stuff sticks to the deck surface and creates a watertight seal. Torch-On goes onto the deck in an evenly thick layer.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Martel asked Mr. Stacey to remove three siding boards above the abutment of the deck and exterior wall. Mr. Stacey complied. The three boards had to be removed so that the torch-on could be lapped 8" up the exterior wall. Mr. Martel pointed out to Mr. Stacey that the deck surface was very close to the thresholds of the three doors leading onto the deck. Mr. Martel voiced his concern that there was not much of a drop between the bottoms of the doors and the top of the deck. The lack of drop meant that there was not much vertical wall to which torch-on could be applied. Mr. Martel said words to the effect that in order to be sure that a watertight seal was made at the doors, the doors and their thresholds and sills should be removed so that torch-on could be run under the rough door openings. Mr. Stacey denies that Mr. Martel said any of this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Martel testified that Mr. Stacey refused to remove the doors, thresholds, and sills. Mr. Martel was instructed to proceed with the job with the doors in situ. He applied the torch-on. He finished the job on a Sunday. Mr. Martel was the only person on the job site that day. When he was finished he did not run water from a hose over the torch-on so as to test for a watertight seal. Mr. Martel thought that it would have been a good idea to do that test, but he was not going to do it without Mr. Guthrie and Mr. Stacey being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Guthrie went to the house the following day or the day after that. He did not do a water test himself. He assumed that Mr. Martel had done a proper job. Mr. Guthrie mixed up a batch of sierra stone and epoxy and troweled a relatively even layer of material over the torch-on. The stone layer was between 3/8" and 1/2" thick. Mr. Guthrie finished the outside edges of the deck with an L-shaped railing called a Schluter bar. Mr. Guthrie nailed the L edge to the deck and waterproofed the nail heads with tar. The L edge has gaps where its 8' lengths abut. The "L" part of the edging sticks 1/2" up from the torch-on. Mr. Guthrie troweled the sierra stone level with the top of the L 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its applied form, sierra stone is comprised of small roughly spherical or oblong pebbles fixed by epoxy in a relatively open matrix. Water runs through sierra stone -- it does not retain or absorb water at all. It does, however, slow the flow of water somewhat. Put another way, a litre of water will flow over a tilted sheet of glass more quickly than it will flow through a similarly tilted matrix of sierra stone. That litre will, however, in time pass completely through the stone.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 Schluter bar will likewise slow the flow of water off a sloped deck, but water will eventually escape through the gaps between the lengths of bar and through the narrow gap between the bar and the torch-on membrane.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sierra stone itself has performed well. It is somewhat discoloured, but it has not chipped, cracked, or delaminated.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Chapmans' troubles with the deck have nevertheless continued. Water still pools at various locations on the deck's surface. The railing posts continue to rot and several now need to be replaced. Water is getting into the plywood sheathing and joists. Those under-elements of the deck are stained and decaying in several locations. The presence of water on the sheathing shows that the membrane that Mr. Stacey applied over the plywood decking has failed.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Further, there are now leaks under door openings onto the deck. The Chapmans first noticed these leaks in July 2009. The leaks allow wind driven rain water to flow down between the joining of the deck to the exterior walls at the door locations. The water flows down the exterior walls and can be seen from below the deck. The flows have stained the exterior siding. There is some indication that the water is also getting inside the building envelope below the deck.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2012, the Chapmans called Mr. Guthrie back to the house. He was there to do normal maintenance on the sierra stone. That maintenance involved applying a coat of epoxy over the stone topping. Mr. Chapman mentioned seeing water running down the exterior wall under the deck. Mr. Guthrie used a hose to put water on the deck near the wall. Within a few minutes of putting the water on the deck, Mr. Guthrie saw water coming down the wall below the deck door openings. Mr. Guthrie felt that there was not a watertight seal below the doors. Not having applied the torch-on himself, he was not willing to undertake any repairs to it. Mr. Guthrie advised Mr. Chapman and Mr. Stacey that if the sierra stone by the doors was removed then he would apply silicone to the area in an effort to fix the problem. Mr. Chapman has no skill for such a job and Mr. Stacey refused to do it. In the end, nothing was done by Mr. Chapman, Mr. Guthrie, or Mr. Stacey to fix the leaks.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Chapman testified that from his point of view, the main problem he has with the deck is that several of the railing posts are rotten. He said that one of the posts is so weak that it can almost be pushed over. Mr. Chapman is less concerned about the water leaks under the doors. Those leaks occur only rarely under natural conditions - i.e. when someone is not spraying water on the deck with a hose. The natural conditions under which the leaks on the walls happen are limited to very heavy rainfalls combined with strong winds which, together, result in rain water piling up on the deck near the wall.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Stacey testified that he believed that he and Mrs. Stacey were obliged to provide the Chapmans with three levels of warranty on the house that they had built. According to Mr. Stacey, as owner-builders they were required to warranty their materials and labour for two years, the waterproofing of the building envelope for five years, and the structure of the house for ten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Two experts gave evidence at trial. They were Mr. Vadeboncoeur and Mr. Dahlen.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Vadeboncoeur is an engineer. He is an expert in designing, remediating, and maintaining building envelopes. Mr. Vadeboncoeur examined the deck. Using a hand level and an application on his mobile phone, he determined that the surface of the sierra stone is, for all intents and purposes, completely level. In fact, in some locations he noted that the deck actually slopes back toward the house. He applied water from a garden hose to the deck within one metre of the three door openings. Mr. Vadeboncoeur noted water running down the exterior walls below those doors -- indicating to him that the joint between the deck and the exterior wall in those locations is not watertight. Mr. Vadeboncoeur opined that these leaks exposed the building envelope to water damage and decay. They need to be remediated. He also saw rot on the railing posts and fascia boards at the deck's edge. Those problems need to be fixed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According to Mr. Vadeboncoeur, there are three problems with the deck. The first problem is that it is essentially level; no slope exists to encourage water to run away from the house. The second problem is that the drop from the door sills to the deck surface is nil. Those two problems can, in Mr. Vadeboncoeur's opinion, be remedied by removing the existing deck coverings so as to expose the deck joists. The rim joists on the exterior wall may be lowered so as to provide an adequate drop at the doors. The deck's support posts can then be shortened so as to introduce a proper slope away from the house. The deck surface can then be reapplied. If the deck is sloped properly, Mr. Vadeboncoeur believes that water will flow off its surface, thus solving the problem of rotting wood at the perimeter. Mr. Vadeboncoeur also recommended that the new railing posts be attached to the vertical fascia at the outer edge of the deck. This would eliminate the problem presented by attaching the railing posts to the deck surface via fastenings that pierce and penetrate through the underlying waterproofing materials.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third problem with the deck is that the waterproofing between the deck and the house at the doors does not extend under the rough door openings. That is a problem with both the original membrane that Mr. Stacey laid on top of the sheathing when he built the deck and with the torch-on that Mr. Martel installed in 2009. In neither case does the waterproofing material actually seal the deck's join with the wall at the door locations. The fix for that problem is, according to Mr. Vadeboncoeur, to remove the door trim and jambs and then run waterproof material through the rough door openings. If that is done, then water will not be able to get through the joint and will, with the assistance of a proper slope, instead run across the deck as it should and so fall over the edge to the ground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Under cross-examination by Mr. Stacey, Mr. Vadeboncoeur admitted that his mobile phone is not a very precise instrument. However, he was not shaken on his conclusion that the deck is generally level. Mr. Vadeboncoeur agreed that the sierra stone has a tendency to keep water on the surface of the deck for a longer period of time than, say, a smooth tile surface. Mr. Vadeboncoeur testified that so long as the waterproof membrane below the stone is intact and effective, the delay in draining the deck should not present a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Vadeboncoeur concluded his report with this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leaks are not remedied, it is my opinion that further water ingress would lead to deterioration of the wood framing components of the balcony and basement exterior wall. It would also lead to potential mould growth within the building exterior wall and/or balcony assembly.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plaintiffs' other expert was Mr. Dahlen. Mr. Dahlen owns and operates a successful construction business in the Okanagan Valley. He is an experienced and competent home builder. Mr. Dahlen is an expert in house construction. His expertise includes costing jobs to repair and remediation housing structures.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Dahlen visited the Chapman's house. He used levels and tape measures to assess the slope of the deck's surface. Mr. Dahlen found that the deck has no discernable slope. The elevation of the deck at its attachment to the exterior wall is such that the sierra stone is flush with the door sills. Mr. Dahlen did not disassemble the deck at the door locations. He assumed that neither Mr. Stacey's nor Mr. Martel's waterproofing extends under the rough door openings. Mr. Dahlen observed that the railing posts were damaged by water and had become so weak as to be unable to withstand even minimal force. Left in its current state, the leaks will likely cause water damage to the structure of the deck.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Under cross-examination Mr. Dahlen testified that provided the deck has an adequate slope for drainage, then sierra stone is a functional deck topping. He said that in his opinion ceramic tile and grout were poor choices for a deck surface in a temperate location like Vernon. That is because the freezing and thawing of water in the winter will wear the grout and will increase the chance of water-caused cracks in the tile. He said that even with proper maintenance, grout failure and tile cracking are significant risks in such installations.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Dahlen was not shaken in his opinion that the deck is basically level. He testified that good construction practice now and in 2003 is to ensure an approximate 4" drop from door thresholds to the finished surface of a deck.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Dahlen shared Mr. Vadeboncoeur's view that the remedy for the deck is to strip it down to the joists, lower the joists where they attach to the wall, lower the support posts so as to create a proper slope for drainage, and apply waterproofing under the door openings. Mr. Dahlen's estimate for the cost of that work and reapplying the sheathing and a fairly plain concrete topping is $96,900 plus GST. Other than making reference to a different quote -- a quote that was not put into evidence and about which the court knows nothing -- Mr. Dahlen's opinion as to the cost of remediation was not put to challenge under cross examination. Mr. Dahlen's quote does not include any expense for repair of the building's exterior envelope or repair of any water damage to the exterior walls.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As noted earlier, the Staceys first occupied the house in or about November 2003 after they received their occupancy permit. The Chapmans commenced this proceeding in May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 of the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plaintiffs say that the deck was built without an adequate slope for drainage. That failure has, they say, led to the problems they are now experiencing. The only remedy is to remediate the deck as Mr. Vadeboncoeur and Mr. Dahlen recommend and at the cost Mr. Dahlen predicts. They seek an award of damages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plaintiffs' theory of liability lies primarily in contract and breach of statutory warranty. They argue that as owner-builders, the Staceys were obliged to provide them with a house that complied with all relevant codes and regulations and was built with ordinary competence.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Staceys say that the deck has the slope mandated by the 2003 building code. They say that they are not liable to the Chapmans for any defects in the deck's construction. They say, as well, that any warranty they carry for the construction of the house is limited to five years for waterproofing and that the Chapmans' claim against them is therefore out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Staceys argue that the sierra stone was a poor choice for a topping material. That is because it has a tendency to impede the flow of water. They note that leaks under the doors did not exist when the ceramic tiles were in place. Those leaks started only after the sierra stone was installed. The Staceys say that the only inference that can be drawn from that fact is that the sierra stone keeps water close by the exterior wall long enough to give it an opportunity to leak down by the doors. They say that Mr. Guthrie should be held liable for any loss attributable to those leaks.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Staceys also say that Mr. Martel did not properly install the torch-on. They argue that Mr. Martel ought to have ensured that the torch-on extended under the doors and that had he done a water test on his work before the sierra stone was installed the problem would have been identified and fixed. They say that Mr. Martel should be held liable to the Chapmans for their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Staceys go on to allege that Mr. Guthrie was negligent in hiring Mr. Martel. They say that Mr. Guthrie ought to have known that Mr. Martel was not competent to install the torch-on and that Mr. Guthrie failed to adequately supervise Mr. Martel's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Finally, the Staceys raised the defence of mitigation. They say that the Chapmans failed to properly maintain the deck so that any water damage is attributable to their sloth rather than any failing of construction technique. They also argue that the Chapmans first noticed the leaks by the doors as early as 2009 but have taken no steps to fix the problem. The Staceys say that the longer the leaks are allowed to exist, the more damage is likely to be done to the house.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Martel and the Guthries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Although Mr. Martel and the Guthries responded to the pleadings in this matter and issued third party notices and they actually attended the trial and gave evidence, neither party stayed on to make final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Griffin, counsel for the Chapmans, advised that the Chapmans have settled with Mr. Martel on terms that foreclose them from collecting on any liability Mr. Martel may be found to have to them -- an arrangement known in litigation circles as a "B.C. Ferries settlement". The Chapmans have discontinued any claims against the Guthries.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Findings of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and Mrs. Stacey acted as general contractors for the construction of the house at 606 Mt. Thor Drive, Vernon B.C. Mr. Stacey actually built the house and its attached deck.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design for the deck required its structure to slope away from the house. The design and the relevant portion of the building code at the time required the deck to have a slope of 1/8" down for every 1' of horizontal run. The relevant building code did not stipulate a drop between the deck surface and the thresholds of the doors leading onto the deck. The design did not specify a drop 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Stacey built the structure of the deck so that it was level. He located the deck some unknown distance below the thresholds of the doors leading onto the deck. That distance did not, however, allow as much as a 4" space between the thresholds and the finished surface of the deck. As Mr. Stacey built the deck, that distance was substantially less than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Stacey covered the deck joists with plywood sheathing and a waterproof membrane. Mr. Stacey poured a concrete pad of unknown thickness over the waterproof membrane. All toppings that were subsequently applied to the concrete were laid down in layers of even thickness. That is to say: the original quickset mortar and ceramic tiles that Mr. Stacey laid down were of even thickness and the torch-on and sierra stone that were subsequently applied were likewise of even thickness throughout.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accept the measurements and findings of Mr. Vadeboncoeur and Mr. Dahlen concerning the surface of the sierra stone. That surface is essentially flat and level. There is no slope from the house to the edge of the deck. The sierra stone lies in a relatively even layer of 3/8" to 1/2". Because the sierra stone is level and it is for all intents and purposes of even thickness, the substrate on which it lies must also be level. For that reason, I find that Mr. Stacey erred when the concrete pad was poured. Unfortunately, the pad did not go on in a wedge shape. Instead it went on in an even layer. In the result, the deck was built without the necessary and code-mandated slope for drainage.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find that it is necessary for this particular deck to be sloped as the design specified. Absent that grade, water tends to pool on the deck's surface. I accept Mr. Dahlen's opinion that whether a deck is properly maintained or not, it will tend suffer damage if water is allowed to pool on it. That is what happened in the first several years of the Chapmans' ownership: the tiles where water pooled cracked and needed to be replaced. Replacing the tiles did not, however, address the cause of the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cause of the damage was and is the lack of a proper slope on the deck. For that reason, it is not particularly relevant what material tops the deck. Whether it is ceramic tile or sierra stone, in either case water will not drain off this deck properly.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 find that the water leaks around the doors started after the sierra stone was installed. There are two causes for those leaks. The first and main cause is the deck is not sloped enough to encourage surface water to flow away from the exterior wall. The second cause is that the undersides of the door openings are not watertight.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lack of slope is attributable to the way the deck was built.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fact that there is not a watertight seal under the door openings is attributable to two things. The first is that the deck was built without providing for an adequate drop from the door opening to the deck surface. Had an adequate drop of 4" been provided, there would have been a vertical wall tall enough under the door opening for Mr. Martel to have wrapped his torch-on membrane up to the door sill and thus waterproof that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second factor that contributes to the cause of the leaks under the door openings is Mr. Stacey's refusal to comply with Mr. Martel's request that Mr. Stacey disassemble the door openings so that Mr. Martel could apply his torch-on membrane underneath the rough door openings. I find that Mr. Martel made that request and that Mr. Stacey understood the request and understood why it was made and the necessity of doing that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am inclined to prefer Mr. Martel's evidence over Mr. Stacey's on the question of whether Mr. Martel asked Mr. Stacey to remove the door structures so that he could put membrane under the doors' rough openings. I have reached that conclusion because Mr. Martel was careful enough to ask Mr. Stacey to remove three siding boards so that he could put his membrane the required 8" up the exterior side of the walls. I think it is very unlikely that a careful and competent tradesman like Mr. Martel would not also ask Mr. Stacey to remove the door structures so that he could put membrane under the doors as well. I find that by 2009 Mr. Stacey was becoming tired of attending to the house to fix problems with the deck. Several times in his evidence, Mr. Stacey asserted that he worked on the deck not because he felt an obligation to do so, but rather "out of the goodness of his heart". Given that attitude, I think it is also very unlikely that Mr. Stacey would have voluntarily and without compensation disassembled the doors onto the deck.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find, therefore, that Mr. Martel asked Mr. Stacey to remove the door structures so that the torch-on could be applied under the door openings and that Mr. Stacey refused to comply.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Staceys built the house as general contractors. It has long been the law in Canada that a builder may be liable in tort for negligent construction when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creates a real and substantial danger to the inhabitants of the building, see: </w:t>
      </w:r>
      <w:r>
        <w:rPr>
          <w:rFonts w:ascii="arial" w:eastAsia="arial" w:hAnsi="arial" w:cs="arial"/>
          <w:i/>
          <w:color w:val="000000"/>
          <w:sz w:val="20"/>
          <w:lang w:val="en-US" w:eastAsia="en-US" w:bidi="ar-SA"/>
        </w:rPr>
        <w:t>Winnipeg Condominium Corporation No. 36 v. Bird Construction Co.</w:t>
      </w:r>
      <w:r>
        <w:rPr>
          <w:rFonts w:ascii="arial" w:eastAsia="arial" w:hAnsi="arial" w:cs="arial"/>
          <w:color w:val="000000"/>
          <w:sz w:val="20"/>
          <w:lang w:val="en-US" w:eastAsia="en-US" w:bidi="ar-SA"/>
        </w:rPr>
        <w:t xml:space="preserve">, </w:t>
      </w:r>
      <w:hyperlink r:id="rId302" w:history="1">
        <w:r>
          <w:rPr>
            <w:rFonts w:ascii="arial" w:eastAsia="arial" w:hAnsi="arial" w:cs="arial"/>
            <w:i/>
            <w:color w:val="0077CC"/>
            <w:sz w:val="20"/>
            <w:u w:val="single"/>
            <w:shd w:val="clear" w:color="auto" w:fill="FFFFFF"/>
            <w:lang w:val="en-US" w:eastAsia="en-US" w:bidi="ar-SA"/>
          </w:rPr>
          <w:t>[1995] 1 S.C.R. 85</w:t>
        </w:r>
      </w:hyperlink>
      <w:r>
        <w:rPr>
          <w:rFonts w:ascii="arial" w:eastAsia="arial" w:hAnsi="arial" w:cs="arial"/>
          <w:color w:val="000000"/>
          <w:sz w:val="20"/>
          <w:lang w:val="en-US" w:eastAsia="en-US" w:bidi="ar-SA"/>
        </w:rPr>
        <w:t xml:space="preserve"> at paragraph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plaintiffs assert that the Staceys are liable to them in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because the defects in the construction of the deck have or will lead to a real and substantial danger to the plaintiffs. That danger lies, they say, in the rot in the railing posts. The Chapmans argue that rotten posts will fail and, because the posts are an essential part of the railing and the railing itself is a safety feature, this failure has and will give rise to a real and substantial danger to the Chapmans. Further, Mr. Vadeboncoeur opined that if the deck is left as is, there is a risk of additional deterioration of the deck's wooden structural components and the potential of mould growth in the exterior wall.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am persuaded that the lack of drainage on the deck has led to rotting of the railing posts. This has been a persistent problem with the deck. I am also persuaded that a railing around a raised deck is an essential safety feature. Rotted railing posts are not as strong as sound posts - rotted posts compromise the integrity of the railing and do, in my view, present a serious potential danger to persons using the deck.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There was no evidence at trial as to the potential dangers of mould growth in the exterior walls. I am not persuaded that that risk poses a real and substantial danger to the Chapmans.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The Staceys are owner-builders within the meaning of that term as it appeared in the 2006 iteration of the </w:t>
      </w:r>
      <w:r>
        <w:rPr>
          <w:rFonts w:ascii="arial" w:eastAsia="arial" w:hAnsi="arial" w:cs="arial"/>
          <w:i/>
          <w:color w:val="000000"/>
          <w:sz w:val="20"/>
          <w:lang w:val="en-US" w:eastAsia="en-US" w:bidi="ar-SA"/>
        </w:rPr>
        <w:t>Homeowner's Protection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1998 c. 31</w:t>
      </w:r>
      <w:r>
        <w:rPr>
          <w:rFonts w:ascii="arial" w:eastAsia="arial" w:hAnsi="arial" w:cs="arial"/>
          <w:color w:val="000000"/>
          <w:sz w:val="20"/>
          <w:lang w:val="en-US" w:eastAsia="en-US" w:bidi="ar-SA"/>
        </w:rPr>
        <w:t xml:space="preserve">. The provisions of that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relevant to this proceeding 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(1) A residential builder and a vendor of a new home are both deemed to have agreed with the owner, to the extent of labour, materials and design supplied, used or arranged by the residential builder or vendor, that the new home</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reasonably fit for habitation,</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been constructed from materials that are of good quality and reasonably fit for the purpose, and</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been designed and constructed with ordinary competence, skill and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protection under subsection (1) is for the benefit of whoever is the owner of the new home from time to time until the end of the period within which an action may be brought under subsection (5), and that owner is deemed</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have given good consideration for the benefit of the protection, and</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be the only person entitled to recover damages for a breach of the protection.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action in respect of the protection under subsection (1) must be commenced within 10 years after the date of first occupancy of the new home or, in respect of common property, common facilities and other assets of a strata corporation, the date the strata plan is deposited in a land title office in accordance with the </w:t>
      </w:r>
      <w:r>
        <w:rPr>
          <w:rFonts w:ascii="arial" w:eastAsia="arial" w:hAnsi="arial" w:cs="arial"/>
          <w:i/>
          <w:color w:val="000000"/>
          <w:sz w:val="20"/>
          <w:lang w:val="en-US" w:eastAsia="en-US" w:bidi="ar-SA"/>
        </w:rPr>
        <w:t>Strata Property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The two, five, ten graduated warranty to which Mr. Stacey referred in his evidence came into effect after the Staceys sold the house to the Chapmans. I find that for this particular house, s. 23(1) (c)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obliged the Staceys to provide the Chapmans with a warranty against failure to construct the house with "ordinary competence, skill and care". The warranty commenced when the house was first occupied in or around November 2003. The Chapmans commenced this proceeding in May 2013 - within the ten-year warranty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have found that the deck was not built with a proper slope and without the usual drop between the door sills and the finished deck surface. I accept Mr. Dahlen's evidence that an ordinarily competent house builder would have constructed the deck with both a proper slope and an adequate drop at the door openings. I accept Mr. Dahlen's opinion expressed under cross-examination that even though the 2003 building code did not prescribe any particular amount of drop at the doors, an ordinarily competent builder would have constructed the deck with at least a 4" drop in any event. Proper slope and drop are absent in this deck. I find therefore that the deck was not built with ordinary competence.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 am driven to the conclusion that the Staceys are liable to the Chapmans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constructing the deck in a way that gives rise to a real and substantial danger to the inhabitants of the house and in contract for breach of statutory warranty.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Staceys' defence of mitigation suffers a fatal flaw. That flaw is that the Chapmans do not seek an award to repair damage to the deck or house. Put another way, they are not looking to recover the cost of fixing whatever damage may have been done to their walls in the years between 2009 when they first noticed the leaks under the doors and now. Instead, the Chapmans seek an award sufficient to correct the structural problems in the deck - problems that existed from the time the house was built.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Staceys also argued that the Chapmans failed to properly maintain the deck because they did not immediately push rain water off the deck and occasionally allowed snow to accumulate there in the winter. In my opinion those arguments are not persuasive. It would be unreasonable to require homeowners like the Chapmans to remain constantly vigilant against rain and snow falling on their deck. The Chapmans are entitled to go out for meals, to visit friends and family, and to take vacations whenever they wish.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only evidence before me as to the cost of remediating the deck is Mr. Dahlen's quote of $96,900 plus GST. Mr. Stacey made no headway against that opinion in his cross-examination of Mr. Dahlen. There was no evidence at trial that a proper slope and drop could be achieved on this deck by means other than those recommended by Mr. Dahlen. The court has no independent expertise concerning construction matters and the cost of this kind of remediation lies well outside the scope of the knowledge of an ordinary objective person. It is not a matter about which the court can take judicial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For these reasons I find that the Chapmans are entitled to judgment for the damages they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Third Party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have found that Mr. Guthrie installed the sierra stone properly and it has performed as well as can be expected given the deficiencies of the deck's construction. I accept the evidence that if the deck had a proper slope water would drain away from the sierra stone, through or over the L edge at the deck's perimeter and then to the ground below. There is nothing about the sierra stone itself that caused or contributes to the problems with the deck.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have also found that Mr. Guthrie asked Mr. Martel to apply the torch-on membrane to the deck and that Mr. Guthrie himself has no knowledge or skill in waterproofing. He did not hold himself out to have such knowledge to either Mr. Stacey or Mr. Chapman. Mr. Guthrie did not supervise or instruct Mr. Martel on how to do his task. Mr. Martel was an independent contractor. Mr. Guthrie cannot be held liable for anything that Mr. Martel did or did not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Staceys' third party claim against Mr. Guthrie is therefore without merit.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Staceys have issued a third party claim against Mr. Martel. They assert that Mr. Martel did not properly waterproof the deck and wall juncture underneath the doors leading onto the deck. The evidence established that this joint is not watertight. The evidence did not, however, show how Mr. Martel could have applied a tight seal within the confines of the too small drop between the door thresholds and the deck's surface without first gaining Mr. Stacey's assistance in removing the doors, sills, thresholds, and jambs. Mr. Stacey refused to do that work. In my view, the evidence established that Mr. Martel did the best job he could have done under the circumstances. It was Mr. Stacey's decision to build the deck without an adequate drop and his subsequent decision to not open the door structures so that Mr. Martel could put his membrane under the door openings that led to and were the cause of the leaks under the doors.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Staceys' third party claims against Mr. Martel are without merit.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The plaintiffs are entitled to judgment against the Staceys for $96,900 plus GST and interest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Interest shall accrue from July 2012 to the date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plaintiffs are entitled to a single bill of costs against the Staceys on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assume that the Chapmans' arrangements with the Guthries and Mr. Martel settled any issue of costs as between them. No costs orders are necessary with respect to those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Staceys' third party claims against Mr. Martel and the Guthries are dismissed. Neither third party vigorously defended the claims against them. The third parties have achieved success almost in spite of themselves. I would not award costs to the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 ROGERS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1" style="position:absolute;z-index:2518435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78"/>
          <w:headerReference w:type="default" r:id="rId679"/>
          <w:footerReference w:type="even" r:id="rId680"/>
          <w:footerReference w:type="default" r:id="rId681"/>
          <w:headerReference w:type="first" r:id="rId682"/>
          <w:footerReference w:type="first" r:id="rId68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84" w:history="1">
        <w:r>
          <w:rPr>
            <w:rFonts w:ascii="arial" w:eastAsia="arial" w:hAnsi="arial" w:cs="arial"/>
            <w:b/>
            <w:bCs/>
            <w:i/>
            <w:color w:val="0077CC"/>
            <w:kern w:val="32"/>
            <w:sz w:val="28"/>
            <w:szCs w:val="32"/>
            <w:u w:val="single"/>
            <w:shd w:val="clear" w:color="auto" w:fill="FFFFFF"/>
            <w:lang w:val="en-US" w:eastAsia="en-US" w:bidi="ar-SA"/>
          </w:rPr>
          <w:t>Clark v. Hebb, [2007] B.C.J. No. 1340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 Lynn Smith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19 - 23 and 26 - 28, and March 1 -</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 5 - 7 and 9,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19,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M043416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1340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883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Dean Clark, Plaintiff, and Vanessa Hebb and Thelma Calaguas Dingcol, Defendants, and Insurance Corporation of British Columbia,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(348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2" style="position:absolute;z-index:2516920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3" w:name="Keywords_31"/>
      <w:bookmarkEnd w:id="213"/>
      <w:r>
        <w:rPr>
          <w:rFonts w:ascii="arial" w:eastAsia="arial" w:hAnsi="arial" w:cs="arial"/>
          <w:b/>
          <w:color w:val="000000"/>
          <w:sz w:val="20"/>
          <w:lang w:val="en-US" w:eastAsia="en-US" w:bidi="ar-SA"/>
        </w:rPr>
        <w:t>Damages — General damages — For personal injuries — Cost of future care — Non-pecuniary damages, including pain and suffering — Action for injuries suffered in 2002 motor vehicle accident — Plaintiff, 29, not employed since accident and claimed brain injury sustained permanently disabled him — Action allowed in part — Non-pecuniary damages of $75,000 awarded — Plaintiff awarded $28,137 for past loss of income due to ankle injury — Cost for future care for jaw problem assessed at $3,450 — Plaintiff exaggerated symptoms — No severe brain injury established — All symptoms resolved two years after accident.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Physical injuries — Body injuries — Neck — Whiplash — Head injuries — Headaches — Jaws — Leg injuries — Ankle — Age of claimant — 26 to 35 — Non-pecuniary award — $60,001 to $80,000 — Considerations impacting on award — Credibility — Action for injuries suffered in 2002 motor vehicle accident — Plaintiff, 29, not employed since accident and claimed brain injury sustained permanently disabled him — Action allowed in part — Non-pecuniary damages of $75,000 awarded — Plaintiff awarded $28,137 for past loss of income due to ankle injury — Cost for future care for jaw problem assessed at $3,450 — Plaintiff exaggerated symptoms — No severe brain injury established — All symptoms resolved two years after accident.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Speed — Standard of care — Action for injuries suffered in 2002 motor vehicle accident — Plaintiff was passenger in defendant's vehicle — Defendant drove behind large van and lost control when trying to avoid object on road — Action allowed in part — Defendant negligent — Defendant followed too closely and was traveling too fast to react to object in time.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14" w:name="Case Summary_30"/>
            <w:bookmarkEnd w:id="21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injuries suffered in 2002 motor vehicle accident -- Plaintiff was passenger in defendant's vehicle -- Defendant drove behind large van -- Defendant had to swerve to avoid object on road and lost control of vehicle -- Defendant's vehicle smashed into cement barrier -- No other vehicle lost control to avoid object -- Plaintiff, 29, worked at warehouse at time of accident -- Plaintiff not employed since accident -- Plaintiff alleged he suffered severe brain injury as a result of accident making his return to work very unlikely -- Plaintiff also complained of pain in shoulder, back, neck, and jaw, as well as headaches and dizzy spells -- Plaintiff alleged he still had constant pain in his back, neck, head and jaw -- Video surveillance did not correspond to alleged severe symptoms -- HELD: Action allowed in part -- Defendant was negligent as she followed van too closely to see road ahead -- Defendant also drove too fast for her to react to object on road in timely manner -- Plaintiff exaggerated symptoms and did not suffer severe brain injury or debilitating soft tissue injuries -- Plaintiff suffered soft tissue injuries, injuries to knee and jaw and mild traumatic brain injury - Plaintiff failed to establish that effect of injuries continued two years after accident except for problems with jaw, some headaches and intermittent dizziness which did not extend beyond trial date -- Non-pecuniary damages of $75,000 awarded -- Plaintiff awarded $28,137 for past loss of income due to ankle injury which prevented him from working until 2004 -- No award for loss of future income or loss of capacity warranted -- Cost for future care for jaw problem assessed at $3,450 -- Plaintiff entitled to special damages for treatment costs incurred for two years after accident.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5" w:name="Counsel_32"/>
      <w:bookmarkEnd w:id="21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3" style="position:absolute;z-index:2517432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R.A. Holness.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and Third Party: A.D.C. Ross and D.M. Smart.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6" w:name="Judgment_32"/>
      <w:bookmarkEnd w:id="216"/>
      <w:r>
        <w:pict>
          <v:line id="_x0000_s1184" style="position:absolute;z-index:251794432"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October 4, 2007; the corrections have been made to the text and the Corrigendum is appended to this document.]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7" w:name="C.L. SMITH J."/>
            <w:bookmarkEnd w:id="217"/>
            <w:r>
              <w:rPr>
                <w:rFonts w:ascii="arial" w:eastAsia="arial" w:hAnsi="arial" w:cs="arial"/>
                <w:b/>
                <w:color w:val="000000"/>
                <w:sz w:val="30"/>
                <w:lang w:val="en-US" w:eastAsia="en-US" w:bidi="ar-SA"/>
              </w:rPr>
              <w:t>C.L. SMITH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INTRODUCTION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[1] Dean Clark was injured in a motor vehicle accident on August 20, 2002. At the time he was 29 years of age and doing physical work in a warehouse. Though he did attempt a graduated return to work program in 2003-04, he has not been gainfully employed since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[2] Both liability and damages are in dispute in his action for damages for personal injuries suffered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[3] With respect to damages, the main issue is whether Mr. Clark suffered injury to his brain as a result of the accident and, if so, to what extent. While the defendants do not dispute that the accident caused some soft tissue injuries to his neck, shoulders and back, there is an issue as to the extent of those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[4] The plaintiff's position is that he suffered severe and disabling injuries, including a brain injury, such that he is very unlikely ever to be capable of employment in the future. The defendants' position is that at most Mr. Clark suffered mild to moderate soft tissue injuries (and no brain injury), such that he could have returned to work within eight or nine months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[5] The expert opinion evidence is somewhat divided. The evidence of lay witnesses who have had the opportunity to observe Mr. Clark is also divided. The defendants rely on the testimony of expert witnesses as well as surveillance videotapes in support of their position that Mr. Clark has systematically and significantly exaggerated his symptoms, and that he did not suffer serious injury in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[6] For the reasons I will give, I have concluded that Mr. Clark has exaggerated his symptoms, both with respect to brain injury and with respect to soft tissue injuries. For that reason, and because of inconsistencies and implausibilities in his testimony, his testimony and expert reports founded on his self-reports must be viewed with caution.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[7] I have found, however, that the plaintiff did suffer soft tissue injuries and injury to his knee and jaw and a mild traumatic brain injury in the motor vehicle accident. I have found that Mr. Clark has not proved, on a balance of probabilities, that the effect of his injuries continued beyond two years following the accident, with the exception of some problems with his jaw, low-grade headaches and intermittent dizziness.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ISSUES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[8] In reaching my conclusions regarding this action I have addressed the following issues:</w:t>
      </w:r>
      <w:r>
        <w:rPr>
          <w:rFonts w:ascii="arial" w:eastAsia="arial" w:hAnsi="arial" w:cs="arial"/>
          <w:sz w:val="20"/>
          <w:lang w:val="en-US" w:eastAsia="en-US" w:bidi="ar-SA"/>
        </w:rPr>
        <w:cr/>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defendant Vanessa Hebb negligent?</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injuries did the plaintiff suffer in the accident?</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damages should the plaintiff receive?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III.</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LIABILITY: WAS THE DEFENDANT VANESSA HEBB NEGLIGENT?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[9] The defendant Vanessa Hebb was driving a Hyundai motor vehicle in the early evening of August 20, 2002. The owner of the car was her mother, the second defendant Thelma Calaguas Dingcol. In these reasons I will sometimes refer to Ms. Hebb as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[10] Ms. Hebb was 22 years old at the time of the accident, and had been driving since she was 16. Ms. Hebb had three passengers: Andrea and Michelle Hawthorne, who are sisters, and Dean Clark. Mr. Clark was sitting in the right front seat, wearing a seatbelt. They were on the Alex Fraser Bridge, heading north toward Richmond for a social event. The traffic was light and the road was dry. It was not yet dark though the sun was setting. Ms. Hebb did not yet have her headlights on. Ms. Hebb was driving in the left-hand lane of three north-bound lanes, travelling (she estimated) at 70 to 80 kilometres per hour, going up a slight incline and heading toward a point where a fourth lane merged in with the others. Michelle Hawthorne testified that the car was going 80 to 90 kilometres per hour and agreed that she had told a private investigator that the car had been going 90 to 100 kilometres per hour. There was no evidence as to the posted speed limit for that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[11] The ambulance crew report shows that the ambulance arrived on the scene at 8:17 p.m. The evidence suggests that the ambulance came fairly quickly after being called. I find that the accident occurred close to 8:00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[12] Ms. Hebb was driving (in her words in a statement she agreed she made the day after the accident) "directly" behind a large square-shaped van or truck far enough away from it that she could see its back tires. She agreed that her vehicle was small and that four adults in it would make it heavy, and that she would have had to press harder on the gas as the car went up the slight incline.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[13] Ms. Hebb's evidence was that she was not following the van too closely. She said that there was light traffic, and although she could have been in either of the two lanes she was not in a hurry and did not want to prevent other drivers from passing the van. She said that there was no reason for her to tailgate.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[14] Michelle Hawthorne, who testified that she is a back-seat driver and that she was observing the road, gave evidence to the same effect as Ms. Hebb's, although her estimate of speed was higher than that of Ms. Hebb. Ms. Hawthorne described herself as a good friend of Ms. Hebb, and agreed that she had discussed the circumstances of the accident with Ms. Hebb.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[15] I find that the defendant was driving at between 80 and 100 kilometres per hour, fairly closely behind the van.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[16] Ms. Hebb testified that suddenly the van swerved to the right, switching lanes without signalling, probably in order to avoid an object on the road. The object, possibly a box, took up most of the lane in which she was driving. Once the object was revealed by the abrupt movement of the van, Ms. Hebb swerved to the right, then back again, and lost control of her vehicle. Her car spun and eventually smashed into the cement barrier on the right side of the road, which has four northbound lanes at that point. When it came to rest, the vehicle was facing the oncoming traffic, with the driver's side of the car smashed into the barrier. Ms. Hebb agreed that she may have overcorrected in order to avoid the object on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[17] The van in front of the defendant's vehicle did not lose control, and did not stop. There was no evidence of any other vehicle swerving or losing control as a result of having to avoid the object, even though the evidence suggests that it remained on the road for at least some period of time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[18] The damage to the defendant's vehicle was extensive.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[19] Counsel for the plaintiff submitted that Ms. Hebb was negligent in that she was driving at a significant speed, as high as 100 kilometres per hour, she was following too closely behind a big van which would have obscured her view of the roadway, she did not have her headlights on although it was beginning to get dark, and she overreacted when she saw the object in the road and failed to keep the car under her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[20] Counsel for the defendants submitted that the accident occurred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defendant's part. Mr. Smart submitted that Ms. Hebb was faced with an emergency that was not of her own making and reacted appropriately when the van in front of her suddenly swerved without signal or warning. She then lost control of her vehicle "in the agony of the moment". He conceded that in these circumstances it is incumbent on the defendant to explain how the accident occurred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her part, but submitted that Ms. Hebb having offered such an explanation, the onus is on the plaintiff to prove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that the plaintiff has failed to meet that onus.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[21] The principle upon which the defendants rely is set out in </w:t>
      </w:r>
      <w:r>
        <w:rPr>
          <w:rFonts w:ascii="arial" w:eastAsia="arial" w:hAnsi="arial" w:cs="arial"/>
          <w:b/>
          <w:i/>
          <w:color w:val="000000"/>
          <w:sz w:val="20"/>
          <w:lang w:val="en-US" w:eastAsia="en-US" w:bidi="ar-SA"/>
        </w:rPr>
        <w:t>Gauthier &amp; Co. Ltd. v. R.</w:t>
      </w:r>
      <w:r>
        <w:rPr>
          <w:rFonts w:ascii="arial" w:eastAsia="arial" w:hAnsi="arial" w:cs="arial"/>
          <w:color w:val="000000"/>
          <w:sz w:val="20"/>
          <w:lang w:val="en-US" w:eastAsia="en-US" w:bidi="ar-SA"/>
        </w:rPr>
        <w:t xml:space="preserve">, </w:t>
      </w:r>
      <w:hyperlink r:id="rId685" w:history="1">
        <w:r>
          <w:rPr>
            <w:rFonts w:ascii="arial" w:eastAsia="arial" w:hAnsi="arial" w:cs="arial"/>
            <w:i/>
            <w:color w:val="0077CC"/>
            <w:sz w:val="20"/>
            <w:u w:val="single"/>
            <w:shd w:val="clear" w:color="auto" w:fill="FFFFFF"/>
            <w:lang w:val="en-US" w:eastAsia="en-US" w:bidi="ar-SA"/>
          </w:rPr>
          <w:t>[1945] S.C.R. 143</w:t>
        </w:r>
      </w:hyperlink>
      <w:r>
        <w:rPr>
          <w:rFonts w:ascii="arial" w:eastAsia="arial" w:hAnsi="arial" w:cs="arial"/>
          <w:color w:val="000000"/>
          <w:sz w:val="20"/>
          <w:lang w:val="en-US" w:eastAsia="en-US" w:bidi="ar-SA"/>
        </w:rPr>
        <w:t>, where Kellock J. wrote at 151: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explanation called for on the part of the defendant in this kind of case has been dealt with in a number of authorities, notably, in the oft cited judgment of Lord Dunedin in </w:t>
      </w:r>
      <w:r>
        <w:rPr>
          <w:rFonts w:ascii="arial" w:eastAsia="arial" w:hAnsi="arial" w:cs="arial"/>
          <w:i/>
          <w:color w:val="000000"/>
          <w:sz w:val="20"/>
          <w:lang w:val="en-US" w:eastAsia="en-US" w:bidi="ar-SA"/>
        </w:rPr>
        <w:t>Ballard v. North British Railway Co.</w:t>
      </w:r>
      <w:r>
        <w:rPr>
          <w:rFonts w:ascii="arial" w:eastAsia="arial" w:hAnsi="arial" w:cs="arial"/>
          <w:color w:val="000000"/>
          <w:sz w:val="20"/>
          <w:lang w:val="en-US" w:eastAsia="en-US" w:bidi="ar-SA"/>
        </w:rPr>
        <w:t xml:space="preserve"> [(1923) 60 Sc. L.R. 441, at 449]: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think this is a case where the circumstances warrant the view that the fact of the accident is relevant to infer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what is the next step? I think that if the defenders can show a way in which the accident may have occurred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cogency of the fact of the accident by itself disappears and the pursuer is left as he began, namely, that he has to show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 need scarcely add that the suggestion of how the accident may have occurred must be a reasonable suggestion.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[22] In </w:t>
      </w:r>
      <w:r>
        <w:rPr>
          <w:rFonts w:ascii="arial" w:eastAsia="arial" w:hAnsi="arial" w:cs="arial"/>
          <w:b/>
          <w:i/>
          <w:color w:val="000000"/>
          <w:sz w:val="20"/>
          <w:lang w:val="en-US" w:eastAsia="en-US" w:bidi="ar-SA"/>
        </w:rPr>
        <w:t>Hackman v. Vecchio</w:t>
      </w:r>
      <w:r>
        <w:rPr>
          <w:rFonts w:ascii="arial" w:eastAsia="arial" w:hAnsi="arial" w:cs="arial"/>
          <w:color w:val="000000"/>
          <w:sz w:val="20"/>
          <w:lang w:val="en-US" w:eastAsia="en-US" w:bidi="ar-SA"/>
        </w:rPr>
        <w:t xml:space="preserve"> </w:t>
      </w:r>
      <w:hyperlink r:id="rId686" w:history="1">
        <w:r>
          <w:rPr>
            <w:rFonts w:ascii="arial" w:eastAsia="arial" w:hAnsi="arial" w:cs="arial"/>
            <w:i/>
            <w:color w:val="0077CC"/>
            <w:sz w:val="20"/>
            <w:u w:val="single"/>
            <w:shd w:val="clear" w:color="auto" w:fill="FFFFFF"/>
            <w:lang w:val="en-US" w:eastAsia="en-US" w:bidi="ar-SA"/>
          </w:rPr>
          <w:t>(1969), 4 D.L.R. (3d) 444</w:t>
        </w:r>
      </w:hyperlink>
      <w:r>
        <w:rPr>
          <w:rFonts w:ascii="arial" w:eastAsia="arial" w:hAnsi="arial" w:cs="arial"/>
          <w:color w:val="000000"/>
          <w:sz w:val="20"/>
          <w:lang w:val="en-US" w:eastAsia="en-US" w:bidi="ar-SA"/>
        </w:rPr>
        <w:t xml:space="preserve"> (B.C.C.A.) at 446, Davey C.J.B.C. noted that an explanation of how an accident may have occurred without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not the same as the defence of inevitable accident. The defence of inevitable accident puts a heavier onus on the defendants by requiring them to prove the accident was not preventable by the exercise of reasonable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[23] In this case, the defence is not inevitable accident. The defendants' position is that this single-vehicle collision occurred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Ms. Hebb's part because of an external factor (the object on the roadway) which was out of her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[24] The defendants therefore do not have the heavier burden which would exist if no external factor was present and the defence was inevitable accident: </w:t>
      </w:r>
      <w:r>
        <w:rPr>
          <w:rFonts w:ascii="arial" w:eastAsia="arial" w:hAnsi="arial" w:cs="arial"/>
          <w:b/>
          <w:i/>
          <w:color w:val="000000"/>
          <w:sz w:val="20"/>
          <w:lang w:val="en-US" w:eastAsia="en-US" w:bidi="ar-SA"/>
        </w:rPr>
        <w:t>Perry v. Bano</w:t>
      </w:r>
      <w:r>
        <w:rPr>
          <w:rFonts w:ascii="arial" w:eastAsia="arial" w:hAnsi="arial" w:cs="arial"/>
          <w:color w:val="000000"/>
          <w:sz w:val="20"/>
          <w:lang w:val="en-US" w:eastAsia="en-US" w:bidi="ar-SA"/>
        </w:rPr>
        <w:t xml:space="preserve"> </w:t>
      </w:r>
      <w:hyperlink r:id="rId687" w:history="1">
        <w:r>
          <w:rPr>
            <w:rFonts w:ascii="arial" w:eastAsia="arial" w:hAnsi="arial" w:cs="arial"/>
            <w:i/>
            <w:color w:val="0077CC"/>
            <w:sz w:val="20"/>
            <w:u w:val="single"/>
            <w:shd w:val="clear" w:color="auto" w:fill="FFFFFF"/>
            <w:lang w:val="en-US" w:eastAsia="en-US" w:bidi="ar-SA"/>
          </w:rPr>
          <w:t>(1993), 80 B.C.L.R. (2d) 351</w:t>
        </w:r>
      </w:hyperlink>
      <w:r>
        <w:rPr>
          <w:rFonts w:ascii="arial" w:eastAsia="arial" w:hAnsi="arial" w:cs="arial"/>
          <w:color w:val="000000"/>
          <w:sz w:val="20"/>
          <w:lang w:val="en-US" w:eastAsia="en-US" w:bidi="ar-SA"/>
        </w:rPr>
        <w:t xml:space="preserve"> (S.C.) at 356.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[25] Counsel for the plaintiff referred to </w:t>
      </w:r>
      <w:r>
        <w:rPr>
          <w:rFonts w:ascii="arial" w:eastAsia="arial" w:hAnsi="arial" w:cs="arial"/>
          <w:b/>
          <w:i/>
          <w:color w:val="000000"/>
          <w:sz w:val="20"/>
          <w:lang w:val="en-US" w:eastAsia="en-US" w:bidi="ar-SA"/>
        </w:rPr>
        <w:t>Curbello v. Thompson</w:t>
      </w:r>
      <w:r>
        <w:rPr>
          <w:rFonts w:ascii="arial" w:eastAsia="arial" w:hAnsi="arial" w:cs="arial"/>
          <w:color w:val="000000"/>
          <w:sz w:val="20"/>
          <w:lang w:val="en-US" w:eastAsia="en-US" w:bidi="ar-SA"/>
        </w:rPr>
        <w:t xml:space="preserve">, </w:t>
      </w:r>
      <w:hyperlink r:id="rId688" w:history="1">
        <w:r>
          <w:rPr>
            <w:rFonts w:ascii="arial" w:eastAsia="arial" w:hAnsi="arial" w:cs="arial"/>
            <w:i/>
            <w:color w:val="0077CC"/>
            <w:sz w:val="20"/>
            <w:u w:val="single"/>
            <w:shd w:val="clear" w:color="auto" w:fill="FFFFFF"/>
            <w:lang w:val="en-US" w:eastAsia="en-US" w:bidi="ar-SA"/>
          </w:rPr>
          <w:t>[1968] S.C.R. 626</w:t>
        </w:r>
      </w:hyperlink>
      <w:r>
        <w:rPr>
          <w:rFonts w:ascii="arial" w:eastAsia="arial" w:hAnsi="arial" w:cs="arial"/>
          <w:color w:val="000000"/>
          <w:sz w:val="20"/>
          <w:lang w:val="en-US" w:eastAsia="en-US" w:bidi="ar-SA"/>
        </w:rPr>
        <w:t>, where a road accident occurred when a truck went out of control at night on a highway south of Yale and crashed into an automobile. The truck driver testified that he had dimmed his lights because another driver was approaching; then he had seen some deer on the east shoulder. He applied his brakes moderately, but one of the deer bounded across the road. He reacted by applying his brakes harder and turning slightly to the left, then tried to counteract a skidding movement. His vehicle struck the deer and spun out of control, eventually toppling onto the plaintiff's vehicle, killing him and injuring a passenger. The trial judge (Aikins J.) found that he was negligent, stating at (1965), 52 W.W.R. 751 (B.C.S.C.) at 765-66: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I understood counsel for the defendants' argument, he put it that there was no one thing which the defendant driver did nor any one thing which the defendant driver failed to do which could be considered as amounting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Taking various aspects of the defendant driver's conduct each in isolation, I could not find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 driver. Taken by itself, the defendant driver's speed of approximately 50 m.p.h. on a main highway was not excessive. The defendant driver was keeping a reasonably careful lookout. The defendant driver, before the skid, was certainly driving on his proper side of the highway. The GMC truck was properly loaded and was not loaded beyond its proper carrying capacity. The truck was in excellent mechanical condition. The rear tires of the truck were substantially worn so that there was little tread left in the centre of the tires, but the evidence supports the conclusion that they were safe for use, although, as I have said, I think this to be a wholly relative conclusion. The defendant driver's reaction on seeing the deer, in braking and turning slightly to the left and braking again, does not indicate any lack of reasonable care. Taking all these aspects of the defendant driver's conduct individually and in isolation, one could not say that he was guilty of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Separate aspects of the defendant's conduct should not, however, in my opinion, be taken and considered in isolation. All relevant aspects of the defendant's driving should be considered together and in relation to the existing relevant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[26] Aikins J. concluded that the defendant was driving at an excessive speed in the circumstances (which included that the truck was carrying a heavy load, the highway was wet and slippery and the rear tires were substantially worn), such that he could not keep control of his vehicle when he was required to react to the appearance of the deer.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[27] The Court of Appeal reversed that decision. The Supreme Court of Canada restored it, approving of the trial judge's reasoning.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[28] In the matter before me, Mr. Holness for the plaintiff relied upon </w:t>
      </w:r>
      <w:r>
        <w:rPr>
          <w:rFonts w:ascii="arial" w:eastAsia="arial" w:hAnsi="arial" w:cs="arial"/>
          <w:b/>
          <w:i/>
          <w:color w:val="000000"/>
          <w:sz w:val="20"/>
          <w:lang w:val="en-US" w:eastAsia="en-US" w:bidi="ar-SA"/>
        </w:rPr>
        <w:t>Curbello v. Thompson</w:t>
      </w:r>
      <w:r>
        <w:rPr>
          <w:rFonts w:ascii="arial" w:eastAsia="arial" w:hAnsi="arial" w:cs="arial"/>
          <w:color w:val="000000"/>
          <w:sz w:val="20"/>
          <w:lang w:val="en-US" w:eastAsia="en-US" w:bidi="ar-SA"/>
        </w:rPr>
        <w:t xml:space="preserve"> for the principle that all aspects of the defendant's driving should be considered together in the circumstances in assessing whether she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[26] Courts of this province have had occasion to comment on the obligation of drivers to follow other vehicles at a safe distance. In </w:t>
      </w:r>
      <w:r>
        <w:rPr>
          <w:rFonts w:ascii="arial" w:eastAsia="arial" w:hAnsi="arial" w:cs="arial"/>
          <w:b/>
          <w:i/>
          <w:color w:val="000000"/>
          <w:sz w:val="20"/>
          <w:lang w:val="en-US" w:eastAsia="en-US" w:bidi="ar-SA"/>
        </w:rPr>
        <w:t>Pryndik v. Manju</w:t>
      </w:r>
      <w:r>
        <w:rPr>
          <w:rFonts w:ascii="arial" w:eastAsia="arial" w:hAnsi="arial" w:cs="arial"/>
          <w:color w:val="000000"/>
          <w:sz w:val="20"/>
          <w:lang w:val="en-US" w:eastAsia="en-US" w:bidi="ar-SA"/>
        </w:rPr>
        <w:t xml:space="preserve">, </w:t>
      </w:r>
      <w:hyperlink r:id="rId689" w:history="1">
        <w:r>
          <w:rPr>
            <w:rFonts w:ascii="arial" w:eastAsia="arial" w:hAnsi="arial" w:cs="arial"/>
            <w:i/>
            <w:color w:val="0077CC"/>
            <w:sz w:val="20"/>
            <w:u w:val="single"/>
            <w:shd w:val="clear" w:color="auto" w:fill="FFFFFF"/>
            <w:lang w:val="en-US" w:eastAsia="en-US" w:bidi="ar-SA"/>
          </w:rPr>
          <w:t>[2001] B.C.J. No. 664</w:t>
        </w:r>
      </w:hyperlink>
      <w:r>
        <w:rPr>
          <w:rFonts w:ascii="arial" w:eastAsia="arial" w:hAnsi="arial" w:cs="arial"/>
          <w:color w:val="000000"/>
          <w:sz w:val="20"/>
          <w:lang w:val="en-US" w:eastAsia="en-US" w:bidi="ar-SA"/>
        </w:rPr>
        <w:t xml:space="preserve">, </w:t>
      </w:r>
      <w:hyperlink r:id="rId689" w:history="1">
        <w:r>
          <w:rPr>
            <w:rFonts w:ascii="arial" w:eastAsia="arial" w:hAnsi="arial" w:cs="arial"/>
            <w:i/>
            <w:color w:val="0077CC"/>
            <w:sz w:val="20"/>
            <w:u w:val="single"/>
            <w:shd w:val="clear" w:color="auto" w:fill="FFFFFF"/>
            <w:lang w:val="en-US" w:eastAsia="en-US" w:bidi="ar-SA"/>
          </w:rPr>
          <w:t>2001 BCSC 502</w:t>
        </w:r>
      </w:hyperlink>
      <w:r>
        <w:rPr>
          <w:rFonts w:ascii="arial" w:eastAsia="arial" w:hAnsi="arial" w:cs="arial"/>
          <w:color w:val="000000"/>
          <w:sz w:val="20"/>
          <w:lang w:val="en-US" w:eastAsia="en-US" w:bidi="ar-SA"/>
        </w:rPr>
        <w:t>, Baker J. commented at para.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operator of a motor vehicle, following other vehicles, should keep his vehicle under sufficient control at all times to be able to deal with an emergency such as the sudden stopping of a vehicle in the line of vehicles ahead and the telescope effect that results, as each successive driver attempts to bring his or her vehicle to a halt.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[29] In </w:t>
      </w:r>
      <w:r>
        <w:rPr>
          <w:rFonts w:ascii="arial" w:eastAsia="arial" w:hAnsi="arial" w:cs="arial"/>
          <w:b/>
          <w:i/>
          <w:color w:val="000000"/>
          <w:sz w:val="20"/>
          <w:lang w:val="en-US" w:eastAsia="en-US" w:bidi="ar-SA"/>
        </w:rPr>
        <w:t>Smith v. Kandola</w:t>
      </w:r>
      <w:r>
        <w:rPr>
          <w:rFonts w:ascii="arial" w:eastAsia="arial" w:hAnsi="arial" w:cs="arial"/>
          <w:color w:val="000000"/>
          <w:sz w:val="20"/>
          <w:lang w:val="en-US" w:eastAsia="en-US" w:bidi="ar-SA"/>
        </w:rPr>
        <w:t xml:space="preserve"> </w:t>
      </w:r>
      <w:hyperlink r:id="rId690" w:history="1">
        <w:r>
          <w:rPr>
            <w:rFonts w:ascii="arial" w:eastAsia="arial" w:hAnsi="arial" w:cs="arial"/>
            <w:i/>
            <w:color w:val="0077CC"/>
            <w:sz w:val="20"/>
            <w:u w:val="single"/>
            <w:shd w:val="clear" w:color="auto" w:fill="FFFFFF"/>
            <w:lang w:val="en-US" w:eastAsia="en-US" w:bidi="ar-SA"/>
          </w:rPr>
          <w:t>(1993), 34 B.C.A.C. 318</w:t>
        </w:r>
      </w:hyperlink>
      <w:r>
        <w:rPr>
          <w:rFonts w:ascii="arial" w:eastAsia="arial" w:hAnsi="arial" w:cs="arial"/>
          <w:color w:val="000000"/>
          <w:sz w:val="20"/>
          <w:lang w:val="en-US" w:eastAsia="en-US" w:bidi="ar-SA"/>
        </w:rPr>
        <w:t>, the Court of Appeal allowed an appeal in part, concluding that a plaintiff had been contributorily negligent. The circumstances of the accident were that the plaintiff had been required to brake suddenly when the defendant's vehicle, which was three or four cars ahead, blew a tire. MacFarlane J.A. wrote at 320: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submits that in any event there was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plaintiff. It is true that the plaintiff reacted as reasonable driver would have in braking and turning to the right but that is not the issue. The question is whether he had to do so in order to avoid hitting the car in front of him. The evidence clearly established that was the reason he swerved. That leads to the conclusion that he must have been following too closely to avoid a collision with the vehicle in front of him and was therefore negligent.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Mr. Justice Taggart said in </w:t>
      </w:r>
      <w:r>
        <w:rPr>
          <w:rFonts w:ascii="arial" w:eastAsia="arial" w:hAnsi="arial" w:cs="arial"/>
          <w:i/>
          <w:color w:val="000000"/>
          <w:sz w:val="20"/>
          <w:lang w:val="en-US" w:eastAsia="en-US" w:bidi="ar-SA"/>
        </w:rPr>
        <w:t>MacDonald v. Hemminger</w:t>
      </w:r>
      <w:r>
        <w:rPr>
          <w:rFonts w:ascii="arial" w:eastAsia="arial" w:hAnsi="arial" w:cs="arial"/>
          <w:color w:val="000000"/>
          <w:sz w:val="20"/>
          <w:lang w:val="en-US" w:eastAsia="en-US" w:bidi="ar-SA"/>
        </w:rPr>
        <w:t xml:space="preserve">, </w:t>
      </w:r>
      <w:hyperlink r:id="rId691" w:history="1">
        <w:r>
          <w:rPr>
            <w:rFonts w:ascii="arial" w:eastAsia="arial" w:hAnsi="arial" w:cs="arial"/>
            <w:i/>
            <w:color w:val="0077CC"/>
            <w:sz w:val="20"/>
            <w:u w:val="single"/>
            <w:shd w:val="clear" w:color="auto" w:fill="FFFFFF"/>
            <w:lang w:val="en-US" w:eastAsia="en-US" w:bidi="ar-SA"/>
          </w:rPr>
          <w:t>[1985] B.C.J. No. 2206</w:t>
        </w:r>
      </w:hyperlink>
      <w:r>
        <w:rPr>
          <w:rFonts w:ascii="arial" w:eastAsia="arial" w:hAnsi="arial" w:cs="arial"/>
          <w:color w:val="000000"/>
          <w:sz w:val="20"/>
          <w:lang w:val="en-US" w:eastAsia="en-US" w:bidi="ar-SA"/>
        </w:rPr>
        <w:t>, (10 May 1985) CA001483 Vancouver Registry (B.C.C.A.):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 . emergencies constantly arise and for those emergencies all drivers must be prepared.'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that case a leading vehicle braked suddenly without warning to the car behind. Two cars were able to stop without a collision but the driver of a third vehicle applied his brakes but was unable to stop in time. Liability was apportioned between the third vehicle and the lead vehicle.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fault should also have been apportioned in this case. I would apportion fault on an equal basis and allow the appeal to that extent.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[30] Further, as Spence J. stated in </w:t>
      </w:r>
      <w:r>
        <w:rPr>
          <w:rFonts w:ascii="arial" w:eastAsia="arial" w:hAnsi="arial" w:cs="arial"/>
          <w:b/>
          <w:i/>
          <w:color w:val="000000"/>
          <w:sz w:val="20"/>
          <w:lang w:val="en-US" w:eastAsia="en-US" w:bidi="ar-SA"/>
        </w:rPr>
        <w:t>Gill Estate v. Canadian Pacific Ltd.</w:t>
      </w:r>
      <w:r>
        <w:rPr>
          <w:rFonts w:ascii="arial" w:eastAsia="arial" w:hAnsi="arial" w:cs="arial"/>
          <w:color w:val="000000"/>
          <w:sz w:val="20"/>
          <w:lang w:val="en-US" w:eastAsia="en-US" w:bidi="ar-SA"/>
        </w:rPr>
        <w:t xml:space="preserve">, </w:t>
      </w:r>
      <w:hyperlink r:id="rId692" w:history="1">
        <w:r>
          <w:rPr>
            <w:rFonts w:ascii="arial" w:eastAsia="arial" w:hAnsi="arial" w:cs="arial"/>
            <w:i/>
            <w:color w:val="0077CC"/>
            <w:sz w:val="20"/>
            <w:u w:val="single"/>
            <w:shd w:val="clear" w:color="auto" w:fill="FFFFFF"/>
            <w:lang w:val="en-US" w:eastAsia="en-US" w:bidi="ar-SA"/>
          </w:rPr>
          <w:t>[1973] S.C.R. 654</w:t>
        </w:r>
      </w:hyperlink>
      <w:r>
        <w:rPr>
          <w:rFonts w:ascii="arial" w:eastAsia="arial" w:hAnsi="arial" w:cs="arial"/>
          <w:color w:val="000000"/>
          <w:sz w:val="20"/>
          <w:lang w:val="en-US" w:eastAsia="en-US" w:bidi="ar-SA"/>
        </w:rPr>
        <w:t xml:space="preserve"> at 665: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trite law that faced with a sudden emergency for the creation of which the driver is not responsible he cannot be held to a standard of conduct which one sitting in the calmness of a courtroom later might determine was the best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[31] It is recognized that, as stated in </w:t>
      </w:r>
      <w:r>
        <w:rPr>
          <w:rFonts w:ascii="arial" w:eastAsia="arial" w:hAnsi="arial" w:cs="arial"/>
          <w:b/>
          <w:i/>
          <w:color w:val="000000"/>
          <w:sz w:val="20"/>
          <w:lang w:val="en-US" w:eastAsia="en-US" w:bidi="ar-SA"/>
        </w:rPr>
        <w:t>Gill Estate v. Canadian Pacific Ltd.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 driver cannot be held to an unrealistic standard of conduct when faced with a sudden emergency for the creation of which she is not responsible. Nevertheless, a driver should take reasonable steps to ensure that she is able to react to reasonably foreseeable emergencies.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[32] Taking into account all of the circumstances and all aspects of Vanessa Hebb's driving, I find that she was negligent. She was following closely behind a large vehicle which obscured her ability to see the road ahead, driving at a speed which made it difficult for her to react in sufficient time were that vehicle to brake or swerve to avoid something on the road. Had she been following at a greater distance, or driving more slowly, she would have been able to see the object ahead of the van around the curve of the road, or at least if she did not see it before the van ahead changed lanes, she would have had sufficient time to avoid the object without losing control of her vehicle. When she did see the object, she overcorrected and caused her vehicle to spin out of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[33] Therefore, although the defendants have offered an explanation for the single vehicle accident, I find that the plaintiff has met his burden of establishing, on the balance of probabilities, that the defendant Vanessa Hebb failed to meet the standard of care required of a driver in the circumstances, and that she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IV.</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WHAT INJURIES DID THE PLAINTIFF SUFFER IN THE ACCIDENT?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Injuries Other than Brain Injury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[34] Putting aside for the moment the evidence bearing on the plaintiff's claimed brain injury, I will review the evidence and state my conclusions regarding other injuries suffered by the plaintiff in the motor vehicle accident. In reaching those conclusions I have considered all of the evidence, including the evidence reviewed later under the heading "B. Brain Injury" as well as the evidence under the present heading.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[35] When the accident occurred, Mr. Clark was already off work as the result of an ankle injury suffered in May 2002. I find (based on what he told his general practitioner, Dr. Tomaszewski, and on his testimony) that he was disabled from work by the ankle injury until March 1,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[36] Mr. Clark was wearing a seatbelt at the time of the accident and there was a headrest in the vehicle. Following the collision, Mr. Clark felt some pain in his knee and told the ambulance crew that he did not have pain or discomfort in his head and neck but thought he had struck his knee on the dashboard (according to the Ambulance Crew Report). He was taken to Surrey Memorial Hospital, and the Emergency Record indicates that he was found to have a contusion on his left knee but that an x-ray showed no bony damage. There was no note of injury to his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[37] On August 23, 2002, when he first saw Dr. Tomaszewski about the accident, Mr. Clark said that immediately after the accident he had felt right shoulder pain, headache, neck pain, mid-back pain and left knee pain. Dr. Tomaszewski observed a bruise over the right arm, the right trapezius muscle to be tender to palpation, the left knee joint to be tender, and the entire spine from neck to tailbone to be tender to palpation. Range of motion of Mr. Clark's neck and back was reported normal, and the left knee joint did not reveal any abnormalities other than tenderness. Dr. Tomaszewski said his initial diagnosis was soft tissue injury of the left knee, neck, shoulders, back and right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[38] The plaintiff complained to Dr. Tomaszewski of the same symptoms as well as forgetfulness on August 30, 2002 and on October 25, 2002. On the latter occasion he additionally complained about right shoulder numbness at night and soreness of his right hip while walking. He reported some improvement in his neck, back, shoulder and hip on December 19, 2002, and was referred to physical therapy. An x-ray of his cervical spine was performed at his request and was reported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[39] In the two or three months following the accident, the plaintiff's mother, Sharon Dale, testified, Mr. Clark complained of terrible headaches and problems with his balance.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[40] By April 7, 2003, Mr. Clark's complaints to Dr. Tomaszewski were: neck pain, mid-back pain, recurrent generalized headache, jaw tightness, right shoulder discomfort, difficulties with concentration, poor memory, recurrent dizzy spells and easy fatigue. By then, he had been attending physiotherapy and chiropractor treatments weekly and massage therapy twice weekly. Physical examination on April 7, 2003, showed no tenderness in his neck, shoulder or back, and normal range of motion in his neck. His jaw movement appeared normal. Dr. Tomaszewski testified that although there were no physical findings to confirm the complaints of pain, it is common with soft tissue injuries that physical examination is negative but the patient still experiences pain. He agreed on cross-examination that it is normal for soft tissue injuries to the neck and back to recover over time, but said that sometimes the patients do not recover completely.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[41] By the summer of 2003, Dr. Tomaszewski suggested to the plaintiff that he attempt a graduated return to work because his physical symptoms were improving and his pain was decreasing.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[42] Dr. Tomaszewski testified that Mr. Clark's physical symptoms continued to improve but he started complaining more about cognitive function impairment, leading to a referral to a psychiatrist, Dr. Ancill, who saw him in October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[43] Mr. Clark has continued to complain of pain to the present day, according to Dr. Tomaszewski. On June 11, 2004, he described "constant mid-back pain, worse with deep breathing, constant neck pain". On November 8, 2005, he described recurrent headaches, dizzy spells, jaw tightness, neck and low back pain. On February 7, 2007, he described chronic neck and low back pain, chronic jaw pain, recurrent headaches, dizziness with activities, chronic fatigue, and photophobia. Dr. Tomaszewski's examination on February 7, 2007, just before trial, revealed no tenderness in the jaw, in the neck or back, and normal range of movement.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[44] On his own initiative, Mr. Clark saw Dr. Fuscaldo, a chiropractor, between November 21, 2002 and March 31, 2004, regarding his shoulder and back pain, dizziness and balance problems. He complained of dizziness, foggy spells and headaches on 31 of his 46 visits.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[45] On his first visit to Dr. Fuscaldo on November 21, 2002, the plaintiff complained of loss of balance, dizziness, memory loss and jaw pain. She noted that he spoke slowly and deliberately, in a flat tone, and seemed to have to search for words, appearing "foggy" or tired, or "out of it". She said he sometimes had trouble walking when he came in, although she did not observe this on his first visit.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[46] Mr. Clark reported considerable improvement to Dr. Fuscaldo as of January 20, 2003. On that date she wrote to Dr. Tomaszewski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has improved significantly since first being treated by myself. The intensity, length, and frequency of his "dizzy and foggy spells and headaches" have decreased, as well as the overall "stiffness in his neck and thoracic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[47] On May 8, 2003, Mr. Clark reported to Dr. Fuscaldo that he had fewer headaches, more energy, better memory, fewer backaches and neck aches, and improvements with balance, walking, sitting, standing and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[48] Mr. Clark saw Sandra Cadavid, a massage therapist, 60 times between September 9, 2002 and February 14, 2005. She testified that she treated him for whiplash involving the whole back, as well as pain in his thigh muscles and hip joint/pelvic area. She testified that he had extreme hypertonicity from the whiplash that just never seemed to go away, as well as what seemed initially to be the normal side-effects from the whiplash, like dizziness and headaches. She described occasions on which, after treatment, he would have to be held in the office for a while because his blood pressure would drop dramatically and he seemed to go into shock. She said he was very slow and sluggish, and very absent-minded, and that this got worse as they went along.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[49] The plaintiff saw Lisa Price, a physiotherapist, on 38 occasions between January 2, 2003, and April 21, 2004. His initial complaints to her included headaches, central right and left neck pain, right shoulder pain, mid-back pain, low back pain, right hip pain, numbness and tingling down the right arm, and dizziness when moving his head. She found some spasm at C2/3 on the first visit and again on January 21, 2003. She also noted decreased opening of the jaw on the latter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[50] By December 4, 2003, Ms. Price reported to Dr. Tomaszewski that Mr. Clark's thoracic spine was stabilizing, his cervical spine range of motion had increased but was not yet full, and that certain movements caused dizziness. She thought that the largest remaining problem was his vestibular dysfunction.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[51] Ms. Price remembered the plaintiff as being slow, from the beginning, with no change throughout the treatment. She described him as compliant, that is, he did everything they asked of him, and diligent. She said she did not have any problem in communicating with him and he did not seem to have a problem in understanding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[52] On cross-examination, Ms. Price agreed that Mr. Clark's musculoskeletal problems improved over time, and that it was possible that the headaches were related to the neck because of the ligament instability at C1/2. She was of the view as of August 26, 2003 that a graduated return to work (work conditioning program) could be contemplated. At the point she discharged him in April 2004, he was still having a significant amount of dizziness or vertigo.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[53] Bernard Tonks is a physical therapist who has developed some expertise in dealing with patients with postural and dizziness issues requiring vestibular rehabilitation. He saw Mr. Clark 27 times between December 12, 2003 and February 21, 2005. On their first meeting, Mr. Clark reported persistent dizziness and disequilibrium as well as difficulties with memory, concentration, speech, dizziness and postural imbalance. Having found some abnormal results on testing, Mr. Tonks was concerned enough about the dizziness and balance problems that he sent a note requesting further investigation. He suggested that the graduated return to work program Mr. Clark undertook should be carefully supervised in light of his signs and symptoms, and made the same recommendation again in February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[54] Mr. Clark's evidence was that he does not recall any improvement in his symptoms as a result of the chiropractic treatment. Similarly, he does not recall any change in his pain as a result of the massage therapy by Sandra Cadavid although it did relieve some of the tension. He thought that the physiotherapy from Bernard Tonks assisted with his dizziness, to a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[55] However, on cross-examination he agreed, after being shown Dr. Fuscaldo's records and those of Dr. Tomaszewski, that his symptoms overall were improving significantly in late 2002 and into early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[56] The plaintiff also relies on a written report from Dr. Bruce Blasberg, a specialist in oral medicine. Dr. Blasberg states that Mr. Clark on August 14, 2006, reported facial pain aggravated by jaw function, joint noises during movement and restricted jaw movement. He summarizes his assessment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clinical findings are consistent with myofascial pain of the masticatory muscles and an internal derangement associated with the right temporomandibular joint. Temporomandibular joint arthralgia was present. There is a restricted range of pain-free mandibular movements.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[57] Dr. Blasberg initiated treatment consisting of a jaw self-management program including behaviour modification and jaw exercises, referred Mr. Clark to a physiotherapist and has recommended oral appliance therapy. He provided a cost estimate for the treatment recommended.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[58] The defendants objected that the report of Dr. Blasberg should not be considered because it relates to an injury not particularized in the pleadings. I have considered that objection and have concluded that, in the absence of any suggestion of prejudice, and given that the defendant had proper notice of the report, it should be 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[59] Mr. Clark was referred for assessment to Dr. Stanley Mah, an ear, nose and throat specialist. In March 2004, Dr. Mah examined Mr. Clark but found no evidence of peripheral vestibular dysfunction. He suggested that Mr. Clark might have central vestibular dysfunction and possible concussion, based on his reported symptoms, and thus would best be managed and assessed by a neurologist. (I will describe below the neurological findings.) Dr. Longridge, also an otolaryngologist, did a further assessment on March 14, 2006, and found that ENT tests were normal and Mr. Clark's ENT examination was normal, though he had non-specific balance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[60] The plaintiff told Dr. Ancill, his psychiatrist, on his first visit on October 12, 2004, that he had severe headaches, feelings of dizziness, nausea or vomiting, sensitivity to noise, fatigue, irritability, frustration or impatience, forgetfulness, difficulty in concentration, taking longer to think, sensitivity to bright light, difficulty in comprehension and pain in his neck and back. He rated all of these at the highest level - four on a scale of one to four.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[61] Dr. Tomaszewski, asked on cross-examination to comment on Mr. Clark's description of his symptoms to Dr. Ancill, agreed that it was a surprise to him that Mr. Clark was describing such severe symptoms at that stage and testified that the description was contrary to his experience of Mr. Clark and to what Mr. Clark had told him. Mr. Clark on cross-examination did not have an explanation for why he had refrained from describing severe symptoms to his general practitioner.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[62] Mr. Clark told Dr. Dhawan, a physical medicine and rehabilitation specialist at G.F. Strong Rehabilitation Centre ("G.F. Strong"), on August 22, 2005, that he had daily pulsing headaches and pain in the right shoulder, ribs and neck, and was having trouble falling asleep though was able to stay asleep. Mr. Clark reported a high level of pain at six or seven out of ten, 24 hours a day, seven days a week, increasing to nine or ten out of ten with activities. Dr. Dhawan stated, as of the date he wrote his report (May 16, 2006):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physician attached to the Acquired Brain Injury Program, I did not assess him for his musculoskeletal problems. However, review of his history may suggest a soft tissue injury to cervical and thoracic spine but certainly that should not be causing ongoing symptoms this late in his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[63] Dr. Dhawan stated the opinion that, viewing the two ENT reports (Dr. Mah's and Dr. Longridge's) together, no peripheral or vestibular abnormality had been found.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Evidence from the plaintiff and other lay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[64] Mr. Clark's wife, Olga Clark, his mother, Sharon Dale, his stepfather, Jim Dale, and his biological father, Wayne Clark, all testified that he complains of pain in his shoulder, back, neck, and jaw, as well as headaches and dizzy spells.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[65] Ms. Clark said that her husband complains of pain once in a while but he is not the type to complain. She said she could see that he was in pain some of the time and that he suffered stiffness in his back and neck. She testified that he told her he was in constant aching pain but that he would have to adjust and learn to live with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[66] Wayne Clark described Dean as always popping his jaw, stretching and trying to get the kinks out of his neck, jaw and face, and saying that his back was sore.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[67] Mr. Clark reported to his mother, Sharon Dale, that he was in a lot of pain in his neck and back in early 2004, and during the flight to and from Hawaii for his wedding in October 2004. Mr. Clark described his physical condition in Hawaii as "horrible". He described dizzy spells and nausea during a drive, and when swimming in the waves. Jim Dale testified that Mr. Clark seemed to be in pain and to be dizzy during the wedding trip.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[68] Two independent witnesses were called by the defendants. Bill Aniba and Mark Super testified that when they interacted with Mr. Clark in the spring of 2005 in connection with repairs to Mr. and Ms. Clark's townhouse, they did not observe any indications of pain or restricted movement on Mr. Clark's part. I will review their evidence in more detail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[69] The plaintiff said he could not recall the dates when he went back to work in the warehouse on a gradual basis, but that he had continuous pain in his neck and back, and headaches and dizzy spells as he increased his activities. He could not recall whether he had jaw pain. He testified that he stopped working because he was having recurring dizzy spells. He was required to move his head to look for product on the shelves, and had to wrap skids. He was unable to get on the forklift or go up on the lift at all (which was part of the job he had been doing before the accident). He said that he stopped working when the manager, Dave Malterer, told him that he should get better before he came in. Mr. Clark testified that he understands that he no longer has the option of returning to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[70] Mr. Clark testified that he still has pain in his back, neck, head and jaw. He said that he still gets headaches and has a balance problem and dizziness. He also described pain in his jaw starting sometime after the accident. He testified that he still has a constant pulling pain in the neck and a piercing pain when he moves certain ways. He testified that he still has shoulder pain, mainly in the right shoulder, with certain movements such as raising his arm over his head, and sharp pain in the area between the shoulder blades with certain movements. He said he no longer has knee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[71] Mr. Clark said that his physical pain affects his ability to do household chores and to care for his young daughter. He testified that he has not gone back to any of the sports he was involved in. However, Mr. Clark testified that his physical symptoms have improved over time. He has been exercising at a gymnasium and swimming since the accident to keep up his strength.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[72] Mr. Clark testified that he has not thought about a return to work because he feels occupied by trying to get himself back to a level where he could work, and that he currently has no career goals.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The surveillance videotapes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[73] I will at this juncture briefly describe what is depicted on the surveillance videotapes led in evidence by the defendants. Mr. Clark testified that he was still suffering his symptoms at the time of the surveillance in 2005 and 2006. As I will describe later, a number of the expert witnesses who treated him or saw him after the fall of 2004 testified that his presentation in their offices has been characterized by very slow movements, speech and response to questions. One witness, Dr. Amell, described him as walking like someone who is walking through cotton batting. These witnesses said that the slowness was marked and could not be 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[74] On May 3, 2005, Mr. Clark, his wife and daughter were videotaped when they drove to visit a mall. Mr. Clark drove the car. He is shown turning his head seemingly without difficulty when looking behind him, bending and lifting the baby in her car seat, seemingly with no trouble, and rocking her back and forth in her car seat for some time. Nothing appears unusual about the way he walks, and he appears to move at normal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[75] On December 5, 2005, Mr. Clark and his wife were videotaped as they bought a Christmas tree. He was wearing sunglasses although it was an overcast winter day. He appeared to be moving freely.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[76] On August 6, 2006, Mr. and Ms. Clark took their child to a beach park. The taping covers roughly the time between 10:45 a.m. and 2:45 p.m., although there is a substantial gap in the middle where there is no videotape. Mr. and Ms. Clark are shown arriving, unpacking the car, and walking down to the beach. Mr. Clark walks normally, and proceeds at a reasonable speed. There is bright sunlight and quite a few people on the sand and in the water. Mr. Clark wears sunglasses and a baseball cap most of the time but removes his sunglasses while playing with his daughter in the water (for about 10 minutes). He dives under the air mattress and surfaces on the other side several times to entertain his daughter and is seen to shake his head rapidly from side to side just after swimming. So far as may be seen, he does not show signs of dizziness or pain during his time in the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[77] On August 16, 2006, following a drive into Vancouver from Surrey and a fairly lengthy appointment for an independent medical examination by Dr. Prout, a neurologist, the plaintiff was filmed with his father, Wayne Clark, who had driven him to the appointment. While eating lunch on an outdoor patio just after leaving Dr. Prout's office, the plaintiff wears his sunglasses. It appears to be a bright, sunny day. He and his father then walk down the street, moving at a normal speed. There is nothing unusual about the way Mr. Clark walks. He moves quickly off the curb, ahead of his father, when the light changes. When they arrive at the Cecil Pub, he goes up the stairs and through the door fairly briskly and with no sign of difficulty.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[78] Inside the pub, there is darkness, punctuated with bright lights on the stage where exotic dancers are performing and some flashing lights throughout the room. According to Wayne Clark, the music was loud but not so loud as to drown out conversation. The plaintiff is shown talking to his father in an animated way, gesturing. At one point he moves right up to the stage. It appears that the plaintiff spent well over an hour in the loud music and the flashing lights. When he leaves the pub, emerging into bright sunlight, he does not put on his sunglasses but leaves them dangling from the front of his shirt. He is seen to engage in a joking-type conversation with someone in the parking lot, and moves normally. He blinks a little. When seated in the car, he can be seen to stretch, and to rub his eyes. By then, he is wearing his sunglasses.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[79] The videotape contrasts sharply with Dr. Prout's description of the plaintiff's behaviour in Dr. Prout's office earlier the same afternoon. He testified that the plaintiff was moving and responding with remarkable slowness, and wearing his sunglasses indoors. I will review Dr. Prout's evidence in more detail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[80] A surveillance video taken on September 7, 2006 shows Mr. Clark walking down the street, wearing a backpack (which does not appear heavy or bulky), wearing sunglasses and a baseball cap. He walks normally.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[81] On September 10, 2006, Mr. Clark and his wife were videotaped as they went to buy a mini-freezer from an individual at her home. Ms. Clark drove. Mr. Clark is wearing a baseball cap but no sunglasses. He seems to interact normally with the vendor, and takes care of the payment. He shares in loading the fridge into their vehicle and throughout the excursion seems to walk and move normally.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[82] Asked on cross-examination about the portion of the surveillance videotape at the beach where he shook his head rapidly from side to side, Mr. Clark said he did not remember it but that he was having the problems with his neck and with headaches on that date and was still experiencing pain up to 9 or 10 out of 10 with activity. He testified that he assumed he was having the same problems with neck pain and headaches on the day of his visit to Dr. Prout. He explained that living with pain for a long period of time you try to block it out, and he does not like to sit on a couch all day and not do anything, and wants to be involved with his daughter. He offered a similar explanation for the videotapes showing him bending in and out of the car to deal with his daughter in the car seat, and lifting the mini freezer into the back of his car: that he does not display any visible sign of pain because he has lived with the pain since the car accident. He agreed that driving in a car would aggravate his problems with balance and his dizziness and unsteadiness would be worse afterwards, and that the drive from his home to the beach took about half an hour. He said that he does not recall whether he was having difficulty walking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[83] With respect to the August 16, 2006, surveillance video, he agreed that the drive from Surrey to Dr. Prout's office is about 45 minutes or more, and did not disagree that he wore his sunglasses indoors during his examination by Dr. Prout, which took about an hour. He agreed that he told Dr. Prout after about an hour of the interview that he needed a break because his back was killing him. He agreed that after the appointment he and his father went to the Fountainhead Pub and sat for about an hour. He agreed that after driving in from Surrey and going through the doctor's examination his symptoms would probably be worse than usual. He agreed that he had light sensitivity but could not recall if the flashing lights in the pub bothered him. He said he could not recall what happened in the Cecil Pub. He testified that he did not know why he did not put on his sunglasses when they came out of the Cecil Pub. He agreed that on the videotape he did not show any visual sign of having severe symptoms. He said he does not know how he was feeling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[84] Counsel for the plaintiff suggested that the videos presented only a partial picture and indeed that the private investigator who took the footage on August 16, 2006, deliberately refrained from filming while Mr. Clark was exhibiting pain behaviour. I have viewed the complete version of the videotapes in the court exhibits as well as the extracts shown in court. The private investigator, Mr. Kevin O'Connor, was cross-examined by plaintiff's counsel. He testified that his instructions were to videotape the plaintiff as and when possible (within the client guidelines, which restricted videotaping children in a public place), and that he followed those instructions. I am not persuaded that the videotapes are unrepresentative or misleading.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Conclusions as to physical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[85] Mr. Clark's pain seemed to be improving significantly by the spring of 2003, but then worsened to a level, according to his reports to Dr. Ancill and Dr. Dhawan in 2004 and 2005, that he should have been virtually incapacitated by it. However, this was clearly not the case. The evidence of Mr. Aniba and Mr. Super and the evidence provided by the surveillance videotapes refutes the plaintiff's reports to Dr. Ancill and Dr. Dhawan, and suggests that his reports of pain are not reliable. In addition, in the fall of 2004, Mr. Clark carried out activities (buying a townhouse, flying to and from Hawaii for his wedding) inconsistent with his reports of severe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[86] I have concluded that I cannot accept the plaintiff's evidence as to his symptoms at face value. Since the evidence of his family members depends upon the veracity of his reports and presentation to them, I must also view their evidence with caution.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[87] I accept that soft tissue injuries can cause ongoing pain even in the absence of physical findings. Dr. Tomaszewski testified that it is quite common for patients to have pain even if no objective test will verify it. Dr. Tomaszewski testified that while soft tissue injuries should mend over time, sometimes they do not. Dr. Dhawan's report stated that the soft tissue injuries should have resolved well before May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[88] The collision involved significant force. Mr. Clark's symptoms, his reports in the first period, and objective findings by doctors and therapists in 2002 and 2003 show that the accident caused him to suffer injuries to his shoulders, neck, back and jaw, as well as contusion to his knee. I find that the plaintiff suffered soft tissue injuries which disabled him from work for two years from the date of the accident. While he may have continued to suffer some tissue pain, headaches and dizziness to the present time, as well as problems with his jaw, I find that the physical injuries attributable to the motor vehicle accident were such that they would not have prevented him from working, and would not have seriously interfered with his enjoyment of life, after August 30,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[89] As for the possible ongoing impact of physical injuries, the onus of proof is on the plaintiff, and the evidence regarding his recovery from his injuries and prognosis for the future has been muddied by the plaintiff's behaviour in exaggerating his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[90] On the evidence available to me, and taking into account my conclusions regarding the plaintiff's credibility, I find on the balance of probabilities that the symptoms attributable to soft tissue injuries suffered in the accident had resolved by the date of trial, with the exception of some problems with his jaw.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Brain Injury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[91] The plaintiff's case was very largely based on the claim that he suffered a disabling brain injury in the accident. I will address this issue in two steps: (1) Could Mr. Clark have suffered a brain injury, given the circumstances of the accident and the physical findings? (2) Did he suffer a disabling brain injury? In reaching my conclusions I have considered all of the evidence, including the evidence referred to in the previous section on physical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1239"/>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1.</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Could the plaintiff have suffered a brain injury?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circumstances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[92] Mr. Clark testified at trial that he could remember little about the accident on August 20,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[93] Mr. Clark gave an account of the accident to his family doctor, Dr. Tomaszewski, when he saw him on August 23, 2002, three days after the accident. He said that he was a front seat passenger in a motor vehicle going about 80 kilometres an hour on the Alex Fraser Bridge when the driver lost control trying to avoid a road construction object. He said that they smashed into a concrete barrier head on, and that he did not recall losing consciousness but felt "out of it". He remembered his knee striking the dashboard, that his chin struck against his chest wall, and that then he felt "foggy". He said he got out of the vehicle by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[94] Mr. Clark gave a statement to the I.C.B.C. adjuster on August 26, 2002, six days after the accident. In the statement he said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August 20, 2002 at about 8:30 p.m. I was front seat passenger in a car driven by a friend Vanessa Hebb. The car was a Hyundai Excel. It was a mid-sized car. I was wearing my lap/shoulder seatbelt. I believe there is a headrest on the seat. I am 6 feet tall. I believe I pushed the seat back a bit. We were on the Alex Fraser Bridge on the far left lane heading to Richmond. There was a van in front of us and pulled in the lane to the right. There was an object on the road that took up half the lane. I was not paying that much attention. It looked like a square object from what I saw when I glanced at it. Vanessa turned to the right to avoid it and then the car -- the back end came out and lost its grip. I guess Vanessa counter-steered and the car went back and forth for about four or five times. After that the car lost control and went into a slide directly over the three lanes to the right and hit the cement barrier. The weather was clear and dry. It was still light outside. I think we hit a little bit on the left front end but felt more like a front end collision. I remember my chin hitting my chest and everything was foggy after that. I do not know if I blacked out or not. I do not remember hitting the windshield. My head was traumatically whipped around. The last thing I remember is my chin hitting my chest. I do not remember hitting my knees. I did not want to get out of the car. I figure we impacted at 60 or 70 km and I thought I should not be moving my body. I guess Vanessa panicked and screaming at me to get out. I felt like I just wanted to stay in the car, almost like I wanted to sleep. I got out of my right side door and Vanessa was pushing me because I did not think she could get out of her door. Someone said the car was going to blow. I do not know who said that. I was taken by ambulance to Surrey Memorial Hospital. I had x-rays taken of my left knee. There was nothing broken. I have read the above statement and I believe it to be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[95] As may be seen, Mr. Clark's statement to the adjuster shows a recollection of the circumstances of the collision and of his exit from the vehicle, in some detail. In it, Mr. Clark referred to his head being "traumatically whipped around" and to his chin striking his chest. He also told the adjuster that he felt "foggy" and that he did not want to leave the car, almost like he wanted to sleep.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[96] The defendant Vanessa Hebb gave evidence that to some extent confirms Mr. Clark's statement. She agreed that after the collision she was unable to get out of the vehicle because her door was against the barrier. She denied that she saw Mr. Clark hit his head but testified that when she looked at Mr. Clark, he appeared shocked. His eyes were open, just kind of looking in front of him. She agreed that Mr. Clark looked dazed and shocked and that she had to shake him several times to get him to move. After she shook him, he opened the door and got out of the car. The other passengers' evidence did not contradict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[97] The defendant and the other two passengers (Michelle and Andrea Hawthorne) testified that there was a period of about 15 to 20 seconds between the moment of impact and all of them exiting the vehicle in response to one of them saying "the car is going to blow".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[98] I find that Mr. Clark was dazed after the impact, and had to be shaken before he would move out of the car. I find on the balance of probabilities that Mr. Clark did not lose consciousness but did suffer a momentary alteration of consciousness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[99] Sharon Dale, the plaintiff's mother, and Jim Dale, his stepfather, testified that they saw him the day after the accident. He appeared to be in a terrible amount of pain, lying down, with a headache, moaning. They took him out to fill a prescription. He was very, very slow moving, and seemed dazed and bewildered, they said, to the point that he could not remember where milk could be found in the supermarket he had shopped in many times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[100] Olga Clark (who was not yet married to the plaintiff and who was not living with him at the time), testified that on the night of the accident she went to pick Mr. Clark up at the hospital after he telephoned her. She said he seemed confused and was limping. In the day or two after the accident they spoke on the telephone and he complained that he could not remember where his utensils were, and that when he went down into the kitchen the floor would move on him. She said that in the period just after the accident he showed her bruises on his arm and body, and complained of fatigue and dizziness.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[101] Mr. Clark reported forgetfulness on his first August 30, 2002 visit to his doctor.</w:t>
      </w:r>
      <w:r>
        <w:rPr>
          <w:rFonts w:ascii="arial" w:eastAsia="arial" w:hAnsi="arial" w:cs="arial"/>
          <w:sz w:val="20"/>
          <w:lang w:val="en-US" w:eastAsia="en-US" w:bidi="ar-SA"/>
        </w:rPr>
        <w:cr/>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Objective findings of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[102] There was no physical evidence that Mr. Clark suffered a blow to the head, either in the form of a bump or contusion on the skull, or in the form of findings on a later MRI examination. The ambulance crew report indicated no loss of consciousness, that Mr. Clark was alert and oriented, and that his Glasgow Coma Score was 15 (the highest possible). There was no indication that the treating physician at Surrey Memorial Hospital was concerned about possible concussion. There is no evidence that Mr. Clark was given any warnings about concussion (although, as several witnesses testified, possible concussion can be missed).</w:t>
      </w:r>
      <w:r>
        <w:rPr>
          <w:rFonts w:ascii="arial" w:eastAsia="arial" w:hAnsi="arial" w:cs="arial"/>
          <w:sz w:val="20"/>
          <w:lang w:val="en-US" w:eastAsia="en-US" w:bidi="ar-SA"/>
        </w:rPr>
        <w:cr/>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Expert evidence about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[103] Dr. Sadowski, Mr. Clark's treating neurologist, testified that in some circumstances a brain injury may be present if there has been a concussion (which usually implies some period of loss of consciousness or momentary interruption of recall) even when there is no clinical evidence of neurological deficit of any other kind and the imaging (CT scans or MRI's) are negative for evidence of head injury or signs of persistent previous damage. Dr. Dhawan testified that a mild traumatic brain injury ("MTBI") is diagnosed when either there is brief loss of consciousness lasting less than 30 minutes, or post-traumatic amnesia for under 24 hours (with or without any intracranial lesions on imaging).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[104] Dr. O'Shaughnessy, a psychiatrist called by the defendants, agreed on cross-examination that early symptoms of dizziness can be caused by cervical strain, vestibular damage or brain injury and that mild traumatic brain injury can cause a number of non-specific symptoms. He said that a contact force can cause head trauma and that possibly acceleration/deceleration caused otherwise, by whiplash, can lead to brain injury although that is somewhat controversial. Dr. O'Shaughnessy testified that concussion may or may not lead to brain injury: a person can have a momentary loss of awareness, memory or even consciousness without brain injury. He agreed that, by definition, with mild traumatic brain injury the Glasgow Coma Score must be between 13 and 15, confusion with amnesia present for less than 24 hours, and neuroimaging studies are usually negative. If the studies are positive, he said the classification may be different, with the injury classified as moderate brain injury or complicated mild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[105] I conclude from this evidence that a brain injury may be present even in the absence of objective findings if there has been a concussion, and that a concussion may be evidenced through even a brief loss of consciousness or momentary interruption of recall.</w:t>
      </w:r>
      <w:r>
        <w:rPr>
          <w:rFonts w:ascii="arial" w:eastAsia="arial" w:hAnsi="arial" w:cs="arial"/>
          <w:sz w:val="20"/>
          <w:lang w:val="en-US" w:eastAsia="en-US" w:bidi="ar-SA"/>
        </w:rPr>
        <w:cr/>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[106] I take into account the evidence as to Mr. Clark's dazedness following the accident, his statement to the I.C.B.C. adjuster and to Dr. Tomaszewski that he struck his chin on his chest, his statement to the adjuster that his head was traumatically whipped around, and the expert opinion evidence. I also take into account that the accident involved considerable force (on the evidence of the four persons in the vehicle and the photographs showing the extent of damage to the vehicle). I find that Mr. Clark could have suffered a brain injury. The question, however, is whether he did and, if so, what effects such injury has had.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2.</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Did the plaintiff suffer a brain injury?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Evidence led by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Dean Clark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[107] Mr. Clark testified that he is 33 years old, and was born and raised in British Columbia. He described attending school, enjoying saxophone and sports (soccer, baseball, basketball, tennis, golf, volleyball, badminton, skiing and hockey). He testified that he did not graduate with his class because he was short a couple of credits but took a night school course. He described his performance in high school as mixed, saying he was doing activities and following girls too much. He did not have a career goal when he left high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[108] He said that in the two years prior to the accident he was playing hockey in a Division 2 league, baseball, soccer and golf. He did not have career goals at the time of the accident, and testified that he was not that unhappy with what he was doing, working in a warehouse for Denco Warehousing Ltd. ("Denco"). He had been there for about four years at the time of the accident. His job duties were picking orders, packing orders, shipping them out, and filling out waybills. The materials supplied by Denco include heavy items such as metal fasteners and bolts.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[109] When the accident occurred on August 20, 2002, Mr. Clark had already been off work since May with an ankle injury. He testified that he was fully recovered from injuries experienced in a 1993 car accident, and that he had no physical problems at the time of the accident aside from the ankle.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[110] Mr. Clark testified that he does not remember a lot about the accident, but knows there was an object on the road that caused the car to go out of control. Asked how he knows that, he said he thinks he read it. He denied remembering the day before the accident or any of the events leading up to the accident itself, or how the collision occurred. He testified that he does not recall where the accident occurred, but does recall that Vanessa was driving the vehicle, that he was in the front passenger seat and that there were four people in the car. He could not recall who the other two passengers were. As for memories after the collision, he testified that he has a very vague picture of some people around at the scene, but does not remember taking an ambulance or going to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[111] Mr. Clark testified that he gets headaches, both throbbing and piercing ones. The throbbing ones occur when he has exerted himself. He described daily dizzy spells affecting his balance, his sense of direction, and his ability to find words. He said that it seems a full day brings on the dizziness, or if he absorbs a lot of information, reads a lot, drives in the car, or watches television for too long. He also said that he becomes irritable and angry with a certain amount of activity, and that he had more patience before the accident and did not have problems with irritability and anger. He experiences mental fatigue daily, he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[112] He said that he does not socialize a great amount. He does not drive because he does not feel safe at the wheel. He said that he stopped driving altogether at the suggestion of those treating him at G.F. Strong.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[113] He said that Olga Clark found the townhome they bought in 2004, and that he does not remember looking at other townhomes before they made their decision, nor does he remember signing documents in connection with the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[114] He testified that there were problems with the vinyl siding on the house, which had been torched by the roofers, and that he had an argument with the roofer, "Mark", about the matter. He swore that Olga Clark was involved as much as he was in trying to deal with the problem, communicating with the property management company. He also recalled the meeting with the property management person and Mark in connection with the problem in the attic, saying that he helped push the insulation through with a long pole so they could pull it from the outside. He said that he had pain while doing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[115] He described his attendance at G.F. Strong, and some of the strategies he has learned for minimizing some of the problems he is experiencing. These included using a ruler to read, pacing his energy level, and holding a towel in the car to "ground" himself. He could not remember whether he was wearing tinted glasses before he started at G.F. Strong. He went to an attention group and a support group for a while. He is still attending a reading group once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[116] Mr. Clark testified that he believes he has improved since he started attending G.F. Strong.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[117] He testified that when medications are prescribed, he takes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[118] On cross examination he agreed that it appeared that he had told Dr. Ancill that he enjoyed school and graduated in 1991, had told Dr. Coen that he had a Grade 12 diploma with average marks, had told Dr. Viljoen that he had no academic difficulties, and that at his examination for discovery he had said that he graduated in 1991 in the middle of the pack. His academic transcript was put to him, showing four failed courses in Grade 12, and failure to graduate in 1991. He explained that he would have said what he did to the doctors and on discovery because he would not have recalled receiving those low marks and thought he was an average student.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[119] Questioned about his job at the warehouse, he said that he would not say that he enjoyed the job. However, he said, he did not mind the job. He denied having troubles getting along with David Malterer, the warehouse supervisor, and denied meeting with his employer about that. He agreed that he was considering doing something else if the opportunity to do something better arose.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[120] He agreed that he had been in a fight with a co-worker at the job prior to the accident, possibly more than once. He said he got along with most of the people he worked with but did not socialize with them after hours. He agreed he did not have a lot of close friends other than his wife Olga and his former room-mate Shane Reid.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[121] He agreed that at the examination for discovery he had testified that his ankle was mostly better by the time of the accident, although in fact his ankle was still disabled for several more months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[122] He agreed that he had not told any of the doctors he saw in connection with the 2002 motor vehicle accident that he may have experienced a loss of consciousness when he had the 1993 motor vehicle accident. He said that he did not think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[123] Examination for discovery transcript was put to him in which he had testified that when he gave his statement to the adjuster on August 26, 2002, he was on his own, that the information came from him and from no other source, and that it was his recollection at the time. He said that he believed he was telling the truth at the time he gave that evidence on discovery. He agreed that the statement appeared to have been signed by him on September 4,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[124] He agreed that he had a better memory of the details of the motor vehicle accident when he provided the statement to I.C.B.C. than he did when he answered questions about it at the examination for discovery, and that his memory at the time of discovery was better than it was at trial. He agreed that it seemed that his memory has simply gradually faded.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[125] He could not explain why he told Dr. Ancill (who saw him prior to the October 2005 examination for discovery) that he did not remember the accident or why he did not tell Dr. Ancill that he had had a good recollection of the details of the accident at an earlier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[126] He agreed that he probably told Dr. Ancill on his first visit that he had severe headaches, severe feelings of dizziness, nausea and/or vomiting, severe sensitivity to noise, and other severe symptoms. He agreed that he told Dr. Viljoen that he had headaches worsened by any head movements, for example during swimming, and that he tries to keep his head aligned straight most of the time. He agreed that he told the G.F. Strong people that he is very sensitive to bright lights and/or glare and that he told Dr. Dhawan that he had a high level of pain, 6-7 out of 10, 24 hours a day, 7 days a week, increasing to 9 or 10 out of 10 with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[127] Mr. Clark testified that despite what he had described as severe motion sensitivity he flew to Hawaii in the fall of 2004 because he wanted to marry his wife. He agreed that he had returned from Hawaii only a few days before he saw Dr. Ancill for the first time. He did not know if he had told Dr. Ancill or any of the doctors about the trip to Hawaii. He agreed that at his examination for discovery in January of 2006, when asked if he had taken any trips out of the Lower Mainland since the accident, he described a camping trip and a houseboat tour but did not mention Hawaii until later, when pressed for details about the wedding ceremony.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[128] He also agreed that he said at discovery that he had never driven a car with his child as a passenger, and that that was false.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[129] Mr. Clark agreed that he and his wife together dealt with the negotiations and purchase of their townhome, and with the financing. He said he did not believe that anyone expressed doubt that he was incompetent to enter into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[130] Mr. Clark agreed that he would have incurred expenses in travelling to and from work if he had not been injured. He said that he is currently receiving a Canada Pension Plan disability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Olga Clark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[131] The plaintiff's wife, Olga Clark, works full-time as a revenue coordinator for a property management company. She and Mr. Clark began to live together in July 2004, and bought a condominium in November 2004. They married on October 1, 2004. Their daughter was born February 1,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[132] Ms. Clark confirmed that her husband had been very active in sports before the accident and that she had not seen any of the symptoms of which he now complains prior to the accident. She described his forgetfulness and fatigue beginning immediately after the accident, as well as trouble with his balance.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[133] Mr. Clark attempted a back to work program from the end of 2003 to the end of 2004, she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[134] Ms. Clark described the plaintiff's ongoing symptoms as forgetfulness and loss of concentration. She testified that she noticed that his driving was "kind of scary" - he would turn left in front of traffic or run stop signs - he stopped driving after testing was done at G.F. Strong in August 2005. She agreed that the surveillance videotape of May 2005 showed her and her child as passengers with Mr. Clark driving. Asked whether she did not think that was unsafe, she said it was the lesser of two evils. Further, she said, it was a short distance to the mall and Mr. Clark wanted to try to take her out on her birthday.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[135] Ms. Clark said that in order to deal with the problems caused by his forgetfulness and loss of concentration they put post-it notes on their cupboards so that he knew where everything was and put up reminder post-it notes of appointments and so on. He uses a "memory board". They tried to increase his activities in 2004 as part of his rehabilitation. He goes to the gym three times a week, swims, walks, and does some chores around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[136] She described his extreme forgetfulness, saying that he would forget appointments, even forget what he had just seen on television. She testified about his light sensitivity and his massive headaches. She said he started wearing tinted glasses after G.F. Strong recommended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[137] Their wedding in October 2004 was in Hawaii because Ms. Clark's family would be there anyway (for her sister's renewal of vows ceremony). She described a drive around the island when they had to pull over several times because Mr. Clark started to get dizzy in the car. She testified that he had to abandon an attempt to snorkel because he could not handle the up and down motion of the waves.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[138] Ms. Clark agreed on cross-examination that she did not have a concern about her husband making the trip to Hawaii for the wedding because she said that he had a few days to rest after the trip.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[139] Mr. Clark has not been working and Ms. Clark said he tries to help with the household work, the baby and the cooking but is not able to do more than one thing at a time and would get exhausted playing with the baby for more than 20 minutes. The child goes to daycare when she goes to work. She said that Mr. Clark helps with the yard work in that he does the weed whacking while she mows the grass and does the rest of the yard.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[140] She said that her husband is fine in the mornings and if he is well-rested he will be content and easy to deal with, but he becomes moody if he has tired himself out. She said sometimes he has difficulty finding words and this delays his conversation. It becomes worse when he is tired, and he sometimes becomes agitated. Ms. Clark said that the medication Dr. Ancill prescribed helped his moods but that the Ritalin which Dr. Dhawan prescribed made him aggressive and moody. When he stopped taking Ritalin at Dr. Ancill's recommendation, that settled him down, she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[141] Ms. Clark said that at present Mr. Clark seems to have a little bit more energy to do things and seems to be resting better at night. Overall he is still forgetful with certain things and if he does too much he becomes tired and irritable. He still cannot multitask. He is now getting up and starting the day earlier (rather than sleeping in) while Ms. Clark gets up and takes the child to daycare on her way to work. He is going to the gym more often and taking more walks. He still finds that long car rides make him dizzy which in turn makes him agitated and tired and unable to find words. They have stopped going to family gatherings because it is too overwhelming for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[142] With respect to the surveillance videotapes, Ms. Clark said that nothing on the videos surprised her. She said that Mr. Clark was doing things which were part of his rehabilitation, such as swimming.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[143] Ms. Clark agreed on cross-examination that when they purchased their home in the fall of 2004, they dealt directly with the selling realtor, hired an inspector to whom they both spoke, and attended at the bank and with the lawyer or notary together. She agreed that her husband took part in all of these transactions. She said she recalled that the realtor had to repeat several things because her husband did not understand. She agreed that no one questioned her husband's mental capacity or competency to enter into the deal.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[144] Mr. Clark was asked on cross-examination about reports from Dr. Ancill in January and March of 2005 in which Dr. Ancill questioned Mr. Clark's mental competency and suggested that a guardian ad litem should be appointed. Asked whether, when she married Mr. Clark and bought a house with him, she thought there was any question regarding his mental competency, Ms. Clark responded that she handled a lot of it. She said she did not think he was fully competent and she knew he had some problems that he needed help with; she still married him because she loved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[145] Ms. Clark's evidence was that her husband's symptoms can range from severe and very noticeable down to not really noticeable at all. For example, she said, if someone saw him first thing in the morning they might not notice anything.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[146] Asked to explain how it could be that when Dr. Sadowski, the neurologist, saw Mr. Clark in June 2004, his symptoms were not obvious, Ms. Clark said that his symptoms depended on his day. She said that his symptoms would be visible if he was having a bad day because he would be easily irritated with headaches and be exhausted and unable to find his words. As well, he would display some of the highly noticeable slowness of speech, movement and thought depending on his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[147] Asked whether he would be particularly symptomatic when he attended at doctors' offices, she said it depended on how long it would take for him to get there. She testified that the questions the doctors would ask were very difficult for him and he would come home exhausted. She said that driving in a car for long distances and seeing things go flying by on his side made him dizzy and disoriented.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Sharon Dale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[148] The plaintiff's mother, Sharon Dale, testified that her son Dean was born July 13, 1973 and was very athletic throughout his youth. He got good marks in school until he became older, possibly suffering a decline because of his involvement in high school sports. He was in an earlier motor vehicle accident in 1993, which she said was bad. She said he may have had headaches afterwards. She described her son as someone who seldom complained, had a good memory and was trustworthy.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[149] Ms. Dale said that her son never told her the details of how the 2002 accident occurred. She said he was incapable of giving details, and could not tell her what had happened. Ms. Dale said that she went with her son to I.C.B.C. when he gave his statement but he went in to the meeting with the adjuster on his own. She said he seemed confused.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[150] She said that in 2003 he started having dizzy spells and was also becoming very forgetful. In the spring of 2003 when he moved house, they brought in family members to help him move. By March or April 2004 he was very forgetful, slow and confused, and kept asking her the same questions over and over again. With respect to the Hawaii wedding in 2004, Ms. Dale said the flight was stressful and when he got there he complained of headaches. She testified that by the end of 2004 his condition was a lot worse and she kept saying he should ask his doctor for an MRI but he kept forgetting and asking what that was. She described him during this period as having trouble reading, saying "the lines were off", having to leave notes all over the house to say where things were, and becoming argumentative and confused. She testified that in 2004 she realized that something was deeply wrong.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[151] Ms. Dale said that they were not having serious concerns about his mental capacity when he married Ms. Clark in November 2004. Instead, they were supporting him in trying to get better and not treating him as if he was mentally incompetent. For a while they thought he was getting better. However, she said that when he was in the back to work program (2003-2004) his symptoms steadily got worse.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[152] Ms. Dale said that she first saw her son having problems walking when they were helping him move in 2003. She said his balance was off; he walked with his feet "plopping". Ms. Dale said that the September 7, 2006 video shows him walking with his feet going "plop, plop" and that it is typical of the way he appears when he walks since the accident. With respect to the May 3, 2005 video, she agreed that he appears to be moving without restrictions on his back or neck but said that he takes painkillers and he does not show problems with balance or movement sometimes, depending whether or not he is on his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[153] On cross-examination, Ms. Dale agreed that there was a period of time in late 2004 when her son seemed to particularly deteriorate.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[154] Ms. Dale described the plaintiff's irritability and aggression since the accident. She said that in 2006 he physically assaulted his brother at Christmas dinner.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Jim Dale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[155] Jim Dale, the plaintiff's stepfather, raised him as his own son from birth. He described Mr. Clark as being a "sports fanatic", enjoying reading, but suffering low grades in high school. He said after high school Mr. Clark worked for a short time in a book binding company, then took up selling vacuum cleaners. He did that for two or three years in Vancouver then went to Prince George in connection with the same business. He ended up working in shipping and receiving at Denco.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[156] Mr. Dale described the plaintiff's confusion and forgetfulness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[157] Mr. Dale said that while Mr. Clark was in the graduated return to work program he diligently applied himself but could not do the work because of dizziness. He would telephone and ask to be picked up because he had become dizzy and was afraid to drive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[158] Mr. Dale said that in 2003 they helped the plaintiff move because he could not carry anything heavy. He said that in 2003 he would go to Mr. Clark's house and find him lying on a chesterfield in the basement covering his eyes because of headaches. He said that Mr. Clark was unable to watch hockey on television anymore because he could not follow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[159] In the period leading up to the wedding in 2004, Mr. Dale noticed that Mr. Clark had a terrible memory and could not remember appointments. Mr. Dale got a board for him to keep track of his appointments. With respect to the Hawaii wedding in 2004, Mr. Dale testified that Mr. Clark was very tense and stiff, concentrating hard on memorizing his speech, and that he became ill when he tried to snorkel.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[160] Mr. Dale said that Mr. Clark's balance was affected in contrast with his excellent balance before the accident. He testified that the plaintiff has lost his humour and he has slow and deliberate speech, asking the same questions over and over again. He is sometimes aggressive and difficult.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[161] Mr. Dale agreed that Mr. Clark was not destined to be a strong student or a rocket scientist, but said he was a steady student. He did not agree that his condition deteriorated seriously sometime in late 2004 early 2005; instead, he said, the family's perception changed. His view was that they did not realize how badly hurt Mr. Clark was until that time. He said that until the plaintiff saw Dr. Ancill, and went to G.F. Strong, Mr. and Ms. Clark emphatically believed that he was going to get better. They thought that all he had was a vestibular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[162] On cross-examination, Mr. Dale said that when Mr. Clark flew to Hawaii for the wedding in October 2004, his symptoms were just as apparent as they were in 2005 when he was attending G.F. Strong. He said that in January to March 2005, he believed that Mr. Clark was not mentally competent to absorb all of the information being presented to him by counsel and by the doctors and that he needed a legal guardian. He said he did not consider in October or November 2004 whether Mr. Clark was mentally competent.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[163] Mr. Dale said that Mr. Clark has been sensitive to light ever since the motor vehicle accident. (On the other hand, Ms. Dale said that they first learned of the light sensitivity when Dr. Ancill at G.F. Strong told them about it. Olga Clark said that he was sensitive to light from the outset, but they did not think of sunglasses until G.F. Strong suggested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Wayne Clark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[164] Wayne Clark, the plaintiff's biological father, was not seeing his son regularly at the time of trial. He described the plaintiff as having become very difficult to deal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[165] Wayne Clark testified that Dean Clark was always very well coordinated and loved sports. He said he was "always the best guy on the team" and that up until 2002 he played hockey in a Division 2 league. He did not recall Mr. Clark having any previous problems with bending, lifting, climbing or standing, anxiety, forgetfulness, dizziness, loss of concentration or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[166] He described his son as someone who does not complain about things; instead, he keeps going. He said that Mr. Clark had severe and very noticeable symptoms the first time he saw him two weeks after the motor vehicle accident. However, he said that his son is a very private person and covered these symptoms up when he saw his doctors.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[167] He agreed that in November 2004, when Mr. and Ms. Clark bought the townhouse, Mr. Clark already had all of the severe and noticeable symptoms and anybody dealing with him presumably would notice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[168] Wayne Clark testified that he did not recall Mr. Clark having improved as reported by Dr. Fuscaldo in May 2003. He said he would be surprised if Mr. Clark had told his family doctor that he was 50% better in March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[169] Wayne Clark said that his son has changed since the accident. He talks differently, he is slower and gets tired, he moves differently, and does not seem steady. In addition, he seems stressed and volatile, and has problems with his short term memory and ability to concentrate.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[170] He said that in January 2005 he was told that Mr. Clark had a head injury and that he was not surprised because he knew there was something wrong. He said he was brought into the loop because Dr. Ancill had said that Mr. Clark needed a guardian ad litem, and it was felt that he should fill that role.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[171] (It appears that an application was made for the appointment of a guardian ad litem for the plaintiff in this action, but that application was unsuccessful.)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[172] Wayne Clark said that Mr. Clark complains of dizziness and nausea in the car. He also complains of headaches, of light bothering him and the movement in the side of his eyes. He said you cannot talk to Mr. Clark when you are driving because he is so busy just keeping himself together. He described problems with comprehension and with pain in his back and his neck. He said that Mr. Clark wears sunglasses because the light bothers his eyes, and his house is always dark.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[173] Wayne Clark said that Mr. Clark has become worse over time, but has learned some techniques to compensate for his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[174] He said that since January 2005 he or his ex-wife have taken Mr. Clark to his appointments because he does not drive.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[175] Wayne Clark took Mr. Clark from Surrey to the appointment for an independent medical examination with Dr. Prout on August 16, 2006 in downtown Vancouver. Wayne Clark agreed that Dean was moving slowly, acting slowly, and wearing dark sunglasses when he went in to Dr. Prout's office. Commenting on the footage in the video showing the plaintiff walking down the street, Wayne Clark said that it was unusual in that his son stepped out in front to cross the street rather than lagging behind. He agreed that Mr. Clark appeared to be walking and moving completely normally. He agreed that he video accurately represented the lighting in the pub. He said when they came out of the pub, it was bright and he agreed that Mr. Clark appeared completely fine and normal on the video clip. He noted, however, that when Mr. Clark got in to the car he did a "routine" which he always does when he gets a headache. He commented that Dean appeared to be having a good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[176] He commented that later footage on the August 16, 2006 video shows Mr. Clark rubbing his eyes, which he said is typical because Dean gets headaches and dizziness after appointments since he has been "pushed to the limit" and is suffering.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[177] With respect to the September 7, 2006 video, Wayne Clark agreed that although Mr. Clark did not move the way he used to, there was no sign of balance problems or unsteadiness. He said again that Mr. Clark must have been having a good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Shane Reid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[178] Shane Reid was Mr. Clark's roommate for about a year prior to the motor vehicle accident. He said that they would do roller hockey, tennis, bicycling and ice hockey together before the accident and Mr. Clark loved sports and going out to do things, including recreational hockey.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[179] Mr. Reid said that in the days and weeks following the motor vehicle accident, Mr. Clark seemed tight, with slower movements, and that Mr. Clark mentioned headaches and dizzy spells. He could not recall Mr. Clark having any speech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[180] Mr. Reid said that when Mr. Clark attempted the return to work he seemed tired and complained initially about the heavy lifting, although typically he was not a complainer.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[181] Mr. Reid said that when they moved, Mr. Clark pretty much did his own moving although some of his family members helped a bit too.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[182] Mr. Reid agreed on cross examination that after the motor vehicle accident Mr. Clark's speech was in general normal and fine, the same as it had been before. He agreed that even before the motor vehicle accident Mr. Clark would move a little bit more slowly than most people. He agreed that before the motor vehicle accident Mr. Clark was somewhat forgetful and had a weaker than average memory. He said that Mr. Clark can still carry on a conversation and agreed that nothing has changed in that sense, although his mood has changed. He agreed that overall Mr. Clark was essentially the same person with the same personality. He did not notice that the plaintiff became more clumsy after the accident than he was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[183] Mr. Reid agreed that while at work, prior to 2002, Mr. Clark had some disagreements and once got into a physical fight. He agreed that Mr. Clark had concerns for his future, found his job repetitious and was not entirely happy with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[184] Mr. Reid testified that he has bumped into Mr. Clark three or four times since they ceased to be roommates. He testified that he did not notice anything unusual except that Mr. Clark sometimes seemed tired or fatigued.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David Malterer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[185] David Malterer was a childhood friend of the plaintiff and has remained a friend. He described Mr. Clark as being an above average athlete, always in shape, and having no previous problems with concentration, forgetfulness, dizziness or headaches. He said the plaintiff was a normal person in terms of mental capabilities.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[186] Mr. Malterer has worked at Denco for 12 years, and in fact had suggested that Mr. Clark come to work there. Mr. Malterer became the warehouse supervisor in 2000. He testified that Mr. Clark was working as a warehouse receiver, which is the hardest position in the warehouse in terms of physical exertion. The warehouse receiver is required to move pallets with 36 boxes each of 30 to 50 lbs. and put them on shelves, using a forklift. He agreed it was a tedious and physically demanding job. Mr. Malterer said that until the ankle injury Mr. Clark was doing fine and was an above average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[187] With respect to Mr. Clark's graduated return to work program, Mr. Malterer said that he could see it was going to be a problem right away because Mr. Clark was slow, his movements were strained and it took him maybe four times as long to do things if he could finish them at all. Because Mr. Clark was suffering dizzy spells, they would not allow him to go on the machinery. Mr. Malterer said that he did not notice anything initially with regard to the plaintiff's mental capacity, but after some months he realized that there was really not much point in Mr. Clark coming back to work because he was unable to focus on the work and would make errors. He testified that he was able to communicate effectively with the plaintiff but Mr. Clark was not as outgoing as he was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[188] Mr. Malterer testified that his own promotion in 2000 had strained their relationship. He agreed that prior to the accident Mr. Clark had altercations more than once with another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Ian Dennison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[189] Ian Dennison is the manager of Denco Warehouse, and hired Mr. Clark. He testified that when Mr. Clark came back on the graduated return to work program he did not appear to be the same person physically and mentally, and just did not seem to have much concentration. As well, he was not strong, and moved slower. There were lulls in conversation with him - he would have to stop and think about what he was going to say next. However, Mr. Dennison said, he did not know him well before. He agreed that he would not have described him after the accident as a mentally disabled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Dr. Tomaszewski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[190] Dr. Tomaszewski is Mr. Clark's family doctor. Mr. Clark went to see him regarding his injuries in this accident on August 23, 2002, three days after it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[191] Dr. Tomaszewski testified that he has seen many patients in connection with soft tissue injuries and has seen maybe 25 patients over the past 20 years with traumatic brain injury. He said that prior to the motor vehicle accident Mr. Clark had made no complaint of anxiety, forgetfulness, loss of concentration, restlessness, irritability, difficulty handling frustration, dizziness, sleep disturbance, headaches or fatigue, other than some slight episodes in connection with a bout of the flu. He contrasted Mr. Clark's appearance, speech and behaviour before the accident with what he observed after. He testified that Mr. Clark, after the motor vehicle accident, became disorganized, could not remember events surrounding the motor vehicle accident, and developed unusually slow speech. He began wearing sunglasses. He appeared hopeless on many occasions, turning to his stepfather or other family member. His movements became very, very slow. His style of walking 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[192] Significantly, Dr. Tomaszewski did not observe Mr. Clark to be slow in his responses or unclear in his thought content when Mr. Clark described the accident and his symptoms to Dr. Tomaszewski three days after the accident, on August 23, 2002. He was able to give a fair amount of detail about the accident and gave clear answers indicating no difficulty in remembering any of the events. Dr. Tomaszewski testified that he would have noted marked slowness of speech or responses on Mr. Clark's part if he had observed them. He agreed that November 28, 2002 was the first complaint to him of dizzy spells and that April 7, 2003 was the first mention to him of jaw tightness, difficulties with concentration and easy fatigue.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[193] An April 13, 2003 report written by Dr. Tomaszewski does not mention slowness of speech or movement because he had not yet observed those in the patient. He said he would have noted them if they were present. He agreed on cross-examination that the changes have occurred since that date and that the changes are quite dramatic. He agreed that Mr. Clark's bewildered appearance has emerged only in the last three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[194] He further agreed that Mr. Clark's symptoms and presentation were not typical of a mild traumatic brain injury patient. While there can be delayed presentation of symptoms, he said the onset of the worst symptoms will be within at most a week, and after that they will gradually taper off. He said it is not expected that someone will be able to walk and talk normally for eight months and then be unable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[195] Dr. Tomaszewski testified that when Mr. Clark complained of cognitive function problems and persistent dizziness, he referred him to a psychiatrist, Dr. Ancill, in the fall of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[196] When this witness was shown the August 16, 2006 surveillance videotape of the plaintiff lunching, going into the pub and then emerging into the sunlight, he agreed that the manner in which the plaintiff walked down the street in the video contrasted with the manner in which he walked into Dr. Tomaszewski's office. He agreed that Mr. Clark was much, much slower when he came for office visits than he appeared in the video. He said that the ability that Mr. Clark displayed on the video to turn his head back and forth with some ease and freedom was not inconsistent with what he had seen in his office. However, he did agree that someone with visual photophobia symptoms would not find the pub with the flashing lights to be comfortable. He said it was inconsistent with light sensitivity not to put on dark glasses when emerging into bright sunlight and he agreed that Mr. Clark's behaviour, engaging in conversation with someone in the parking lot, appeared inconsistent with the kind of presentation Mr. Clark had given in his office, at least in the last couple of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[197] On re-examination, Dr. Tomaszewski agreed that he had not noted the change in Mr. Clark's speech and that he was relying on his memory in answering questions on cross-examination as to when those changes had taken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[198] I found Dr. Tomaszewski to be a highly credible witness. He was careful and fair in his answers, and his records showed a meticulous approach. I accept his evidence that he did not note the changes in Mr. Clark's presentation and the extreme slowness of speech, air of bewilderment and slow movement until sometime after April 2003. I also accept that he would have noted these symptoms if they had been present. Finally, I accept his testimony that the surveillance videotape taken on August 16, 2006 shows Mr. Clark behaving quite differently than he has been in the last few years when attending in Dr. Tomaszewski's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Dr. Sadowski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[199] Dr. Sadowski, a neurologist, saw Mr. Clark on June 24, 2004, on referral from Dr. Tomaszewski.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[200] Dr. Sadowski reported that Mr. Clark told him that he had been riding as a front seat passenger with a seatbelt on and a headrest adjusted when the driver lost control of the vehicle on the Alex Fraser Bridge and swerved into a cement barrier, that he remembered the car approaching the barrier and next remembered everything in slow motion with his head and neck being forcibly flexed down. Mr. Clark said he had a vague recollection of being at the scene of the accident and blood on his left knee but no cuts or bruises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[201] Mr. Clark told Dr. Sadowski that he had had neck pain on a daily basis, aching and sharp with movement, with some slight improvement but no change for about a year, continuous pain between the shoulder blades and in the mid-back, worse with movement and worse with deep inspiration with no significant change over a year, and in addition constant and severe headaches. He also reported throbbing in the head and periodic numbness in the shoulder. He described dizziness, said that his memory was particularly bad in the first six months, and that he was still having memory problems, difficulty in concentration, and that he was working up to two and one-half hours a day on a back to work program but was having difficulty coping with the schedule.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[202] Dr. Sadowski testified that all neurological findings were normal on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[203] Dr. Sadowski also found gait and tandem gait to be normal, good range of neck movement with some discomfort felt on the right side with left lateral rotation and with extension on forward flexion (minimal) and some tenderness in the interscapular region in the midline of the thoracic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[204] Based on what Mr. Clark told him, Dr. Sadowski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man has post-concussional syndrome with post-traumatic nervous instability. I will arrange for him to have an MRI of the head to exclude any significant head trauma. I think he should be seen by a psychiatrist since frequently there can be overlying emotional issues and depression is not an unusual symptom in this setting. I think he should also have formal neuropsychological testing.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[205] The MRI proved to be normal, showing no residue of bleeding in the brain.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[206] Dr. Sadowski testified that he assumed that the plaintiff had suffered some alteration of awareness after the accident but he did not assume that he had suffered amnesia. He agreed that if amnesia exists it will occur right away and be permanent. A patient will not be able to recall the event six days afterwards and then later forget it. He said that if the individual forgets it later it is not because of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[207] When Mr. Clark's statement to the adjuster was read to him, Dr. Sadowski agreed that it was more detailed than the recollection related to him by Mr. Clark but noted the mention of "fogginess" indicating some alteration of awareness. He agreed that more complete recollection closer to the time of the accident would suggest the absence of actual amnesia for the events of the accident and that a fairly detailed recollection of what happened in the first 20 seconds after the accident would suggest a pretty complete memory. Dr. Sadowski did not have the hospital records or ambulance crew report when he gave his opinion but testified that a minor concussion would not necessarily be picked up by the ambulance crew or even in the emergency room at the hospital even though it ought to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[208] Dr. Sadowski testified that there was nothing about Mr. Clark's presentation in his office (his movement, or the way he responded to questions) that suggested something seriously wrong. He said that he had no recollection of marked slowness although he added that he could not say that he actually remembered Mr. Clark.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[209] Dr. Sadowski was a credible witness. It is implausible that he, a neurologist who was examining Mr. Clark for possible mild traumatic brain injury, would have failed to note significant slowness of response, speech and movement of the kind that Mr. Clark displayed a year later when he presented at G.F. Strong. I find that those phenomena were not present when Mr. Clark saw Dr. Sadowski.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Dr. Ancill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[210] Dr. Ancill is a psychiatrist who specializes in treating the psychiatric and behavioural consequences of traumatic brain injury. He is Mr. Clark's treating psychiatrist. He testified that the treating psychiatrist must always be the total ally of the patient, but that it does not follow that he must always accept what a patient tells him; rather, he is required to try to establish an accurate diagnosis. He said that he did not see a conflict between treating and testifying because a patient's interests are served by candid testimony. While a forensic psychiatrist must take into account the possibility of malingering or exaggeration, so must the treating psychiatrist to some extent, he said, because the treating psychiatrist may be prescribing potent medication. He said that as the treating doctor, he has the advantage of seeing someone on multiple occasions over time and seeing improvement or lack of improvement. He suggested that it would not be plausible that someone feigning or exaggerating symptoms would be so sophisticated as to show improvement with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[211] Dr. Ancill first saw the plaintiff in October 2004 at the request of Dr. Tomaszewski, who attached the consult report from Dr. Sadowski. In that report, Mr. Clark was diagnosed with "a post-concussional syndrome with post-traumatic nervous instability".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[212] Due to an emergency with another patient, Dr. Ancill had limited time on the first visit, but he went over the Rivermead Symptom Checklist with Mr. Clark. Dr. Ancill concluded on the basis of the brief interview and examination, and on the basis of Mr. Clark's mother reporting a significant change in Mr. Clark since the accident, that he was in agreement with Dr. Sadowski but would defer any psychiatric intervention until he had the chance to see Mr. Clark again. Dr. Ancill testified that he made only a provisional diagnosis at the first meeting and had reached a working diagnosis of acquired brain injury at the second meeting, but that he was prepared to revise that diagnosis if the situation 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[213] He reported that he saw Mr. Clark again three days later on October 15, 2004, and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Clark's last memory before the impact was of seeing the concrete barrier coming at him and therefore he reported a brief period of retrograde amnesia. He said he had no recollection whatsoever of the impact itself and he had a brief period of unawareness (dense post-trauma amnesia) followed by a longer period of discontinuous memory. Mr. Clark was not able to tell me if he had lost consciousness or how long it was until his fragmented post-MVA memory became continuous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[214] Dr. Ancill described Mr. Clark on initial examination as appearing "bewildered and uncertain", "anxious but not depressed", and with a blunted affect.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[215] Dr. Ancill decided that Mr. Clark should take Gabapentin because of his headaches and irritability and started him on that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[216] Later on in the course of treatment, Dr. Ancill diagnosed Mr. Clark as suffering from some depression and he prescribed Wellbutrin on October 16,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[217] In his report, Dr. Ancill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has been stated by other experts that it is indeed unusual for the symptoms of a brain injury to get worse over time. However, Wrightson and Gronwall have reported that there is a small late' group of MTBI patients who may have been able to get by for months or years and may even have shown some adaptation to the injury. However, some extra stress precipitates a breakdown and the connection with the original injury may not appear definite. It is quite possible that his getting married with all the extra responsibility that entailed could be the stressor that caused him to deteriorate, but I accept that remains somewhat speculative and the actual stressor has not been properly identified.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share the difficulty of others in understanding this patient as do others who have examined him. When I saw him initially, I felt that he continued to show symptoms of a post-concussion syndrome as had been described by his attending neurologist, Dr. Sadowski, who had examined him in June of 2004, four months earlier. I felt that, by definition, he had probably sustained an injury to his brain. I continue to be of this opinion.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Clark has reported a disturbance in his memory regarding the 2002 accident to every expert who has examined him, as detailed earlier in my report. There may be some disagreement to the extent of any retrograde amnesia for the events that preceded the accident but any such retrograde amnesia would have been brief. There appears to be general agreement that Mr. Clark has no recall of the accident itself and that his post-accident memory is discontinuous for some period thereafter.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Concussions and the post-concussion syndrome typically have a generally favourable outcome in many cases but a significant minority have long term problems and disability and permanent sequelae frequently complicate even mild brain injuries. As McAllister has stated: "... in many respects, the term mild brain injury is a misnomer. Sequelae include problems in cognition, behaviour, the constellation of signs and symptoms that make up the post-concussive syndrome, other psychopathology and a surprisingly high rate of disability" (McAllister T.W., in the Textbook of Traumatic Brain Injury, Silver M et al, American Psychiatric Press, 205, page 282)"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[218] Dr. Ancill concludes his report with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no doubt that Mr. Clark, as well as his family, continues to suffer as a result of the accident in question. Of importance was that on many occasions, Mr. Clark himself would not report problems but his family members would, and this is common in brain-injured patients.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Clark has also shown improvement and response to medications which would not be expected in someone who is feigning illness.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defer to others to elaborate on his physical injuries.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agree with Dr. Dhawan that whatever the etiology of Mr. Clark's problems may be, he is disabled and a return to any form of employment is unlikely.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But for the accident of August 2002, I do not see any other reasonable cause for Mr. Clark's current situation. I do however agree with the general consensus that Mr. Clark presents diagnostic challenges and that his problems are not well-explained by a simple diagnosis of a mild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[219] Dr. Ancill testified that the existence of memories after the accident was not necessarily inconsistent with injury. He said it is not uncommon for people to have relatively good memories immediately after but then have no recollection by the time he sees them. (His evidence on this point was inconsistent with that of Dr. Sadowski and Dr. Prout, both neurologists, and with that of Dr. O'Shaughnessy, a psychiatrist. Dr. O'Shaughnessy said in his report that the natural course of a concussion is for symptoms to be at their worst in the first few days to weeks following the accident and thereafter gradually improve. Dr. Dhawan, a physical medicine and rehabilitation specialist and Dr. Coen, a clinical psychologist, also gave different opinions regarding whether brain injury leads to later disappearance of memories of the accident.) Dr. Ancill agreed, however, that most people who suffer traumatic events do in fact remember them. He agreed that if slowness of speech and movement first appeared in the six month period between June and October 2004, that is, almost two years after the event, it would be unlikely to have a direct relationship with any concussion in the motor vehicle accident. He said that slowness is going to be there right away if it is as a result of concussion.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[220] Dr. Ancill gave the opinion that Mr. Clark does not suffer from a psychiatric disorder. He ruled out conversion and factitious disorders because Mr. Clark responded to treatment. He said that the difficulty with this case is that for a fairly minor initial impact, the symptoms are significant. His opinion is that Mr. Clark is incapable of any kind of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[221] His comments on the August 16, 2006 surveillance video were that it is important to distinguish between behaviour in a social and a clinical setting. He observed that the environment was not crowded and the lights were not flashing all that much and that Mr. Clark does not wear sunglasses all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[222] On re-examination, Dr. Ancill said that people with mild traumatic brain injury are very susceptible to stress, which can exacerbate their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Dr. Dhawan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[223] Dr. Dhawan is a specialist in physical medicine and rehabilitation who treated Mr. Clark at G.F. Strong as part of the Acquired Brain Injury Program which Mr. Clark attended beginning in August 2005. Dr. Dhawan wrote a report on May 16, 2006. He stated that Mr. Clark complained of pain in his shoulder, neck, upper back, rib cage and jaw, headaches and persistent cognitive-type symptoms of difficulties with attention (both in reading and listening), concentration, memory and dizziness, as well that bright lights bothered him, and that he suffered from irritability, low mood, being easily angered, and daily pulsing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[224] Dr. Dhawan noted that he did not have the ambulance crew report or emergency room records, but so far as he knew there was no documented loss of consciousness or clear diagnosis of traumatic brain injury. He said that Mr. Clark reported some confusion at the time of the accident and patchy memory of the ambulance ride.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[225] Dr. Dhawan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His examination, I would agree, was most unusual. In all my examinations he has presented with dark glasses, walking very slowly, moving slowly, responding very slowly, answering extremely slowly, he appeared distracted and slow mentation was noted, his brain processing speed certainly appeared slow, he appeared depressed with flat affect but at the time, inconsistently, he would be able to smile at a lighter comment. Only poor to moderate rapport could be established at most times. Many times, people who accompanied him, like his father or his wife, would answer for him. However, on mini mental status exam and bedside testing there were no obvious deficits of his mental abilities, in registration, short term memory, concentration, attention span, language or judgment. Upon asking him the details of his difficulties or his accident or the impact of the accident he didn't seem to have any hesitation or difficulty recalling this information.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reported a high level of pain at 6-7/10, 24 hours a day, seven days a week and his pain would increase to 9-10/10 with activities. In the past, he had taken anti-inflammatories and Tylenol #3 with good benefits and no side effects. He had not been tried on any psycho-stimulant drugs.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[226] Dr. Dhawan later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was not clear regarding diagnostic impression in this man. Certainly, he had prolonged symptoms but it was not clear whether he had a significant brain injury. At the most, he may have suffered a mild concussion or mild traumatic brain injury without any significant loss of consciousness. His presentation was most unusual and not in keeping with mild traumatic brain injury nor was his course in keeping with mild traumatic brain injury. Psychological factors and secondary gain factors may certainly be playing a role here. Nevertheless, all individuals at G.F. Strong Rehabilitation Centre in the Acquired Brain Injury Program team involved in his care including me took a rehabilitative approach to this gentleman's difficulties and have provided input to improve his function. Moreover, I will not be able to comment on his musculoskeletal injuries. As a physician attached to the Acquired Brain Injury Program, I did not assess him for his musculoskeletal problems. However, review of his history may suggest a soft tissue injury to cervical and thoracic spine but certainly that should not be causing ongoing symptoms this late in his course. There was no evidence that I am aware of any intracranial lesions or any fracture or dislocation or any neurological injury. His neurological examinations have always been normal. Neurosurgical and Neurology assessments in the past have ruled out any neurological deficits and ENT assessment in the past by Dr. Mah had ruled out peripheral vestibular impairment.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[227] Dr. Dhawan testified that he had subsequently followed Mr. Clark and that he and Dr. Ancill had a difference of opinion regarding the appropriate medication, with Dr. Dhawan thinking that Mr. Clark should take Alertec or Modafinal, a mild stimulant medication, to improve his daytime energy level and alertness, while Dr. Ancill believed that instead he should try Wellbutrin as well as Gabapentin. He reported that Mr. Clark had seen Dr. Longridge for ENT tests and apparently the examination was normal. Mr. Clark had been referred to an attention group for a six week session. Dr. Dhawan reported that Mr. Clark was not fit to drive but that if he improved then a driver's screen could be performed.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[228] Dr. Dhawan recommended against further physiotherapy or chiropractic care for Mr. Clark because it would not likely further assist him and could create further dependence.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[229] In his summary, Dr. Dhawan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Mr. Clark had soft tissue injuries as well as most likely a mild traumatic brain injury in the motor vehicle accident of August 20, 2002. Before that, he was disabled with an ankle injury but this (the ankle injury) would not be an ongoing disabling condition now.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His presentation and ongoing symptoms are not typical of a mild traumatic brain injury patient. It is not clear why he has persistent long term symptoms. It may be multi-factorial. It may be based on secondary gain or psychological factors. Certainly, in the absence of any documented loss of consciousness and normal MRI he should have had progressive improvement over the next six months to a year but most likely resolution of symptoms within one and a half to two years' time. Similarly, his soft tissue injuries should have resolved by now.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his presentation of persistent symptoms, it is unlikely that he will be able to get back to gainful employment in the near future. He has been provided with rehabilitative strategies by our team and hopefully, with involvement of a private occupational therapist and a rehab assistant, he will continue to improve his overall function. He will require expert psychiatric care and follow up for quite some time to come. Psychological support will be quite useful for him and his family. The cause of his persistent dizziness also is not clear given the two ENT examinations. You may want to obtain further information regarding that from the two ENT surgeons that have assessed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[230] Dr. Dhawan stated that Mr. Clark did not appear to have had a loss of consciousness and there was no evidence of intracranial lesions but given the reported loss of memory for the exact events of the accident, a history of loss of memory after the accident and cognitive and behavioural/emotional symptoms presented three years later, a diagnosis of MTBI was appropriate. He said that while the majority of brain injury patients in the mild category recover spontaneously within days or weeks with resolution of symptoms within a three to six month period, a small number have symptoms which persist. He said that usually the most severe symptoms are in the early stages.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[231] Dr. Dhawan agreed that the plaintiff shows departure from the usual in two ways: first, his symptoms have grown worse, not better, over time; and second, the symptoms have persisted such that he presents as quite impaired by them three years after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[232] Dr. Dhawan agreed that there were some internal inconsistencies upon assessment of Mr. Clark suggesting that emotional or psychological factors could be playing a role.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[233] Dr. Dhawan testified that Mr. Clark could not describe the accident in detail and said he could not recall the impact at all. The contents of Mr. Clark's statement to the adjuster were read to Dr. Dhawan, who said it was a much more detailed account than the one that Mr. Clark gave to him, and that it indicated a very good recollection of what happened in the motor vehicle accident (assuming that Mr. Clark had not been told the information by someone else). He agreed that it did not indicate amnesia for the event and that a patchy memory of the ambulance ride does not necessarily indicate brain disruption.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[234] Dr. Dhawan agreed that with mild traumatic brain injury and the effect of amnesia, one does not remember events six days later and then due to a brain injury forget three years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[235] Dr. Dhawan saw Mr. Clark probably eight to ten times. He said the slowness of Mr. Clark's response was apparent throughout. Dr. Dhawan agreed that Mr. Clark's gait was always very slow and that anyone would notice this of him but he said that it improved during the course of treatment, but not to the point that it was normal. He could not say why Mr. Clark would have balance problems and dizziness given that investigation had ruled out that this was a peripheral vestibular abnormality.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[236] Shown the August 16, 2006 surveillance video, Dr. Dhawan testified that the plaintiff appeared to be walking down the street relatively normally, and better than he had ever seen him. He agreed that he would not expect someone with light sensitivity to be comfortable with the lighting in the bar, especially not for an hour and a half, and that Mr. Clark's demeanour outdoors was inconsistent with the way he presented to Dr. Dhawan.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[237] He agreed that the onset of slow speech and slow responsiveness to questions two years after the motor vehicle accident would indicate that those symptoms were unrelated to the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[238] He agreed that there was a very significant possibility there is no brain injury here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[239] In summary, Dr. Dhawan said that the factors leading him to believe that possibly Mr. Clark had a mild brain injury were his slowness, his lack of recall of the incident and his reported lack of memory. He agreed that he now has some significant doubt whether the presenting symptoms are the result of a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Dr. Viljoen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[240] Dr. Viljoen, a registered psychologist, saw Mr. Clark for approximately 16 hours of interviews and testing in March and April 2005, for a neuropsychological, psychological and residual employability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[241] He was the second of the three psychologists who saw Mr. Clark. Dr. Coen, the first, did an assessment in late 2004 at the request of Equitable Life Insurance in connection with Mr. Clark's disability claim. Dr. Amell, a clinical psychologist, saw Mr. Clark during his attendance at G.F. Strong in 2005-06.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[242] Dr. Viljoen's first report is dated September 29, 2005. He had reviewed Dr. Coen's report. Dr. Viljoen also wrote an updated report in December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[243] This witness testified that Mr. Clark had told him he had no memory of the impact, though he had a vague recollection of something approaching.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[244] Dr. Viljoen said that Mr. Clark had a somewhat unusual clinical presentation, showing slow information processing speed and impaired verbal memory. Dr. Viljoen stated that Mr. Clark meets the criteria for concussive head injury in at least the mild range of severity. However, he wrote, the degree of impairment displayed is unusual for someone with MTBI where there is no evidence of specific focal damage or diffuse axonal pathology. In his opinion, this could be due to atypical presentation of a persistent post-concussion syndrome, to exaggeration of symptoms or to a severe psychiatric condition. He concluded that the testing evidence did not support exaggeration of symptoms. Mr. Clark did not appear to have a severe psychiatric condition although he was experiencing some emotional problems.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significant impairment of functioning remains in evidence, to an extent greater than is typical for MBTI, it is nevertheless evident that Mr. Clark did display the expected trajectory following a traumatic grain injury of greater impairment (particularly as relates to memory) during the earlier stages following the accident, with some improvement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[245] Dr. Viljoen concluded that on the basis of information presently available, more probably than not Mr. Clark's difficulties are the result of a persistent post-concussion syndrome with the complex mixture of neurocognitive and emotional features typical of this condition.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Neuropsychological testing points to significant and consistent residual difficulties that include marked slowing of information processing speed despite evidence of largely normal simple motor speed, attentional variation and increased error proneness under conditions of maximal information processing demands, and significant impairment of verbal memory, whilst non-verbal, visuospatial memory is mildly stronger but still below the expected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[246] Dr. Viljoen stated that the prognosis is very guarded given the amount of time since the injury and the extent of intervention thus far. He said that Mr. Clark could not currently work, although further rehabilitation at G.F. Strong might make a difference.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[247] He found that Mr. Clark exhibited appropriate effort and motivation on symptom validity testing.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[248] In Dr. Viljoen's opinion, the testing results suggest that not only is Mr. Clark doing things slowly but he is processing slowly. He said that slow responding would not impair Mr. Clark's functioning across the board and would be teased out in terms of being a factor in test results. He found on the Wechsler Adult Intelligence Scale III that Mr. Clark was Low Average - "generally within the expected range for his age and intellectual level in most areas" - but that his reading speed is significantly slowed and his performance on a math skills task was disrupted by attentional variation.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[249] He testified that although it is unusual for prolonged cognitive impairment to result from a mild traumatic brain injury and for Mr. Clark's sort of symptoms to be unaccompanied by objective findings, the absence of objective findings does not rule out that the symptoms are genuine.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[250] On the Personality Assessment Inventory, Dr. Viljoen said, Mr. Clark tended to represent himself as free of common shortcomings which most individuals are willing to admit to; therefore the validity of the results must be viewed with caution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[251] He described Mr. Clark as moving around his office at a normal pace but sometimes responding very slowly, as well as working very slowly on the tests.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[252] Dr. Viljoen, when counsel read to him Mr. Clark's August 26, 2002 statement about the accident, commented that the statement shows the kind of alteration of consciousness consistent with a mild traumatic brain injury. He agreed that the statement would suggest an absence of the amnesia Mr. Clark had described though he noted that others' accounts of the accident might be intermingled or an emotional overlay might interfere with memory.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[253] With respect to the August 16, 2006 surveillance video, Dr. Viljoen declined to reach conclusions regarding light and noise sensitivity although he agreed that over-stimulation is something Mr. Clark would want to avoid. While he agreed that the kind of social interaction shown at the end of the video is different from Mr. Clark's presentation in his office, he pointed out that the context was different.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Dr. Amell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[254] Dr. Amell, clinical psychologist at G.F. Strong, wrote a report on March 15, 2006. She has worked at G.F. Strong for 23 years and said that the primary population for the Centre is clients who are admitted for acquired brain injury. She first saw the plaintiff September 8, 2005, three years after the motor vehicle accident, and then saw him again about 19 times over the course of several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[255] Dr. Amell testified that Mr. Clark had to travel a long distance to come in and although clearly at times he was having headaches and other discomfort when she saw him, he tried hard. He would follow through on their recommendations. Dr. Amell described the plaintiff as very slow both in movement and in speech and response to questions. She said he walks like someone walking through cotton batting, very slowly.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[256] Dr. Amell testified that she has had patients who have become progressively worse over a period of time. She said that worsening of condition can be accounted for by understanding the chemical cascade effects that occur over a period of weeks after a traumatic injury that results in cell damage not visible on typical brain scans and that the development of depression compounds this. She agreed, however, that the usual course is for recovery to occur over six to twelve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[257] Dr. Amell said that she would defer to Dr. Dhawan with respect to medical matters. However, she testified, diagnosis of MTBI is not necessarily a medical matter and she does not necessarily agree with Dr. Dhawan's assessment as to Mr. Clark's ongoing symptoms. Dr. Amell said that Mr. Clark presents with the symptoms that define MTBI and what is unique for him and common for the clients at G.F. Strong is the prolonged chronicity of his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[258] Dr. Amell was shown the August 16, 2006 surveillance video and commented that Mr. Clark was walking a little bit faster than she had seen him do before, that his head movement was not unusual, that he appeared to move normally, that she would not expect him to be comfortable in that environment with the flashing lights, and that he was showing greater ease of movement than he had when coming to G.F. Strong and was more lively than she had seen before. She was also shown the video taken August 6, 2006 when Mr. Clark and his wife and daughter visited the beach. She commented that Mr. Clark seemed to walk pretty normally, and that it was different than the manner he presented at G.F. Strong. Other than that, she did not find anything inconsistent in Mr. Clark's movement or behaviour with what she had seen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[259] Dr. Amell said that Mr. Clark's slowness during the time she was seeing him was readily observable and anybody dealing with him would notice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Sue Barlow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[260] Ms. Barlow is an occupational therapist who treated Mr. Clark at G.F. Strong, and wrote a report dated August 16, 2005. She testified that Mr. Clark was not wearing sunglasses when he first came in but he started to do so after they recommended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[261] With respect to the August 16, 2006, surveillance video, Ms. Barlow said that Mr. Clark's walking did not actually look too inconsistent. She found it unusual for Mr. Clark to be comfortable in the lighting in the bar and curious for him not to be wearing his sunglasses outdoors. She said that she typically did not see him present as shown in the parking lot, but she saw him when fatigue would be a factor since he would have come in for sessions. She said that the video made her curious as to what were the variables, for example how much rest did he have? She commented that his presentation in her sessions was really consistent and showed really good effort and follow-through with their recommendations. She did not recall unusually slow walking but recalls that Mr. Clark walked with a wider base of support. She agreed that he had already been assessed with brain injury when she met him and she worked with him on that premise.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Dina Collins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[262] Ms. Collins is a speech-language pathologist who works at G.F. Strong and who treated Mr. Clark between November 2005 and February 2006. As well, she sees him as part of an ongoing reading group. She said that he presents with greatly impoverished discourse, restricted vocabulary use, and a markedly reduced rate of speech, as well as decreased memory, word finding, reading comprehension, attention and topic initiation and continuation. Ms. Collins said that Mr. Clark's rate of speech was markedly reduced, meaning that anyone would notice this if engaged in conversation with him. As well, his slow response rate also markedly apparent. Ms. Collins said that although there was some improvement in Mr. Clark's response time, it did not improve to a normal conversational rate. She noted some improvement in his rate of processing information. However, he was unable to participate in conversation with multiple participants and was greatly fatigued following an hour of therapy.</w:t>
      </w:r>
      <w:r>
        <w:rPr>
          <w:rFonts w:ascii="arial" w:eastAsia="arial" w:hAnsi="arial" w:cs="arial"/>
          <w:sz w:val="20"/>
          <w:lang w:val="en-US" w:eastAsia="en-US" w:bidi="ar-SA"/>
        </w:rPr>
        <w:cr/>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Evidence led by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William Aniba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[263] William Aniba was the property manager for the property where the plaintiff and his wife bought a townhouse. He had known Olga Clark previously but had not previously met Dean Clark. In the spring of 2005, he had a series of meetings with Mr. Clark relating to concerns regarding the attic, roofing, ventilation and mould in the townhouse. Mr. Aniba said he had four to six meetings on site with Mr. Clark, along with the roofing contractor, Mark Super, and a strata council member. He said the meetings were an average of 20 to 45 minutes and up to an hour long.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[264] Mr. Aniba said that he mostly dealt with Mr. Clark and that Mr. Clark was concerned with the quality and condition of the home they had purchased. He said that on one occasion Mr. Clark led them up to the second floor attic hatch and they all went up the ladder into the attic.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[265] Mr. Aniba testified that in all of the meetings he did not see any problem with Mr. Clark's conversation. He said there was a difference of opinion between Mr. Clark and Mr. Super, but described it as a good interaction. He said that Mr. Clark was well aware of what the challenges were and what he wanted. He said it was never a question of his not understanding or of having difficulty in carrying on conversation. Mr. Aniba found nothing unusual or odd about Mr. Clark in presentation or appearance. He did not notice any slowness in his speech or slowness in his initiation of speech. He saw nothing to suggest that Mr. Clark was having problems or pain with his neck, back or shoulders and he saw nothing unusual about his walking, balance or coordination. He testified that Mr. Clark did not wear sunglasses at any of the meetings.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[266] Mr. Aniba said that he did not know about this litigation until he was contacted by a private investigator within the last 45 days. Asked why he remembered the interactions with Mr. Clark, he testified that it was because of past history through the spouses and the fact that Mr. Super is a social friend. He testified that he would not say that Mr. Clark was being unreasonable but it was a challenge to make him happy; he was very persistent in what he wanted.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[267] Mr. Aniba agreed that he had no reason to pay attention to the way Mr. Clark was walking or to whether he was wearing sunglasses.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Mark Super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[268] Mr. Super is the owner-operator of A Super Roofing. He worked on the Clarks' unit both before and after they bought it. He described meeting with Mr. Clark twice, once regarding the mould in the attic and once regarding burnt vinyl siding.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[269] Mr. Super described the first meeting. He said they went to Mr. Clark's place. Olga Clark was there only briefly.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[270] Mr. Super said they discussed the problem and agreed that the attic needed vents and that he would put three vents in. Mr. Super said that Mr. Clark was upset, but seemed like any normal fellow. Mr. Super did not notice anything in particular about Mr. Clark's pattern of speech or conversation. He did not notice him having trouble understanding or concentrating. He described Mr. Clark as pretty adamant on the topic of what he wanted and how particular he wanted everything to be. He did not notice Mr. Clark's speech to be unusually slow.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[271] With respect to Mr. Clark's physical capacity, he said he saw Mr. Clark carry the ladder up the stairs, set it up, and go up into the attic. He said Mr. Clark seemed fine, pretty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[272] Mr. Super said that when they walked around the building to look at the vinyl siding he did not observe anything to suggest that Mr. Clark was suffering pain or restriction in movement in either his neck or back and he did not observe anything unusual about the way he walked or moved, and no unusual gait. He said that Mr. Clark did not have trouble keeping up with the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Dr. Coen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[273] Dr. Coen is a registered psychologist who carries on a private practice. He saw Mr. Clark in November and December, 2004 in order to assess him in connection with a disability claim. He described the plaintiff in his report as presenting in a very unusual manner for an MTBI survivor - "remarkably perplexed, in a rather striking way, as if sedated". He said that Mr. Clark responded very slowly and "walks very slowly and presents with flat emotional expression". He commented on Mr. Clark responding with "I don't know" to many questions about his history, including the date of his marriage (which had been one month before the interview) and the year he graduated from high school. Mr. Clark denied any time loss of more than two weeks from work and never mentioned his ankle injury. Dr. Coen commented on the amount of sleep that Mr. Clark reported he was needing or having (12 to 14 hours per day) and on his lack of emotional reaction to his presentation of some serious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[274] He said that Mr. Clark told him that he had a highly detailed level of recall for events leading up to the moment of impact, but was unable to remember leaving the vehicle, or the ambulance ride to the hospital.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[275] Dr. Coen administered a battery of tests to Mr. Clark. On an intelligence test (Raven's Standard Progressive Matrices), the plaintiff scored in the average range, that is, the 56th percentile. It is a non-verbal, untimed measure of general intelligence. On various neuropsychological tests, Mr. Clark performed abysmally badly on several timed measures of attention. In speech and language skills, including the Boston Naming Test, he showed impaired confrontational naming skills but was average on other tests. He showed very impaired verbal memory and mildly impaired logical and abstract thinking. With respect to personality and emotional adjustment, two of the validity scales on the MMPI-2 gave rise to concern, suggesting some form of defensiveness.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[276] Mr. Clark tested very high on the pain and disability index indicating a "total disability conviction", or the belief that he is capable of little or no productive activity in seven major areas of daily functioning.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[277] Dr. Coen concluded that there were insufficient clinical findings to diagnose any reliably and validly measurable cognitive impairment at this time. He wrote: "This patient is essentially not accurately testable due to indications of symptom exaggeration, quite likely to be caused in large part by a very slow test taking style." He said that Mr. Clark's clinical presentation was "distinctly atypical for an uncomplicated mild brain injury or post-concussion survivor two years out from the date of injury" and said that at that point he disagreed with the post-concussion syndrome diagnosis. As for prognosis, Dr. Coen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difficult to get an accurate prognosis in the absence of valid test results. From a statistical perspective, based on file review alone, given the duration of disability to date and failed return to work attempts, my opinion is that Mr. Clark is unlikely to return to work soon. Note that this dim prognosis is made in the absence of a clear diagnosis and is strictly actuarial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[278] Dr. Coen testified that Mr. Clark's score in the average range on the IQ test means it would be reasonable to expect average or better performance on lower level skills, which was not the case. He said that if he were to accept the concentration and attention test scores at face value, Mr. Clark would be in the same class as a mentally retarded adult or a severely brain injured survivor who had suffered severe pathology. However, he said, Mr. Clark is not retarded, with an IQ at least in the average range, and neither has the clinical signs of severe brain injury nor shows signs of brain injury on brain scans. Dr. Coen said that although Mr. Clark scored at less than the fifth percentile on the Boston Naming Test, in conversation he was able to express his thoughts and was not grasping for words.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[279] He said that the pain and disability index is a good predictor of future disability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[280] On the progression of recovery from brain injury, Dr. Coen said that there was a good deal of scientific literature on it and most of the mental confusion and measurable cognitive impairment tends to occur immediately after the moment of impact. With a mild concussion, the person may be a little befuddled or slow or confused for days or weeks, maybe for two or three months, but then there will be rapid resolution and a return to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[281] Having viewed the surveillance video taken on August 16, 2006, Dr. Coen said that Mr. Clark was behaving inconsistently with how he appeared at his office. He said that Mr. Clark looked normal, moved with normal speed and interacted normally with people on the video.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[282] On cross-examination he agreed that in performing the assessment his central focus was to evaluate Mr. Clark's ability to work. He agreed that a small percentage of MTBI patients continue to have symptoms for some time and that they may continue to have one particularly troubling symptom such as headache or dizziness. He agreed that stress can cause symptoms to increase in severity.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Dr. Prout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[283] Dr. Prout is a neurologist who saw the plaintiff for an independent medical examination at the defendants' request on August 16, 2006. He reported that Mr. Clark wore dark glasses throughout the interview and appeared slowed, displaying significant slowness in his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[284] Dr. Prout reported that he could see no evidence of Mr. Clark suffering a traumatic brain injury or concussion in the initial post-accident records, and commented, "[t]he history from Mr. Clark is coloured by the fact that he has a remarkable tendency to complain of a lack of recollection of events, even events in the remote past". He further commented: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appears that Mr. Clark has, to some examiners, provided a history of intact recollection leading up to the actual impact of the accident and in fact appears to recall the mechanism by which his head was flexed forward. This therefore suggests that there is no retrograde amnesia and the history that Mr. Clark currently provides to me of a lack of recollection surrounding the accident is unreliable.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[285] Dr. Prout testified that when he saw Mr. Clark, Mr. Clark was vague, saying that he did not recall a lot from the accident, but that he had read about the circumstances surrounding the accident and knew that the car skidded out of control on the Alex Fraser Bridge and slid into a cement barrier. Mr. Clark told Dr. Prout that he did not remember buckling the seatbelt but knew that he was wearing it because his chest was sore and he had a sore shoulder. When questioned regarding his last recollection prior to the accident Mr. Clark stated that he was not sure whether or not it was part of a dream but he had a dream of a car skidding and spinning and hitting a cement barrier and saw a cement barrier coming towards him in slow motion but he could not say whether or not that was actually what happened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[286] Dr. Prout said that Mr. Clark gave no indication that at an earlier time he had had a better recollection of the history of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[287] Dr. Prout testified that long-term memory usually is not affected by traumatic brain injury while short-term memory will be. He noted that Mr. Clark showed no signs of injury to the vestibular system of the brain or the cerebellum or frontal lobes. He reported that on balance testing, Mr. Clark's performance suggested that his balance was fine but there was hesitation and wobbling anyway.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[288] Dr. Prout stated that the expected trajectory with traumatic brain injury patients is that the vast majority have initial complaints which might be quite significant but most get better over days to weeks. The vast majority get better within three months and a small percentage of patients will still have complaints at six to twelve months. Gradual improvement of complaints is expected. He testified that worsening of symptoms would only be expected if there were some complicating factor. His opinion was that there were no complicating factors here other than possibly more psychological complaints as time went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[289] Dr. Prout wrote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Mr. Clark has reported dizziness that is likely attributable to effects of the accident of 2002. That dizziness is likely not secondary to a traumatic brain injury but more likely to soft tissue injuries (particularly to the neck) and peripheral vestibular disturbances. The symptoms are not accompanied by findings of any neurologic dysfunction and, if anything, the neurologic examination reveals functional features with respect to his balance testing and Romberg test.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time of my evaluation Mr. Clark appears slowed and displays a significant latency in his response and complains frequently of not recalling things, including events in the remote past. He wears dark glasses throughout the interview and displays what I interpret to be a significantly exaggerated degree of mental and behavioural dysfunction. His presentation at this point is entirely inconsistent with the documented status immediately and shortly following the accident of 2002. He did not display mental changes or slowness during those initial times and did not appear to be noted to be photophobic or continually wearing dark glasses. ... The way in which he displays difficulties recalling distant memories is inconsistent with the effects of a concussion. The manner in which his symptoms have seemingly increased with time is inconsistent with the effects of a resolving mild traumatic brain injury or concussion.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early symptoms reported on Mr. Clark with respect to pain problems and feelings of dizziness do sound to be secondary to the accident in question and he has likely had some low grade cervicogenic type headaches. Those symptoms are however at this point overshadowed by the apparent behavioural and mental issues that in my opinion are unrelated to any direct effects of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[290] In conclusion, Dr. Prout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have expected Mr. Clark to have been off work for a period of time following the accident of August 20, 2002 but would not expect such injuries to have resulted in a prolonged disability. The soft tissue injuries and knee injury would likely have resulted in a short period of time off work, likely in the order of a month or two.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this time I am of the opinion that Mr. Clark will not have a permanent disability secondary to any effects of the accident of 2002. There may be some persistent problems with low grade headaches and intermittent dizziness but these should not result in a permanent disability. The way in which Mr. Clark presents as a very slowed and seemingly mentally disabled person is in my opinion not secondary to any organic process and in particular not consistent with the effects of a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[291] Commenting on the videotape taken of Mr. Clark immediately after Mr. Clark left his office on August 16, 2006, Dr. Prout said that the biggest difference was the manner in which Mr. Clark seemed to interact with other people and relate to other people, the fact that the sunglasses that seemed to be necessary for Mr. Clark to wear in his office were not being worn when Mr. Clark emerged into the sunlight from the bar, and that the speed of Mr. Clark's interactions and movements was very different from Dr. Prout's experience with him in the interview.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[292] Dr. Prout agreed on cross examination that if a person has a mild traumatic brain injury and is under a lot of pressure, the symptoms may increase in severity. He also agreed that symptoms can be subtle.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[293] Dr. Prout testified that, in his opinion, if an individual recalls something at some point in the weeks or months following the accident about the accident, the individual will not later on become unable to remember it due to any neurologic or organic problem. He said it is true that memories fade but it would be very unusual for someone to forget the circumstances of a major traumatic event in their life at a later stage. Indeed, he said, the period of post-traumatic amnesia usually shrinks and people regain memories rather than lose them. He agreed that if therapists documented symptoms such as slowed speech, slowed walking, dizzy spells, forgetfulness and headache in the weeks following the event, it would strengthen the idea that there might be a post-concussion syndrome and it would change his opinion with respect to Mr. Clark. However, he said, a brain injury at the very mild end of the spectrum is such that you expect those suffering from it to get well more quickly.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Dr. O'Shaughnessy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[294] Dr. O'Shaughnessy, a psychiatrist, saw Mr. Clark for an independent psychiatric evaluation at the defendants' request and wrote a report on May 30,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[295] Dr. O'Shaughnessy noted that Mr. Clark walked into the office with a widespread slow gait wearing dark glasses on a grey and rainy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[296] He described Mr. Clark's gait as consistent with that of people who have balance difficulties, walking slowly and gingerly. He testified that the plaintiff spoke in an extremely slow, almost hesitant fashion with no emotional range in his speech and with delayed responses to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[297] Dr. O'Shaughnessy reports that Mr. Clark said he had little recall as to what had occurred in the accident. He was able to identify the car and driver but could not recall where the accident occurred or anything that happened that day. Mr. Clark told Dr. O'Shaughnessy that although he could not recall the accident he had a recurrent dream about skidding out of control and could recall emergency vehicles attending but he could not recall what happened at the hospital or how he got home. He told Dr. O'Shaughnessy that he believed he had suffered a loss of consciousness because of the vagueness of his memory of the accident and what Vanessa Hebb had told him about having to be pushed out of the car. He told Dr. O'Shaughnessy he could not recall when his symptoms began and he could not recall when he got married. He was extremely vague throughout the interview, speaking slowly and flatly with no emotional range or tone, according to the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[298] Having interviewed the plaintiff as well as speaking with Olga Clark, and having reviewed the medical records and reports as well as Mr. Clark's school records, Dr. O'Shaughnessy reached a conclusion, which he set out in summary form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Mr. Clark's current situation is not due to any brain injury or concussion or "Post-Concussion Syndrome". The pattern of symptoms over the course of time is simply inconsistent with that disorder both in terms of severity of claimed impairment, worsening with time, variation in statements regarding events in question, and unexpected symptoms one would never see in a mild concussion. It is likely that his symptoms are produced by one or more of Conversion Disorder, Factitious Disorder, or malingering. At this point, we do not have sufficient information to determine which of these three phenomena are involved and I would defer a final opinion until more information is available .... If indeed he did demonstrate signs of a mild concussion, it is possible he had symptoms of a Post-Concussion Syndrome immediately after the accident even though this was not noted by his treating physicians or other health care experts. This would suggest whatever symptoms he had would have been very mild. They would have improved with time. He has then gone on to have quite elaborate symptoms that one simply does not see in a mild concussion. The reasons for this elaboration are yet to be explained and hopefully further information will assist in this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[299] In his testimony, Dr. O'Shaughnessy gave the opinion that although you can see a worsening of symptoms following head injuries if there is a co-occurring psychiatric illness, there was no indication of such illness here. He pointed out that neither Dr. Ancill nor the two psychologists who had seen Mr. Clark diagnosed any psychiatric illness that could account for the exaggeration of symptoms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[300] Dr. O'Shaughnessy commented that the diagnosis made by Dr. Sadowski was based purely on Mr. Clark's self-reported amnesia around the accident and that Dr. Ancill's diagnosis was based on administration of the Rivermead Behavioural Checklist, which, he said, was methodologically incorrect and inconsistent with normal medical practice. Instead, he said, the standard is to do a thorough evaluation, including a history, developmental history, relationship history, work history and a mental status examination. He observed that the records indicated that at no time did Dr. Ancill do a history or a mental status examination. He said that the Rivermead checklist is not specific to post-concussion syndrome - that is, people with pain, depression or sleep deprivation can score high on the checklist even though they do not have concussion.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[301] Dr. O'Shaughnessy testified that he saw three possible explanations for Mr. Clark's presentation. First, conversion disorder is a fixed genuinely held but incorrect belief at an unconscious level that the person is ill. He said, however, that although the presentation may vary in the intensity of the symptoms, the symptoms are always present. It would not be the case that a patient would present as slow moving and slow of speech in a doctor's office and then a couple of hours later present as fairly normal. Second, factitious disorder is used to describe someone who consciously knows that he is falsifying symptoms but does so in order to be in the sick patient role. It differs from malingering only in motivation. The third possibility, he said, was malingering.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[302] Viewing the August 16, 2006 video, Dr. O'Shaughnessy said that the only aspect consistent with his own observations was that Mr. Clark was wearing dark glasses in the first portion of the video when he had just emerged from Dr. Prout's office. He testified that everything else was different. In particular, he noted that Mr. Clark appeared engaged, smiling and chatting, and walked normally with movements that were freer, more relaxed and fluid, with no evidence of psychomotor slowing. Mr. Clark was not wearing his sunglasses in the bright sunlight after emerging from the Cecil Pub in contrast to his wearing them in Dr. O'Shaughnessy's office on a rainy, grey day in April.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[303] In cross-examination, Dr. O'Shaughnessy agreed that early symptoms of dizziness can be caused by cervical strain, vestibular damage or brain injury and that mild traumatic brain injury can cause a number of non-specific symptoms. He testified that the natural course of MTBI has some accepted features including poor concentration, headache, confusion and irritability. Within a year, 10 to 15% of patients will still have one or more symptoms, the most common being headache. He testified that they will not usually have more symptoms than they did initially unless there are extra psychological problems, for example depression or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[304] He did not necessarily agree that stress can worsen MTBI symptoms. Rather, he said, stress can cause the same symptoms. He did not believe that there was a relationship between Mr. Clark's presentation and the medications he was taking because the doses of the Gabapentin were modest.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Surveillance videos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[305] I have already described the surveillance videos. Taken in May 2005, December 2005, and August and September 2006, they show a young man who basically appears normal. Mr. Clark's appearance on the videos does not correspond with the way Mr. Clark was presenting himself when he described severe symptoms to Dr. Ancill in October 2004, when he was assessed by Dr. Coen in November and December 2004, when he appeared for appointments at G.F. Strong beginning in September 2005 and continuing through to May 2006, when he was assessed by Dr. O'Shaughnessy in May 2006, and when he was assessed by Dr. Prout on August 16, 2006. In the case of the August 16, 2006 video, there is a sharp contrast between his presentation in the neurologist's office as described by Dr. Prout and his appearance minutes later when he believed himself to be unobserved.</w:t>
      </w:r>
      <w:r>
        <w:rPr>
          <w:rFonts w:ascii="arial" w:eastAsia="arial" w:hAnsi="arial" w:cs="arial"/>
          <w:sz w:val="20"/>
          <w:lang w:val="en-US" w:eastAsia="en-US" w:bidi="ar-SA"/>
        </w:rPr>
        <w:cr/>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Credibility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[306] For the reasons I will now detail, I have concluded that I cannot accept the plaintiff's evidence as to his symptoms, or his depiction of himself to physicians, therapists and his family since sometime in 2004. I find, based on the whole of the evidence, that by the time Mr. Clark saw Dr. Ancill in the fall of 2004 his self-reports and presentation had ceased to reflect symptoms actually attributable to injuries suffered in the accident.</w:t>
      </w:r>
      <w:r>
        <w:rPr>
          <w:rFonts w:ascii="arial" w:eastAsia="arial" w:hAnsi="arial" w:cs="arial"/>
          <w:sz w:val="20"/>
          <w:lang w:val="en-US" w:eastAsia="en-US" w:bidi="ar-SA"/>
        </w:rPr>
        <w:cr/>
      </w:r>
    </w:p>
    <w:p>
      <w:pPr>
        <w:numPr>
          <w:numId w:val="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Implausible absence of memory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[307] While I accept that in the aftermath of the accident Mr. Clark had some memory problems, he described ever-worsening memory problems as time passed, which is unusual. Also unusual was his professed absence of memory about many aspects of his life, both before and after the accident, for example the date of his wedding in an interview one month after the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[308] Although after the first year Mr. Clark professed virtually no memory of the accident itself, he gave a fairly detailed description of the accident to Dr. Tomaszewski three days after the accident, to the I.C.B.C. adjuster six days after it occurred and to health care providers in the first few months. These descriptions included recollections of his own exit from the vehicle, which took place within the first 15 to 20 seconds after the impact. Although the plaintiff's counsel suggested that his client's account of the events did not represent his own memory but rather what others had told him, that hypothesis is not supported by the evidence. Mr. Clark was interviewed by the adjuster on his own, and testified on discovery that the information came from him and from no other source and was his recollection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[309] No medical witness except Dr. Ancill testified that the presence and subsequent absence of memory was what one would expect of a brain-injured patient. Instead, the preponderance of the evidence was that, once the memory is "laid down", if it later disappears the memory loss is not something caused by an earlier brain injury. I accept that body of opinion, and find the purported absence of memory of the circumstances of the accident to be a sign of Mr. Clark's attempt to exaggerate his cognitive symptoms.</w:t>
      </w:r>
      <w:r>
        <w:rPr>
          <w:rFonts w:ascii="arial" w:eastAsia="arial" w:hAnsi="arial" w:cs="arial"/>
          <w:sz w:val="20"/>
          <w:lang w:val="en-US" w:eastAsia="en-US" w:bidi="ar-SA"/>
        </w:rPr>
        <w:cr/>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Exaggeration of physical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[310] The plaintiff's pain inexplicably became considerably worse after an early period when Dr. Fuscaldo, Dr. Tomaszewski and the plaintiff himself saw him to be recovering.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[311] Further, the evidence showed that the plaintiff exaggerated his physical symptoms in his interviews with Dr. Ancill, Dr. Dhawan and Dr. Prout. The level of pain he described was inconsistent with what he was able to do (for example, fly to and from Hawaii) and with what he was shown doing on the surveillance videos in the same time periods.</w:t>
      </w:r>
      <w:r>
        <w:rPr>
          <w:rFonts w:ascii="arial" w:eastAsia="arial" w:hAnsi="arial" w:cs="arial"/>
          <w:sz w:val="20"/>
          <w:lang w:val="en-US" w:eastAsia="en-US" w:bidi="ar-SA"/>
        </w:rPr>
        <w:cr/>
      </w:r>
    </w:p>
    <w:p>
      <w:pPr>
        <w:numPr>
          <w:numId w:val="11"/>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b/>
          <w:color w:val="000000"/>
          <w:sz w:val="20"/>
          <w:lang w:val="en-US" w:eastAsia="en-US" w:bidi="ar-SA"/>
        </w:rPr>
        <w:t>Delayed development of severe brain injury symptoms and variable presentation of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[312] The brain injury symptoms exhibited or described by Mr. Clark inexplicably became worse after June 2004. I find that Mr. Clark did not exhibit pronounced slowness in walking, talking or responding until some time after he saw Dr. Sadowski in June 2004. Dr. Sadowski testified that he did not observe Mr. Clark to have such symptoms, and I accept his evidence. I also accept the evidence of Dr. Tomaszewski that Mr. Clark was not exhibiting those symptoms until sometime after April 2003. Dr. Fuscaldo, Mr. Tonks, Ms. Price and Ms. Cadavid testified that Mr. Clark did show some symptoms earlier on (he complained of loss of balance, dizziness and memory loss to Dr. Fuscaldo on November 21, 2002, and seemed to have some trouble walking; Ms. Cadavid found him to be very slow and sluggish, as did Ms. Price, in 2002 and 2003; Mr. Tonks saw him for dizziness and other symptoms in 2003-2004). However, none of these witnesses reported the kind of presentation described by Dr. Coen, Dr. Ancill, Dr. Prout, Dr. Dhawan, Dr. Amell and Dr. O'Shaughnessy. I find that it emerged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[313] In reaching this conclusion about the late development of severe symptoms of brain injury, I have not overlooked the evidence of Mr. Clark's family members, some of whom testified that his symptoms were severe from the outset (though unrecognized as indicating brain injury). However, I find that they are mistaken in their recollection. I note that Shane Reid, who was living with the plaintiff at the time of the accident and continued to live with him for approximately a year afterwards, did not observe Mr. Clark to be much different after the accident than he was before in terms of his memory, speech and ability to carry on a conversation, or his balance.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[314] I accept the evidence that brain injury symptoms may vary, depending upon the individual's level of fatigue and the context, and that stress may cause symptoms to worsen.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[315] That symptoms worsen with fatigue does not assist in explaining the contrast between Mr. Clark's presentation to Dr. Prout in his office and his appearance on the videotape just after that visit. By the time Mr. Clark emerged from the neurologist's office he had had a fairly long day - driving to Vancouver from Surrey, and submitting to an independent medical examination which took well over an hour. Yet the evidence shows that he moved much more briskly, showing no apparent signs of fatigue, after the appointment with Dr. Prout than he did during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[316] As well, there is a fairly marked contrast between Mr. Clark's presentation when he began attending G.F. Strong in the fall of 2005, and the way Mr. Super and Mr. Aniba described him in the spring of 2005 - as normal in every way except for his tenacity with respect to obtaining a remedy for his complaints.</w:t>
      </w:r>
      <w:r>
        <w:rPr>
          <w:rFonts w:ascii="arial" w:eastAsia="arial" w:hAnsi="arial" w:cs="arial"/>
          <w:sz w:val="20"/>
          <w:lang w:val="en-US" w:eastAsia="en-US" w:bidi="ar-SA"/>
        </w:rPr>
        <w:cr/>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[317] Both Dr. Tomaszewski and Dr. Dhawan have seen Mr. Clark on a number of occasions as his treating general practitioner and physiatrist, respectively. Dr. Tomaszewski agreed that the August 16, 2006 surveillance video showed a different man than the one who comes to his office. Dr. Dhawan indicated, both in his written report and in his testimony, that he has serious doubts about whether Mr. Clark has suffered from the kind of brain injury suggested by his 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[318] Dr. Sadowski saw Mr. Clark for a neurological examination in June 2004, and diagnosed him to have post-concussional syndrome based on what Mr. Clark told him about his symptoms. Dr. Ancill diagnosed mild traumatic brain injury in October 2004 based on Dr. Sadowski's diagnosis and on what Mr. Clark told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[319] Of the two psychologists called by the plaintiff, Dr. Viljoen is of the opinion that brain injury is more probable than not as the explanation for Mr. Clark's ongoing symptoms, but allowed for the possibility of other explanations. Dr. Amell's evidence was that he presents with the symptoms characteristic of brain injured patients.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[320] Dr. Coen, Dr. Prout and Dr. O'Shaughnessy all gave evidence to the effect that Mr. Clark's presentation is implausible and that he may not have suffered a brain injury at all and most likely does not currently suffer from ongoing symptoms of a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[321] I note, with respect to Dr. Prout and Dr. O'Shaughnessy, that counsel for the plaintiff argued that their testimony should be discounted because they showed error or bias in that both had noted a reference in the medical records to the 1993 automobile accident in which the plaintiff was injured, and an alleged finding of "pain disorder". Also, counsel pointed out that Dr. O'Shaughnessy had failed to record that Mr. Clark said he remembered wearing his seatbelt.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[322] I do not find the fleeting reference to the plaintiff's past medical records inappropriate, and I do not find a basis for discounting Dr. Prout's or Dr. O'Shaughnessy's evidence for that reason. I also find that the small error in Dr. O'Shaughnessy's record of his interview with Mr. Clark by no means weakens or reduces the significance of Dr. O'Shaughnessy's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[323] I find that the weight of the evidence from expert witnesses casts additional doubt on the plaintiff's credibility.</w:t>
      </w:r>
      <w:r>
        <w:rPr>
          <w:rFonts w:ascii="arial" w:eastAsia="arial" w:hAnsi="arial" w:cs="arial"/>
          <w:sz w:val="20"/>
          <w:lang w:val="en-US" w:eastAsia="en-US" w:bidi="ar-SA"/>
        </w:rPr>
        <w:cr/>
      </w:r>
    </w:p>
    <w:p>
      <w:pPr>
        <w:numPr>
          <w:numId w:val="1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b/>
          <w:color w:val="000000"/>
          <w:sz w:val="20"/>
          <w:lang w:val="en-US" w:eastAsia="en-US" w:bidi="ar-SA"/>
        </w:rPr>
        <w:t>Plaintiff's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[324] Mr. Clark admitted on the stand to a number of instances in which he had not given accurate information to the treating or examining doctors, and to counsel on discovery. Although he may have forgotten some of the matters in question, I take those mis-statements into account in assessing his credibility.</w:t>
      </w:r>
      <w:r>
        <w:rPr>
          <w:rFonts w:ascii="arial" w:eastAsia="arial" w:hAnsi="arial" w:cs="arial"/>
          <w:sz w:val="20"/>
          <w:lang w:val="en-US" w:eastAsia="en-US" w:bidi="ar-SA"/>
        </w:rPr>
        <w:cr/>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Conclusion on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[325] I find that Mr. Clark suffered a mild traumatic brain injury in the accident. That conclusion is supported by evidence from the physicians and therapists who treated Mr. Clark beginning in 2002, from Mr. Clark and other witnesses. However, the credibility of Mr. Clark's testimony as to his current symptoms and of his presentation to health professionals and his family in recent years is 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[326] The plaintiff has failed to persuade this Court on the balance of probabilities that he suffers from the ongoing effects of a brain injury or that the severe ongoing symptoms he has complained of after September 1, 2004, were caused by the accident. I find that the brain injury may have caused symptoms for at most two years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9"/>
        <w:gridCol w:w="826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w:t>
            </w:r>
          </w:p>
        </w:tc>
        <w:tc>
          <w:tcPr>
            <w:tcW w:w="809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QUANTUM OF DAMAGES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[327] I have concluded that the plaintiff suffered, as a result of the motor vehicle accident on August 20, 2002: damage to his knee which resolved quickly; soft tissue injuries which caused him shoulder, neck and back pain for two years; a mild traumatic brain injury which caused him cognitive symptoms for up to two years; headaches and dizziness resulting from either the soft tissue injury or the brain injury, tapering off by the time of trial; and an injury to his jaw which still requires treatment. I must now proceed to determine the appropriate award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Non-Pecuniary Damages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xml:space="preserve">  [328] The purpose of an award of non-pecuniary damages in this case is to compensate the plaintiff for pain, suffering, loss of enjoyment of life and loss of amenities. (There was no suggestion that a reduced expectation of life is a factor to be considered here.) The award should provide compensation which is fair and reasonable to both parties, fairness being measured against awards in comparable cases: </w:t>
      </w:r>
      <w:r>
        <w:rPr>
          <w:rFonts w:ascii="arial" w:eastAsia="arial" w:hAnsi="arial" w:cs="arial"/>
          <w:b/>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430"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[329] The evidence shows that the plaintiff's life was disrupted by the accident. He suffered neck and shoulder pain, back pain, headaches, fatigue, dizziness and pain in the jaw and some restriction in his jaw movement. He also suffered some memory loss and decreased ability to concentrate. He enjoyed doing sports before the accident, but has ceased most such activities. His socializing has been restricted, although the evidence shows that he has never been someone who socialized a great deal. He has become more irritable and prone to anger (again, the evidence shows that issues with irritability and anger, including involvement in physical altercations, pre-existed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[330] I have found that for the most part the symptoms attributable to the accident resolved within two years of the accident. However, I have also found that Mr. Clark continued to suffer from some minor tissue pain, low grade headaches, intermittent dizziness and problems with his jaw which have their origin in the accident. A treatment plan for his jaw has been developed by the oral surgeon, Dr. Blasberg. The plaintiff has not established that these problems will continue past the date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xml:space="preserve">  [331] Counsel for the plaintiff referred me to cases in which individuals had suffered injuries with long-term impact on their lives and received non-pecuniary general damages in the range of $90,000 - $175,000 (including </w:t>
      </w:r>
      <w:r>
        <w:rPr>
          <w:rFonts w:ascii="arial" w:eastAsia="arial" w:hAnsi="arial" w:cs="arial"/>
          <w:b/>
          <w:i/>
          <w:color w:val="000000"/>
          <w:sz w:val="20"/>
          <w:lang w:val="en-US" w:eastAsia="en-US" w:bidi="ar-SA"/>
        </w:rPr>
        <w:t>Johnstone v. Canada (Attorney General)</w:t>
      </w:r>
      <w:r>
        <w:rPr>
          <w:rFonts w:ascii="arial" w:eastAsia="arial" w:hAnsi="arial" w:cs="arial"/>
          <w:color w:val="000000"/>
          <w:sz w:val="20"/>
          <w:lang w:val="en-US" w:eastAsia="en-US" w:bidi="ar-SA"/>
        </w:rPr>
        <w:t xml:space="preserve">, </w:t>
      </w:r>
      <w:hyperlink r:id="rId693" w:history="1">
        <w:r>
          <w:rPr>
            <w:rFonts w:ascii="arial" w:eastAsia="arial" w:hAnsi="arial" w:cs="arial"/>
            <w:i/>
            <w:color w:val="0077CC"/>
            <w:sz w:val="20"/>
            <w:u w:val="single"/>
            <w:shd w:val="clear" w:color="auto" w:fill="FFFFFF"/>
            <w:lang w:val="en-US" w:eastAsia="en-US" w:bidi="ar-SA"/>
          </w:rPr>
          <w:t>[2006] B.C.J. No. 3247</w:t>
        </w:r>
      </w:hyperlink>
      <w:r>
        <w:rPr>
          <w:rFonts w:ascii="arial" w:eastAsia="arial" w:hAnsi="arial" w:cs="arial"/>
          <w:color w:val="000000"/>
          <w:sz w:val="20"/>
          <w:lang w:val="en-US" w:eastAsia="en-US" w:bidi="ar-SA"/>
        </w:rPr>
        <w:t xml:space="preserve">, </w:t>
      </w:r>
      <w:hyperlink r:id="rId693" w:history="1">
        <w:r>
          <w:rPr>
            <w:rFonts w:ascii="arial" w:eastAsia="arial" w:hAnsi="arial" w:cs="arial"/>
            <w:i/>
            <w:color w:val="0077CC"/>
            <w:sz w:val="20"/>
            <w:u w:val="single"/>
            <w:shd w:val="clear" w:color="auto" w:fill="FFFFFF"/>
            <w:lang w:val="en-US" w:eastAsia="en-US" w:bidi="ar-SA"/>
          </w:rPr>
          <w:t>2006 BCSC 1867</w:t>
        </w:r>
      </w:hyperlink>
      <w:r>
        <w:rPr>
          <w:rFonts w:ascii="arial" w:eastAsia="arial" w:hAnsi="arial" w:cs="arial"/>
          <w:color w:val="000000"/>
          <w:sz w:val="20"/>
          <w:lang w:val="en-US" w:eastAsia="en-US" w:bidi="ar-SA"/>
        </w:rPr>
        <w:t xml:space="preserve"> ($100,000); </w:t>
      </w:r>
      <w:r>
        <w:rPr>
          <w:rFonts w:ascii="arial" w:eastAsia="arial" w:hAnsi="arial" w:cs="arial"/>
          <w:b/>
          <w:i/>
          <w:color w:val="000000"/>
          <w:sz w:val="20"/>
          <w:lang w:val="en-US" w:eastAsia="en-US" w:bidi="ar-SA"/>
        </w:rPr>
        <w:t>Parfitt v. Mayes</w:t>
      </w:r>
      <w:r>
        <w:rPr>
          <w:rFonts w:ascii="arial" w:eastAsia="arial" w:hAnsi="arial" w:cs="arial"/>
          <w:color w:val="000000"/>
          <w:sz w:val="20"/>
          <w:lang w:val="en-US" w:eastAsia="en-US" w:bidi="ar-SA"/>
        </w:rPr>
        <w:t xml:space="preserve">, </w:t>
      </w:r>
      <w:hyperlink r:id="rId694" w:history="1">
        <w:r>
          <w:rPr>
            <w:rFonts w:ascii="arial" w:eastAsia="arial" w:hAnsi="arial" w:cs="arial"/>
            <w:i/>
            <w:color w:val="0077CC"/>
            <w:sz w:val="20"/>
            <w:u w:val="single"/>
            <w:shd w:val="clear" w:color="auto" w:fill="FFFFFF"/>
            <w:lang w:val="en-US" w:eastAsia="en-US" w:bidi="ar-SA"/>
          </w:rPr>
          <w:t>[2006] B.C.J. No. 195</w:t>
        </w:r>
      </w:hyperlink>
      <w:r>
        <w:rPr>
          <w:rFonts w:ascii="arial" w:eastAsia="arial" w:hAnsi="arial" w:cs="arial"/>
          <w:color w:val="000000"/>
          <w:sz w:val="20"/>
          <w:lang w:val="en-US" w:eastAsia="en-US" w:bidi="ar-SA"/>
        </w:rPr>
        <w:t xml:space="preserve">, </w:t>
      </w:r>
      <w:hyperlink r:id="rId694" w:history="1">
        <w:r>
          <w:rPr>
            <w:rFonts w:ascii="arial" w:eastAsia="arial" w:hAnsi="arial" w:cs="arial"/>
            <w:i/>
            <w:color w:val="0077CC"/>
            <w:sz w:val="20"/>
            <w:u w:val="single"/>
            <w:shd w:val="clear" w:color="auto" w:fill="FFFFFF"/>
            <w:lang w:val="en-US" w:eastAsia="en-US" w:bidi="ar-SA"/>
          </w:rPr>
          <w:t>2006 BCSC 125</w:t>
        </w:r>
      </w:hyperlink>
      <w:r>
        <w:rPr>
          <w:rFonts w:ascii="arial" w:eastAsia="arial" w:hAnsi="arial" w:cs="arial"/>
          <w:color w:val="000000"/>
          <w:sz w:val="20"/>
          <w:lang w:val="en-US" w:eastAsia="en-US" w:bidi="ar-SA"/>
        </w:rPr>
        <w:t xml:space="preserve"> ($120,000); </w:t>
      </w:r>
      <w:r>
        <w:rPr>
          <w:rFonts w:ascii="arial" w:eastAsia="arial" w:hAnsi="arial" w:cs="arial"/>
          <w:b/>
          <w:i/>
          <w:color w:val="000000"/>
          <w:sz w:val="20"/>
          <w:lang w:val="en-US" w:eastAsia="en-US" w:bidi="ar-SA"/>
        </w:rPr>
        <w:t>Maillet v. Rosenau</w:t>
      </w:r>
      <w:r>
        <w:rPr>
          <w:rFonts w:ascii="arial" w:eastAsia="arial" w:hAnsi="arial" w:cs="arial"/>
          <w:color w:val="000000"/>
          <w:sz w:val="20"/>
          <w:lang w:val="en-US" w:eastAsia="en-US" w:bidi="ar-SA"/>
        </w:rPr>
        <w:t xml:space="preserve">, </w:t>
      </w:r>
      <w:hyperlink r:id="rId695" w:history="1">
        <w:r>
          <w:rPr>
            <w:rFonts w:ascii="arial" w:eastAsia="arial" w:hAnsi="arial" w:cs="arial"/>
            <w:i/>
            <w:color w:val="0077CC"/>
            <w:sz w:val="20"/>
            <w:u w:val="single"/>
            <w:shd w:val="clear" w:color="auto" w:fill="FFFFFF"/>
            <w:lang w:val="en-US" w:eastAsia="en-US" w:bidi="ar-SA"/>
          </w:rPr>
          <w:t>[2006] B.C.J. No. 18</w:t>
        </w:r>
      </w:hyperlink>
      <w:r>
        <w:rPr>
          <w:rFonts w:ascii="arial" w:eastAsia="arial" w:hAnsi="arial" w:cs="arial"/>
          <w:color w:val="000000"/>
          <w:sz w:val="20"/>
          <w:lang w:val="en-US" w:eastAsia="en-US" w:bidi="ar-SA"/>
        </w:rPr>
        <w:t xml:space="preserve">, </w:t>
      </w:r>
      <w:hyperlink r:id="rId695" w:history="1">
        <w:r>
          <w:rPr>
            <w:rFonts w:ascii="arial" w:eastAsia="arial" w:hAnsi="arial" w:cs="arial"/>
            <w:i/>
            <w:color w:val="0077CC"/>
            <w:sz w:val="20"/>
            <w:u w:val="single"/>
            <w:shd w:val="clear" w:color="auto" w:fill="FFFFFF"/>
            <w:lang w:val="en-US" w:eastAsia="en-US" w:bidi="ar-SA"/>
          </w:rPr>
          <w:t>2006 BCSC 10</w:t>
        </w:r>
      </w:hyperlink>
      <w:r>
        <w:rPr>
          <w:rFonts w:ascii="arial" w:eastAsia="arial" w:hAnsi="arial" w:cs="arial"/>
          <w:color w:val="000000"/>
          <w:sz w:val="20"/>
          <w:lang w:val="en-US" w:eastAsia="en-US" w:bidi="ar-SA"/>
        </w:rPr>
        <w:t xml:space="preserve"> ($110,000); </w:t>
      </w:r>
      <w:r>
        <w:rPr>
          <w:rFonts w:ascii="arial" w:eastAsia="arial" w:hAnsi="arial" w:cs="arial"/>
          <w:b/>
          <w:i/>
          <w:color w:val="000000"/>
          <w:sz w:val="20"/>
          <w:lang w:val="en-US" w:eastAsia="en-US" w:bidi="ar-SA"/>
        </w:rPr>
        <w:t>Prince-Wright v. Copeman</w:t>
      </w:r>
      <w:r>
        <w:rPr>
          <w:rFonts w:ascii="arial" w:eastAsia="arial" w:hAnsi="arial" w:cs="arial"/>
          <w:color w:val="000000"/>
          <w:sz w:val="20"/>
          <w:lang w:val="en-US" w:eastAsia="en-US" w:bidi="ar-SA"/>
        </w:rPr>
        <w:t xml:space="preserve">, </w:t>
      </w:r>
      <w:hyperlink r:id="rId696" w:history="1">
        <w:r>
          <w:rPr>
            <w:rFonts w:ascii="arial" w:eastAsia="arial" w:hAnsi="arial" w:cs="arial"/>
            <w:i/>
            <w:color w:val="0077CC"/>
            <w:sz w:val="20"/>
            <w:u w:val="single"/>
            <w:shd w:val="clear" w:color="auto" w:fill="FFFFFF"/>
            <w:lang w:val="en-US" w:eastAsia="en-US" w:bidi="ar-SA"/>
          </w:rPr>
          <w:t>[2005] B.C.J. No. 1997</w:t>
        </w:r>
      </w:hyperlink>
      <w:r>
        <w:rPr>
          <w:rFonts w:ascii="arial" w:eastAsia="arial" w:hAnsi="arial" w:cs="arial"/>
          <w:color w:val="000000"/>
          <w:sz w:val="20"/>
          <w:lang w:val="en-US" w:eastAsia="en-US" w:bidi="ar-SA"/>
        </w:rPr>
        <w:t xml:space="preserve">, </w:t>
      </w:r>
      <w:hyperlink r:id="rId696" w:history="1">
        <w:r>
          <w:rPr>
            <w:rFonts w:ascii="arial" w:eastAsia="arial" w:hAnsi="arial" w:cs="arial"/>
            <w:i/>
            <w:color w:val="0077CC"/>
            <w:sz w:val="20"/>
            <w:u w:val="single"/>
            <w:shd w:val="clear" w:color="auto" w:fill="FFFFFF"/>
            <w:lang w:val="en-US" w:eastAsia="en-US" w:bidi="ar-SA"/>
          </w:rPr>
          <w:t>2005 BCSC 1306</w:t>
        </w:r>
      </w:hyperlink>
      <w:r>
        <w:rPr>
          <w:rFonts w:ascii="arial" w:eastAsia="arial" w:hAnsi="arial" w:cs="arial"/>
          <w:color w:val="000000"/>
          <w:sz w:val="20"/>
          <w:lang w:val="en-US" w:eastAsia="en-US" w:bidi="ar-SA"/>
        </w:rPr>
        <w:t xml:space="preserve"> ($100,000); </w:t>
      </w:r>
      <w:r>
        <w:rPr>
          <w:rFonts w:ascii="arial" w:eastAsia="arial" w:hAnsi="arial" w:cs="arial"/>
          <w:b/>
          <w:i/>
          <w:color w:val="000000"/>
          <w:sz w:val="20"/>
          <w:lang w:val="en-US" w:eastAsia="en-US" w:bidi="ar-SA"/>
        </w:rPr>
        <w:t>MacLean v. Budget Rent-A-Car of Edmonton Ltd. et al.</w:t>
      </w:r>
      <w:r>
        <w:rPr>
          <w:rFonts w:ascii="arial" w:eastAsia="arial" w:hAnsi="arial" w:cs="arial"/>
          <w:color w:val="000000"/>
          <w:sz w:val="20"/>
          <w:lang w:val="en-US" w:eastAsia="en-US" w:bidi="ar-SA"/>
        </w:rPr>
        <w:t xml:space="preserve">, </w:t>
      </w:r>
      <w:hyperlink r:id="rId697" w:history="1">
        <w:r>
          <w:rPr>
            <w:rFonts w:ascii="arial" w:eastAsia="arial" w:hAnsi="arial" w:cs="arial"/>
            <w:i/>
            <w:color w:val="0077CC"/>
            <w:sz w:val="20"/>
            <w:u w:val="single"/>
            <w:shd w:val="clear" w:color="auto" w:fill="FFFFFF"/>
            <w:lang w:val="en-US" w:eastAsia="en-US" w:bidi="ar-SA"/>
          </w:rPr>
          <w:t>[2006] B.C.J. No. 2032</w:t>
        </w:r>
      </w:hyperlink>
      <w:r>
        <w:rPr>
          <w:rFonts w:ascii="arial" w:eastAsia="arial" w:hAnsi="arial" w:cs="arial"/>
          <w:color w:val="000000"/>
          <w:sz w:val="20"/>
          <w:lang w:val="en-US" w:eastAsia="en-US" w:bidi="ar-SA"/>
        </w:rPr>
        <w:t xml:space="preserve">, </w:t>
      </w:r>
      <w:hyperlink r:id="rId697" w:history="1">
        <w:r>
          <w:rPr>
            <w:rFonts w:ascii="arial" w:eastAsia="arial" w:hAnsi="arial" w:cs="arial"/>
            <w:i/>
            <w:color w:val="0077CC"/>
            <w:sz w:val="20"/>
            <w:u w:val="single"/>
            <w:shd w:val="clear" w:color="auto" w:fill="FFFFFF"/>
            <w:lang w:val="en-US" w:eastAsia="en-US" w:bidi="ar-SA"/>
          </w:rPr>
          <w:t>2006 BCSC 1344</w:t>
        </w:r>
      </w:hyperlink>
      <w:r>
        <w:rPr>
          <w:rFonts w:ascii="arial" w:eastAsia="arial" w:hAnsi="arial" w:cs="arial"/>
          <w:color w:val="000000"/>
          <w:sz w:val="20"/>
          <w:lang w:val="en-US" w:eastAsia="en-US" w:bidi="ar-SA"/>
        </w:rPr>
        <w:t xml:space="preserve"> ($95,000); </w:t>
      </w:r>
      <w:r>
        <w:rPr>
          <w:rFonts w:ascii="arial" w:eastAsia="arial" w:hAnsi="arial" w:cs="arial"/>
          <w:b/>
          <w:i/>
          <w:color w:val="000000"/>
          <w:sz w:val="20"/>
          <w:lang w:val="en-US" w:eastAsia="en-US" w:bidi="ar-SA"/>
        </w:rPr>
        <w:t>O'Brien (Guardian ad litem of) v. Anderson</w:t>
      </w:r>
      <w:r>
        <w:rPr>
          <w:rFonts w:ascii="arial" w:eastAsia="arial" w:hAnsi="arial" w:cs="arial"/>
          <w:color w:val="000000"/>
          <w:sz w:val="20"/>
          <w:lang w:val="en-US" w:eastAsia="en-US" w:bidi="ar-SA"/>
        </w:rPr>
        <w:t xml:space="preserve">, </w:t>
      </w:r>
      <w:hyperlink r:id="rId698" w:history="1">
        <w:r>
          <w:rPr>
            <w:rFonts w:ascii="arial" w:eastAsia="arial" w:hAnsi="arial" w:cs="arial"/>
            <w:i/>
            <w:color w:val="0077CC"/>
            <w:sz w:val="20"/>
            <w:u w:val="single"/>
            <w:shd w:val="clear" w:color="auto" w:fill="FFFFFF"/>
            <w:lang w:val="en-US" w:eastAsia="en-US" w:bidi="ar-SA"/>
          </w:rPr>
          <w:t>[2000] B.C.J. No. 1747</w:t>
        </w:r>
      </w:hyperlink>
      <w:r>
        <w:rPr>
          <w:rFonts w:ascii="arial" w:eastAsia="arial" w:hAnsi="arial" w:cs="arial"/>
          <w:color w:val="000000"/>
          <w:sz w:val="20"/>
          <w:lang w:val="en-US" w:eastAsia="en-US" w:bidi="ar-SA"/>
        </w:rPr>
        <w:t xml:space="preserve">, </w:t>
      </w:r>
      <w:hyperlink r:id="rId698" w:history="1">
        <w:r>
          <w:rPr>
            <w:rFonts w:ascii="arial" w:eastAsia="arial" w:hAnsi="arial" w:cs="arial"/>
            <w:i/>
            <w:color w:val="0077CC"/>
            <w:sz w:val="20"/>
            <w:u w:val="single"/>
            <w:shd w:val="clear" w:color="auto" w:fill="FFFFFF"/>
            <w:lang w:val="en-US" w:eastAsia="en-US" w:bidi="ar-SA"/>
          </w:rPr>
          <w:t>2000 BCCA 460</w:t>
        </w:r>
      </w:hyperlink>
      <w:r>
        <w:rPr>
          <w:rFonts w:ascii="arial" w:eastAsia="arial" w:hAnsi="arial" w:cs="arial"/>
          <w:color w:val="000000"/>
          <w:sz w:val="20"/>
          <w:lang w:val="en-US" w:eastAsia="en-US" w:bidi="ar-SA"/>
        </w:rPr>
        <w:t xml:space="preserve"> ($175,000); </w:t>
      </w:r>
      <w:r>
        <w:rPr>
          <w:rFonts w:ascii="arial" w:eastAsia="arial" w:hAnsi="arial" w:cs="arial"/>
          <w:b/>
          <w:i/>
          <w:color w:val="000000"/>
          <w:sz w:val="20"/>
          <w:lang w:val="en-US" w:eastAsia="en-US" w:bidi="ar-SA"/>
        </w:rPr>
        <w:t>Reilly v. Lynn</w:t>
      </w:r>
      <w:r>
        <w:rPr>
          <w:rFonts w:ascii="arial" w:eastAsia="arial" w:hAnsi="arial" w:cs="arial"/>
          <w:color w:val="000000"/>
          <w:sz w:val="20"/>
          <w:lang w:val="en-US" w:eastAsia="en-US" w:bidi="ar-SA"/>
        </w:rPr>
        <w:t xml:space="preserve">, </w:t>
      </w:r>
      <w:hyperlink r:id="rId699" w:history="1">
        <w:r>
          <w:rPr>
            <w:rFonts w:ascii="arial" w:eastAsia="arial" w:hAnsi="arial" w:cs="arial"/>
            <w:i/>
            <w:color w:val="0077CC"/>
            <w:sz w:val="20"/>
            <w:u w:val="single"/>
            <w:shd w:val="clear" w:color="auto" w:fill="FFFFFF"/>
            <w:lang w:val="en-US" w:eastAsia="en-US" w:bidi="ar-SA"/>
          </w:rPr>
          <w:t>[2003] B.C.J. No. 133</w:t>
        </w:r>
      </w:hyperlink>
      <w:r>
        <w:rPr>
          <w:rFonts w:ascii="arial" w:eastAsia="arial" w:hAnsi="arial" w:cs="arial"/>
          <w:color w:val="000000"/>
          <w:sz w:val="20"/>
          <w:lang w:val="en-US" w:eastAsia="en-US" w:bidi="ar-SA"/>
        </w:rPr>
        <w:t xml:space="preserve">, </w:t>
      </w:r>
      <w:hyperlink r:id="rId699"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xml:space="preserve"> ($150,000)). Those cases all involved injuries more serious than the ones I have found the plaintiff suffered in the accident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xml:space="preserve">  [332] In </w:t>
      </w:r>
      <w:r>
        <w:rPr>
          <w:rFonts w:ascii="arial" w:eastAsia="arial" w:hAnsi="arial" w:cs="arial"/>
          <w:b/>
          <w:i/>
          <w:color w:val="000000"/>
          <w:sz w:val="20"/>
          <w:lang w:val="en-US" w:eastAsia="en-US" w:bidi="ar-SA"/>
        </w:rPr>
        <w:t>Watt v. Meier</w:t>
      </w:r>
      <w:r>
        <w:rPr>
          <w:rFonts w:ascii="arial" w:eastAsia="arial" w:hAnsi="arial" w:cs="arial"/>
          <w:color w:val="000000"/>
          <w:sz w:val="20"/>
          <w:lang w:val="en-US" w:eastAsia="en-US" w:bidi="ar-SA"/>
        </w:rPr>
        <w:t xml:space="preserve">, </w:t>
      </w:r>
      <w:hyperlink r:id="rId700" w:history="1">
        <w:r>
          <w:rPr>
            <w:rFonts w:ascii="arial" w:eastAsia="arial" w:hAnsi="arial" w:cs="arial"/>
            <w:i/>
            <w:color w:val="0077CC"/>
            <w:sz w:val="20"/>
            <w:u w:val="single"/>
            <w:shd w:val="clear" w:color="auto" w:fill="FFFFFF"/>
            <w:lang w:val="en-US" w:eastAsia="en-US" w:bidi="ar-SA"/>
          </w:rPr>
          <w:t>[2006] B.C.J. No. 2046</w:t>
        </w:r>
      </w:hyperlink>
      <w:r>
        <w:rPr>
          <w:rFonts w:ascii="arial" w:eastAsia="arial" w:hAnsi="arial" w:cs="arial"/>
          <w:color w:val="000000"/>
          <w:sz w:val="20"/>
          <w:lang w:val="en-US" w:eastAsia="en-US" w:bidi="ar-SA"/>
        </w:rPr>
        <w:t xml:space="preserve">, </w:t>
      </w:r>
      <w:hyperlink r:id="rId700" w:history="1">
        <w:r>
          <w:rPr>
            <w:rFonts w:ascii="arial" w:eastAsia="arial" w:hAnsi="arial" w:cs="arial"/>
            <w:i/>
            <w:color w:val="0077CC"/>
            <w:sz w:val="20"/>
            <w:u w:val="single"/>
            <w:shd w:val="clear" w:color="auto" w:fill="FFFFFF"/>
            <w:lang w:val="en-US" w:eastAsia="en-US" w:bidi="ar-SA"/>
          </w:rPr>
          <w:t>2006 BCSC 1341</w:t>
        </w:r>
      </w:hyperlink>
      <w:r>
        <w:rPr>
          <w:rFonts w:ascii="arial" w:eastAsia="arial" w:hAnsi="arial" w:cs="arial"/>
          <w:color w:val="000000"/>
          <w:sz w:val="20"/>
          <w:lang w:val="en-US" w:eastAsia="en-US" w:bidi="ar-SA"/>
        </w:rPr>
        <w:t xml:space="preserve"> at para. 291, Baker J., having reviewed a number of recent awards in personal injury cases involving mild traumatic brain injury, concluded that the authorities suggest the range of non-pecuniary damages in mild traumatic brain injury cases is between $75,000 and $120,000. In all of the cases reviewed, the courts had found that the brain injuries had not resolved by the time of trial and would have a long-term impact. Those cases are therefore distinguishable from this case, in which I have found that the plaintiff has not established that the mild brain injury he suffered has caused cognitive difficulties or any difficulties extending beyond about two years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[333] Counsel for the plaintiff submitted, on the premise that the plaintiff has suffered serious and permanent cognitive damage because of the accident, is unable to work, and has seen a significant alteration in his ability to enjoy life, that $200,000 is the appropriate award in this case. I have rejected that premise, however.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[334] Counsel for the defendants submitted that for soft tissue injuries which resolved within six months, the appropriate award for damages would be in the range of $15,000 - $20,000. I have also rejected that premise, and have found that the soft tissue injuries and mild traumatic brain injury continued to cause disabling symptoms in the plaintiff for two years after the accident, and minor symptoms which tapered off by the time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xml:space="preserve">  [335] I have considered the following cases in which a plaintiff has suffered neck, back, and shoulder tissue injuries, and, in some instances, a mild traumatic brain injury: </w:t>
      </w:r>
      <w:r>
        <w:rPr>
          <w:rFonts w:ascii="arial" w:eastAsia="arial" w:hAnsi="arial" w:cs="arial"/>
          <w:b/>
          <w:i/>
          <w:color w:val="000000"/>
          <w:sz w:val="20"/>
          <w:lang w:val="en-US" w:eastAsia="en-US" w:bidi="ar-SA"/>
        </w:rPr>
        <w:t>Repole v. Bakker</w:t>
      </w:r>
      <w:r>
        <w:rPr>
          <w:rFonts w:ascii="arial" w:eastAsia="arial" w:hAnsi="arial" w:cs="arial"/>
          <w:color w:val="000000"/>
          <w:sz w:val="20"/>
          <w:lang w:val="en-US" w:eastAsia="en-US" w:bidi="ar-SA"/>
        </w:rPr>
        <w:t xml:space="preserve">, </w:t>
      </w:r>
      <w:hyperlink r:id="rId701" w:history="1">
        <w:r>
          <w:rPr>
            <w:rFonts w:ascii="arial" w:eastAsia="arial" w:hAnsi="arial" w:cs="arial"/>
            <w:i/>
            <w:color w:val="0077CC"/>
            <w:sz w:val="20"/>
            <w:u w:val="single"/>
            <w:shd w:val="clear" w:color="auto" w:fill="FFFFFF"/>
            <w:lang w:val="en-US" w:eastAsia="en-US" w:bidi="ar-SA"/>
          </w:rPr>
          <w:t>[2007] B.C.J. No. 868</w:t>
        </w:r>
      </w:hyperlink>
      <w:r>
        <w:rPr>
          <w:rFonts w:ascii="arial" w:eastAsia="arial" w:hAnsi="arial" w:cs="arial"/>
          <w:color w:val="000000"/>
          <w:sz w:val="20"/>
          <w:lang w:val="en-US" w:eastAsia="en-US" w:bidi="ar-SA"/>
        </w:rPr>
        <w:t xml:space="preserve">, </w:t>
      </w:r>
      <w:hyperlink r:id="rId701" w:history="1">
        <w:r>
          <w:rPr>
            <w:rFonts w:ascii="arial" w:eastAsia="arial" w:hAnsi="arial" w:cs="arial"/>
            <w:i/>
            <w:color w:val="0077CC"/>
            <w:sz w:val="20"/>
            <w:u w:val="single"/>
            <w:shd w:val="clear" w:color="auto" w:fill="FFFFFF"/>
            <w:lang w:val="en-US" w:eastAsia="en-US" w:bidi="ar-SA"/>
          </w:rPr>
          <w:t>2007 BCSC 592</w:t>
        </w:r>
      </w:hyperlink>
      <w:r>
        <w:rPr>
          <w:rFonts w:ascii="arial" w:eastAsia="arial" w:hAnsi="arial" w:cs="arial"/>
          <w:color w:val="000000"/>
          <w:sz w:val="20"/>
          <w:lang w:val="en-US" w:eastAsia="en-US" w:bidi="ar-SA"/>
        </w:rPr>
        <w:t xml:space="preserve"> ($90,000 before deduction for failure to mitigate, for 29 year old woman with soft tissue injuries and pain to neck, jaw, shoulders and back, depression, mild traumatic brain injury causing symptoms until three years post-accident); </w:t>
      </w:r>
      <w:r>
        <w:rPr>
          <w:rFonts w:ascii="arial" w:eastAsia="arial" w:hAnsi="arial" w:cs="arial"/>
          <w:b/>
          <w:i/>
          <w:color w:val="000000"/>
          <w:sz w:val="20"/>
          <w:lang w:val="en-US" w:eastAsia="en-US" w:bidi="ar-SA"/>
        </w:rPr>
        <w:t>Ford v. Henderson</w:t>
      </w:r>
      <w:r>
        <w:rPr>
          <w:rFonts w:ascii="arial" w:eastAsia="arial" w:hAnsi="arial" w:cs="arial"/>
          <w:color w:val="000000"/>
          <w:sz w:val="20"/>
          <w:lang w:val="en-US" w:eastAsia="en-US" w:bidi="ar-SA"/>
        </w:rPr>
        <w:t xml:space="preserve">, </w:t>
      </w:r>
      <w:hyperlink r:id="rId702" w:history="1">
        <w:r>
          <w:rPr>
            <w:rFonts w:ascii="arial" w:eastAsia="arial" w:hAnsi="arial" w:cs="arial"/>
            <w:i/>
            <w:color w:val="0077CC"/>
            <w:sz w:val="20"/>
            <w:u w:val="single"/>
            <w:shd w:val="clear" w:color="auto" w:fill="FFFFFF"/>
            <w:lang w:val="en-US" w:eastAsia="en-US" w:bidi="ar-SA"/>
          </w:rPr>
          <w:t>[2005] B.C.J. No. 931</w:t>
        </w:r>
      </w:hyperlink>
      <w:r>
        <w:rPr>
          <w:rFonts w:ascii="arial" w:eastAsia="arial" w:hAnsi="arial" w:cs="arial"/>
          <w:color w:val="000000"/>
          <w:sz w:val="20"/>
          <w:lang w:val="en-US" w:eastAsia="en-US" w:bidi="ar-SA"/>
        </w:rPr>
        <w:t xml:space="preserve">, </w:t>
      </w:r>
      <w:hyperlink r:id="rId702" w:history="1">
        <w:r>
          <w:rPr>
            <w:rFonts w:ascii="arial" w:eastAsia="arial" w:hAnsi="arial" w:cs="arial"/>
            <w:i/>
            <w:color w:val="0077CC"/>
            <w:sz w:val="20"/>
            <w:u w:val="single"/>
            <w:shd w:val="clear" w:color="auto" w:fill="FFFFFF"/>
            <w:lang w:val="en-US" w:eastAsia="en-US" w:bidi="ar-SA"/>
          </w:rPr>
          <w:t>2005 BCSC 609</w:t>
        </w:r>
      </w:hyperlink>
      <w:r>
        <w:rPr>
          <w:rFonts w:ascii="arial" w:eastAsia="arial" w:hAnsi="arial" w:cs="arial"/>
          <w:color w:val="000000"/>
          <w:sz w:val="20"/>
          <w:lang w:val="en-US" w:eastAsia="en-US" w:bidi="ar-SA"/>
        </w:rPr>
        <w:t xml:space="preserve"> ($65,000 for significant soft tissue injuries to neck, shoulders and back, possible concussion but no mild traumatic brain injury, two surgeries to reduce scarring to forehead, headaches, with symptoms resolved after about 14 months); and </w:t>
      </w:r>
      <w:r>
        <w:rPr>
          <w:rFonts w:ascii="arial" w:eastAsia="arial" w:hAnsi="arial" w:cs="arial"/>
          <w:b/>
          <w:i/>
          <w:color w:val="000000"/>
          <w:sz w:val="20"/>
          <w:lang w:val="en-US" w:eastAsia="en-US" w:bidi="ar-SA"/>
        </w:rPr>
        <w:t>Siemens v. Damien</w:t>
      </w:r>
      <w:r>
        <w:rPr>
          <w:rFonts w:ascii="arial" w:eastAsia="arial" w:hAnsi="arial" w:cs="arial"/>
          <w:color w:val="000000"/>
          <w:sz w:val="20"/>
          <w:lang w:val="en-US" w:eastAsia="en-US" w:bidi="ar-SA"/>
        </w:rPr>
        <w:t xml:space="preserve">, </w:t>
      </w:r>
      <w:hyperlink r:id="rId703" w:history="1">
        <w:r>
          <w:rPr>
            <w:rFonts w:ascii="arial" w:eastAsia="arial" w:hAnsi="arial" w:cs="arial"/>
            <w:i/>
            <w:color w:val="0077CC"/>
            <w:sz w:val="20"/>
            <w:u w:val="single"/>
            <w:shd w:val="clear" w:color="auto" w:fill="FFFFFF"/>
            <w:lang w:val="en-US" w:eastAsia="en-US" w:bidi="ar-SA"/>
          </w:rPr>
          <w:t>[2002] B.C.J. No. 1696</w:t>
        </w:r>
      </w:hyperlink>
      <w:r>
        <w:rPr>
          <w:rFonts w:ascii="arial" w:eastAsia="arial" w:hAnsi="arial" w:cs="arial"/>
          <w:color w:val="000000"/>
          <w:sz w:val="20"/>
          <w:lang w:val="en-US" w:eastAsia="en-US" w:bidi="ar-SA"/>
        </w:rPr>
        <w:t xml:space="preserve">, </w:t>
      </w:r>
      <w:hyperlink r:id="rId703" w:history="1">
        <w:r>
          <w:rPr>
            <w:rFonts w:ascii="arial" w:eastAsia="arial" w:hAnsi="arial" w:cs="arial"/>
            <w:i/>
            <w:color w:val="0077CC"/>
            <w:sz w:val="20"/>
            <w:u w:val="single"/>
            <w:shd w:val="clear" w:color="auto" w:fill="FFFFFF"/>
            <w:lang w:val="en-US" w:eastAsia="en-US" w:bidi="ar-SA"/>
          </w:rPr>
          <w:t>2002 BCSC 1065</w:t>
        </w:r>
      </w:hyperlink>
      <w:r>
        <w:rPr>
          <w:rFonts w:ascii="arial" w:eastAsia="arial" w:hAnsi="arial" w:cs="arial"/>
          <w:color w:val="000000"/>
          <w:sz w:val="20"/>
          <w:lang w:val="en-US" w:eastAsia="en-US" w:bidi="ar-SA"/>
        </w:rPr>
        <w:t xml:space="preserve"> ($75,000 for mild traumatic brain injury leading to ongoing emotional, cognitive and behavioural problems, post traumatic stress disorder, bruised ear canal, facial cuts and bruises, injury to left eye socket area, knee lacerations and bruises, back pain, recovery from physical injuries within six months).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xml:space="preserve">  [336] Following the principles set out by the Supreme Court of Canada in </w:t>
      </w:r>
      <w:r>
        <w:rPr>
          <w:rFonts w:ascii="arial" w:eastAsia="arial" w:hAnsi="arial" w:cs="arial"/>
          <w:b/>
          <w:i/>
          <w:color w:val="000000"/>
          <w:sz w:val="20"/>
          <w:lang w:val="en-US" w:eastAsia="en-US" w:bidi="ar-SA"/>
        </w:rPr>
        <w:t>Andrews v. Grand &amp; Toy</w:t>
      </w:r>
      <w:r>
        <w:rPr>
          <w:rFonts w:ascii="arial" w:eastAsia="arial" w:hAnsi="arial" w:cs="arial"/>
          <w:color w:val="000000"/>
          <w:sz w:val="20"/>
          <w:lang w:val="en-US" w:eastAsia="en-US" w:bidi="ar-SA"/>
        </w:rPr>
        <w:t xml:space="preserve"> and the other cases in the "trilogy", and in the light of the awards in other cases to which I have referred, I find that the appropriate award of non-pecuniary damages in this case is $75,000.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Past Loss of Income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[337] For the reasons stated, I reject the plaintiff's argument that he is permanently disabled from gainful employment. I find that so far as the injuries from the accident are concerned, they did not disable him from working past September 1,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[338] I have found that he was disabled from working by his ankle injury at the time of the accident and that he had recovered from that injury by March 1,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340</w:t>
      </w:r>
      <w:r>
        <w:rPr>
          <w:rFonts w:ascii="arial" w:eastAsia="arial" w:hAnsi="arial" w:cs="arial"/>
          <w:color w:val="000000"/>
          <w:sz w:val="20"/>
          <w:lang w:val="en-US" w:eastAsia="en-US" w:bidi="ar-SA"/>
        </w:rPr>
        <w:t>  [339] Counsel for the plaintiff produced evidence showing that Mr. Clark's earnings at the time of the accident were about $26,420 including vacation pay. With a 6.5% increase to reflect the value of non-wage benefits loss, an annual loss of $28,137.30 was incurred. The defendants' position was that any past income loss was minimal, since the plaintiff had in any event been disabled from work by the ankle injury until February or March, 2003, but they did not dispute the above calculation.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341</w:t>
      </w:r>
      <w:r>
        <w:rPr>
          <w:rFonts w:ascii="arial" w:eastAsia="arial" w:hAnsi="arial" w:cs="arial"/>
          <w:color w:val="000000"/>
          <w:sz w:val="20"/>
          <w:lang w:val="en-US" w:eastAsia="en-US" w:bidi="ar-SA"/>
        </w:rPr>
        <w:t>  [340] The plaintiff is entitled to recover for lost income at the level of $28,137.30 per year for the period between March 1, 2003 and September 1, 2004. If counsel are unable to agree on the calculation or on the reduction necessary to reflect the fact that these were gross earnings, they may make further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Loss of Future Income and Loss of Capacity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342</w:t>
      </w:r>
      <w:r>
        <w:rPr>
          <w:rFonts w:ascii="arial" w:eastAsia="arial" w:hAnsi="arial" w:cs="arial"/>
          <w:color w:val="000000"/>
          <w:sz w:val="20"/>
          <w:lang w:val="en-US" w:eastAsia="en-US" w:bidi="ar-SA"/>
        </w:rPr>
        <w:t>  [341] Since I have not found that injuries suffered in the accident have caused Mr. Clark to be disabled from work beyond September 1, 2004, and that any residual symptoms had resolved by the date of trial, no award for loss of future income or loss of capacity is warranted.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Cost of Future Care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343</w:t>
      </w:r>
      <w:r>
        <w:rPr>
          <w:rFonts w:ascii="arial" w:eastAsia="arial" w:hAnsi="arial" w:cs="arial"/>
          <w:color w:val="000000"/>
          <w:sz w:val="20"/>
          <w:lang w:val="en-US" w:eastAsia="en-US" w:bidi="ar-SA"/>
        </w:rPr>
        <w:t>  [342] I accept the report from Dr. Blasberg as to the estimated cost of care for the jaw problem and award $3,450 to permit that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344</w:t>
      </w:r>
      <w:r>
        <w:rPr>
          <w:rFonts w:ascii="arial" w:eastAsia="arial" w:hAnsi="arial" w:cs="arial"/>
          <w:color w:val="000000"/>
          <w:sz w:val="20"/>
          <w:lang w:val="en-US" w:eastAsia="en-US" w:bidi="ar-SA"/>
        </w:rPr>
        <w:t>  [343] In other respects, the plaintiff has not shown the need for provision for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E.</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Management Fees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345</w:t>
      </w:r>
      <w:r>
        <w:rPr>
          <w:rFonts w:ascii="arial" w:eastAsia="arial" w:hAnsi="arial" w:cs="arial"/>
          <w:color w:val="000000"/>
          <w:sz w:val="20"/>
          <w:lang w:val="en-US" w:eastAsia="en-US" w:bidi="ar-SA"/>
        </w:rPr>
        <w:t>  [344] I am not satisfied on the evidence that the need for management fees has been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F.</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Special Damages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346</w:t>
      </w:r>
      <w:r>
        <w:rPr>
          <w:rFonts w:ascii="arial" w:eastAsia="arial" w:hAnsi="arial" w:cs="arial"/>
          <w:color w:val="000000"/>
          <w:sz w:val="20"/>
          <w:lang w:val="en-US" w:eastAsia="en-US" w:bidi="ar-SA"/>
        </w:rPr>
        <w:t>  [345] I recognize that Mr. Clark went to the chiropractor Dr. Fuscaldo on his own initiative rather than on a referral from a physician. However, the evidence supports a conclusion that on the balance of probabilities the chiropractic treatments were helpful to him, and that they were medically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347</w:t>
      </w:r>
      <w:r>
        <w:rPr>
          <w:rFonts w:ascii="arial" w:eastAsia="arial" w:hAnsi="arial" w:cs="arial"/>
          <w:color w:val="000000"/>
          <w:sz w:val="20"/>
          <w:lang w:val="en-US" w:eastAsia="en-US" w:bidi="ar-SA"/>
        </w:rPr>
        <w:t>  [346] The plaintiff is entitled to the special damages he claims (including for chiropractic treatment) for the two year period following the motor vehicle accident. If counsel are unable to agree on the amount, there may be further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464"/>
        <w:gridCol w:w="794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VI.</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COSTS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348</w:t>
      </w:r>
      <w:r>
        <w:rPr>
          <w:rFonts w:ascii="arial" w:eastAsia="arial" w:hAnsi="arial" w:cs="arial"/>
          <w:color w:val="000000"/>
          <w:sz w:val="20"/>
          <w:lang w:val="en-US" w:eastAsia="en-US" w:bidi="ar-SA"/>
        </w:rPr>
        <w:t>  [347] I am unaware of any reason why the plaintiff is not entitled to his costs. If further submissions as to costs are required, counsel may arrange to make such submissions through Trial Division.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C.L. SMITH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Released: October 4, 2007.</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The Reasons for Judgment of Madam Justice Lynn Smith dated June 19, 2007 have been edited.</w:t>
      </w:r>
      <w:r>
        <w:rPr>
          <w:rFonts w:ascii="arial" w:eastAsia="arial" w:hAnsi="arial" w:cs="arial"/>
          <w:sz w:val="20"/>
          <w:lang w:val="en-US" w:eastAsia="en-US" w:bidi="ar-SA"/>
        </w:rPr>
        <w:cr/>
      </w:r>
    </w:p>
    <w:p>
      <w:pPr>
        <w:numPr>
          <w:numId w:val="15"/>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Paragraph Numbering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paragraph following para. 28 on page 9 was incorrectly numbered "26", followed by para. "29". The paragraph numbering has been corrected so that all paragraph numbers following para. 28 have been renumbered consecutively.</w:t>
      </w:r>
      <w:r>
        <w:rPr>
          <w:rFonts w:ascii="arial" w:eastAsia="arial" w:hAnsi="arial" w:cs="arial"/>
          <w:sz w:val="20"/>
          <w:lang w:val="en-US" w:eastAsia="en-US" w:bidi="ar-SA"/>
        </w:rPr>
        <w:cr/>
      </w:r>
    </w:p>
    <w:p>
      <w:pPr>
        <w:numPr>
          <w:numId w:val="1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Headings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Page 94 - QUANTUM OF DAMAGES has been changed to V (from IV) Page 99 - COST has been changed to VI (from V)</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5" style="position:absolute;z-index:2518446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04"/>
          <w:headerReference w:type="default" r:id="rId705"/>
          <w:footerReference w:type="even" r:id="rId706"/>
          <w:footerReference w:type="default" r:id="rId707"/>
          <w:headerReference w:type="first" r:id="rId708"/>
          <w:footerReference w:type="first" r:id="rId70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10" w:history="1">
        <w:r>
          <w:rPr>
            <w:rFonts w:ascii="arial" w:eastAsia="arial" w:hAnsi="arial" w:cs="arial"/>
            <w:b/>
            <w:bCs/>
            <w:i/>
            <w:color w:val="0077CC"/>
            <w:kern w:val="32"/>
            <w:sz w:val="28"/>
            <w:szCs w:val="32"/>
            <w:u w:val="single"/>
            <w:shd w:val="clear" w:color="auto" w:fill="FFFFFF"/>
            <w:lang w:val="en-US" w:eastAsia="en-US" w:bidi="ar-SA"/>
          </w:rPr>
          <w:t>Cornester (c.o.b. Millennium Trading) v. Intact Insurance Co., [2012] B.C.J. No. 2440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 Crawford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11-14 and 18-21,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July 11,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S120159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2440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1741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 C.C.L.I. (5th) 92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CarswellBC 3684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Rachel Cornester doing business as Millennium Trading, Plaintiff, and Intact Insurance Company and Atkinson &amp; Terry Insurance Brokers (Langley) Ltd., Atkinson &amp; Terry Insurance Brokers (N.W.) Ltd., Atkinson &amp; Terry Insurance Brokers (Surrey) Ltd., Don Sache Enterprises Ltd., Grove Agency Ltd., and W.C. Courtenay Insurance Agency Ltd. all together doing business as Atkinson &amp; Terry Insurance Brokers, Defendants, and Atkinson &amp; Terry Insurance Brokers (Langley) Ltd., Atkinson &amp; Terry Insurance Brokers (N.W.) Ltd., Atkinson &amp; Terry Insurance Brokers (Surrey) Ltd., Don Sache Enterprises Ltd., Grove Agency Ltd., and W.C. Courtenay Insurance Agency Ltd. all together doing business as Atkinson &amp; Terry Insurance Brokers, and the said Atkinson &amp; Terry Insurance Brokers,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6" style="position:absolute;z-index:2516930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8" w:name="Keywords_32"/>
      <w:bookmarkEnd w:id="218"/>
      <w:r>
        <w:rPr>
          <w:rFonts w:ascii="arial" w:eastAsia="arial" w:hAnsi="arial" w:cs="arial"/>
          <w:b/>
          <w:color w:val="000000"/>
          <w:sz w:val="20"/>
          <w:lang w:val="en-US" w:eastAsia="en-US" w:bidi="ar-SA"/>
        </w:rPr>
        <w:t xml:space="preserve">Insurance law — Brokers — Liability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obtaining adequate coverage — Action by insured for damages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dismissed — Prior to opening pawn shop business, plaintiff contacted insurance broker to obtain insurance — Resulting policy did not include coverage for stock, but plaintiff later requested and obtained such coverage — Plaintiff's claim for loss of jewellery due to theft was denied as risk not covered by policy — There was no breach of any duty by broker — While broker had duty to inform plaintiff about available coverage and to advise what was appropriate to her needs, plaintiff had not advised broker that she operated pawn shop or that she sold jewellery.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Insurance law — Theft and burglary insurance — Coverage — Action by insured for damages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dismissed — Prior to opening pawn shop business, plaintiff contacted insurance broker to obtain insurance — Resulting policy did not include coverage for stock, but plaintiff later requested and obtained such coverage — Plaintiff's claim for loss of jewellery due to theft was denied as risk not covered by policy — There was no breach of any duty by broker — While broker had duty to inform plaintiff about available coverage and to advise what was appropriate to her needs, plaintiff had not advised broker that she operated pawn shop or that she sold jewellery.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19" w:name="Case Summary_31"/>
            <w:bookmarkEnd w:id="21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insured for damages from the defendant insurance broker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failing to properly insure her business against theft. In June 2007, prior to opening her pawn shop business, the plaintiff contacted the insurance broker to obtain insurance for the business. An employee of the insurance broker took the plaintiff's telephone instructions to insure the business. The communications resulted in the defendant Intact Insurance issuing a policy. The policy covered equipment, business interruption, crime and liability. After receiving the insurance quote, the plaintiff instructed the broker to also obtain coverage for the stock and the broker obtained $45,000 in stock coverage. However, the policy excluded jewellery loss caused by theft. In June 2008, after several trays of gold jewellery were stolen, the plaintiff reported the theft to the insurance broker. Approximately two weeks later, the plaintiff was advised that the loss was excluded under the policy. The broker denied that the plaintiff advised them that she operated a pawn shop or sold jewellery. At the close of the plaintiff's case, the insurer submitted a no evidence motion, which was allowed.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20" w:name="Holdings of Court_24"/>
            <w:bookmarkEnd w:id="220"/>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While the insurance broker had a duty to inform a client about the available coverage and to advise what was appropriate to their needs, this was premised on the client adequately advising the broker of the nature of the business. The plaintiff did not advise the broker than she operated a pawn shop or that she sold jewellery. As a result, there was no breach of any duty as alleged by the plaintiff.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1" w:name="Counsel_33"/>
      <w:bookmarkEnd w:id="22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7" style="position:absolute;z-index:2517442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M.S. Menkes.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Intact Insurance Company: S.A. Braun.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and Third Parties, Atkinson &amp; Terry Insurance Brokers (Langley) Ltd., Atkinson &amp; Terry Insurance Brokers (N.W.) Ltd., Atkinson &amp; Terry Insurance Brokers (Surrey) Ltd., Don Sache Enterprises Ltd., Grove Agency Ltd. and W.C. Courtenay Insurance Agency Ltd. all together doing business as Atkinson &amp; Terry Insurance Brokers and the said Atkinson &amp; Terry Insurance Brokers: S.T. Frost and J.K. Lamb.</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2" w:name="Judgment_33"/>
      <w:bookmarkEnd w:id="222"/>
      <w:r>
        <w:pict>
          <v:line id="_x0000_s1188" style="position:absolute;z-index:251795456"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correction was released by the Court November 22, 2012; the changes have been made to the text and the correction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8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3" w:name="R. CRAWFORD J. (orally)"/>
            <w:bookmarkEnd w:id="223"/>
            <w:r>
              <w:rPr>
                <w:rFonts w:ascii="arial" w:eastAsia="arial" w:hAnsi="arial" w:cs="arial"/>
                <w:b/>
                <w:color w:val="000000"/>
                <w:sz w:val="30"/>
                <w:lang w:val="en-US" w:eastAsia="en-US" w:bidi="ar-SA"/>
              </w:rPr>
              <w:t>R. CRAWFORD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is an oral judgment and I reserve the right to edit the reasons once they are transcribed. In any event, the result will remain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June 18, 2012, during the trial of this matter, on the no evidence motion of Intact Insurance Company, I dismissed the plaintiff's claim against the insurance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Cornester seeks damages from the defendant brokers. She says that they were negligent; that they failed to properly insure her business against a theft of jewellery that was reported to occur by the police on the 12th of June,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defendants Atkinson &amp; Terry, described in various ways in the claim, are insurance brokers. On the 13th of June, 2007, Ms. Zinck, an employee broker of Atkinson &amp; Terry, took the plaintiff's telephone instructions to insure her business. The plaintiff was about to open a business in the Burquitlam Plaza on Clark Road in Coquitlam.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Further communications after the 14th of June resulted in the defendant Intact Insurance (then known as ING Insurance) issuing policy 5XL0147153241 effective the 1st of August, 2007. The policy excludes jewellery loss caused by theft.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reported a theft to Atkinson &amp;Terry on the 24th of June, 2008. On the 10th of July, 2008, Atkinson &amp; Terry advised Ms. Cornester that the loss was excluded under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note the writ of summons did not issue until the 29th of May, 2009. No appearance appears to have been filed until the 3rd of June, 2010, so two years had gone by.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parties refer to the Ontario Court of Appeal decision in </w:t>
      </w:r>
      <w:r>
        <w:rPr>
          <w:rFonts w:ascii="arial" w:eastAsia="arial" w:hAnsi="arial" w:cs="arial"/>
          <w:i/>
          <w:color w:val="000000"/>
          <w:sz w:val="20"/>
          <w:lang w:val="en-US" w:eastAsia="en-US" w:bidi="ar-SA"/>
        </w:rPr>
        <w:t>Fine's Flowers Ltd. et al. v. General Accident Assurance Co. of Canada et al.</w:t>
      </w:r>
      <w:r>
        <w:rPr>
          <w:rFonts w:ascii="arial" w:eastAsia="arial" w:hAnsi="arial" w:cs="arial"/>
          <w:color w:val="000000"/>
          <w:sz w:val="20"/>
          <w:lang w:val="en-US" w:eastAsia="en-US" w:bidi="ar-SA"/>
        </w:rPr>
        <w:t xml:space="preserve"> </w:t>
      </w:r>
      <w:hyperlink r:id="rId711" w:history="1">
        <w:r>
          <w:rPr>
            <w:rFonts w:ascii="arial" w:eastAsia="arial" w:hAnsi="arial" w:cs="arial"/>
            <w:i/>
            <w:color w:val="0077CC"/>
            <w:sz w:val="20"/>
            <w:u w:val="single"/>
            <w:shd w:val="clear" w:color="auto" w:fill="FFFFFF"/>
            <w:lang w:val="en-US" w:eastAsia="en-US" w:bidi="ar-SA"/>
          </w:rPr>
          <w:t>(1977), 81 D.L.R. (3d) 139</w:t>
        </w:r>
      </w:hyperlink>
      <w:r>
        <w:rPr>
          <w:rFonts w:ascii="arial" w:eastAsia="arial" w:hAnsi="arial" w:cs="arial"/>
          <w:color w:val="000000"/>
          <w:sz w:val="20"/>
          <w:lang w:val="en-US" w:eastAsia="en-US" w:bidi="ar-SA"/>
        </w:rPr>
        <w:t>. At paras. 32-35 of the judgment,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The main ground of appeal from the judgment of the learned trial Judge is that he put far too broad and sweeping a duty on insurance agents. They are not insurers. It is not part of their duty to know everything about their clients' businesses so as to be in a position to anticipate every conceivable form of loss to which they might be subject. The agent's duty, counsel submits, is "to exercise a reasonable degree of skill and care to obtain policies in the terms bargained for and to service those policies as circumstances might require".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33 I take no issue with counsel's statement of the scope of the insurance agent's duty except to add that the agent also has a duty to advise his principal if he is unable to obtain the policies bargained for so that his principal may take such further steps to protect himself as he deems desirable. The operative words, however, in counsel's definition of the scope of the agent's duty, are "policies in the terms bargained for".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In many instances, an insurance agent will be asked to obtain a specific type of coverage and his duty in those circumstances will be to use a reasonable degree of skill and care in doing so or, if he is unable to do so, "to inform the principal promptly in order to prevent him from suffering loss through relying upon the successful completion of the transaction by the agent": </w:t>
      </w:r>
      <w:r>
        <w:rPr>
          <w:rFonts w:ascii="arial" w:eastAsia="arial" w:hAnsi="arial" w:cs="arial"/>
          <w:i/>
          <w:color w:val="000000"/>
          <w:sz w:val="20"/>
          <w:lang w:val="en-US" w:eastAsia="en-US" w:bidi="ar-SA"/>
        </w:rPr>
        <w:t>Ivamy, General Principles of Insurance Law</w:t>
      </w:r>
      <w:r>
        <w:rPr>
          <w:rFonts w:ascii="arial" w:eastAsia="arial" w:hAnsi="arial" w:cs="arial"/>
          <w:color w:val="000000"/>
          <w:sz w:val="20"/>
          <w:lang w:val="en-US" w:eastAsia="en-US" w:bidi="ar-SA"/>
        </w:rPr>
        <w:t>, 2nd ed. (1970), at p. 464.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But there are other cases, and in my view this is one of them, in which the client gives no such specific instructions but rather relies upon his agent to see that he is protected and, if the agent agrees to do business with him on those terms, then he cannot afterwards, when an uninsured loss arises, shrug off the responsibility he has assumed. If this requires him to inform himself about his client's business in order to assess the foreseeable risks and insure his client against them, then this he must do. It goes without saying that an agent who does not have the requisite skills to understand the nature of his client's business and assess the risks that should be insured against should not be offering this kind of service. As Mr. Justice Haines said in </w:t>
      </w:r>
      <w:r>
        <w:rPr>
          <w:rFonts w:ascii="arial" w:eastAsia="arial" w:hAnsi="arial" w:cs="arial"/>
          <w:i/>
          <w:color w:val="000000"/>
          <w:sz w:val="20"/>
          <w:lang w:val="en-US" w:eastAsia="en-US" w:bidi="ar-SA"/>
        </w:rPr>
        <w:t>Lahey v. Hartford Fire Ins. Co.</w:t>
      </w:r>
      <w:r>
        <w:rPr>
          <w:rFonts w:ascii="arial" w:eastAsia="arial" w:hAnsi="arial" w:cs="arial"/>
          <w:color w:val="000000"/>
          <w:sz w:val="20"/>
          <w:lang w:val="en-US" w:eastAsia="en-US" w:bidi="ar-SA"/>
        </w:rPr>
        <w:t xml:space="preserve">, </w:t>
      </w:r>
      <w:hyperlink r:id="rId712" w:history="1">
        <w:r>
          <w:rPr>
            <w:rFonts w:ascii="arial" w:eastAsia="arial" w:hAnsi="arial" w:cs="arial"/>
            <w:i/>
            <w:color w:val="0077CC"/>
            <w:sz w:val="20"/>
            <w:u w:val="single"/>
            <w:shd w:val="clear" w:color="auto" w:fill="FFFFFF"/>
            <w:lang w:val="en-US" w:eastAsia="en-US" w:bidi="ar-SA"/>
          </w:rPr>
          <w:t>[1968] 1 O.R. 727</w:t>
        </w:r>
      </w:hyperlink>
      <w:r>
        <w:rPr>
          <w:rFonts w:ascii="arial" w:eastAsia="arial" w:hAnsi="arial" w:cs="arial"/>
          <w:color w:val="000000"/>
          <w:sz w:val="20"/>
          <w:lang w:val="en-US" w:eastAsia="en-US" w:bidi="ar-SA"/>
        </w:rPr>
        <w:t xml:space="preserve"> at p. 729, </w:t>
      </w:r>
      <w:hyperlink r:id="rId712" w:history="1">
        <w:r>
          <w:rPr>
            <w:rFonts w:ascii="arial" w:eastAsia="arial" w:hAnsi="arial" w:cs="arial"/>
            <w:i/>
            <w:color w:val="0077CC"/>
            <w:sz w:val="20"/>
            <w:u w:val="single"/>
            <w:shd w:val="clear" w:color="auto" w:fill="FFFFFF"/>
            <w:lang w:val="en-US" w:eastAsia="en-US" w:bidi="ar-SA"/>
          </w:rPr>
          <w:t>67 D.L.R. (2d) 506</w:t>
        </w:r>
      </w:hyperlink>
      <w:r>
        <w:rPr>
          <w:rFonts w:ascii="arial" w:eastAsia="arial" w:hAnsi="arial" w:cs="arial"/>
          <w:color w:val="000000"/>
          <w:sz w:val="20"/>
          <w:lang w:val="en-US" w:eastAsia="en-US" w:bidi="ar-SA"/>
        </w:rPr>
        <w:t xml:space="preserve"> at p. 508; varied </w:t>
      </w:r>
      <w:hyperlink r:id="rId713" w:history="1">
        <w:r>
          <w:rPr>
            <w:rFonts w:ascii="arial" w:eastAsia="arial" w:hAnsi="arial" w:cs="arial"/>
            <w:i/>
            <w:color w:val="0077CC"/>
            <w:sz w:val="20"/>
            <w:u w:val="single"/>
            <w:shd w:val="clear" w:color="auto" w:fill="FFFFFF"/>
            <w:lang w:val="en-US" w:eastAsia="en-US" w:bidi="ar-SA"/>
          </w:rPr>
          <w:t>[1969] 2 O.R. 883</w:t>
        </w:r>
      </w:hyperlink>
      <w:r>
        <w:rPr>
          <w:rFonts w:ascii="arial" w:eastAsia="arial" w:hAnsi="arial" w:cs="arial"/>
          <w:color w:val="000000"/>
          <w:sz w:val="20"/>
          <w:lang w:val="en-US" w:eastAsia="en-US" w:bidi="ar-SA"/>
        </w:rPr>
        <w:t xml:space="preserve">, </w:t>
      </w:r>
      <w:hyperlink r:id="rId713" w:history="1">
        <w:r>
          <w:rPr>
            <w:rFonts w:ascii="arial" w:eastAsia="arial" w:hAnsi="arial" w:cs="arial"/>
            <w:i/>
            <w:color w:val="0077CC"/>
            <w:sz w:val="20"/>
            <w:u w:val="single"/>
            <w:shd w:val="clear" w:color="auto" w:fill="FFFFFF"/>
            <w:lang w:val="en-US" w:eastAsia="en-US" w:bidi="ar-SA"/>
          </w:rPr>
          <w:t>7 D.L.R. (3d) 315</w:t>
        </w:r>
      </w:hyperlink>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solution lies in the intelligent insurance agent who inspects the risks when he insures them, knows what his insurer is providing, discovers the areas that may give rise to dispute and either arranges for the coverage or makes certain the purchaser is aware of the exclusion.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think this is too high a standard to impose upon an agent who knows that his client is relying upon him to see that he is protected against all foreseeable, insurable risks.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case there was dealing with a greenhouse and the breakdown of the systems to protect the plants which the Court found should have been and was indeed known by the agent, but they did not put their mind to insuring the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focal point in Ms. Cornester's case is what she said to the brokers on the 13th and 14th of June, 2007. The brokers took notes and their documentation speaks for itself. More precisely, the issue is whether the plaintiff told the brokers she was running a pawn shop and that jewellery was a component of the retail business. As might be expected, both designations would be an important factor in risk assessment by the brokers and any insurance company. The plaintiff has no written record to rely on, thus her credibility became a central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CHRONOLOGY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There is some evidence that Ms. Cornester has been in business over 20 years. She had previously operated a pawn shop in Mission and then in Burnaby. In 2006, a fire destroyed the building that she was operating out of in Burnaby. Ms. Cornester was apparently uninsured at the time but she said the jewellery that she had was protected by a safe and was not lost.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2007, she looked for a new site. She found one suitable to her at Burquitlam Plaza.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She then contacted Atkinson &amp; Terry. Atkinson &amp; Terry appear to have centralized their commercial business into one office. Ms. Cornester contacted the office by telephone.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Zinck is an experienced broker. She used an underwriting submission form as her checklist (see Exhibit 25, Tab 1). She wrote down the name of the business, Ms. Cornester's name and address, the location of the business, and described the operations and products as "retail: new and used goods; CD, DVD, video game, electric". Other aspects of the building and crime prevention information were noted on the form. Total revenues were noted at $60,000 per annum. On page 2, there is a risk history question and answer as follows:</w:t>
      </w:r>
      <w:r>
        <w:rPr>
          <w:rFonts w:ascii="arial" w:eastAsia="arial" w:hAnsi="arial" w:cs="arial"/>
          <w:sz w:val="20"/>
          <w:lang w:val="en-US" w:eastAsia="en-US" w:bidi="ar-SA"/>
        </w:rPr>
        <w:cr/>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first question was "Give details of all claims (Type, date and amount paid or reserve outstanding) for 5 years: NOTE: If more than one loss in past 3 years or loss ratio greater than 40%, refer risk to underwriter prior to quoting", and written there, "none".</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any insurer ever cancelled, declined or refused to renew? If Yes, provide details." Answer: "No".</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"Name of previous insurer." Answer: "none".</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Nothing about "Expiring premium".</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"Comments:" - "New store. new stock, old stock" and as to the latter two items, the note "not insuring".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page 3:</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value of "Equipment, limit of insurance" is put at "$10,000.</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"Contents of Every Description" is left blank.</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terms of liability insurance the bodily injury component is put at $3,000,000.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This information was then transformed into a Commercial Insurance Submission (see Exhibit 25, Tab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Under the "Description of Business Operations" it reads: "retail store, new &amp; used CD's, DVD's, video games, electronics, not looking for coverage for stock".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Under "Previous Policy" and "Reason Renewal Denied" is typed in "not for this store, new but has had many stores over the past 20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evidence is that this submission was sent out to six insurance companies. After a while it was noted that the address that had been put in was the home address rather than the business address. I now refer to the quotation that came in from Intact or ING as it then was at Exhibit 25, Tab 7. There they note with respect to the quotation, the quote is subject to "no coverage on stock". That is on the 13th of June, 2007 at 2:23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Under Tab 6 in Exhibit 25, there is another insurance quotation and the address has been corrected at 4:33 p.m.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There was email correspondence between Ms. Zinck and Ms. Kanji at ING in that it shows under Tab 8 of Exhibit 25 reflecting the address change where Ms. Kanji notes she has reviewed the request for a quotation and determined the Commercial Edge Express Standard Package addressed the client's needs and that revised quote is received back in Atkinson &amp; Terry's office at 4:54 p.m. on the 13th of June but by then Ms. Zinck had left the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Zinck was away from the office on the 14th of June and a Ms. Paquette took over the file and she saw the revised quote from ING and she faxed it to the plaintiff. The documentation at Exhibit 25, Tab 10 comprises a covering letter, four pages of the insurance quotation, and another document regarding premium payment. Atkinson &amp; Terry used a facsimile machine and the activity report shows that the documents were sent out, six pages, at 10:20 a.m. on the 14th of June,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Paquette in her covering letter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Dear Rachel,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to our telephone conversation, we are pleased to confirm we are able to place your business insurance with ING Insurance Company in the amount of $15,000 on your Equipment, Business Interruption, crime and liability in the amount of $3,000,000 for an annual premium of $720. This is a package policy so there are other items automatically covered, please see quotation attached.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Note that this quotation does not include coverage for your stock as you declined that coverage.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I've attached the monthly payment plan authorization form that requires your signature. Please return the authorization with a void cheque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It appears from the correspondence that Ms. Cornester called Ms. Paquette back within minutes and with respect to the stock, she gave instructions to cover the stock for $30,000. That is reflected in Exhibit 25, Tab 12 where there is an email on the 14th of June at 10:27 a.m. noting they will endeavour to obtain a quote for $30,000 stock as requested and at the same time Ms. Paquette contacted Ms. Kanji by email saying, "This is Claire for Michelle, good quote, now the insured has decided she wants a quote covering her stock for $30,000. Can you please advise of your terms": Exhibit 25, Tab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At 11:01 a.m. the email correspondence from Ms. Kanji asked this question: "Do the premises have a monitored alarm system??? If not, what other burglary protection is there???" At 12:09 p.m. Ms. Paquette relies to Ms. Kanji saying, "Yes as per application, she will have the monitored alarm with Accurate Alarms installed before moving in. Cell back up and double gated entry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When one looks back at Exhibit 25, Tab 4, the Commercial Insurance Submission, which had said on the fourth page under "Occupancies, Insured: Retail - alarm to be installed ASAP, landlord requires CGL prior to entry to unit", there is the written notation, "monitored alarm, cell back up, Accurate Alarms".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There is obviously further communication because when one looks at Exhibit 25, Tab 13, with the revised quotation coming back from ING, written into the document there is additional description of the business operations and where previously it was typed in "Retail New &amp; Used CD's, DVD's, Video Games &amp; Electronics" is written "+ musical instruments okay per Nasim". The quotation date there is 15th June 2007 which is a Friday at the time of 11:41 a.m. and we now have Commercial Building and Contents Broad Form -- contents of every description with a deductible of $1,000 and a limit of insurance at $45,000.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Exhibit 8, Tab 5, is a copy of the insurance quotation from Ms. Kanji of the 15th of June at 11:41 a.m. Ms. Cornester's telephone number and apparent fax number 604 327-4427 is noted on the documents, though interestingly in terms of minutes of the day it is dated 15th of June, 2007 11:25 which appears to pre-date the quotation time of 11:41. Maybe that is simply a clock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calendar tells me that the 13th and 14th and 15th of June, 2007 were Wednesday, Thursday and Friday. The Saturday and Sunday go by as does Monday and then the documentation appears to be gathered up by Ms. Zinck who has returned to the Atkinson &amp; Terry Brokers' office and there is a letter under Exhibit 25, Tab 15 dated June 19th, 2007 when Ms. Zinck writes to Ms. Cornester regarding the policy number 29930 and enclosing confirmation of insurance issued for a term of one year effective August 1st, 2007: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We have ordered your policy in accordance with this document and will provide the original certificate and coverage wordings to you in the very near future.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instructed, payment of your annual premium of $894.00 will be collected monthly from your authorized chequing account.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you have any questions ... do not hesitate to call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As noted in the earlier quotation, there is $3,000,000 commercial general liability, $500,000 tenants' legal liability, and $45,000 coverage on contents of every description.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Not only is there apparently a mailing but there also appears to be a fax notation on the confirmation of insurance and the covering letter (see Exhibit 8, Tab 6) showing a fax documentation sent on the 19th of June at 2:04 p.m. Eventually the original policy was sent to the plaintiff on the 3rd of July. That is evidenced at Exhibit 25, Tab 19, where Ms. Zinck writes to Ms. Cornester saying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to our Confirmation of Insurance previously sent, enclosed please find your original copy of the above noted policy. Please review this document and should there be any necessary changes or amendments simply contact our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confirmation documents that had been sent earlier also have this statement on it: "As to operations, retail sales of new and used CDs, DVDs, video games, electronics and musical instruments. This policy may contain clauses which limit the amount payable and is subject to standard policy exclusions", and the premium is $894.00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Eventually in September it appears Ms. Cornester did read the policy. That shows in an email from Ms. Zinck to ING on the 10th of September, 2007 and Ms. Zinck sent a brief note saying, "Please amend as follows: name should be Millennium, Unit should be #562B." These were two minute errors. Millennium had two "n's" in it rather than one, and then the unit address 526B is changed to read 562B and those were duly noted in later correspondence.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We move to 2008. The theft was reported to Ms. Zinck on the 24th of June, 2008. Ms. Cornester is reported as saying that the theft occurred on the 23rd of June. The police record indicates the theft occurred on the 12th of June, 2008. It was said that several trays of gold jewellery had been stolen and gives rise to the claim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terms of the contract documentation, the description of the business operations in the property is key. It raises the question: what was said in the discussions beginning on the 13th of June and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Ms. Cornester is aged 58. She said in her evidence she had been in the retail business for 25 years and that her last business was Millennium Trading which she described as a pawn shop.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After she found the location in Coquitlam and entered into what was described as a license agreement for the site, she planned to open the store on the 1st of September. She said she enquired about insurance for the stock that she would be holding. She said she asked around the mall and was referred to Atkinson &amp; Terry and contacted Atkinson &amp; Terry by telephone and then spoke with Ms. Zinck. She did not recall the date. Asked what the discussion was she said, "It was about the kind of business and what items I carried and the different items we sold." As to what she told Ms. Zinck, she said she operated a pawn shop. She sold used movies, CDs, DVDs, electrical goods, musical instruments and jewellery. She said she did not give any other details. She did not remember how long the discussion was. Subsequently she said there was a telephone call, it was okay, and the policy would be sent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She was referred to Exhibit 8, Tab 5, the insurance quotation of the 15th of June, 2007. She could not recall when it was received. She said she assumed it was the insurance coverage. Asked if the information under her name was accurate, she said there were details missing such as the musical instruments and jewellery. She was then shown the confirmation of insurance (see document Exhibit 8, A6). She said she had seen that but she did not recall reviewing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Exhibit 8, Tab 7 is described as a business insurance statement and the premiums payable in the commercial edge policy declarations. She did not remember that 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When one looks at Exhibit 8, Tab 5, there appears to be the facsimile notation sending the document to the telephone number for Ms. Cornester. Later in evidence she denied having a fax machine.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cross-examination it was put to Ms. Cornester that Ms. Paquette puts in her evidence that she spoke with her; that was denied. It was put to Ms. Cornester that the fax number was her telephone number; she agreed with that but then she said she did not receive any of the documents that were then being considered which was the letter of the 14th of June. She denied receiving the six pages that were said to have been sent on the 14th of June.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With respect to the confirmation of insurance (Exhibit 8, Tab 6) she did not recall reviewing the document. Again, I note that has the fax number on it with the date and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DAILY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Ms. Cornester then gave evidence of the daily operation of her business. On the receipt of each item that is purchased, a document is generated. It is a receipt of sale document. It was given by the plaintiff to a person selling goods to them or pawning their goods. The document seeks the date, the time, the name, the address, the height, the weight, the address, telephone number, description of goods, and purchase of goods. Much of the information can be seen on one's driver's licence and the phrase "purchase of goods" appears to have figures beside it reflecting the price of the goods. However, Ms. Cornester's evidence was that the document would be given to the seller and the price line would be left blank and then that day or a few days later, she would assign a value to the item that had been purchased.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Municipalities require pawnshops to regularly file a list of items that they take in, be it sale or pawn. The plaintiff said she did that. She did that two times a week when she was in Burnaby. The police list as I would call it copies most of the information on the sales receipt and includes a valuation figure.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Cornester said that her husband advised her of the theft that occurred in June 2008 because she was not in the store at that time but her husband was. She said several trays of gold jewellery were taken and those goods are now listed by the plaintiff and shown at Exhibit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basis of the list is the sales receipt. Exhibit 8 at Tabs 1, 2 and 3 has a number of the sales sheets: at Tab 1 the sales sheets in Ms. Cornester's writing, and at Tab 2 the sales sheets in her husband's writing, and at Tab 3, sales receipts said to be a combination of both Mr. and Mrs. Cornester's 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Ms. Cornester said she purchased gold jewellery for re-sale and she kept it in her vault. When the store was opened, then the jewellery would be put out and displayed in glass cases on several trays. She said each item reflected a 30 percent mark-up relative to its gold value. Typically, Christmas saw 60 percent of the gold inventory sold and other good sale dates were Mother's Day and Father's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She then said that she had told Ms. Zinck that the value of her stock was $100,000. Presumably that conversation took place on the 13th of June, 2007 but there was no particular discussion of the type of stock.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Ms. Cornester commented on Ms. Zinck's underwriting sheet. She said retail was not her business. She said the goods description failed to describe musical instruments and jewellery. She said she had specified TVs and computers and not electrical goods. She had no recollection of specifying the revenue of the business or the risk history or of there being a discussion of not insuring stock.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have noted the landlord's requirements about insurance and that Ms. Cornester said she had no recollection of discussing her landlord's requirements about insurance, but those were prescribed in the license or lease documents she had obtained. Nor did she have any recollection of the notation I referred to regarding Accurate Alarm putting in a monitored alarm with a cell back-up.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Ms. Cornester was then referred to the letter from Ms. Paquette of the 14th of June, 2007 which is found at Exhibit 25, Tab 10. That refers to the telephone conversation and the placement of insurance with ING. However, Ms. Cornester said she had no recollection of receiving the fax cover letter and the quotation from 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She was referred to the letter of the 19th of June, 2007 found at Exhibit 25, Tab 15. That is the letter from Ms. Zinck enclosing the confirmation of insurance. Ms. Cornester did not recall receiving the covering letter. However, after the lunch break she said she did recall receiving the confirmation of insurance that is found in Exhibit 8, Tab 6. When referred to the description for terms and limits and particularly $45,000 contents of every description, she said "To my mind, everything was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Cornester agreed that she had dealt with Ms. Zinck. She said she did not deal with Ms. Paquette. Ms. Cornester said that all her business was in used goods and there was really nothing or few items that were new. She denied that she told Ms. Zinck it was both new and used goods.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Ms. Cornester said in addition to the alarm systems installed they also put in a video camera but on the day of the robbery the tape ran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Cornester denied being asked about the annual business revenues or that she had said $60,000. She denied being asked about the equipment or that it was worth $10,000.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Through this period of time and indeed through much of the cross-examination there were long pauses between question and answer and many of the responses of Ms. Cornester were along the lines "I don't remember".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Ms. Cornester had given evidence at examination for discovery on the 20th of July, 2011. At page 81 at question 412 the transcript reads this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you can refer to Atkinson &amp; Terry document 1.1 I may have the reference you are referring to.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Counsel for Ms. Cornester, Mr. Menkes,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don't know how you can put that to this witness. I'm not sure she's capable of identifying it. I don't know what your intention 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Frost, counsel for the defendants, says at 413: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this document is underwriting information form?</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It's a handwritten document on Atkinson &amp; Terry Insurance Brokerage letterhead. On the second page of that document and this is a three page document, item number 2 is total revenue at $60,000.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 that what you're referring to?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what I understand it to be.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in your conversation with Michelle Zinck you discussed total revenues for the business and you stated that it was $60,000.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At that time,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you flip to the next page there is under coverages the third item down is equipment and the limit of insurance is $10,000. Do you recall discussing along with what your revenue was for Millennium Trading what the value of your equipment was?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stated it was $10,000.</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approximately $10,000.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Ms. Cornester did not recall giving those answers or whether the answers were true as to the $60,000 revenue but she acknowledged the answers about equipment were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Ms. Cornester did not recall advising Ms. Zinck the landlord had required or requested she obtain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Ms. Cornester denied having any telephone conversation with Ms. Paquette. Ms. Cornester was then shown Exhibit 25, Tab 10, the covering letter, insurance quotation, and premium form. It was noted that there had been reference to a telephone conversation between Ms. Paquette and Ms. Cornester. Ms. Cornester maintained her denial of any discussion with Ms. Paquette.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have already mentioned that the number for receiving the fax is Ms. Cornester's telephone number on Atkinson &amp; Terry's facsimile activity report. Exhibit 24 shows six pages being forwarded and successfully transmitted. Ms. Cornester maintained her denial as to receiving the documents. Ms. Cornester then denied having a fax machine. However, other evidence shows the monthly premium payment plan appears to have been faxed back to Atkinson &amp; Terry soon 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Exhibit 25, Tab 12 is said to be an email from Ms. Paquette to Ms. Cornester dated 14th June and the time 10:27 a.m., that is seven minutes after the documentation is apparently sent to Ms. Cornester. The correspondence reflects a conversation based on the stock at that time not being insured and I have read this before: "We will endeavour to obtain a quote for $30,000 stock as requested." Ms. Cornester denied receiving the faxed documents or asking for a $30,000 quotation.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Ms. Cornester then asserted the only conversation she had about stock was on the 13th of June with Ms. Zinck and that she discussed the stock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Counsel then turned to the examination for discovery of Ms. Cornester of the 20th of July, 2011 at p. 79, question 401: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Your evidence earlier was that in a phone call with Michelle at Atkinson &amp; Terry you discussed that you were opening up a pawn shop. You discussed the location, details about your operation, the security, the liability coverage you wanted and the items you were going to insure. During that telephone conversation, did you discuss the value of the contents that you were looking to insure?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At any time did you discuss the value of insurance that you were hoping to get?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 left it entirely to Atkinson &amp; Terry to figure out how much insurance you needed?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you ever tell them what the value of the stock was in your store?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With respect to the conversation with Ms. Paquette about the alarms, Ms. Cornester could not recall any such conversation.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During the course of the proceedings Ms. Cornester had filed an affidavit. It was sworn the 3rd of March, 2011. The first Exhibit is the letter from Ms. Zinck of the 19th of June, 2007 which contains confirmation of insurance, insurance quotation, and an Easy Pay application and authorization form. They are marked as Exhibit A to Ms. Cornester's affidavit.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facsimile notations both for Ms. Cornester for the first two pages on the 19th of June and for the following pages for the 15th of June are on the face of the documents. At the top of the documents there is a facsimile statement for Atkinson &amp; Terry of similar date, namely, the two dates, the 19th and the 15th of June.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have already referred to Exhibit 25, Tab 13 the revised quotation reflecting the addition of musical instruments on the 15th of June and the coverage for contents at p. 2 of $45,000 and the increased premium from $720.00 to $894.00. Plainly then, Ms. Cornester had a copy of the documents with her fax number on it and the dates.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As she reviewed the affidavit that contained the insurance documents, Ms. Cornester said she could not remember seeing them. She then slowly turned the pages and a long pause ensued. She then acknowledged she had read the document but did not note the description as retail nor the $45,000 contents coverage limit. Then she said she thought that each item was covered for $45,000 and that she had sought coverage for $100,000. But then she said she could not recall discussing an amount. While the plaintiff did not recall adding musical instruments, she also said she did not call Atkinson &amp; Terry to add jewellery.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Reference was then made to the 19th of June correspondence from Ms. Zinck to Ms. Cornester and I have read the confirmation; I do not need to keep repeating that. Ms. Cornester did not remember receiving such a letter, however, plainly her affidavit exhibits a faxed copy stamped the 19th of June, 2007 at 2:04 p.m. That did not assist her memory.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Reference is also made to the July 3rd, 2007 correspondence from Ms. Zinck to Ms. Cornester enclosing a copy of the policy and noting the request to review the document and advise of any necessary changes or amendments.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With reference to Exhibit 8, Tab 7 which begins with the business insurance document and comprises copies of the Commercial Edge policy, Ms. Cornester could not remember receiving that document but acknowledged she had called back to the insurance company and made two changes, the two that we have noted, namely, the additional "n" in Millennium and the number reversal in the unit number and those changes were duly acknowledged by Ms. Zinck on the 28th of September, 2007 (see Exhibit 25, Tab 22). By then Ms. Cornester had started her business and by the 10th of September had carefully viewed the policy wording and in particular the business use and the contents limit.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THEFT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theft is recorded by the Coquitlam RCMP as occurring on the 12th of June, 2008. Ms. Zinck's file notes at Atkinson &amp; Terry record Ms. Cornester telephoning to make a claim on the 24th of June, 2008. The theft was reported as occurring on the 23rd of June, 2008. The description is said to be antique jewellery but Ms. Cornester denied describing the stolen jewellery as antique and that she used the word "used". Exhibit 2 lists some 50 items that are said to be the items of gold jewellery stolen from Ms. Cornester's business in Coquitlam. Her description gives a number, a description -- and I read from the first line for instance: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No. 479 22K ladies ring/22 karat bracelet Paid $2,220.00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Ms. Cornester said that the word "paid" meant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It was put to Ms. Cornester that Ms. Zinck had told her there was no record of Ms. Cornester telling the brokers at Atkinson &amp; Terry she was selling antique jewellery or that her business was a pawn shop, but Ms. Cornester said she could not remember Ms. Zinck telling her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With respect to the plaintiff's evidence that there had been a video camera installed but it had no film, it was noted that the RCMP report regarding the theft stated there was no video surveillance. Ms. Cornester disagreed. As well, the report advised Ms. Cornester to install video surveillance. She said that was incorrect.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With respect to the sales reports that were made regularly to the Coquitlam RCMP, Ms. Cornester said she had not kept those but she had kept the sales receipts relating to the items listed on Exhibit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With respect to the daily operations, Ms. Cornester said her husband helped her out from time to time. His writing is plainly distinguishable from Ms. Cornester's.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Exhibit 22 is a report from John Kovacs, a forensic document examiner, dated the 27th of March, 2012. He had examined the 50 sales sheets. He stated with respect to 23 of the 50, a different instrument, from which I take it to be a pen, had been used on the document. In general, the report indicated additional entries had been made by either adding figures, items or descriptions to the sales document. From that report flowed a number of questions to Ms. Zinck and I am obliged to work my way through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At Exhibit 8, Tab 1 are the receipts in Ms. Cornester's handwriting. On p. 16 there is a receipt numbered 02196. The description of goods is "2 gold rings" and underneath that has been added "28 gr."; 28 grams. To the right hand side of the page on the line "purchase of goods" had been written "60.oo" which one might read as $60.00, it is a sixty, a dot and two smaller zeros. A "5" has been put in front so the figures change from $60.00 to $560.00. Ms. Cornester did not remember writing the changes. She denied she changed "60.00" to "560.00" after the 12th of June,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At Exhibit 8, Tab 1, p. 12 finds receipt numbered 02017 dated the 14th of September, 2007. A Mr. Correia is the name given and the goods are described as "gold man's ring with blue stone and diamonds, 22K". The purchase price plainly written over is said to be $1,525. The plaintiff could not remember if the figures were changed. It was put to Ms. Cornester that there would be evidence that Mr. Correia's nephew had sold a ring to Millennium Trading for $25.00. Ms. Cornester did not recall that. She denied changing the figure after the 12th of June,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Later, the witnesses were called, but I find it useful to now turn to the evidence of Mr. Correia. Mr. Correia said he had brought his 15-year-old nephew to Millennium Trading because his nephew wanted to sell a ring for money and buy some video games. He described it as a man's gold ring with a blue or black stone. He said his nephew was paid $40.00 or $50.00 or at least a few bills. He went with his nephew because his nephew was less than 19 years of age and thus it is Mr. Correia's particulars that are written on the 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On viewing the receipt, Mr. Correia said the particulars were his save for his hair colour and that the ring had no diamonds. He said the signature was not his. He did recall a lady was at the store and that she looked at the ring and then appeared to go to a back room to speak to a man and came back and offered the $40.00 or $50.00. Mr. Correia said that if the ring had had diamonds he would not have let his nephew sell the ring in part because there is a lack of money on the nephew's side of the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cross-examination, he agreed that he only looked at the ring for less than a minute. He agreed he did not see another person in the back room. He agreed he did not seek a higher price as the ring did not look of great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next receipt found on the same page, page 12 of Exhibit 8, Tab 1 is 02011. That is recorded as a sale to a Mr. Johnson on the 6th of November, 2007 of a "10 karat man's ring with diamonds" and the purchase of good line reads "$1,775". Mr. Kovacs' report said the writing "with diamonds" was a different pen. Ms. Cornester could not recall if she had added "with diamonds". She denied adding any words after the 12th of June, 2008. It was put to the plaintiff that Mr. Johnson would be in court and he would say that he had sold an old wedding ring for $20.00. The plaintiff denied she changed "$15" to "$1,775".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 turn to Mr. Johnson's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Mr. Johnson recalled that he had been divorced some four or five years ago. He had a plain gold wedding band. He said he had previously purchased it in Ontario for $100.00. He took it to Millennium Trading. He recalled selling it for $15.00 or $20.00. He confirmed the identity particulars on the receipt. He said he dealt with a man at the shop although he recalled both a man and a woman were there. When he looked at the sales document, he said he did not receive $1,775 nor did his ring have any diamonds in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cross-examination, he said he was certain he had dealt with the man but there was a blonde woman there. He said the man wrote the receipt. I might say that plainly to my eye he is wrong; that the handwriting for the most part is plainly Ms. Cornester's.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At p. 3 of Exhibit 8, Tab 1, is a receipt numbered 0152 dated the 20th of February, 2004 in the name of McGill. Mr. Kovacs' report indicated a different instrument changed the figure of "60" to "960" and the note "with diamonds" had also been added. Ms. Cornester denied changing the figures on the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Ms. Wilma McGill was called. She said she had known Ms. Cornester from her time running the store in Burnaby. She said she had bought items at Ms. Cornester's store, but she had never sold Ms. Cornester anything. She said she did recall signing a receipt on one occasion. She acknowledged all the particulars were there save for her height and weight to which she took some exception. While she could not say when she had bought other items, she did acknowledge she had bought some rings. She said she owned some diamond rings but had never sold any of them. She had no idea what "960" meant on the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cross-examination, she said she had been in both the Burnaby and Coquitlam stores of the plaintiff perhaps six or eight times but she was adamant she had not sold or pawned any items.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Exhibit 8, Tab 2 has the receipt documents in Mr. Cornester's hand and at p. 8 one finds receipt number 02118 in the name Cobble and the date 23rd January and the amount "1,200" beside "purchase of goods". Mr. Kovacs' report indicated the words underneath the description of goods the first line reads "18K scrap gold" and a number that may be 206 (I will come back to that), but then on the next line "plus gold brayslet" which enjoys the spelling "brayslet". Mr. Kovacs said "plus gold brayslet" was a different pen. Ms. Cornester denied telling Mr. Cornester to add to the description after the 12th of June, 2008, and I will come back to that item when I review Mr. Cornester's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At Exhibit 8, Tab 2, p. 4 is receipt number 0398 in the name of Levesque with the date of 5th May, 2004. It is patent that several hands completed the receipt. The plaintiff said she wrote in the description of the goods. On the purchase of goods Mr. Kovacs said that the zero was different from the other figures. There was a dollar sign and the figures $1750. Ms. Cornester denied adding the zero that would change $175 to $1,750.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At Exhibit 8, Tab 1, p. 2 is receipt number 036. The "description of goods" on the first line says "pair of gold earrings" and is followed on the next line "with flower shop" and an abbreviation for diamond. As well, Mr. Kovacs said that with respect to the purchase of goods number which reads "625" that the 6 had been added. Ms. Cornester acknowledged the document was her writing but denied she had added to the document to increase the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At Exhibit 8, Tab 1, p. 6 is a receipt numbered 0479 in the name of MacDonald and the date of the 11th of June. Mr. Kovacs' report notes that with respect to the figures beside "purchase of goods 2,220" that the first two 2s are different; that is plain to anyone's eye, even mine. Similarly, "22K + brayslet" with its interesting spelling is said to be different. With respect to the changes, the plaintiff denied it was her writing or that the two 2s in front of 20 had been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After one has spent some time looking at these receipts, the differences between Mr. and Mrs. Cornester's hands are evident and I am satisfied that Ms. Cornester added the "22" to the 20 to make the figure read "2,220". With respect to this item, reference was made to the transaction reports given to the Burnaby RCMP. One will recall that there is an obligation on the pawn shops to report purchases and pawns to the police. This particular document became part of the evidence and it shows the description as reported in the document with the Burnaby Police in August of 2004. It shows the purchase by Millennium Trading, it shows the purchase from Mr. MacDonald, it describes the "class" as "jewellery", the description is a "ring" the quantity is "1" and the total dollars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At p. 9 of Exhibit 8, Tab 1 is receipt number 0749. The name is Tsangaris; the date is October 23rd, 2004. Ms. Cornester acknowledged she had prepared the receipt. The goods description was "10 karat gold ring" and a value of "$820.00". Mr. Kovacs said the "8" in the goods description was different from the other writing. Ms. Cornester denied that she added the description or the "8" to increase the value after the theft. Again, to my eye, the "8" is patently different. The Burnaby Police record of the transaction correctly describes the seller Tsangaris, the description of the items is "jewellery ring, 10 karat gold ring, quantity 1, total dollars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Ms. Cornester confirmed her practice is not to give a receipt to the customers. She said there were two copies of the receipts. She had retained the white copies relating to the 50 items that were said to be stolen. She did not know what had happened to the yellow copies.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Exhibit 8, Tab 1, p. 11 shows receipt number 0891. The name is Zillman, the date is 17 December 2004, the description reads "scrap gold/earrings" and on the second line "man's watch/two rings". This time the purchase of goods line is not used but the one immediately underneath it "loan $1,750". Ms. Cornester denied that she added the words after "scrap gold". Mr. Kovacs' report said that the value and description differed from the other entries. The Burnaby Police record identifies Mr. Zillman, the class as jewellery, the description is scrap gold, the quantity of items is 1 and the total value $175.00.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Exhibit 8, Tab 1, p. 15 contains receipt number 02086 dated 27th December, 2007 and a Mr. Inwood. The description of goods is "movies/2 14k man's rings" and beside purchase of goods is written "520". Mr. Kovacs said the documents he looked at showed that with respect to the description "2 14k man's rings" and the number "5", they were different colours. Even on the photocopy, the "5" is patently different. The plaintiff could not remember adding those items and denied adding those items after the theft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At Exhibit 8, Tab 2, p. 5 is receipt number 0495, 23 June 2004 in the name of Wagner. Although this is in the grouping with Mr. Cornester's, it is plainly Mrs. Cornester's writing and she acknowledged the writing is hers. The description is "14 karat gold bracelet, 31 grams" and in the purchase of goods line "930". With respect to the Burnaby Police record, it correctly shows Ms. Wagner's particulars. The jewellery is described as "14 karat gold bracelet, quantity 1" and the total "$30.00" not $930.00. Ms. Cornester could not remember making any changes to the receipt.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 noted earlier Ms. Cornester frequently answered throughout her cross-examination "I don't remember". I noted earlier there were long pauses as she sought to find an answer or to respond to conflicts from cross-examination or from the prior examination for discovery. It is fair to say that the plaintiff appears trapped by her own records. To me her memory seems selective. Her evidence was contradicted by the documents, and with respect to the insurance documents, to pick out two minor errors regarding name and address, and yet contend she had a business of $100,000 of goods of that nature and not comment on a $45,000 limit on contents is plainly contrary.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MR. CORNESTER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Mr. Cornester also gave evidence. He said his practice was to cover for his wife one to two days a month at the store and of course you will recall he is the witness to the robbery.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As to the robbery, he said the smash and grab was done by one man. He said he then pushed a silent alarm and he said the video film in the video recorder had run out. He said he told his wife about the theft at the end of the day and that she then called the police and the insurance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Exhibit 3 is the Police report. It was put to Mr. Cornester in cross-examination. I read from p. 3 from the Coquitlam RCMP narrative: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84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2008-06-12</w:t>
            </w:r>
          </w:p>
        </w:tc>
        <w:tc>
          <w:tcPr>
            <w:tcW w:w="829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RO, Reuven CORNESTER, telephoned Coquitlam RCMP to say that his pawn shop had been robbed. CORNESTER stated 2 skinny caucasian males came to his store, smashed the glass of the counter with a crow bar and took 2 trays of rings and necklaces. CORNESTER stated it took about 5 seconds for the whole incident. The only words exchanged between the 2 culprits and CORNESTER was "hi". CORNESTER said 1 male was about 30 years old with short red hair and the other male was about 25 years old with dark short hair. CORNESTER heard a vehicle screeching its tires in the back of his business. CORNESTER did not see the vehicle itself. The crow bar was seized for [fingerprinting] purposes. The culprits did not touch any of the glass counter. There was no video surveillance in or outside of the store.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On p. 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Reuven CORNESTER would fax Cst. BINNING the cost of his loss at the pawn shop and list the items that were taken. CORNESTER stated he did not wish to guess at the loss. CORNESTER believed that the 2 culprits knew what they wanted and went straight for the good items. CORNESTER does not remember the culprits coming to his store in the last few days to case out the store. CORNESTER said the males smashed the counter glass with the crow bar and grabbed 2 trays of rings and necklaces. The counter was not touched by the culprits a per CORNESTER. One of the culprits dropped the crow bar while running out of the pawn shop.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CORNESTER was advised to install some video surveillance in addition to the audible alarm that he has.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In response Mr. Cornester then said, "Well, there were three people; one inside, one at the door, and one in a car." It was noted the Police report said the theft was reported by telephone but no reference to the silent alarm. Mr. Cornester agreed he probably called. The Police report said there was no video surveillance and recommended installation of a video surveillance system. Mr. Cornester wondered why they would say that; "they" being the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Mr. Cornester was then asked about some of the receipts in his hand. I note five of them which are said to be transactions worth $30.00 to $135.00 and it was suggested the values were changed later. Mr. Cornester denied going back to any of the receipts and adding to them. He did say it was Mrs. Cornester's practice after a purchase to go back and put a value on the items.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Attention then turned to Exhibit 8, Tab 2, p. 2 and receipt number 0135. The Kovacs report refers to the purchase of goods figures which show $1,250 or at least the numbers "1250". Mr. Kovacs' report noted the numbers 1 and 2 were different and thus a change in value from $50 to $1,250. Mr. Cornester agreed it was all his writing but he denied adding the 1 and the 2. On the same page is receipt number 0231. Mr. Kovacs wrote regarding the purchase of goods figure of "700". He said a 1 had been altered to a 7 and a zero had been added, i.e. 10 became 700. As well, Mr. Kovacs said that with respect to the description of the goods which on one line says "1 weding bend", and on the next line it says "+ 3 diamonds", Mr. Kovacs "+ 3 diamonds" was different. Mr. Cornester denied changing the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At Exhibit 8, Tab 2, p. 5 is receipt number 02042. The description appears to be "bracelet 22 karat gol [gold]" and on the loan line the figures "1200". Mr. Kovacs said the "1" in front of "200" and the line "22k gol" were different both in hue and colour. Mr. Cornester denied adding the 1 or the "22k gol".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At p. 8 of Exhibit 8, Tab 2, is receipt number 02118, the sale to Mr. Cobble. I had earlier mentioned this item but it was said at least on the face of the document that Mr. Cobble sold 18 karat scrap gold and a gold bracelet for $1,200. It was put to Mr. Cornester that Mr. Cobble would come to court and that Mr. Cobble would say he had only sold some cheap rings. Mr. Cornester denied adding "gold bracelet". Mr. Kovacs' report said the phrase "plus gold bracelet" was a different colour.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Mr. Cobble gave evidence. He said he had been laid off work in January of 2007 and that he works outside doing nursery and garden work. He had found in the course of his work two gold rings and tried to find their owners but was not able to. He said he needed money and he took the rings firstly to a pawn shop in Port Moody. He said one of the rings had a diamond on it but he was told by the store that in fact the diamond was a fake and he was only offered $20.00. He did not accept that opinion but he then went to Millennium Trading. He said a man was there and he looked at the rings and said exactly the same thing, so he accepted the $20.00 offer. He said when he looked at the Millennium Trading receipt it correctly identified him but he had not sold a gold bracelet nor had he received $1,200, only $20.00. He had a recollection the receipt was very messy.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 turn back to Exhibit 8, Tab 1, p. 6 and the receipt number 0479 for Mr. MacDonald. I have already noted Ms. Cornester's evidence. Mr. Cornester said his wife had written the numbers "22K" on the receipt. Mr. Cornester claimed to have written all of the value figures. As I mentioned earlier, the handwriting of Mr. and Mrs. Cornester are patently different and it shows on this document and my earlier comments remain the same. It shows on this document and as it shows on the Police report that was filed with the Burnaby police, the value is $20.00 not $2,220.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During the course of the cross-examination, Mr. Cornester became increasingly defensive and became belligerent and non-responsive, but with a little encouragement he finished giving his evidence properly.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In terms of credibility then, which of course turns on what was said at the time of the placing of the insurance in June of 2007, Mr. and Mrs. Cornester's credibility was severely diminished particularly on the examination of the items said to have been stolen.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 note that at the close of the plaintiff's case Intact Insurance Company, formerly doing business as ING Insurance Company, submitted a no evidence motion and I accepted the strength of that motion and dismissed the plaintiff's case as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ATKINSON &amp; TERRY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As one might expect the two brokers, Ms. Zinck and Ms. Paquette, gave evidence. Ms. Zinck had the initial and later dealings with Ms. Cornester; Ms. Paquette handled the file on the 14th and 15th of June,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Both of the witnesses have had lengthy experience in placing commercial insurance and I accept their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Ms. Zinck's evidence was neatly summarized when she said she ordinarily does make a general inquiry of a person calling in, namely, "What would you lose if everything burned to the ground in a fire?" Such a question would bring home to any person seeking insurance as to what information they should be providing to the broker to insure any loss of property in an adequate fashion.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evidence of both the witnesses was based on the file records and thus it followed the documentation that has already been addressed. Ms. Zinck said that she obtained the plaintiff's name, address, the nature of the business, the kind of goods sold and values. She denied the plaintiff said to her at any time that she had a pawn shop or sold jewellery, at least until the theft was reported. She said she prepared the submission, she sent it out to six insurance companies, and that Ms. Paquette took over the file on the 14th and 15th of June,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 am satisfied there was both verbal and written communication with the plaintiff regarding the placing of insurance on the 14th and 15th of June, 2007. Then Ms. Zinck came back and completed the insurance placement and that can be seen on the 19th of June and the subsequent confirmation and we know in September of 2008 Ms. Cornester upon looking through the documents picked out a spelling issue with Millennium and the misplacement of figures in the unit number of the store in Coquitlam.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theft claim was initiated by Ms. Cornester on the 24th of June, 2008. Ms. Zinck's evidence and indeed her note shows she was immediately aware that lost jewellery was not an item that had been noted on the initial intake of information. Ms. Zinck was subject to a lengthy cross-examination that served to show that Ms. Zinck is well aware of her brokerage obligations and on the information she had from Ms. Cornester, there was no need to concern herself with the suggestion there was a pawn shop or that jewellery was one of the items that would be bought or sold. There are expert reports, but it does not even require that. For one, she recognized that in insurance those would be red flag items.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There was some focus on the issue of co-insurance but given the circumstances before the Court it did not seem that that was particularly relevant. It is fair to say that no specific advice was given on the exclusions to be found in the policy but that in turn must be premised on the information that Ms. Cornester had given to Ms. Zinck and Ms. Paquette.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I had mentioned there were expert opinions filed. Mr. Neil Hogg was tendered as an expert witness for the plaintiff. He is with Toole Peet Insurance and his </w:t>
      </w:r>
      <w:r>
        <w:rPr>
          <w:rFonts w:ascii="arial" w:eastAsia="arial" w:hAnsi="arial" w:cs="arial"/>
          <w:i/>
          <w:color w:val="000000"/>
          <w:sz w:val="20"/>
          <w:lang w:val="en-US" w:eastAsia="en-US" w:bidi="ar-SA"/>
        </w:rPr>
        <w:t>curriculum vitae</w:t>
      </w:r>
      <w:r>
        <w:rPr>
          <w:rFonts w:ascii="arial" w:eastAsia="arial" w:hAnsi="arial" w:cs="arial"/>
          <w:color w:val="000000"/>
          <w:sz w:val="20"/>
          <w:lang w:val="en-US" w:eastAsia="en-US" w:bidi="ar-SA"/>
        </w:rPr>
        <w:t xml:space="preserve"> indicates he has been a commercial broker account executive for the past 11 and one half years and is well qualified in the insurance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 do note an interesting issue arose preceding Mr. Hogg tendering his opinion on the broker's duties. Rule 11-5 requires the expert to certify his opinion and that he is not biased. There was discussion about the correspondence because plainly Mr. Hogg had not certified his opinion but it seemed as much counsel's failure as Mr. Hogg's.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Rather than deny Ms. Cornester the value of Mr. Hogg's opinion, I suggested Mr. Hogg sign a letter certifying his duty to the Court which he promptly signed but of course inevitably he was cross-examined on his ability to have directed his mind to his duties, not at the time he was coming to court, but when he wrote the report. In any event on giving his evidence I was satisfied Mr. Hogg was plainly not biased. I find it useful to quote part of his report which in fact summarized the whole case in a few words at para. 10 on p. 4 where he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reviewing the broker's file information as noted above, the question I can't answer is why or if Ms. Cornester didn't directly tell the broker she was opening a pawn shop.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The case law imposes a heavy duty on an insurance broker to inform a client about the available coverage and advise what is appropriate to their needs. But the premise is that the customer adequately describes the nature of their business to the broker. I do not see this is a case like </w:t>
      </w:r>
      <w:r>
        <w:rPr>
          <w:rFonts w:ascii="arial" w:eastAsia="arial" w:hAnsi="arial" w:cs="arial"/>
          <w:i/>
          <w:color w:val="000000"/>
          <w:sz w:val="20"/>
          <w:lang w:val="en-US" w:eastAsia="en-US" w:bidi="ar-SA"/>
        </w:rPr>
        <w:t>Fine's Flowers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where the agent knew the customer's business and the customer left it to the broker to place the appropriate insurance. Rather, here the evidence was the plaintiff was required by her lease to obtain insurance and it can be noted that previously Ms. Cornester apparently operated without insurance. I am satisfied she did not describe her pawn shop business as such to the broker. Further, I am satisfied she did not tell the broker that she bought and sold jewellery as part of that business. All that she told the broker was that she had $100,000 worth of stock. Those kinds of disclosures as to pawn shop and jewellery would plainly -- as I put them earlier -- be red flags.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Ms. Cornester was sent the documents which plainly state that she was running a retail business with the description of goods being CDs, DVDs, videos, electronic equipment, and musical instruments. As Mr. Hogg stated in his report, the broker is at the mercy of the customer, and given the information from Ms. Cornester who had 20 years in the pawn shop business, there is a reasonable expectation of the knowledge necessary for her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In the circumstances, I do not find any breach of duty as alleged by the plaintiff as against Atkinson &amp; Terry. And if it is not already clear by now, I make it plain I do not accept the evidence of the plaintiff and Mr. Cornester. Where there are conflicts in the evidence between the plaintiff and Ms. Zinck and Ms. Paquette, I accept the brokers'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There was also an argument made by Atkinson &amp; Terry as to causation, which the plaintiff would need to establish the plaintiff could obtain jewellery block insurance which evidently would have been the appropriate insurance brought into play at a heavy premium. It would have been difficult; it would have been costly, but given my decision I need go no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Unless there is something to the contrary that I am not aware of, costs will follow the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 CRAWFORD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Correction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November 22,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Corrected Judgment: The text of the judgment was edited for, publication purposes at paras. 36, 81 and 129 on November 22, 2012</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9" style="position:absolute;z-index:2518456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14"/>
          <w:headerReference w:type="default" r:id="rId715"/>
          <w:footerReference w:type="even" r:id="rId716"/>
          <w:footerReference w:type="default" r:id="rId717"/>
          <w:headerReference w:type="first" r:id="rId718"/>
          <w:footerReference w:type="first" r:id="rId71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20" w:history="1">
        <w:r>
          <w:rPr>
            <w:rFonts w:ascii="arial" w:eastAsia="arial" w:hAnsi="arial" w:cs="arial"/>
            <w:b/>
            <w:bCs/>
            <w:i/>
            <w:color w:val="0077CC"/>
            <w:kern w:val="32"/>
            <w:sz w:val="28"/>
            <w:szCs w:val="32"/>
            <w:u w:val="single"/>
            <w:shd w:val="clear" w:color="auto" w:fill="FFFFFF"/>
            <w:lang w:val="en-US" w:eastAsia="en-US" w:bidi="ar-SA"/>
          </w:rPr>
          <w:t>Cote v. Halmaghi, [2015] B.C.J. No. 512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C.E. Hinkson C.J.S.C.</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18,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S100084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512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417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Rene Cote and Dorothy Cote, Plaintiffs, and Ariadna Halmaghi,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0" style="position:absolute;z-index:2516940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4" w:name="Keywords_33"/>
      <w:bookmarkEnd w:id="224"/>
      <w:r>
        <w:rPr>
          <w:rFonts w:ascii="arial" w:eastAsia="arial" w:hAnsi="arial" w:cs="arial"/>
          <w:b/>
          <w:color w:val="000000"/>
          <w:sz w:val="20"/>
          <w:lang w:val="en-US" w:eastAsia="en-US" w:bidi="ar-SA"/>
        </w:rPr>
        <w:t xml:space="preserve">Damages — For torts — Affecting property — Real property — Fire — Action by the Cotes for damages from the defendant Halmaghi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allowed — Halmaghi was the occupant of the basement suite of the Cotes' house when the house was extensively damaged by a fire that began in the basement suite — The ignition source was the right front element of the stove in the basement suite, and the material was ignited by sunflower oil in a pot — Halmaghi was negligent in leaving a pan with oil in it unattended while the stove was on — The Cotes were awarded $291,478 in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Dangerous things and situations — Fire — Action by the Cotes for damages from the defendant Halmaghi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allowed — Halmaghi was the occupant of the basement suite of the Cotes' house when the house was extensively damaged by a fire that began in the basement suite — The ignition source was the right front element of the stove in the basement suite, and the material was ignited by sunflower oil in a pot — Halmaghi was negligent in leaving a pan with oil in it unattended while the stove was on — The Cotes were awarded $291,478 in damages.</w:t>
      </w:r>
    </w:p>
    <w:p>
      <w:pPr>
        <w:jc w:val="both"/>
        <w:rPr>
          <w:rFonts w:ascii="arial" w:eastAsia="arial" w:hAnsi="arial" w:cs="arial"/>
          <w:sz w:val="20"/>
          <w:lang w:val="en-US" w:eastAsia="en-US" w:bidi="ar-SA"/>
        </w:rPr>
      </w:pPr>
      <w:bookmarkStart w:id="225" w:name="Legislation Cited_23"/>
      <w:bookmarkEnd w:id="22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1" style="position:absolute;z-index:2517452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Residential Tenancy Act, </w:t>
      </w:r>
      <w:hyperlink r:id="rId721" w:history="1">
        <w:r>
          <w:rPr>
            <w:rFonts w:ascii="arial" w:eastAsia="arial" w:hAnsi="arial" w:cs="arial"/>
            <w:i/>
            <w:color w:val="0077CC"/>
            <w:sz w:val="20"/>
            <w:u w:val="single"/>
            <w:shd w:val="clear" w:color="auto" w:fill="FFFFFF"/>
            <w:lang w:val="en-US" w:eastAsia="en-US" w:bidi="ar-SA"/>
          </w:rPr>
          <w:t>SBC 2002, CHAPTER 78, s. 32</w:t>
        </w:r>
      </w:hyperlink>
      <w:r>
        <w:rPr>
          <w:rFonts w:ascii="arial" w:eastAsia="arial" w:hAnsi="arial" w:cs="arial"/>
          <w:color w:val="000000"/>
          <w:sz w:val="20"/>
          <w:lang w:val="en-US" w:eastAsia="en-US" w:bidi="ar-SA"/>
        </w:rPr>
        <w:t>(3)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7-7</w:t>
      </w:r>
      <w:r>
        <w:rPr>
          <w:rFonts w:ascii="arial" w:eastAsia="arial" w:hAnsi="arial" w:cs="arial"/>
          <w:color w:val="000000"/>
          <w:sz w:val="20"/>
          <w:lang w:val="en-US" w:eastAsia="en-US" w:bidi="ar-SA"/>
        </w:rPr>
        <w:t>(2)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26" w:name="Counsel_34"/>
      <w:bookmarkEnd w:id="22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2" style="position:absolute;z-index:251796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Craig R. Thomson.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No One appearing.</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7" w:name="Judgment_34"/>
      <w:bookmarkEnd w:id="227"/>
      <w:r>
        <w:pict>
          <v:line id="_x0000_s1193" style="position:absolute;z-index:25184665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8" w:name="C.E. HINKSON C.J.S.C."/>
            <w:bookmarkEnd w:id="228"/>
            <w:r>
              <w:rPr>
                <w:rFonts w:ascii="arial" w:eastAsia="arial" w:hAnsi="arial" w:cs="arial"/>
                <w:b/>
                <w:color w:val="000000"/>
                <w:sz w:val="30"/>
                <w:lang w:val="en-US" w:eastAsia="en-US" w:bidi="ar-SA"/>
              </w:rPr>
              <w:t>C.E. HINKSON C.J.S.C.</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January 14, 2008, the plaintiffs' home at 2772 Fairview Crescent, in Prince George, British Columbia was extensively damaged by a fire that began in the basement suite in that home. At that time the defendant, Ms. Halmaghi, was the occupant of that basement suite and the plaintiffs contend that she was responsible for the fire, and thus for the damages and expenses that they suffered as a result of the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Halmaghi filed a response to the plaintiffs' notice of civil claim in which she denied liability for the fire, and attended an examination for discovery by the plaintiffs' counsel, Mr. Thomson. I was advised by Mr. Thomson that Ms. Halmaghi was served by express mail with the notice of trial, but she apparently chose not to attend at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plaintiffs contend that Ms. Halmaghi is liable for the damages and expenses resulting from the fire both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pursuant to s. 32(3) of the </w:t>
      </w:r>
      <w:r>
        <w:rPr>
          <w:rFonts w:ascii="arial" w:eastAsia="arial" w:hAnsi="arial" w:cs="arial"/>
          <w:i/>
          <w:color w:val="000000"/>
          <w:sz w:val="20"/>
          <w:lang w:val="en-US" w:eastAsia="en-US" w:bidi="ar-SA"/>
        </w:rPr>
        <w:t>Residential Tenancy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2002, c. 78</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Findings of Fact</w:t>
      </w:r>
      <w:r>
        <w:rPr>
          <w:rFonts w:ascii="arial" w:eastAsia="arial" w:hAnsi="arial" w:cs="arial"/>
          <w:sz w:val="20"/>
          <w:lang w:val="en-US" w:eastAsia="en-US" w:bidi="ar-SA"/>
        </w:rPr>
        <w:cr/>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accept the evidence given by the plaintiff Mr. Cote that he and his wife, Dorothy Cote, purchased the home at 2772 Fairview Crescent in 1996 or 1997, and engaged in extensive renovations on the home thereafter. I also accept his evidence that the home, including the basement suite, was newly furnished in the year and a half preceding the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Although he was unaware of the arrangements between his wife and Ms. Halmaghi, I accept Mr. Cote's evidence that his wife was unable to attend trial or provide evidence of those arrangements due to health issues. I also accept his evidence that Ms. Halmaghi was a tenant in the downstairs suite at his home at the time of the fire, as that evidence was confirmed by Ms. Halmaghi at her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 also accept Mr. Cote's evidence that he was home with his wife and grandson during the evening of January 14, 2008, when the defendant shouted from the basement suite that the house was on fire. I also accept his evidence that Ms. Halmaghi apologized to him that evening, stating, "I'm sorry I burned your house down" when she explained that she had been outside the suite, having a cigarette and talking on her phone when the fire started. His evidence is consistent with that of Ms. Halmaghi in the answers read into evidence from her examination for discovery, with the exception that she said on her examination for discovery that she had only a few puffs on a cigarette whilst outside her suite; a difference that in my view is of no consequence.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also accept the evidence of Mr. David Robert Wood, who I accepted as an expert on the cause and origins of fires. Mr. Wood attended the plaintiffs' home on January 16, 2008, to examine the scene of the fire. He concluded that the fire had originated in the kitchen area of the basement suite and from there extended into the furnace room and bathroom of the suite, through to the main floor causing extensive structural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Wood found a burn pattern adjacent to the stove in the basement suite and two pots on the floor beside the stove: one containing unburned potato peels, and the other with a line of demarcation indicating that it contained a small amount of liquid at the time of the fire. Mr. Wood said that he spoke to Ms. Halmaghi by telephone 2 or 3 hours after his inspection, and was told by her that she had placed a pot with approximately 1-2 cm. of sunflower oil on the right front element of the stove before leaving the kitchen. Mr. Wood said that Ms. Halmaghi told him she went into her bedroom and that when she returned to the kitchen she saw flames coming out of the pot.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At her examination for discovery Ms. Halmaghi agreed that immediately before the fire, she had covered the bottom of a frying pan with oil in order to cook some potatoes. She also said that she had turned on one of the elements of the stove and placed the frying pan with the oil in it on the element of the stove, but couldn't recall what the burner setting was. She said at her examination for discovery that after placing the frying pan onto the operating element she went outside to have a few puffs of a cigarette, but before she could return to the kitchen she saw smoke coming from the frying pan. She agreed that although she had no specific recollection of flames, that she assumed there were flames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 do not consider that the difference between Ms. Halmaghi's statement to Mr. Wood that she left the kitchen area to go to her bedroom and her statement to Mr. Cote that she left the kitchen to go outdoors to be of any significance. Wherever she went, I find that Ms. Halmaghi left the kitchen after placing a pot containing sunflower oil on the operating element.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 accept Mr. Wood's opinion that the fire started in the kitchen of the basement suite and spread outward from there, causing damage to the structural components of the walls and ceiling in, around, and beside the stove.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also accept Mr. Wood's opinion that the ignition source of the fire was the right front element of the stove and that the material was ignited by the sunflower oil in the pot which heated until it reached its auto ignition temperature, while it was left unattended.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find that the plaintiff was negligent in leaving a pan with oil in it unattended while heating the oil. Had Ms. Halmaghi stayed in her kitchen for the limited time that she heated the oil in order to fry the potatoes she intended to cook, she would have noticed the oil smoking in sufficient time to turn it down before it reached its auto ignition temperature, and thus have avoided the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 see no need to apply s. 32(3) of the </w:t>
      </w:r>
      <w:r>
        <w:rPr>
          <w:rFonts w:ascii="arial" w:eastAsia="arial" w:hAnsi="arial" w:cs="arial"/>
          <w:i/>
          <w:color w:val="000000"/>
          <w:sz w:val="20"/>
          <w:lang w:val="en-US" w:eastAsia="en-US" w:bidi="ar-SA"/>
        </w:rPr>
        <w:t>Residential Tenancy Act</w:t>
      </w:r>
      <w:r>
        <w:rPr>
          <w:rFonts w:ascii="arial" w:eastAsia="arial" w:hAnsi="arial" w:cs="arial"/>
          <w:color w:val="000000"/>
          <w:sz w:val="20"/>
          <w:lang w:val="en-US" w:eastAsia="en-US" w:bidi="ar-SA"/>
        </w:rPr>
        <w:t>, as it merely codifies Ms. Halmaghi's common law liability.</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Following the fire, the plaintiffs had to move from their home until it could be restored; a process that took almost a full year to 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Halmaghi agreed that she has not paid for any of the repairs to the plaintiffs' home since the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damages claimed by the plaintiffs are as follows:</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194" type="#_x0000_t75" style="width:411.75pt;height:164.25pt">
            <v:imagedata r:id="rId722"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Cameron Young is an insurance adjuster who adjusted the plaintiffs' claim for the fire of January 14, 2008 for their insurers. He confirmed the valuation of the plaintiffs' lost home contents, their living expenses when their home was being repaired, and the cost of the cleanup and the repairs to the home. He confirmed that the alternate living expenses were for accommodation only, and did not include any amount for food.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No explanation was given for the $2,003.13 paid to the adjusters and therefore I will not include that figure in the damages to be paid to the plaintiffs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February 3, 2015, counsel for the plaintiffs served a Notice to Admit on Ms. Halmaghi. The Notice to Admit served upon Ms. Halmaghi included requested admissions that:</w:t>
      </w:r>
      <w:r>
        <w:rPr>
          <w:rFonts w:ascii="arial" w:eastAsia="arial" w:hAnsi="arial" w:cs="arial"/>
          <w:sz w:val="20"/>
          <w:lang w:val="en-US" w:eastAsia="en-US" w:bidi="ar-SA"/>
        </w:rPr>
        <w:cr/>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damages to the Plaintiffs' home-that is the building itself-caused by the fire that occurred on or about January 14, 2008 total $188,945.88.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fire in the Plaintiffs' home on or about January 14, 2008, the Plaintiffs were unable to continue to live in their home for approximately 10 months and as a result incurred alternate living expenses.</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alternate living expenses ... incurred as a result of the fire that occurred in the Plaintiffs' home on or about January 14, 2008 total $20,126.01.</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fire that occurred in the Plaintiffs' home on or about January 14, 2008, various contents of the home were damaged and in some cases destroyed.</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approximate purchase price of the contents of the Plaintiffs' home damaged or destroyed as a result of the fire that occurred on or about January 14, 2008 total approximately $69,051.60.</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damaged or destroyed contents were depreciated by an estimated 50%, the estimated actual cash value of the contents of the Plaintiffs' home damaged or destroyed by the fire that occurred on or about January 14, 2008 totals $34,525.50.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addition to the replacement of the contents of the Plaintiffs' home that were damaged as a result of the fire on or about January 14, 2008 various contents needed to be cleaned.</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costs of removing and cleaning various contents of the Plaintiffs' home that were damaged as a result of the fire that occurred on or about January 14, 2008 totals $18,476.53.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Ms. Halmaghi did not respond to the Notice to Admit within 14 days of its service upon her, and she is therefore taken to have made the admissions requested pursuant to Rule 7 - 7(2)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Notice to Admit included the documentary support for the factual admissions sought. One of the supporting documents stated that the ventilation in the home was not up to the applicable Building Code requirements and was replaced with ventilation that met the Code. Counsel for the plaintiffs agreed that the cost of the better ventilation should not be paid by the defendant, so I will reduce the repair costs by $823.26 to reflect the cost of the improved venting.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 therefore award the plaintiffs judgment in the amount of $291,478.28. The plaintiffs have also claimed pre-judgment interest, but limited that claim to the period from February 12, 2009, when the repairs were complete. I consider that concession to be favourable to the defendant, and award the plaintiffs pre-judgment interest from that date at the applicable rates set by the Registrar. I also award the plaintiffs their taxable costs and disbursements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C.E. HINKSON C.J.S.C.</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5" style="position:absolute;z-index:2518855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23"/>
          <w:headerReference w:type="default" r:id="rId724"/>
          <w:footerReference w:type="even" r:id="rId725"/>
          <w:footerReference w:type="default" r:id="rId726"/>
          <w:headerReference w:type="first" r:id="rId727"/>
          <w:footerReference w:type="first" r:id="rId72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29" w:history="1">
        <w:r>
          <w:rPr>
            <w:rFonts w:ascii="arial" w:eastAsia="arial" w:hAnsi="arial" w:cs="arial"/>
            <w:b/>
            <w:bCs/>
            <w:i/>
            <w:color w:val="0077CC"/>
            <w:kern w:val="32"/>
            <w:sz w:val="28"/>
            <w:szCs w:val="32"/>
            <w:u w:val="single"/>
            <w:shd w:val="clear" w:color="auto" w:fill="FFFFFF"/>
            <w:lang w:val="en-US" w:eastAsia="en-US" w:bidi="ar-SA"/>
          </w:rPr>
          <w:t>Danicek v. Alexander Holburn Beaudin &amp; Lang, [2011] B.C.J. No. 78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S.F. Kelleher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22-24, 2010.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21,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S042714, S094306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78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30" w:history="1">
        <w:r>
          <w:rPr>
            <w:rFonts w:ascii="arial" w:eastAsia="arial" w:hAnsi="arial" w:cs="arial"/>
            <w:i/>
            <w:color w:val="0077CC"/>
            <w:sz w:val="20"/>
            <w:u w:val="single"/>
            <w:shd w:val="clear" w:color="auto" w:fill="FFFFFF"/>
            <w:lang w:val="en-US" w:eastAsia="en-US" w:bidi="ar-SA"/>
          </w:rPr>
          <w:t>2011 BCSC 65</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30" w:history="1">
        <w:r>
          <w:rPr>
            <w:rFonts w:ascii="arial" w:eastAsia="arial" w:hAnsi="arial" w:cs="arial"/>
            <w:i/>
            <w:color w:val="0077CC"/>
            <w:sz w:val="20"/>
            <w:u w:val="single"/>
            <w:shd w:val="clear" w:color="auto" w:fill="FFFFFF"/>
            <w:lang w:val="en-US" w:eastAsia="en-US" w:bidi="ar-SA"/>
          </w:rPr>
          <w:t>330 D.L.R. (4th) 228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30" w:history="1">
        <w:r>
          <w:rPr>
            <w:rFonts w:ascii="arial" w:eastAsia="arial" w:hAnsi="arial" w:cs="arial"/>
            <w:i/>
            <w:color w:val="0077CC"/>
            <w:sz w:val="20"/>
            <w:u w:val="single"/>
            <w:shd w:val="clear" w:color="auto" w:fill="FFFFFF"/>
            <w:lang w:val="en-US" w:eastAsia="en-US" w:bidi="ar-SA"/>
          </w:rPr>
          <w:t>[2011] I.L.R. I-5100</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30" w:history="1">
        <w:r>
          <w:rPr>
            <w:rFonts w:ascii="arial" w:eastAsia="arial" w:hAnsi="arial" w:cs="arial"/>
            <w:i/>
            <w:color w:val="0077CC"/>
            <w:sz w:val="20"/>
            <w:u w:val="single"/>
            <w:shd w:val="clear" w:color="auto" w:fill="FFFFFF"/>
            <w:lang w:val="en-US" w:eastAsia="en-US" w:bidi="ar-SA"/>
          </w:rPr>
          <w:t>93 C.C.L.I. (4th) 200</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30" w:history="1">
        <w:r>
          <w:rPr>
            <w:rFonts w:ascii="arial" w:eastAsia="arial" w:hAnsi="arial" w:cs="arial"/>
            <w:i/>
            <w:color w:val="0077CC"/>
            <w:sz w:val="20"/>
            <w:u w:val="single"/>
            <w:shd w:val="clear" w:color="auto" w:fill="FFFFFF"/>
            <w:lang w:val="en-US" w:eastAsia="en-US" w:bidi="ar-SA"/>
          </w:rPr>
          <w:t>21 B.C.L.R. (5th) 151</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30" w:history="1">
        <w:r>
          <w:rPr>
            <w:rFonts w:ascii="arial" w:eastAsia="arial" w:hAnsi="arial" w:cs="arial"/>
            <w:i/>
            <w:color w:val="0077CC"/>
            <w:sz w:val="20"/>
            <w:u w:val="single"/>
            <w:shd w:val="clear" w:color="auto" w:fill="FFFFFF"/>
            <w:lang w:val="en-US" w:eastAsia="en-US" w:bidi="ar-SA"/>
          </w:rPr>
          <w:t>2011 CarswellBC 90</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30" w:history="1">
        <w:r>
          <w:rPr>
            <w:rFonts w:ascii="arial" w:eastAsia="arial" w:hAnsi="arial" w:cs="arial"/>
            <w:i/>
            <w:color w:val="0077CC"/>
            <w:sz w:val="20"/>
            <w:u w:val="single"/>
            <w:shd w:val="clear" w:color="auto" w:fill="FFFFFF"/>
            <w:lang w:val="en-US" w:eastAsia="en-US" w:bidi="ar-SA"/>
          </w:rPr>
          <w:t>199 A.C.W.S. (3d) 1292</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Michelle Marie Danicek, Plaintiff, and Alexander Holburn Beaudin &amp; Lang and Jeremy Martin Poole, Defendants, and Lombard General Insurance Company of Canada, Third Party And between Co-operators General Insurance Company, Plaintiff, and Lombard General Insurance Company of Canada,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6" style="position:absolute;z-index:2516951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9" w:name="Keywords_34"/>
      <w:bookmarkEnd w:id="229"/>
      <w:r>
        <w:rPr>
          <w:rFonts w:ascii="arial" w:eastAsia="arial" w:hAnsi="arial" w:cs="arial"/>
          <w:b/>
          <w:color w:val="000000"/>
          <w:sz w:val="20"/>
          <w:lang w:val="en-US" w:eastAsia="en-US" w:bidi="ar-SA"/>
        </w:rPr>
        <w:t>Insurance law — Insurers — Duty to defend — Third party claim by law firm associate lawyer for declaration that law firm liability insurer had duty to defend him from action brought by articling student employed by firm allowed in part — Associate and student were dancing in nightclub when associate fell on her and injured her — Associate was insured under liability policy for acts that occurred within scope of employment — Insurer did not wrongfully deny coverage because associate did not act within scope of employment when he went to nightclub.</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Insurance law — Liability insurance — Tenant's insurance — Action by tenant's insurer against law firm liability insurer for it to contribute equally to defence of law firm associate allowed — Associate and articling student were dancing in nightclub when associate fell on her and injured her — Student sued associate and tenant's insurer defended him — Liability insurer refused to contribute and denied coverage — It had duty to defend and it was liable for half of amounts paid to defend associate.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30" w:name="Case Summary_32"/>
            <w:bookmarkEnd w:id="23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Second phase of trial. The plaintiff Danicek was injured in two mishaps, one of which occurred on April 6, 2001. Danicek was employed by the defendant law firm Alexander Holburn Beaudin and Lang as an articling student and the defendant Poole was employed as an associate lawyer. On April 6 Alexander paid for a restaurant dinner for its associates. After the dinner ended some of the participants, which included Danicek and Poole, proceeded to a nightclub. Poole and Danicek were on the dance floor when Poole lost his balance and fell. He caused Danicek to fall and he fell on her and she hit her head on the floor. Danicek sued Poole and Alexander for damages sustained in the nightclub. The third party Lombard General Insurance Co. of Canada insured Alexander and its employees. Danicek settled with Alexander and Poole. Poole admitted liability and he made a claim against Lombard. Co-operators General Insurance Company issued tenants insurance to Poole's wife and Poole was insured under that policy. When Poole was sued by Danicek Co-operators defended him. Lombard refused Co-operators' request to share equally in Poole's defence and it denied coverage to Poole. Co-operators sued Lombard for contribution from Lombard regarding the amounts that Co-operators paid for the defence and indemnity of Poole in the Danicek action. In the first phase of the trial the court concluded that Poole was liable for the nightclub accident and Danicek was awarded damages of $5.9 million. The second phase of the trial addressed Poole's third party claim against Lombard. Poole sought a declaration that he was insured under the Lombard policy for Danicek's claim; a declaration that Lombard's denial of coverage was wrongful and that Lombard therefore breached the policy, which entitled Poole to damages for breach of contract. That phase also addressed Co-operators' claim against Lombard.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31" w:name="Holdings of Court_25"/>
            <w:bookmarkEnd w:id="231"/>
            <w:r>
              <w:rPr>
                <w:rFonts w:ascii="arial" w:eastAsia="arial" w:hAnsi="arial" w:cs="arial"/>
                <w:color w:val="000000"/>
                <w:sz w:val="20"/>
                <w:lang w:val="en-US" w:eastAsia="en-US" w:bidi="ar-SA"/>
              </w:rPr>
              <w:t>HELD: Poole's third party claim was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Poole was entitled to a declaration that Lombard's denial of defence in the Danicek action was wrongful. As an employee of Alexander, Poole was an insured under the policy and he was covered for acts that occurred within the scope of his employment. Lombard was under a duty to defend. However, the Danicek claim was not covered by the Lombard policy because Poole did not act within the scope of his employment when he went to the nightclub. In addition, Danicek's injuries were not caused to her while in the course of her employment. Poole was not entitled to damages from Lombard for breach of contract. Lombard did not wrongfully deny coverage to Poole. Co-operators' action was partially successful. Both Lombard and Co-operators owed a duty to defend Poole in the Danicek action. Co-operators assumed Poole's defence while Lombard did not. Co-operators was entitled to contribution from Lombard for half of the amounts paid to defend Poole.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2" w:name="Legislation Cited_24"/>
      <w:bookmarkEnd w:id="23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7" style="position:absolute;z-index:2517463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Workers Compensation Act, RSBC 1996, CHAPTER 492, s. 257, Part 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33" w:name="Counsel_35"/>
      <w:bookmarkEnd w:id="23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8" style="position:absolute;z-index:251797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Jeremy Poole and Co-operators General Insurance Company: N.P. Kent.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and Third Party, Lombard General Insurance Company of Canada: R.B. Lindsay, Q.C., C. Stewart.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4" w:name="Judgment_35"/>
      <w:bookmarkEnd w:id="234"/>
      <w:r>
        <w:pict>
          <v:line id="_x0000_s1199" style="position:absolute;z-index:25184768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35" w:name="S.F. KELLEHER J."/>
            <w:bookmarkEnd w:id="235"/>
            <w:r>
              <w:rPr>
                <w:rFonts w:ascii="arial" w:eastAsia="arial" w:hAnsi="arial" w:cs="arial"/>
                <w:b/>
                <w:color w:val="000000"/>
                <w:sz w:val="30"/>
                <w:lang w:val="en-US" w:eastAsia="en-US" w:bidi="ar-SA"/>
              </w:rPr>
              <w:t>S.F. KELLEHER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Michelle Danicek was injured in two mishaps, a dance accident on April 6, 2001, and a motor vehicle accident on June 29,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Three actions arose from these events. They are described in the decision in the first stage of these proceedings: </w:t>
      </w:r>
      <w:r>
        <w:rPr>
          <w:rFonts w:ascii="arial" w:eastAsia="arial" w:hAnsi="arial" w:cs="arial"/>
          <w:i/>
          <w:color w:val="000000"/>
          <w:sz w:val="20"/>
          <w:lang w:val="en-US" w:eastAsia="en-US" w:bidi="ar-SA"/>
        </w:rPr>
        <w:t>Danicek v. Alexander Holburn Beaudin &amp; Lang</w:t>
      </w:r>
      <w:r>
        <w:rPr>
          <w:rFonts w:ascii="arial" w:eastAsia="arial" w:hAnsi="arial" w:cs="arial"/>
          <w:color w:val="000000"/>
          <w:sz w:val="20"/>
          <w:lang w:val="en-US" w:eastAsia="en-US" w:bidi="ar-SA"/>
        </w:rPr>
        <w:t xml:space="preserve">, </w:t>
      </w:r>
      <w:hyperlink r:id="rId731" w:history="1">
        <w:r>
          <w:rPr>
            <w:rFonts w:ascii="arial" w:eastAsia="arial" w:hAnsi="arial" w:cs="arial"/>
            <w:i/>
            <w:color w:val="0077CC"/>
            <w:sz w:val="20"/>
            <w:u w:val="single"/>
            <w:shd w:val="clear" w:color="auto" w:fill="FFFFFF"/>
            <w:lang w:val="en-US" w:eastAsia="en-US" w:bidi="ar-SA"/>
          </w:rPr>
          <w:t>2010 BCSC 1111</w:t>
        </w:r>
      </w:hyperlink>
      <w:r>
        <w:rPr>
          <w:rFonts w:ascii="arial" w:eastAsia="arial" w:hAnsi="arial" w:cs="arial"/>
          <w:color w:val="000000"/>
          <w:sz w:val="20"/>
          <w:lang w:val="en-US" w:eastAsia="en-US" w:bidi="ar-SA"/>
        </w:rPr>
        <w:t xml:space="preserve"> at paras. 2-5 and 8-11: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Action No. S042714 (the "Poole Action") concerns Ms. Danicek's claim for damages from a fall on the dance floor of Bar None. She brought the action against both Jeremy Poole and the then-employer of the plaintiff and Mr. Poole, Alexander Holburn Beaudin &amp; Lang ("Alexander Holburn").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There were third party proceedings brought against Rodney's Oyster House (Vancouver) Corp., where the plaintiff and Mr. Poole and others dined that evening, and against Bar None Enterprises Ltd., which operates the nightclub where the mishap took place. Those third party proceedings have been resolved.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Lombard General Insurance Co. of Canada ("Lombard") is a third party. Lombard has a policy of insurance covering Alexander Holburn and its employees. The issue between Mr. Poole and Lombard is whether that policy covers the claim of Ms. Danicek.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The plaintiff reached a settlement with Mr. Poole, a "Mary Carter" agreement. Mr. Poole has admitted liability and has made a third party claim against Lombard, the insurer of Mr. Poole's employer.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[8] Although Mr. Poole admitted liability, Lombard has not conceded that he is at fault.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The claim against Alexander Holburn has been settled.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The second action (No. M041927) arises from a motor vehicle accident which occurred on the Lions Gate bridge on June 29, 2002. The plaintiff's vehicle was struck from behind by the vehicle owned by the defendant Pao Fu Li and operated by the defendant Susan Shou Yee Li. Liability is admitted by these defendants.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The third action (No. S094306) concerns a dispute between Co-operators General Insurance Company and Lombard. The issues between them concern the interpretation of Lombard's policy of insurance and the question of whether Lombard's policy of insurance applies in the circumstances of this case. These issues will be determined in the second phase of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above description could be more precise. First, the plaintiff and Mr. Poole reached a settlement. I am now aware of the terms of the settlement. It is not exactly a "Mary Carter" agreement. It is described below. Second, Lombard provides coverage to Alexander Holburn Beaudin &amp; Lang ("Alexander Holburn"). The issue is whether the policy covers the claim against Mr. Poole.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decision cited above addressed liability for and the quantum of Ms. Danicek's claim. I concluded that Mr. Poole was liable in the first accident and awarded damages of $5,913,783.54. The defendants in the Li action admitted liability; damages of $10,595.00 were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This is the second phase of the trial. It addresses two claims. The first is by the defendant Mr. Poole against the third party Lombard General Insurance Company of Canada ("Lombard"). Mr. Poole seeks a declaration that he is insured under the Lombard policy for the liability claim made against him by Danicek; a declaration that Lombard's denial of coverage was wrongful, and that Lombard therefore breached the policy entitling Mr. Poole to damages for breach of contract; and an award of damages against Lombard in the amount of the Danicek judgment against Mr. Poole plus interest and costs, an amount equal to reasonable costs incurred in respect of the Danicek lawsuit (legal fees and disbursements), and costs on a solicitor-client basis of pursuing the coverage enforcement proceedings against Lombard.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action of Co-operators General Insurance Company ("Co-operators") against Lombard (Action No. S094306), is a claim for restitution or, in the alternative, contribution from Lombard with respect to the amounts that Co-operators have paid for the defence and indemnity of Mr. Poole in the Danicek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general terms, the central issue in this phase of the trial is whether there was a sufficient connection between the circumstances of the accident, and Ms. Danicek's and Mr. Poole's employment by Alexander Holburn, to trigger liability insurance coverage under a policy of insurance covering Alexander Holburn's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This phase of the trial was based on a statement of agreed facts as well as the evidence at the first phase. The facts which are relevant at this phase of the trial include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Both Ms. Danicek and Mr. Poole were employees of Alexander Holburn on April 6, 2001. Ms. Danicek was employed as an articled student, and Mr. Poole was employed as an associate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Alexander Holburn pays for an "associates' dinner" approximately three times per year. The dinner is organized by the associates. In this case, Susan Sangha, then an associate, sent an e-mail to the firm's articled students and other associates. It invited them to attend the dinner at Rodney's Oyster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Ms. Sangha described what she understood to be the reason for these dinners: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What was the reason for the dinner, dinners I should say. What was the reason for the dinners? And I'm talking about the dinners themselves.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 foster collegiality among the associates. To give them an informal venue in which to get to know each other better and communicate about their experiences at the firm and as a reward for hard work, as a - like a perk.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There is conflicting evidence about whether there was any obligation to attend. Ms. Danicek testified at the trial that she felt there was an expectation that she be there. However, Ms. Sangha's evidence was that there was no compulsion to attending these events. Also, Greg Pun, another former associate, called it a "social occasion." If business was discussed, it was incidental.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visit to Bar None was not planned. Nothing in the invitation referred to going to Bar None or any other nightclub after the dinner. But it was common for some people to extend the evening beyond dinner.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Approximately 20 associates and students attended the dinner at Rodney's Oyster House. It ended at approximately 10:30 p.m. Several of the persons in attendance, including the plaintiff and the defendant Mr. Poole, decided to proceed to Bar None. There is no precise evidence about the number of people who did so. Between seven and 12 would be as precise an estimate as I can make.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Alcohol was served at both locations.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Ms. Sangha attended both the dinner and Bar None. She paid for the dinner and submitted the receipt for reimbursement.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Sangha also paid $17.50 for drinks at Bar None. She paid for drinks for some people junior to her, thinking that if she were not reimbursed, it would be better she than they who bear the expense. She testified that she did not expect that the firm would necessarily reimburse her for the Bar None expense. Ms. Sangha testified that, if she had been certain the firm would reimburse her, then she "... would have put my card on the bar and say, anybody who wants to have a drink can go ahead."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accident happened at approximately 12:30 a.m. Mr. Poole lost his balance and fell. He caused Ms. Danicek to fall. He fell on her. She hit her head on the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Lombard had issued a "professional package policy" of insurance to Alexander Holburn. This covered the period June 26, 2000, to June 26, 2001. Co-operators had issued a "Home-Guard" policy of "tenants insurance" to Karen Poole for the period November 10, 2000, to November 10, 2001. Mr. Poole was insured under the Co-operators policy. Both policies were in full force and effect on the date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April 12, 2001, Poole advised Co-operators of the accident. On April 24, 2001, Alexander Holburn gave notice to Lombard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April 1, 2003, the plaintiff issued the writ of summons initiating the action against Mr. Poole and Alexander Holburn. Mr. Poole was served in March 2004. Co-operators then appointed Michael D. Adlem of Gowlings Lafleur Henderson LLP ("Gowlings") to represent and defend Mr. Poole.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two insurers were aware of possible overlapping coverage issues. They exchanged policies early in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statement of claim in the Danicek action was filed in April 2004. It was amended on April 5, 2005, and read, in relevant part:</w:t>
      </w:r>
      <w:r>
        <w:rPr>
          <w:rFonts w:ascii="arial" w:eastAsia="arial" w:hAnsi="arial" w:cs="arial"/>
          <w:sz w:val="20"/>
          <w:lang w:val="en-US" w:eastAsia="en-US" w:bidi="ar-SA"/>
        </w:rPr>
        <w:cr/>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April 5, 2001, the Defendant, Alexander Holburn hosted and paid for a party for associates and articled students at the firm (the "Associates Party"), with all associates and articled students encouraged to attend. The Associates Party began at Rodney's Oyster Bar Restaurant with dinner and drinks and then moved into Bar None nightclub, all in Vancouver.</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the Defendant, Alexander Holburn was the host of the Associates Party, no partner attended, and it was left to the senior associate lawyers, as agents of the firm, to supervise the said Associates Party. The Defendant, Poole was one of the senior associate lawyers attending the Associates Party.</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attended the Associates Party and, while on the dance floor at the Bar None nightclub, was accidentally struck, knocked down and then fallen on by the Defendant, Poole (the "Collision").</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Collision was caused or contributed to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Poole, particulars of which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as follows:</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failing to monitor and supervise the actions of those attending the Associates Party, including himself;</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consuming an excessive amount of alcohol on the evening of the Associates Party to the point where he became impaired;</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failing to keep any, or in the alternative, an adequate lookout for others while dancing on the dance floor of the Bar None nightclub;</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acting in a careless, reckless, aggressive or negligent manner, having regard to all circumstances, including the nature, condition and use of the Bar None nightclub;</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failing to consider the safety of others in the Bar None nightclub;</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failing to take reasonable efforts to avoid the Collision, or failing to direct his body away from the Plaintiff so as to avoid the Collision when the same was or should have been imminent; and</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dancing in the Bar None night club while his ability to do so was impaired.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On July 28, 2005, counsel for Mr. Poole made an application pursuant to s. 257 of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492</w:t>
      </w:r>
      <w:r>
        <w:rPr>
          <w:rFonts w:ascii="arial" w:eastAsia="arial" w:hAnsi="arial" w:cs="arial"/>
          <w:color w:val="000000"/>
          <w:sz w:val="20"/>
          <w:lang w:val="en-US" w:eastAsia="en-US" w:bidi="ar-SA"/>
        </w:rPr>
        <w:t>. He sought a determination that Ms. Danicek's injury arose out of and in the course of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On August 4, 2005, Co-operators' counsel wrote to Lombard seeking coverage for Mr. Poole under the Lombard policy. Counsel asked that Lombard agree to share equally with Co-operators in the defence of Mr. Poole. Lombard responded on September 1, 2005. Lombard denied coverage of Mr. Poole under the Lombard policy. The reply letter read,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From our investigation to date we have not been provided with any evidence or facts that would determine that Mr. Poole was acting within the scope or course of his employment with AHBL when the alleged incident occurred resulting in the action commenced by Ms. Michelle Danicek.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Accordingly, we must deny your client's request for defence and indemnification under the Lombard General Insurance Company of Canada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December 5, 2005, Mr. Poole issued third party proceedings against Lombard in the Danicek lawsuit.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a further amended statement of claim, dated March 25, 2008, the nature of the allegations changed somewhat:</w:t>
      </w:r>
      <w:r>
        <w:rPr>
          <w:rFonts w:ascii="arial" w:eastAsia="arial" w:hAnsi="arial" w:cs="arial"/>
          <w:sz w:val="20"/>
          <w:lang w:val="en-US" w:eastAsia="en-US" w:bidi="ar-SA"/>
        </w:rPr>
        <w:cr/>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or about April 5, 2001, the Defendant, Alexander Holburn hosted and paid for a party for associates and articled students at the firm (the "Associates Party"), with all </w:t>
      </w:r>
      <w:r>
        <w:rPr>
          <w:rFonts w:ascii="arial" w:eastAsia="arial" w:hAnsi="arial" w:cs="arial"/>
          <w:color w:val="000000"/>
          <w:sz w:val="20"/>
          <w:u w:val="single"/>
          <w:lang w:val="en-US" w:eastAsia="en-US" w:bidi="ar-SA"/>
        </w:rPr>
        <w:t>A</w:t>
      </w:r>
      <w:r>
        <w:rPr>
          <w:rFonts w:ascii="arial" w:eastAsia="arial" w:hAnsi="arial" w:cs="arial"/>
          <w:color w:val="000000"/>
          <w:sz w:val="20"/>
          <w:lang w:val="en-US" w:eastAsia="en-US" w:bidi="ar-SA"/>
        </w:rPr>
        <w:t xml:space="preserve"> ssociates and </w:t>
      </w:r>
      <w:r>
        <w:rPr>
          <w:rFonts w:ascii="arial" w:eastAsia="arial" w:hAnsi="arial" w:cs="arial"/>
          <w:color w:val="000000"/>
          <w:sz w:val="20"/>
          <w:u w:val="single"/>
          <w:lang w:val="en-US" w:eastAsia="en-US" w:bidi="ar-SA"/>
        </w:rPr>
        <w:t>all A</w:t>
      </w:r>
      <w:r>
        <w:rPr>
          <w:rFonts w:ascii="arial" w:eastAsia="arial" w:hAnsi="arial" w:cs="arial"/>
          <w:color w:val="000000"/>
          <w:sz w:val="20"/>
          <w:lang w:val="en-US" w:eastAsia="en-US" w:bidi="ar-SA"/>
        </w:rPr>
        <w:t xml:space="preserve"> rticled </w:t>
      </w:r>
      <w:r>
        <w:rPr>
          <w:rFonts w:ascii="arial" w:eastAsia="arial" w:hAnsi="arial" w:cs="arial"/>
          <w:color w:val="000000"/>
          <w:sz w:val="20"/>
          <w:u w:val="single"/>
          <w:lang w:val="en-US" w:eastAsia="en-US" w:bidi="ar-SA"/>
        </w:rPr>
        <w:t>S</w:t>
      </w:r>
      <w:r>
        <w:rPr>
          <w:rFonts w:ascii="arial" w:eastAsia="arial" w:hAnsi="arial" w:cs="arial"/>
          <w:color w:val="000000"/>
          <w:sz w:val="20"/>
          <w:lang w:val="en-US" w:eastAsia="en-US" w:bidi="ar-SA"/>
        </w:rPr>
        <w:t xml:space="preserve"> tudents </w:t>
      </w:r>
      <w:r>
        <w:rPr>
          <w:rFonts w:ascii="arial" w:eastAsia="arial" w:hAnsi="arial" w:cs="arial"/>
          <w:color w:val="000000"/>
          <w:sz w:val="20"/>
          <w:u w:val="single"/>
          <w:lang w:val="en-US" w:eastAsia="en-US" w:bidi="ar-SA"/>
        </w:rPr>
        <w:t>being invited</w:t>
      </w:r>
      <w:r>
        <w:rPr>
          <w:rFonts w:ascii="arial" w:eastAsia="arial" w:hAnsi="arial" w:cs="arial"/>
          <w:color w:val="000000"/>
          <w:sz w:val="20"/>
          <w:lang w:val="en-US" w:eastAsia="en-US" w:bidi="ar-SA"/>
        </w:rPr>
        <w:t xml:space="preserve"> to attend. The Associates Party was at Rodney's Oyster Bar Restaurant with dinner and drinks </w:t>
      </w:r>
      <w:r>
        <w:rPr>
          <w:rFonts w:ascii="arial" w:eastAsia="arial" w:hAnsi="arial" w:cs="arial"/>
          <w:color w:val="000000"/>
          <w:sz w:val="20"/>
          <w:u w:val="single"/>
          <w:lang w:val="en-US" w:eastAsia="en-US" w:bidi="ar-SA"/>
        </w:rPr>
        <w:t>paid for by the Defendant, Alexander Holburn.</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the Defendant, Alexander Holburn was the host of the Associates Party, no partner attended, and it was left to the senior associate lawyers, as agents of the firm, to supervise the said Associates Party. The Defendant, Poole was one of the senior associate lawyers attending the Associates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Some of the employees went to Bar None nightclub after the Associates Party.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attended the Associates Party and </w:t>
      </w:r>
      <w:r>
        <w:rPr>
          <w:rFonts w:ascii="arial" w:eastAsia="arial" w:hAnsi="arial" w:cs="arial"/>
          <w:color w:val="000000"/>
          <w:sz w:val="20"/>
          <w:u w:val="single"/>
          <w:lang w:val="en-US" w:eastAsia="en-US" w:bidi="ar-SA"/>
        </w:rPr>
        <w:t>then went to the Bar None nightclub.</w:t>
      </w:r>
      <w:r>
        <w:rPr>
          <w:rFonts w:ascii="arial" w:eastAsia="arial" w:hAnsi="arial" w:cs="arial"/>
          <w:color w:val="000000"/>
          <w:sz w:val="20"/>
          <w:lang w:val="en-US" w:eastAsia="en-US" w:bidi="ar-SA"/>
        </w:rPr>
        <w:t xml:space="preserve"> While on the dance floor at the Bar None nightclub, was accidentally struck, knocked down and then fallen on by the Defendant, Poole (the "Collision").</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Collision was caused or contributed to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Poole, particulars of which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as follows:</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failing to monitor and supervise the actions of those attending the Associates Party, including himself;</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consuming an excessive amount of alcohol on the evening of the Associates Party to the point where he became impaired;</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failing to keep any, or in the alternative, an adequate lookout for others while dancing on the dance floor of the Bar None nightclub;</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acting in a careless, reckless, aggressive or negligent manner, having regard to all circumstances, including the nature, condition and use of the Bar None nightclub;</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failing to consider the safety of others in the Bar None nightclub;</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failing to take reasonable efforts to avoid the Collision, or failing to direct his body away from the Plaintiff so as to avoid the Collision when the same was or should have been imminent; and</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dancing in the Bar None night club while his ability to do so was impaired.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November 12, 2008, the Workers' Compensation Appeal Tribunal published its 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WORKERS' COMPENSATION APPEAL TRIBUNAL DETERMINES THAT at the time the cause of the action arose, April 5, 2001:</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MICHELLE MARIE DANICEK, was a worker within the meaning of Part 1 of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injuries suffered by the Plaintiff, MICHELLE MARIE DANICEK, did not arise out of and in the course of her employment within the scope of Part 1 of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JEREMY MARTIN POOLE, was a worker within the meaning of Part 1 of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action or conduct of the Defendant, JEREMY MARTIN POOLE, that allegedly caused a breach of duty of care, did not arise out of and in the course of his employment within the scope of Part 1 of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gist of the Tribunal's reasoning is captured in paragraphs 33-35 of the 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[33] It is not disputed that the associates' dinner was of benefit to AHBL to the extent that good morale supports the sharing of information amongst colleagues, contributes to the viability of the firm and assists in employee retention. The employer encouraged participation in the associates' dinner by paying for it and it is unlikely that it would do so were there not some benefit to the firm. There is, however, a wide spectrum of activities performed by employees that are for the benefit of the employer. These range from providing a very direct benefit, such as when an employee is engaged in productive activity, to activities that provide a more nebulous benefit to the employer such as participating in activities that are intended to promote collegiality and foster productive relationships. In that regard, the attendance of the plaintiff at the associates' dinner would be of less direct benefit to the employer than many other activities in which she would engage over the course of a day at work. However, her attendance at this function was clearly of some benefit to the employer.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I am not persuaded, however, that the subsequent attendance at the nightclub provided a benefit to the employer, even if it is characterized as an extension of the associates' dinner. In that regard, I note the employer did not pay expenses associated with the attendance at Bar None. I do not consider that the payment of an expense item of $17.50 may be characterized as the employer funding, hosting or supporting the activity. Nor do I consider the payment of taxi fares as evidence that the attendance at the nightclub was encouraged by the employer. Mr. Poole's evidence was that taxi fare was paid to and from the dinner as an expense that was incidental to the dinner. It seems reasonable that the employer would not scrutinize every bill submitted for the payment of taxi fare to determine whether the expense related to a trip from the restaurant or from the nightclub attended afterwards. Since alcohol was served at the associates' dinner, AHBL would have an interest in ensuring that employees returned to their home safely after the associates' dinner, whether that occurred immediately after the dinner or at some point later in the evening. Therefore, I do not infer from this that AHBL promoted or had any interest in whether its employees went on to post-dinner nightclubbing.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 In considering the benefits that the employer derived from the associates' dinner, I do not consider that much of the purpose intended by such a dinner would be furthered by continued socializing between employees at a nightclub, after the dinner was over. Although some of the employees were still socializing in an informal environment, which might promote collegiality, it was not an environment conducive to discussing work matters. Once the dinner was over, I consider that the employees made personal choices as to whether they would continue with activities which were now predominantly social in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Mediation took place on January 8, 2009. It was attended by Ms. Danicek, Mr. Poole, Alexander Holburn, Rodney's Oyster House, Bar None, Lombard, and the parties to the motor vehicle accident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the mediation, Ms. Danicek asserted that her claim was valued at approximately $6 million plus costs. This amount exceeded Co-operators' policy limit. For that reason, Mr. Poole retained independent counsel, James Killam, Q.C. Co-operators retained "independent coverage counsel", Nigel P. Kent of Clark Wilson LLP. No settlement was reached in the mediation; however, negotiations continued afterward. Eventually, on January 28, 2009, Ms. Danicek, Mr. Poole, and Co-operators reached a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Three formal agreements were reached as a result of the mediation and subsequent negotiations. First was the "Danicek agreement." The terms were:</w:t>
      </w:r>
      <w:r>
        <w:rPr>
          <w:rFonts w:ascii="arial" w:eastAsia="arial" w:hAnsi="arial" w:cs="arial"/>
          <w:sz w:val="20"/>
          <w:lang w:val="en-US" w:eastAsia="en-US" w:bidi="ar-SA"/>
        </w:rPr>
        <w:cr/>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Poole agreed to pay Danicek $1,050,000;</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Poole agreed to admit liability;</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Poole agreed to pursue his claim against Lombard for coverage under that policy;</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recovery in the claim against Lombard for coverage would be divided based on the respective entitlements of the parties; and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Danicek agreed that once the Lombard coverage claim was concluded and any amounts were paid out, Danicek would release Poole. She would not seek to execute on any judgment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Poole and Co-operators entered into a "loan and insurance recovery agreement." The principal terms of this agreement were:</w:t>
      </w:r>
      <w:r>
        <w:rPr>
          <w:rFonts w:ascii="arial" w:eastAsia="arial" w:hAnsi="arial" w:cs="arial"/>
          <w:sz w:val="20"/>
          <w:lang w:val="en-US" w:eastAsia="en-US" w:bidi="ar-SA"/>
        </w:rPr>
        <w:cr/>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Co-operators agreed to lend Poole $1,050,000 to fund the Danicek agreement;</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Co-operators agreed to fund all of Poole's legal costs in defending the tort action and in pursuing the insurance claim against Lombard; and</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Repayment of the loan amount would come only from the proceeds of the Lombard coverage claim; the loan would be forgiven if there were no recovery against Lombard.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third agreement was the "Limited AHBL Release Agreement." The parties to that agreement are the same three parties, i.e. Mr. Poole, Co-operators and Ms. Danicek. It is not relevant to the issues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Ms. Danicek subsequently settled with Alexander Holburn.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 of the Issues and the Parties'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Co-operators action against Lombard is a claim for restitution or, alternatively, contribution from Lombard in defence and indemnity of Poole in the Danicek action. There are two main aspects to this action:</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Lombard under a duty to defend?</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there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As is discussed below, an insured's duty to defend and its obligation to indemnify (or provide coverage) are distinct concepts.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approaching the issues in this case, I have the benefit of the Supreme Court of Canada's recent and unanimous decision in </w:t>
      </w:r>
      <w:r>
        <w:rPr>
          <w:rFonts w:ascii="arial" w:eastAsia="arial" w:hAnsi="arial" w:cs="arial"/>
          <w:i/>
          <w:color w:val="000000"/>
          <w:sz w:val="20"/>
          <w:lang w:val="en-US" w:eastAsia="en-US" w:bidi="ar-SA"/>
        </w:rPr>
        <w:t>Progressive Homes Ltd. v. Lombard General Insurance Co. of Canada</w:t>
      </w:r>
      <w:r>
        <w:rPr>
          <w:rFonts w:ascii="arial" w:eastAsia="arial" w:hAnsi="arial" w:cs="arial"/>
          <w:color w:val="000000"/>
          <w:sz w:val="20"/>
          <w:lang w:val="en-US" w:eastAsia="en-US" w:bidi="ar-SA"/>
        </w:rPr>
        <w:t xml:space="preserve">, </w:t>
      </w:r>
      <w:hyperlink r:id="rId346" w:history="1">
        <w:r>
          <w:rPr>
            <w:rFonts w:ascii="arial" w:eastAsia="arial" w:hAnsi="arial" w:cs="arial"/>
            <w:i/>
            <w:color w:val="0077CC"/>
            <w:sz w:val="20"/>
            <w:u w:val="single"/>
            <w:shd w:val="clear" w:color="auto" w:fill="FFFFFF"/>
            <w:lang w:val="en-US" w:eastAsia="en-US" w:bidi="ar-SA"/>
          </w:rPr>
          <w:t>2010 SCC 33</w:t>
        </w:r>
      </w:hyperlink>
      <w:r>
        <w:rPr>
          <w:rFonts w:ascii="arial" w:eastAsia="arial" w:hAnsi="arial" w:cs="arial"/>
          <w:color w:val="000000"/>
          <w:sz w:val="20"/>
          <w:lang w:val="en-US" w:eastAsia="en-US" w:bidi="ar-SA"/>
        </w:rPr>
        <w:t>. The Supreme Court in that case briefly summarized the principles of interpretation of insurance policies: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 a brief review of the relevant principles may be a useful introduction to the interpretation of the [commercial general liability insurance] policies that follow.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The primary interpretive principle is that when the language of the policy is unambiguous, the court should give effect to clear language, reading the contract as a whole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at para. 71).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Where the language of the insurance policy is ambiguous, the courts rely on general rules of contract construction (</w:t>
      </w:r>
      <w:r>
        <w:rPr>
          <w:rFonts w:ascii="arial" w:eastAsia="arial" w:hAnsi="arial" w:cs="arial"/>
          <w:i/>
          <w:color w:val="000000"/>
          <w:sz w:val="20"/>
          <w:lang w:val="en-US" w:eastAsia="en-US" w:bidi="ar-SA"/>
        </w:rPr>
        <w:t>Consolidated-Bathurst</w:t>
      </w:r>
      <w:r>
        <w:rPr>
          <w:rFonts w:ascii="arial" w:eastAsia="arial" w:hAnsi="arial" w:cs="arial"/>
          <w:color w:val="000000"/>
          <w:sz w:val="20"/>
          <w:lang w:val="en-US" w:eastAsia="en-US" w:bidi="ar-SA"/>
        </w:rPr>
        <w:t>, at pp. 900-902). For example, courts should prefer interpretations that are consistent with the reasonable expectations of the parties (</w:t>
      </w:r>
      <w:r>
        <w:rPr>
          <w:rFonts w:ascii="arial" w:eastAsia="arial" w:hAnsi="arial" w:cs="arial"/>
          <w:i/>
          <w:color w:val="000000"/>
          <w:sz w:val="20"/>
          <w:lang w:val="en-US" w:eastAsia="en-US" w:bidi="ar-SA"/>
        </w:rPr>
        <w:t>Gibbens</w:t>
      </w:r>
      <w:r>
        <w:rPr>
          <w:rFonts w:ascii="arial" w:eastAsia="arial" w:hAnsi="arial" w:cs="arial"/>
          <w:color w:val="000000"/>
          <w:sz w:val="20"/>
          <w:lang w:val="en-US" w:eastAsia="en-US" w:bidi="ar-SA"/>
        </w:rPr>
        <w:t xml:space="preserve">, at para. 26;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xml:space="preserve">, at para. 71; </w:t>
      </w:r>
      <w:r>
        <w:rPr>
          <w:rFonts w:ascii="arial" w:eastAsia="arial" w:hAnsi="arial" w:cs="arial"/>
          <w:i/>
          <w:color w:val="000000"/>
          <w:sz w:val="20"/>
          <w:lang w:val="en-US" w:eastAsia="en-US" w:bidi="ar-SA"/>
        </w:rPr>
        <w:t>Consolidated-Bathurst</w:t>
      </w:r>
      <w:r>
        <w:rPr>
          <w:rFonts w:ascii="arial" w:eastAsia="arial" w:hAnsi="arial" w:cs="arial"/>
          <w:color w:val="000000"/>
          <w:sz w:val="20"/>
          <w:lang w:val="en-US" w:eastAsia="en-US" w:bidi="ar-SA"/>
        </w:rPr>
        <w:t>, at p. 901), so long as such an interpretation can be supported by the text of the policy. Courts should avoid interpretations that would give rise to an unrealistic result or that would not have been in the contemplation of the parties at the time the policy was concluded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xml:space="preserve">, at para. 71; </w:t>
      </w:r>
      <w:r>
        <w:rPr>
          <w:rFonts w:ascii="arial" w:eastAsia="arial" w:hAnsi="arial" w:cs="arial"/>
          <w:i/>
          <w:color w:val="000000"/>
          <w:sz w:val="20"/>
          <w:lang w:val="en-US" w:eastAsia="en-US" w:bidi="ar-SA"/>
        </w:rPr>
        <w:t>Consolidated-Bathurst</w:t>
      </w:r>
      <w:r>
        <w:rPr>
          <w:rFonts w:ascii="arial" w:eastAsia="arial" w:hAnsi="arial" w:cs="arial"/>
          <w:color w:val="000000"/>
          <w:sz w:val="20"/>
          <w:lang w:val="en-US" w:eastAsia="en-US" w:bidi="ar-SA"/>
        </w:rPr>
        <w:t>, at p. 901). Courts should also strive to ensure that similar insurance policies are construed consistently (</w:t>
      </w:r>
      <w:r>
        <w:rPr>
          <w:rFonts w:ascii="arial" w:eastAsia="arial" w:hAnsi="arial" w:cs="arial"/>
          <w:i/>
          <w:color w:val="000000"/>
          <w:sz w:val="20"/>
          <w:lang w:val="en-US" w:eastAsia="en-US" w:bidi="ar-SA"/>
        </w:rPr>
        <w:t>Gibbens</w:t>
      </w:r>
      <w:r>
        <w:rPr>
          <w:rFonts w:ascii="arial" w:eastAsia="arial" w:hAnsi="arial" w:cs="arial"/>
          <w:color w:val="000000"/>
          <w:sz w:val="20"/>
          <w:lang w:val="en-US" w:eastAsia="en-US" w:bidi="ar-SA"/>
        </w:rPr>
        <w:t>, at para. 27). These rules of construction are applied to resolve ambiguity. They do not operate to create ambiguity where there is none in the first place.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[24] When these rules of construction fail to resolve the ambiguity, courts will construe the policy </w:t>
      </w:r>
      <w:r>
        <w:rPr>
          <w:rFonts w:ascii="arial" w:eastAsia="arial" w:hAnsi="arial" w:cs="arial"/>
          <w:i/>
          <w:color w:val="000000"/>
          <w:sz w:val="20"/>
          <w:lang w:val="en-US" w:eastAsia="en-US" w:bidi="ar-SA"/>
        </w:rPr>
        <w:t>contra proferentem</w:t>
      </w:r>
      <w:r>
        <w:rPr>
          <w:rFonts w:ascii="arial" w:eastAsia="arial" w:hAnsi="arial" w:cs="arial"/>
          <w:color w:val="000000"/>
          <w:sz w:val="20"/>
          <w:lang w:val="en-US" w:eastAsia="en-US" w:bidi="ar-SA"/>
        </w:rPr>
        <w:t xml:space="preserve"> -- against the insurer (</w:t>
      </w:r>
      <w:r>
        <w:rPr>
          <w:rFonts w:ascii="arial" w:eastAsia="arial" w:hAnsi="arial" w:cs="arial"/>
          <w:i/>
          <w:color w:val="000000"/>
          <w:sz w:val="20"/>
          <w:lang w:val="en-US" w:eastAsia="en-US" w:bidi="ar-SA"/>
        </w:rPr>
        <w:t>Gibbens</w:t>
      </w:r>
      <w:r>
        <w:rPr>
          <w:rFonts w:ascii="arial" w:eastAsia="arial" w:hAnsi="arial" w:cs="arial"/>
          <w:color w:val="000000"/>
          <w:sz w:val="20"/>
          <w:lang w:val="en-US" w:eastAsia="en-US" w:bidi="ar-SA"/>
        </w:rPr>
        <w:t xml:space="preserve">, at para. 25;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xml:space="preserve">, at para. 70; </w:t>
      </w:r>
      <w:r>
        <w:rPr>
          <w:rFonts w:ascii="arial" w:eastAsia="arial" w:hAnsi="arial" w:cs="arial"/>
          <w:i/>
          <w:color w:val="000000"/>
          <w:sz w:val="20"/>
          <w:lang w:val="en-US" w:eastAsia="en-US" w:bidi="ar-SA"/>
        </w:rPr>
        <w:t>Consolidated-Bathurst</w:t>
      </w:r>
      <w:r>
        <w:rPr>
          <w:rFonts w:ascii="arial" w:eastAsia="arial" w:hAnsi="arial" w:cs="arial"/>
          <w:color w:val="000000"/>
          <w:sz w:val="20"/>
          <w:lang w:val="en-US" w:eastAsia="en-US" w:bidi="ar-SA"/>
        </w:rPr>
        <w:t xml:space="preserve">, at pp. 899-901). One corollary of the </w:t>
      </w:r>
      <w:r>
        <w:rPr>
          <w:rFonts w:ascii="arial" w:eastAsia="arial" w:hAnsi="arial" w:cs="arial"/>
          <w:i/>
          <w:color w:val="000000"/>
          <w:sz w:val="20"/>
          <w:lang w:val="en-US" w:eastAsia="en-US" w:bidi="ar-SA"/>
        </w:rPr>
        <w:t>contra proferentem</w:t>
      </w:r>
      <w:r>
        <w:rPr>
          <w:rFonts w:ascii="arial" w:eastAsia="arial" w:hAnsi="arial" w:cs="arial"/>
          <w:color w:val="000000"/>
          <w:sz w:val="20"/>
          <w:lang w:val="en-US" w:eastAsia="en-US" w:bidi="ar-SA"/>
        </w:rPr>
        <w:t xml:space="preserve"> rule is that coverage provisions are interpreted broadly, and exclusion clauses narrowly (</w:t>
      </w:r>
      <w:r>
        <w:rPr>
          <w:rFonts w:ascii="arial" w:eastAsia="arial" w:hAnsi="arial" w:cs="arial"/>
          <w:i/>
          <w:color w:val="000000"/>
          <w:sz w:val="20"/>
          <w:lang w:val="en-US" w:eastAsia="en-US" w:bidi="ar-SA"/>
        </w:rPr>
        <w:t>Jesuit Fathers</w:t>
      </w:r>
      <w:r>
        <w:rPr>
          <w:rFonts w:ascii="arial" w:eastAsia="arial" w:hAnsi="arial" w:cs="arial"/>
          <w:color w:val="000000"/>
          <w:sz w:val="20"/>
          <w:lang w:val="en-US" w:eastAsia="en-US" w:bidi="ar-SA"/>
        </w:rPr>
        <w:t>, at para. 28).</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Duty to Defend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Supreme Court of Canada in </w:t>
      </w:r>
      <w:r>
        <w:rPr>
          <w:rFonts w:ascii="arial" w:eastAsia="arial" w:hAnsi="arial" w:cs="arial"/>
          <w:i/>
          <w:color w:val="000000"/>
          <w:sz w:val="20"/>
          <w:lang w:val="en-US" w:eastAsia="en-US" w:bidi="ar-SA"/>
        </w:rPr>
        <w:t>Progressive Homes</w:t>
      </w:r>
      <w:r>
        <w:rPr>
          <w:rFonts w:ascii="arial" w:eastAsia="arial" w:hAnsi="arial" w:cs="arial"/>
          <w:color w:val="000000"/>
          <w:sz w:val="20"/>
          <w:lang w:val="en-US" w:eastAsia="en-US" w:bidi="ar-SA"/>
        </w:rPr>
        <w:t xml:space="preserve"> succinctly described the nature of the duty to defend at paras. 19-20: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An insurer is required to defend a claim where the facts alleged in the pleadings, if proven to be true, would require the insurer to indemnify the insured for the claim (</w:t>
      </w:r>
      <w:r>
        <w:rPr>
          <w:rFonts w:ascii="arial" w:eastAsia="arial" w:hAnsi="arial" w:cs="arial"/>
          <w:i/>
          <w:color w:val="000000"/>
          <w:sz w:val="20"/>
          <w:lang w:val="en-US" w:eastAsia="en-US" w:bidi="ar-SA"/>
        </w:rPr>
        <w:t>Nichols v. American Home Assurance Co.</w:t>
      </w:r>
      <w:r>
        <w:rPr>
          <w:rFonts w:ascii="arial" w:eastAsia="arial" w:hAnsi="arial" w:cs="arial"/>
          <w:color w:val="000000"/>
          <w:sz w:val="20"/>
          <w:lang w:val="en-US" w:eastAsia="en-US" w:bidi="ar-SA"/>
        </w:rPr>
        <w:t xml:space="preserve">, </w:t>
      </w:r>
      <w:hyperlink r:id="rId298" w:history="1">
        <w:r>
          <w:rPr>
            <w:rFonts w:ascii="arial" w:eastAsia="arial" w:hAnsi="arial" w:cs="arial"/>
            <w:i/>
            <w:color w:val="0077CC"/>
            <w:sz w:val="20"/>
            <w:u w:val="single"/>
            <w:shd w:val="clear" w:color="auto" w:fill="FFFFFF"/>
            <w:lang w:val="en-US" w:eastAsia="en-US" w:bidi="ar-SA"/>
          </w:rPr>
          <w:t>[1990] 1 S.C.R. 801</w:t>
        </w:r>
      </w:hyperlink>
      <w:r>
        <w:rPr>
          <w:rFonts w:ascii="arial" w:eastAsia="arial" w:hAnsi="arial" w:cs="arial"/>
          <w:color w:val="000000"/>
          <w:sz w:val="20"/>
          <w:lang w:val="en-US" w:eastAsia="en-US" w:bidi="ar-SA"/>
        </w:rPr>
        <w:t xml:space="preserve">, at pp. 810-11; </w:t>
      </w:r>
      <w:r>
        <w:rPr>
          <w:rFonts w:ascii="arial" w:eastAsia="arial" w:hAnsi="arial" w:cs="arial"/>
          <w:i/>
          <w:color w:val="000000"/>
          <w:sz w:val="20"/>
          <w:lang w:val="en-US" w:eastAsia="en-US" w:bidi="ar-SA"/>
        </w:rPr>
        <w:t>Monenco Ltd. v. Commonwealth Insurance Co.</w:t>
      </w:r>
      <w:r>
        <w:rPr>
          <w:rFonts w:ascii="arial" w:eastAsia="arial" w:hAnsi="arial" w:cs="arial"/>
          <w:color w:val="000000"/>
          <w:sz w:val="20"/>
          <w:lang w:val="en-US" w:eastAsia="en-US" w:bidi="ar-SA"/>
        </w:rPr>
        <w:t xml:space="preserve">, </w:t>
      </w:r>
      <w:hyperlink r:id="rId732" w:history="1">
        <w:r>
          <w:rPr>
            <w:rFonts w:ascii="arial" w:eastAsia="arial" w:hAnsi="arial" w:cs="arial"/>
            <w:i/>
            <w:color w:val="0077CC"/>
            <w:sz w:val="20"/>
            <w:u w:val="single"/>
            <w:shd w:val="clear" w:color="auto" w:fill="FFFFFF"/>
            <w:lang w:val="en-US" w:eastAsia="en-US" w:bidi="ar-SA"/>
          </w:rPr>
          <w:t>2001 SCC 49</w:t>
        </w:r>
      </w:hyperlink>
      <w:r>
        <w:rPr>
          <w:rFonts w:ascii="arial" w:eastAsia="arial" w:hAnsi="arial" w:cs="arial"/>
          <w:color w:val="000000"/>
          <w:sz w:val="20"/>
          <w:lang w:val="en-US" w:eastAsia="en-US" w:bidi="ar-SA"/>
        </w:rPr>
        <w:t xml:space="preserve">, </w:t>
      </w:r>
      <w:hyperlink r:id="rId732" w:history="1">
        <w:r>
          <w:rPr>
            <w:rFonts w:ascii="arial" w:eastAsia="arial" w:hAnsi="arial" w:cs="arial"/>
            <w:i/>
            <w:color w:val="0077CC"/>
            <w:sz w:val="20"/>
            <w:u w:val="single"/>
            <w:shd w:val="clear" w:color="auto" w:fill="FFFFFF"/>
            <w:lang w:val="en-US" w:eastAsia="en-US" w:bidi="ar-SA"/>
          </w:rPr>
          <w:t>[2001] 2 S.C.R. 699</w:t>
        </w:r>
      </w:hyperlink>
      <w:r>
        <w:rPr>
          <w:rFonts w:ascii="arial" w:eastAsia="arial" w:hAnsi="arial" w:cs="arial"/>
          <w:color w:val="000000"/>
          <w:sz w:val="20"/>
          <w:lang w:val="en-US" w:eastAsia="en-US" w:bidi="ar-SA"/>
        </w:rPr>
        <w:t xml:space="preserve">, at para. 28; </w:t>
      </w:r>
      <w:r>
        <w:rPr>
          <w:rFonts w:ascii="arial" w:eastAsia="arial" w:hAnsi="arial" w:cs="arial"/>
          <w:i/>
          <w:color w:val="000000"/>
          <w:sz w:val="20"/>
          <w:lang w:val="en-US" w:eastAsia="en-US" w:bidi="ar-SA"/>
        </w:rPr>
        <w:t>Jesuit Fathers of Upper Canada v. Guardian Insurance Co. of Canada</w:t>
      </w:r>
      <w:r>
        <w:rPr>
          <w:rFonts w:ascii="arial" w:eastAsia="arial" w:hAnsi="arial" w:cs="arial"/>
          <w:color w:val="000000"/>
          <w:sz w:val="20"/>
          <w:lang w:val="en-US" w:eastAsia="en-US" w:bidi="ar-SA"/>
        </w:rPr>
        <w:t xml:space="preserve">, </w:t>
      </w:r>
      <w:hyperlink r:id="rId733" w:history="1">
        <w:r>
          <w:rPr>
            <w:rFonts w:ascii="arial" w:eastAsia="arial" w:hAnsi="arial" w:cs="arial"/>
            <w:i/>
            <w:color w:val="0077CC"/>
            <w:sz w:val="20"/>
            <w:u w:val="single"/>
            <w:shd w:val="clear" w:color="auto" w:fill="FFFFFF"/>
            <w:lang w:val="en-US" w:eastAsia="en-US" w:bidi="ar-SA"/>
          </w:rPr>
          <w:t>2006 SCC 21</w:t>
        </w:r>
      </w:hyperlink>
      <w:r>
        <w:rPr>
          <w:rFonts w:ascii="arial" w:eastAsia="arial" w:hAnsi="arial" w:cs="arial"/>
          <w:color w:val="000000"/>
          <w:sz w:val="20"/>
          <w:lang w:val="en-US" w:eastAsia="en-US" w:bidi="ar-SA"/>
        </w:rPr>
        <w:t xml:space="preserve">, </w:t>
      </w:r>
      <w:hyperlink r:id="rId733" w:history="1">
        <w:r>
          <w:rPr>
            <w:rFonts w:ascii="arial" w:eastAsia="arial" w:hAnsi="arial" w:cs="arial"/>
            <w:i/>
            <w:color w:val="0077CC"/>
            <w:sz w:val="20"/>
            <w:u w:val="single"/>
            <w:shd w:val="clear" w:color="auto" w:fill="FFFFFF"/>
            <w:lang w:val="en-US" w:eastAsia="en-US" w:bidi="ar-SA"/>
          </w:rPr>
          <w:t>[2006] 1 S.C.R. 744</w:t>
        </w:r>
      </w:hyperlink>
      <w:r>
        <w:rPr>
          <w:rFonts w:ascii="arial" w:eastAsia="arial" w:hAnsi="arial" w:cs="arial"/>
          <w:color w:val="000000"/>
          <w:sz w:val="20"/>
          <w:lang w:val="en-US" w:eastAsia="en-US" w:bidi="ar-SA"/>
        </w:rPr>
        <w:t xml:space="preserve">, at paras. 54-55). It is irrelevant whether the allegations in the pleadings can be proven in evidence. That is to say, the duty to defend is not dependent on the insured actually being liable and the insurer actually being required to indemnify. What is required is the mere possibility that a claim falls within the insurance policy. Where it is clear that the claim falls outside the policy, either because it does not come within the initial grant of coverage or is excluded by an exclusion clause, there will be no duty to defend (see </w:t>
      </w:r>
      <w:r>
        <w:rPr>
          <w:rFonts w:ascii="arial" w:eastAsia="arial" w:hAnsi="arial" w:cs="arial"/>
          <w:i/>
          <w:color w:val="000000"/>
          <w:sz w:val="20"/>
          <w:lang w:val="en-US" w:eastAsia="en-US" w:bidi="ar-SA"/>
        </w:rPr>
        <w:t>Nichols</w:t>
      </w:r>
      <w:r>
        <w:rPr>
          <w:rFonts w:ascii="arial" w:eastAsia="arial" w:hAnsi="arial" w:cs="arial"/>
          <w:color w:val="000000"/>
          <w:sz w:val="20"/>
          <w:lang w:val="en-US" w:eastAsia="en-US" w:bidi="ar-SA"/>
        </w:rPr>
        <w:t xml:space="preserve">, at p. 810; </w:t>
      </w:r>
      <w:r>
        <w:rPr>
          <w:rFonts w:ascii="arial" w:eastAsia="arial" w:hAnsi="arial" w:cs="arial"/>
          <w:i/>
          <w:color w:val="000000"/>
          <w:sz w:val="20"/>
          <w:lang w:val="en-US" w:eastAsia="en-US" w:bidi="ar-SA"/>
        </w:rPr>
        <w:t>Monenco</w:t>
      </w:r>
      <w:r>
        <w:rPr>
          <w:rFonts w:ascii="arial" w:eastAsia="arial" w:hAnsi="arial" w:cs="arial"/>
          <w:color w:val="000000"/>
          <w:sz w:val="20"/>
          <w:lang w:val="en-US" w:eastAsia="en-US" w:bidi="ar-SA"/>
        </w:rPr>
        <w:t>, at para. 29).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In examining the pleadings to determine whether the claims fall within the scope of coverage, the parties to the insurance contract are not bound by the labels selected by the plaintiff (</w:t>
      </w:r>
      <w:r>
        <w:rPr>
          <w:rFonts w:ascii="arial" w:eastAsia="arial" w:hAnsi="arial" w:cs="arial"/>
          <w:i/>
          <w:color w:val="000000"/>
          <w:sz w:val="20"/>
          <w:lang w:val="en-US" w:eastAsia="en-US" w:bidi="ar-SA"/>
        </w:rPr>
        <w:t>Non-Marine Underwriters, Lloyd's of London v. Scalera</w:t>
      </w:r>
      <w:r>
        <w:rPr>
          <w:rFonts w:ascii="arial" w:eastAsia="arial" w:hAnsi="arial" w:cs="arial"/>
          <w:color w:val="000000"/>
          <w:sz w:val="20"/>
          <w:lang w:val="en-US" w:eastAsia="en-US" w:bidi="ar-SA"/>
        </w:rPr>
        <w:t xml:space="preserve">, </w:t>
      </w:r>
      <w:hyperlink r:id="rId734" w:history="1">
        <w:r>
          <w:rPr>
            <w:rFonts w:ascii="arial" w:eastAsia="arial" w:hAnsi="arial" w:cs="arial"/>
            <w:i/>
            <w:color w:val="0077CC"/>
            <w:sz w:val="20"/>
            <w:u w:val="single"/>
            <w:shd w:val="clear" w:color="auto" w:fill="FFFFFF"/>
            <w:lang w:val="en-US" w:eastAsia="en-US" w:bidi="ar-SA"/>
          </w:rPr>
          <w:t>2000 SCC 24</w:t>
        </w:r>
      </w:hyperlink>
      <w:r>
        <w:rPr>
          <w:rFonts w:ascii="arial" w:eastAsia="arial" w:hAnsi="arial" w:cs="arial"/>
          <w:color w:val="000000"/>
          <w:sz w:val="20"/>
          <w:lang w:val="en-US" w:eastAsia="en-US" w:bidi="ar-SA"/>
        </w:rPr>
        <w:t xml:space="preserve">, </w:t>
      </w:r>
      <w:hyperlink r:id="rId734" w:history="1">
        <w:r>
          <w:rPr>
            <w:rFonts w:ascii="arial" w:eastAsia="arial" w:hAnsi="arial" w:cs="arial"/>
            <w:i/>
            <w:color w:val="0077CC"/>
            <w:sz w:val="20"/>
            <w:u w:val="single"/>
            <w:shd w:val="clear" w:color="auto" w:fill="FFFFFF"/>
            <w:lang w:val="en-US" w:eastAsia="en-US" w:bidi="ar-SA"/>
          </w:rPr>
          <w:t>[2000] 1 S.C.R. 551</w:t>
        </w:r>
      </w:hyperlink>
      <w:r>
        <w:rPr>
          <w:rFonts w:ascii="arial" w:eastAsia="arial" w:hAnsi="arial" w:cs="arial"/>
          <w:color w:val="000000"/>
          <w:sz w:val="20"/>
          <w:lang w:val="en-US" w:eastAsia="en-US" w:bidi="ar-SA"/>
        </w:rPr>
        <w:t>, at paras. 79 and 81). The use or absence of a particular term will not determine whether the duty to defend arises. What is determinative is the true nature or the substance of the claim (</w:t>
      </w:r>
      <w:r>
        <w:rPr>
          <w:rFonts w:ascii="arial" w:eastAsia="arial" w:hAnsi="arial" w:cs="arial"/>
          <w:i/>
          <w:color w:val="000000"/>
          <w:sz w:val="20"/>
          <w:lang w:val="en-US" w:eastAsia="en-US" w:bidi="ar-SA"/>
        </w:rPr>
        <w:t>Scalera</w:t>
      </w:r>
      <w:r>
        <w:rPr>
          <w:rFonts w:ascii="arial" w:eastAsia="arial" w:hAnsi="arial" w:cs="arial"/>
          <w:color w:val="000000"/>
          <w:sz w:val="20"/>
          <w:lang w:val="en-US" w:eastAsia="en-US" w:bidi="ar-SA"/>
        </w:rPr>
        <w:t xml:space="preserve">, at para. 79; </w:t>
      </w:r>
      <w:r>
        <w:rPr>
          <w:rFonts w:ascii="arial" w:eastAsia="arial" w:hAnsi="arial" w:cs="arial"/>
          <w:i/>
          <w:color w:val="000000"/>
          <w:sz w:val="20"/>
          <w:lang w:val="en-US" w:eastAsia="en-US" w:bidi="ar-SA"/>
        </w:rPr>
        <w:t>Monenco</w:t>
      </w:r>
      <w:r>
        <w:rPr>
          <w:rFonts w:ascii="arial" w:eastAsia="arial" w:hAnsi="arial" w:cs="arial"/>
          <w:color w:val="000000"/>
          <w:sz w:val="20"/>
          <w:lang w:val="en-US" w:eastAsia="en-US" w:bidi="ar-SA"/>
        </w:rPr>
        <w:t xml:space="preserve">, at para. 35; </w:t>
      </w:r>
      <w:r>
        <w:rPr>
          <w:rFonts w:ascii="arial" w:eastAsia="arial" w:hAnsi="arial" w:cs="arial"/>
          <w:i/>
          <w:color w:val="000000"/>
          <w:sz w:val="20"/>
          <w:lang w:val="en-US" w:eastAsia="en-US" w:bidi="ar-SA"/>
        </w:rPr>
        <w:t>Nichols</w:t>
      </w:r>
      <w:r>
        <w:rPr>
          <w:rFonts w:ascii="arial" w:eastAsia="arial" w:hAnsi="arial" w:cs="arial"/>
          <w:color w:val="000000"/>
          <w:sz w:val="20"/>
          <w:lang w:val="en-US" w:eastAsia="en-US" w:bidi="ar-SA"/>
        </w:rPr>
        <w:t>, at p. 810).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pause to note that the settlement of an underlying action has no impact on the existence of a duty to defend where the duty arose before the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Counsel for Co-operators also referred me to </w:t>
      </w:r>
      <w:r>
        <w:rPr>
          <w:rFonts w:ascii="arial" w:eastAsia="arial" w:hAnsi="arial" w:cs="arial"/>
          <w:i/>
          <w:color w:val="000000"/>
          <w:sz w:val="20"/>
          <w:lang w:val="en-US" w:eastAsia="en-US" w:bidi="ar-SA"/>
        </w:rPr>
        <w:t>Lombard General Insurance Co. of Canada v. Crosbie Industrial Services Ltd.</w:t>
      </w:r>
      <w:r>
        <w:rPr>
          <w:rFonts w:ascii="arial" w:eastAsia="arial" w:hAnsi="arial" w:cs="arial"/>
          <w:color w:val="000000"/>
          <w:sz w:val="20"/>
          <w:lang w:val="en-US" w:eastAsia="en-US" w:bidi="ar-SA"/>
        </w:rPr>
        <w:t xml:space="preserve">, </w:t>
      </w:r>
      <w:hyperlink r:id="rId735" w:history="1">
        <w:r>
          <w:rPr>
            <w:rFonts w:ascii="arial" w:eastAsia="arial" w:hAnsi="arial" w:cs="arial"/>
            <w:i/>
            <w:color w:val="0077CC"/>
            <w:sz w:val="20"/>
            <w:u w:val="single"/>
            <w:shd w:val="clear" w:color="auto" w:fill="FFFFFF"/>
            <w:lang w:val="en-US" w:eastAsia="en-US" w:bidi="ar-SA"/>
          </w:rPr>
          <w:t>2006 NLCA 55</w:t>
        </w:r>
      </w:hyperlink>
      <w:r>
        <w:rPr>
          <w:rFonts w:ascii="arial" w:eastAsia="arial" w:hAnsi="arial" w:cs="arial"/>
          <w:color w:val="000000"/>
          <w:sz w:val="20"/>
          <w:lang w:val="en-US" w:eastAsia="en-US" w:bidi="ar-SA"/>
        </w:rPr>
        <w:t>. There, the Court of Appeal for Newfoundland and Labrador said this at para.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 the insured must clear only a low threshold to establish that the insurer has a duty to defend. The courts have described the threshold in terms such as, a "mere possibility" that a claim falling within the insurance contract may succeed, or the claim "might" or "could possibly" fall within the scope of coverage of the insurance contract. Any doubt that the pleadings bring the occurrence within the ambit of the insurance contract should be resolved in favour of the insured. The analysis is based on the pleadings which must be taken without question as to their factual verity. Inferences may be drawn from the pleadings as a whole in determining the true nature of the claims. Finally, coverage provisions in an insurance contract should be broadly construed while exclusionary clauses should be interpreted narrowly.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Co-operators argues that Lombard should have considered these questions:</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Statement of Claim allege that Poole was an employee?</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Statement of Claim allege action on Poole's part that might possibly be considered within the scope of his employment?</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it possible that Danicek, on the evidence at trial, might be determined not to have been "in the course of her employment" at the time of the injury?</w:t>
      </w:r>
    </w:p>
    <w:p>
      <w:pPr>
        <w:numPr>
          <w:numId w:val="2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Is it possible that, on the evidence at trial, the incident may be characterized as involving Poole "with respect to his employment with AHBL"?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Co-operators argues that all of these questions are very clearly answered in the affirmative. Thus, Lombard was under a duty to defend.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Lombard, on the other hand, argues that before there is a duty to defend, there must be an "insured." Their position is that Mr. Poole was not an insured because the actions in issue were not within the scope of his employment. Lombard relies on the following language its policy:</w:t>
      </w:r>
      <w:r>
        <w:rPr>
          <w:rFonts w:ascii="arial" w:eastAsia="arial" w:hAnsi="arial" w:cs="arial"/>
          <w:sz w:val="20"/>
          <w:lang w:val="en-US" w:eastAsia="en-US" w:bidi="ar-SA"/>
        </w:rPr>
        <w:cr/>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Each of the following is also an insured:</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Your employees, other than your executive officers, but only for acts within the scope of employment by you.</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Coverage Under the Lombard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Lombard policy is apparently designed for law firms; it is called a "Professional Package Policy." The policy establishes two categories of insurance: property insurance and liability insurance. This action is concerned with the latter.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limit under the policy is $5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liability insurance coverage includes seven kinds of coverage:</w:t>
      </w:r>
      <w:r>
        <w:rPr>
          <w:rFonts w:ascii="arial" w:eastAsia="arial" w:hAnsi="arial" w:cs="arial"/>
          <w:sz w:val="20"/>
          <w:lang w:val="en-US" w:eastAsia="en-US" w:bidi="ar-SA"/>
        </w:rPr>
        <w:cr/>
      </w:r>
    </w:p>
    <w:p>
      <w:pPr>
        <w:numPr>
          <w:numId w:val="2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Coverage A - Bodily Injury and/or Property Damage</w:t>
      </w:r>
    </w:p>
    <w:p>
      <w:pPr>
        <w:numPr>
          <w:numId w:val="2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Coverage B - Personal Injury and Advertising Injury</w:t>
      </w:r>
    </w:p>
    <w:p>
      <w:pPr>
        <w:numPr>
          <w:numId w:val="2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Coverage C - Medical Expense</w:t>
      </w:r>
    </w:p>
    <w:p>
      <w:pPr>
        <w:numPr>
          <w:numId w:val="2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Coverage D - Tenants Legal Liability</w:t>
      </w:r>
    </w:p>
    <w:p>
      <w:pPr>
        <w:numPr>
          <w:numId w:val="2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Coverage E - Voluntary Compensation for Employees</w:t>
      </w:r>
    </w:p>
    <w:p>
      <w:pPr>
        <w:numPr>
          <w:numId w:val="2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Coverage F - Employee Benefits Errors &amp; Omissions</w:t>
      </w:r>
    </w:p>
    <w:p>
      <w:pPr>
        <w:numPr>
          <w:numId w:val="2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Coverage G - Non-Owned Automobile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relevant coverage here is Coverage A - Bodily Injury and/or Property Damage. The insurance agreement under this heading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COVERAGE A. BODILY INJURY AND PROPERTY DAMAGE LIABILITY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PART I - COVERAGES</w:t>
      </w:r>
    </w:p>
    <w:p>
      <w:pPr>
        <w:numPr>
          <w:numId w:val="2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Insuring Agreement.</w:t>
      </w:r>
    </w:p>
    <w:p>
      <w:pPr>
        <w:numPr>
          <w:numId w:val="2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We will pay those sums that the Insured becomes legally obligated to pay as damages because of bodily injury or property damage to which this insurance applies. No other obligation or liability to pay sums or perform acts or services is covered unless explicitly provided for under SUPPLEMENTARY PAYMENTS - COVERAGES A, B AND D, of this Section. This insurance applies only to bodily injury and property damage which occurs during the policy period. The bodily injury or property damage must be caused by an occurrence. The occurrence must take place in the coverage territory. We will have the right and duty to defend any action seeking those damages but:</w:t>
      </w:r>
    </w:p>
    <w:p>
      <w:pPr>
        <w:numPr>
          <w:numId w:val="2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we will pay for damages is limited as described in PART III - LIMITS OF INSURANCE, in this Section;</w:t>
      </w:r>
    </w:p>
    <w:p>
      <w:pPr>
        <w:numPr>
          <w:numId w:val="2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Our right and duty to defend end when we have used up the applicable limit of insurance in the payment of judgements or settlements under Coverage A, B or medical expenses under Coverage C.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"Bodily Injury" and "occurrence" are both defined terms under Part IV of the policy, the "Definitions" section. It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"Bodily Injury" means bodily injury, mental injury, mental anguish, shock, sickness, disease, or disability sustained by a person, including death resulting from any of these at any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"Occurrence" means an accident, including continuous or repeated exposure to substantially the same general harmful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addition to Alexander Holburn, the Named Insured, a wide variety of persons are also insured under the Lombard policy. This is set out in "Part II - Who is an Insured." The relevant clauses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PART II - WHO IS AN INSURED</w:t>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you are: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partnership or joint venture, you are an insured. Your members, your partners, and their spouses are also insureds, but only with respect to the conduct of your business.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2"/>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Each of the following is also an insured:</w:t>
      </w:r>
    </w:p>
    <w:p>
      <w:pPr>
        <w:numPr>
          <w:numId w:val="3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Your employees, other than your executive officers, but only for acts within the scope of their employment by you. However, none of these employees is an insured for:</w:t>
      </w:r>
    </w:p>
    <w:p>
      <w:pPr>
        <w:numPr>
          <w:numId w:val="3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Bodily injury or personal injury to you or to a co-employee while in the course of his or her employment; or</w:t>
      </w:r>
    </w:p>
    <w:p>
      <w:pPr>
        <w:numPr>
          <w:numId w:val="37"/>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Bodily injury or personal injury to any person who at the time of injury is entitled to benefits under any workers compensation or disability benefits law or a similar law; or</w:t>
      </w:r>
    </w:p>
    <w:p>
      <w:pPr>
        <w:numPr>
          <w:numId w:val="3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Bodily injury or personal injury arising out of your employees or any of your partners or members (if you are a partnership or joint venture), providing or failing to provide professional health care services;</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Any employee, or person under contract, or any persons or personal corporations who provide or have provided services to or for the Named Insured under a personal services contract or personal services agreement or employees on loan from others working solely for and on behalf of the Named Insured or persons designated "Associate Counsel" or "of Counsel", students or volunteers, but only with respect to their employment association, or their contract with the Named Insured.</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Any former or retired partner, member, executive officer, director, employee or stockholder, but only with respect to their employment with the Named Insured(s).</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Any social club, group, or athletic organization, sponsored by the Named Insured, but only with respect to the Named Insured's activities.</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Any person or organization with whom the Named Insured is associated with in an expense sharing arrangement, but only with respect to the Named Insured's premises or operations.</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Persons or Organizations as evidenced by the Certificates of Insurance that form part of this Policy, but only with respect to the Named Insured's premises or operations.</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Any person (other than your employee), or any organization while acting as your real estate manager.</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Any person or organization having proper temporary custody or control of your property if you die, but only:</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liability arising out of the maintenance or use of that property; and</w:t>
      </w:r>
    </w:p>
    <w:p>
      <w:pPr>
        <w:numPr>
          <w:numId w:val="4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Until your legal representative has been appointed.</w:t>
      </w:r>
    </w:p>
    <w:p>
      <w:pPr>
        <w:numPr>
          <w:numId w:val="4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Your legal representative if you die, but only with respect to duties as such. That representative will have all the rights and duties under this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Co-operators argues that the relevant sub-paragraph is Part II, section 2b:</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PART II - WHO IS AN INSURED</w:t>
      </w:r>
    </w:p>
    <w:p>
      <w:pPr>
        <w:numPr>
          <w:numId w:val="4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Each of the following is also an insured: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Any employee, or person under contract, or any persons or personal corporations who provide or have provided services to or for the Named Insured under a personal services contract or personal services agreement or employees on loan from others working solely for and on behalf of the Named Insured or persons designated "Associate Counsel" or "of Counsel", students or volunteers, but only with respect to their employment, association, or their contract with the Named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Co-operators argues that the relevant words are "any employee ... with respect to their employment ... with [Alexander Holburn]." Counsel also argues that the words "with respect to" are to be given a broad interpretation. Reliance is placed on the Supreme Court of Canada's decision in </w:t>
      </w:r>
      <w:r>
        <w:rPr>
          <w:rFonts w:ascii="arial" w:eastAsia="arial" w:hAnsi="arial" w:cs="arial"/>
          <w:i/>
          <w:color w:val="000000"/>
          <w:sz w:val="20"/>
          <w:lang w:val="en-US" w:eastAsia="en-US" w:bidi="ar-SA"/>
        </w:rPr>
        <w:t>Nowegijick v. The Queen</w:t>
      </w:r>
      <w:r>
        <w:rPr>
          <w:rFonts w:ascii="arial" w:eastAsia="arial" w:hAnsi="arial" w:cs="arial"/>
          <w:color w:val="000000"/>
          <w:sz w:val="20"/>
          <w:lang w:val="en-US" w:eastAsia="en-US" w:bidi="ar-SA"/>
        </w:rPr>
        <w:t xml:space="preserve">, </w:t>
      </w:r>
      <w:hyperlink r:id="rId736" w:history="1">
        <w:r>
          <w:rPr>
            <w:rFonts w:ascii="arial" w:eastAsia="arial" w:hAnsi="arial" w:cs="arial"/>
            <w:i/>
            <w:color w:val="0077CC"/>
            <w:sz w:val="20"/>
            <w:u w:val="single"/>
            <w:shd w:val="clear" w:color="auto" w:fill="FFFFFF"/>
            <w:lang w:val="en-US" w:eastAsia="en-US" w:bidi="ar-SA"/>
          </w:rPr>
          <w:t>[1983] 1 S.C.R. 29</w:t>
        </w:r>
      </w:hyperlink>
      <w:r>
        <w:rPr>
          <w:rFonts w:ascii="arial" w:eastAsia="arial" w:hAnsi="arial" w:cs="arial"/>
          <w:color w:val="000000"/>
          <w:sz w:val="20"/>
          <w:lang w:val="en-US" w:eastAsia="en-US" w:bidi="ar-SA"/>
        </w:rPr>
        <w:t xml:space="preserve"> at 39, where the Court was considering the words "in respect of":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words "in respect of" are, in my opinion, words of the widest possible scope. They import such meanings as "in relation to", "with reference to" or "in connection with". The phrase "in respect of" is probably the widest of any expression intended to convey some connection between two related subject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Co-operators further argues that Mr. Poole is insured as long as there is some connection between his employment and the accident. It points to the following: associate dinners are paid by the partnership and conducted regularly; the associates were put in charge or organizing the activities and thereafter seeking reimbursement; it was almost invariable that there was further activity at a nightclub or in an associate's home after the dinner; and all these activities had a legitimate purpose of promoting collegiality and </w:t>
      </w:r>
      <w:r>
        <w:rPr>
          <w:rFonts w:ascii="arial" w:eastAsia="arial" w:hAnsi="arial" w:cs="arial"/>
          <w:i/>
          <w:color w:val="000000"/>
          <w:sz w:val="20"/>
          <w:lang w:val="en-US" w:eastAsia="en-US" w:bidi="ar-SA"/>
        </w:rPr>
        <w:t>esprit de corps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Poole testified that after dinner it was frequent that the group would carry on to a nightclub or bar afterward. Similarly, Peter Asselstine, the director of administration at Alexander Holburn testified that almost without exception the dinner was followed by something, whether a house party or attending at a club. He treated expenses of such matters to be reimbursed to the associate.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Co-operators pointed to the fact that Ms. Sangha, an associate who went to Bar None, purchased some drinks and sought and obtained reimbursement for them. She testified that she thought: "I should buy their drinks because they were more junior than me and assuming that they made less money than me, and it would be nice if I bought their drinks."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Lombard argues that the paramount consideration in interpreting insurance contracts was stated by the Supreme Court of Canada in </w:t>
      </w:r>
      <w:r>
        <w:rPr>
          <w:rFonts w:ascii="arial" w:eastAsia="arial" w:hAnsi="arial" w:cs="arial"/>
          <w:i/>
          <w:color w:val="000000"/>
          <w:sz w:val="20"/>
          <w:lang w:val="en-US" w:eastAsia="en-US" w:bidi="ar-SA"/>
        </w:rPr>
        <w:t>Co-operators Life Insurance Co. v. Gibbens</w:t>
      </w:r>
      <w:r>
        <w:rPr>
          <w:rFonts w:ascii="arial" w:eastAsia="arial" w:hAnsi="arial" w:cs="arial"/>
          <w:color w:val="000000"/>
          <w:sz w:val="20"/>
          <w:lang w:val="en-US" w:eastAsia="en-US" w:bidi="ar-SA"/>
        </w:rPr>
        <w:t xml:space="preserve">, </w:t>
      </w:r>
      <w:hyperlink r:id="rId737" w:history="1">
        <w:r>
          <w:rPr>
            <w:rFonts w:ascii="arial" w:eastAsia="arial" w:hAnsi="arial" w:cs="arial"/>
            <w:i/>
            <w:color w:val="0077CC"/>
            <w:sz w:val="20"/>
            <w:u w:val="single"/>
            <w:shd w:val="clear" w:color="auto" w:fill="FFFFFF"/>
            <w:lang w:val="en-US" w:eastAsia="en-US" w:bidi="ar-SA"/>
          </w:rPr>
          <w:t>2009 SCC 59</w:t>
        </w:r>
      </w:hyperlink>
      <w:r>
        <w:rPr>
          <w:rFonts w:ascii="arial" w:eastAsia="arial" w:hAnsi="arial" w:cs="arial"/>
          <w:color w:val="000000"/>
          <w:sz w:val="20"/>
          <w:lang w:val="en-US" w:eastAsia="en-US" w:bidi="ar-SA"/>
        </w:rPr>
        <w:t xml:space="preserve"> at para. 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The courts have developed a number of general interpretative principles that reflect a concern that customers not suffer from the imbalance of power that often exists between insurers and the insured but, on the other hand, that customers obtain no greater coverage than they are prepared to pay for. The exercise of interpretation should avoid "an unrealistic result or a result which would not be contemplated in the commercial atmosphere in which the insurance was contracted": </w:t>
      </w:r>
      <w:r>
        <w:rPr>
          <w:rFonts w:ascii="arial" w:eastAsia="arial" w:hAnsi="arial" w:cs="arial"/>
          <w:i/>
          <w:color w:val="000000"/>
          <w:sz w:val="20"/>
          <w:lang w:val="en-US" w:eastAsia="en-US" w:bidi="ar-SA"/>
        </w:rPr>
        <w:t>Consolidated-Bathurst Export Ltd. v. Mutual Boiler and Machinery Insurance Co.</w:t>
      </w:r>
      <w:r>
        <w:rPr>
          <w:rFonts w:ascii="arial" w:eastAsia="arial" w:hAnsi="arial" w:cs="arial"/>
          <w:color w:val="000000"/>
          <w:sz w:val="20"/>
          <w:lang w:val="en-US" w:eastAsia="en-US" w:bidi="ar-SA"/>
        </w:rPr>
        <w:t xml:space="preserve">, </w:t>
      </w:r>
      <w:hyperlink r:id="rId738" w:history="1">
        <w:r>
          <w:rPr>
            <w:rFonts w:ascii="arial" w:eastAsia="arial" w:hAnsi="arial" w:cs="arial"/>
            <w:i/>
            <w:color w:val="0077CC"/>
            <w:sz w:val="20"/>
            <w:u w:val="single"/>
            <w:shd w:val="clear" w:color="auto" w:fill="FFFFFF"/>
            <w:lang w:val="en-US" w:eastAsia="en-US" w:bidi="ar-SA"/>
          </w:rPr>
          <w:t>[1980] 1 S.C.R. 888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Estey J., at p. 901.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Lombard argues that there is no ambiguity here and the </w:t>
      </w:r>
      <w:r>
        <w:rPr>
          <w:rFonts w:ascii="arial" w:eastAsia="arial" w:hAnsi="arial" w:cs="arial"/>
          <w:i/>
          <w:color w:val="000000"/>
          <w:sz w:val="20"/>
          <w:lang w:val="en-US" w:eastAsia="en-US" w:bidi="ar-SA"/>
        </w:rPr>
        <w:t>contra proferentem</w:t>
      </w:r>
      <w:r>
        <w:rPr>
          <w:rFonts w:ascii="arial" w:eastAsia="arial" w:hAnsi="arial" w:cs="arial"/>
          <w:color w:val="000000"/>
          <w:sz w:val="20"/>
          <w:lang w:val="en-US" w:eastAsia="en-US" w:bidi="ar-SA"/>
        </w:rPr>
        <w:t xml:space="preserve"> principle has no application. Further, Lombard argues that the burden is on Mr. Poole to show that he is covered by the policy. Their position is that Mr. Poole is not an insured because he was not acting within the scope of his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Counsel for Lombard argues that Mr. Poole's claim falls within clause 2.a. and, since he was not acting within the scope of his employment, he cannot be covered by the policy. Moreover, even if he was, Ms. Danicek, as a co-employee, has her claim excluded pursuant to clause 2.a.1).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On a joint reading of clauses 2.a. and 2.b., Lombard argues that the substance of clause 2.b. demonstrates that the parties intended to extend insurance to persons who would not qualify as true employees in 2.a., but have a relationship with Alexander Holburn of a more intermediate nature, such as counsel. It is not consistent with the Alexander Holburn policy to interpret clause 2.b. to capture conventional employees because they are already described in clause 2.a.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Further, it is submitted that the parties could not have reasonably intended that an employee having injured a fellow employee could avoid the exclusion in 2a.1) and 2) and invoke coverage under 2.b. Lombard argues that such an interpretation creates a glaring inconsistency within clause 2.b.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Even if Mr. Poole falls within the scope of clause 2.b., Lombard argues, his acts are not "with respect to"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They note that the </w:t>
      </w:r>
      <w:r>
        <w:rPr>
          <w:rFonts w:ascii="arial" w:eastAsia="arial" w:hAnsi="arial" w:cs="arial"/>
          <w:i/>
          <w:color w:val="000000"/>
          <w:sz w:val="20"/>
          <w:lang w:val="en-US" w:eastAsia="en-US" w:bidi="ar-SA"/>
        </w:rPr>
        <w:t>Nowegijick</w:t>
      </w:r>
      <w:r>
        <w:rPr>
          <w:rFonts w:ascii="arial" w:eastAsia="arial" w:hAnsi="arial" w:cs="arial"/>
          <w:color w:val="000000"/>
          <w:sz w:val="20"/>
          <w:lang w:val="en-US" w:eastAsia="en-US" w:bidi="ar-SA"/>
        </w:rPr>
        <w:t xml:space="preserve"> decision, cited by Co-operators, did not arise in the context of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On the evidence, Lombard argues that it cannot be said that Alexander Holburn enjoyed any benefit from the event at Bar None. Lombard does not concede that the event at Rodney's Oyster House arose out of employment. The event at Bar None was of a totally different nature. The decision to attend Bar None was a decision made by the group at the conclusion of the dinner. Counsel points out that it is noteworthy that the Workers' Compensation Appeal Tribunal discounted the evidence as showing a relationship to employment that only a portion of the people who attended the dinner decided to go to Bar None.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Lombard also emphasizes that the partnership was not involved in the organizing of the dinner. That was done by Ms. Sangha. Mr. De Vita confirmed in his evidence that the partnership did not know when or where the events took place; it simply created a budget. It is obvious that there was no obligation to attend the dinner, let alone Bar None. Only approximately half of the persons attending the dinner went to Bar None.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Lombard acknowledges that the firm paid the receipt submitted by Ms. Sangha for $17.50, but argues that this nominal reimbursement is insufficient to support the assertion that it is a single indivisible event with the dinner.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Finally, Lombard argues that the issue of employment was canvassed by the Workers' Compensation Appeal Tribunal. Its decision, while not determinative of the issues before me, is instructive. In response to a similar argument, the WCAT adjudicator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find that the personal elements of the attendance at the nightclub substantially outweigh any employment aspect. As a result, I do not consider that the injury occurred while the plaintiff was engaged in an activity that was for the benefit of the employer. The only factor that supports the connection between the activities of the plaintiff at the nightclub and her employment is that the plaintiff's injuries were allegedly caused by an action of a fellow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Duty to Defend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my view, Lombard misapprehended the correct approach to take in assessing whether it owed a duty to defend Mr. Poole.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Poole, as an employee of Alexander Holburn, is clearly an insured under the policy. That is, he is an insured who is covered for acts within the scope of his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four questions enunciated by Co-operators are useful considerations to assist in deciding if there is a duty to defend. In this instance, the questions can be answered in the affirmative: the statement of claim alleged that Mr. Poole was an employee; it alleged that Mr. Poole's actions might possibly fall within the scope of his employment; Ms. Danicek might be determined not to have been "in the course of her employment" at the time of the injury; and, the incident may be characterized as involving Mr. Poole "with respect to his employment" at Alexander Holburn. Thus, in the words of the Supreme Court, there was at least a "mere possibility" that the Danicek claim fell within the scope of the Lombard policy; nor was it "clear" that the claim fell outside the policy: </w:t>
      </w:r>
      <w:r>
        <w:rPr>
          <w:rFonts w:ascii="arial" w:eastAsia="arial" w:hAnsi="arial" w:cs="arial"/>
          <w:i/>
          <w:color w:val="000000"/>
          <w:sz w:val="20"/>
          <w:lang w:val="en-US" w:eastAsia="en-US" w:bidi="ar-SA"/>
        </w:rPr>
        <w:t>Progressive Homes</w:t>
      </w:r>
      <w:r>
        <w:rPr>
          <w:rFonts w:ascii="arial" w:eastAsia="arial" w:hAnsi="arial" w:cs="arial"/>
          <w:color w:val="000000"/>
          <w:sz w:val="20"/>
          <w:lang w:val="en-US" w:eastAsia="en-US" w:bidi="ar-SA"/>
        </w:rPr>
        <w:t xml:space="preserve"> at para.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Co-operators' argument may overstate the duty to defend. In my view an insurer, having taken the position there is no coverage, is not obliged to defend simply because of a possibility that a judge might disagree. However, here there is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It is alleged in the pleadings that Mr. Poole consumed an excessive amount of alcohol. This pleading is general enough to cover Mr. Poole's consumption of alcohol both at Rodney's and at Bar None. Thus, it is at least arguable that, if Mr. Poole was acting in the scope of his employment at Rodney's, his negligent acts at Rodney's contributed to the later accident at Bar None.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light of the foregoing, I find that Lombard was under a duty to defend. The question, then, is one of coverage.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Coverage Under the Lombard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Clauses 2.a. and 2.b. in the Lombard policy arguably cover Mr. Poole. They read as follows:</w:t>
      </w:r>
      <w:r>
        <w:rPr>
          <w:rFonts w:ascii="arial" w:eastAsia="arial" w:hAnsi="arial" w:cs="arial"/>
          <w:sz w:val="20"/>
          <w:lang w:val="en-US" w:eastAsia="en-US" w:bidi="ar-SA"/>
        </w:rPr>
        <w:cr/>
      </w:r>
    </w:p>
    <w:p>
      <w:pPr>
        <w:numPr>
          <w:numId w:val="4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Each of the following is also an insured:</w:t>
      </w:r>
    </w:p>
    <w:p>
      <w:pPr>
        <w:numPr>
          <w:numId w:val="4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Your employees, other than your executive officers, but only for acts within the scope of their employment by you. However, none of these employees is an insured for:</w:t>
      </w:r>
    </w:p>
    <w:p>
      <w:pPr>
        <w:numPr>
          <w:numId w:val="4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Bodily injury or personal injury to you or to a co-employee while in the course of his or her employment; or</w:t>
      </w:r>
    </w:p>
    <w:p>
      <w:pPr>
        <w:numPr>
          <w:numId w:val="4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Bodily injury or personal injury to any person who at the time of injury is entitled to benefits under any workers compensation or disability benefits law or a similar law; or</w:t>
      </w:r>
    </w:p>
    <w:p>
      <w:pPr>
        <w:numPr>
          <w:numId w:val="4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Bodily injury or personal injury arising out of your employees or any of your partners or members (if you are a partnership or joint venture), providing or failing to provide professional health care services;</w:t>
      </w:r>
    </w:p>
    <w:p>
      <w:pPr>
        <w:numPr>
          <w:numId w:val="5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employee, or person under contract, or any persons or personal corporations who provide or have provided services to or for the Named Insured under a personal services contract or personal services agreement or employees on loan from others working solely for and on behalf of the Named Insured or persons designated "Associate Counsel" or "of Counsel", students or volunteers, but only with respect to their employment association, or their contract with the Named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Mr. Poole, as an employee of Alexander Holburn, is an insured within the meaning of the Lombard policy. The only question is whether the insured comes within the scope of coverage. In other words, was Mr. Poole's act at Bar None "within the scope of [his] employment" pursuant to paragraph 2.a.? Alternatively, in the case of paragraph 2.b., was this accident "with respect to [his]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If clause 2.b. provides coverage to Mr. Poole, the only remaining question is whether the claim is "with respect to [his] employment." So, although Mr. Poole is certainly an insured within the meaning of clause 2.a., the contention of Co-operators and Mr. Poole that he is an insured within the meaning of clause 2.b. must be addressed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 agree with Lombard that the principle of </w:t>
      </w:r>
      <w:r>
        <w:rPr>
          <w:rFonts w:ascii="arial" w:eastAsia="arial" w:hAnsi="arial" w:cs="arial"/>
          <w:i/>
          <w:color w:val="000000"/>
          <w:sz w:val="20"/>
          <w:lang w:val="en-US" w:eastAsia="en-US" w:bidi="ar-SA"/>
        </w:rPr>
        <w:t>contra proferentem</w:t>
      </w:r>
      <w:r>
        <w:rPr>
          <w:rFonts w:ascii="arial" w:eastAsia="arial" w:hAnsi="arial" w:cs="arial"/>
          <w:color w:val="000000"/>
          <w:sz w:val="20"/>
          <w:lang w:val="en-US" w:eastAsia="en-US" w:bidi="ar-SA"/>
        </w:rPr>
        <w:t xml:space="preserve"> does not apply in this instance. A clause is not ambiguous simply because it is of uncertain breadth or is difficult to interpret: </w:t>
      </w:r>
      <w:r>
        <w:rPr>
          <w:rFonts w:ascii="arial" w:eastAsia="arial" w:hAnsi="arial" w:cs="arial"/>
          <w:i/>
          <w:color w:val="000000"/>
          <w:sz w:val="20"/>
          <w:lang w:val="en-US" w:eastAsia="en-US" w:bidi="ar-SA"/>
        </w:rPr>
        <w:t>McDonald Crawford v. Morrow,</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[2004] A.J. No. 496</w:t>
        </w:r>
      </w:hyperlink>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244 D.L.R. (4th) 144</w:t>
        </w:r>
      </w:hyperlink>
      <w:r>
        <w:rPr>
          <w:rFonts w:ascii="arial" w:eastAsia="arial" w:hAnsi="arial" w:cs="arial"/>
          <w:color w:val="000000"/>
          <w:sz w:val="20"/>
          <w:lang w:val="en-US" w:eastAsia="en-US" w:bidi="ar-SA"/>
        </w:rPr>
        <w:t xml:space="preserve"> at para. 26 (Alta. C.A.). Any uncertainty in clauses 2.a. and 2.b. can be reconciled on a reading of the policy as a whole. I also note the statement of L'Heureux-Dubé J., writing for the court in </w:t>
      </w:r>
      <w:r>
        <w:rPr>
          <w:rFonts w:ascii="arial" w:eastAsia="arial" w:hAnsi="arial" w:cs="arial"/>
          <w:i/>
          <w:color w:val="000000"/>
          <w:sz w:val="20"/>
          <w:lang w:val="en-US" w:eastAsia="en-US" w:bidi="ar-SA"/>
        </w:rPr>
        <w:t>Frenette v. Metropolitan Life Insurance Co.,</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[1992] 1 S.C.R. 647</w:t>
      </w:r>
      <w:r>
        <w:rPr>
          <w:rFonts w:ascii="arial" w:eastAsia="arial" w:hAnsi="arial" w:cs="arial"/>
          <w:color w:val="000000"/>
          <w:sz w:val="20"/>
          <w:lang w:val="en-US" w:eastAsia="en-US" w:bidi="ar-SA"/>
        </w:rPr>
        <w:t xml:space="preserve"> at 667, that "[i]t is only where all the rules of construction have failed in assisting in the discovery of the true intention of the parties, that the court is entitled to resort to the </w:t>
      </w:r>
      <w:r>
        <w:rPr>
          <w:rFonts w:ascii="arial" w:eastAsia="arial" w:hAnsi="arial" w:cs="arial"/>
          <w:i/>
          <w:color w:val="000000"/>
          <w:sz w:val="20"/>
          <w:lang w:val="en-US" w:eastAsia="en-US" w:bidi="ar-SA"/>
        </w:rPr>
        <w:t>contra proferentem</w:t>
      </w:r>
      <w:r>
        <w:rPr>
          <w:rFonts w:ascii="arial" w:eastAsia="arial" w:hAnsi="arial" w:cs="arial"/>
          <w:color w:val="000000"/>
          <w:sz w:val="20"/>
          <w:lang w:val="en-US" w:eastAsia="en-US" w:bidi="ar-SA"/>
        </w:rPr>
        <w:t xml:space="preserve"> rule.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opening words of 2.b. are "[a]ny employee." That would, without more, appear to capture Mr. Poole. He was, after all, an employee. However, clause 2.b. appears to broaden the coverage beyond employees to a number of persons who are in a variety of employment or quasi-employment relationships with the law firm. It clearly covers persons who are "of counsel" or "associate counsel." It also appears to cover persons providing services under a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Clause 2.b. cannot be read in isolation. Clause 2.a., which of course precedes clause 2.b., clearly describes a person in Mr. Poole's position. At the material time, he was an employee of Alexander Holburn, the policy holder.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Liability arising from "acts within the scope of ... [the insured's employment]" (clause 2.a.) is intended to be different from liability "with respect to [the insured's] employment or association or ... contract" (clause 2.b.). Moreover, clause 2.a. excludes from coverage a number of situations covered by workers' compensation and worker/worker injuries. The insurer cannot have intended to exclude certain individuals from coverage under clause 2.a., only to bring them back into coverage through clause 2.b.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 conclude that clause 2.b. does not cover Mr. Poole. Rather, it provides coverage to persons who are not employees within the meaning of clause 2.a., but are in various employment-like relationships with Alexander Holburn. This interpretation promotes the reasonable intention of the parties and does not generate an unrealistic result in its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In light of the foregoing, I conclude that Mr. Poole must find coverage under clause 2.a.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Under clause 2.a., two questions arise: first, whether the acts leading to the injury were "within the scope of [Mr. Poole's] employment"; and second, whether the bodily injury happened to Ms. Danicek "while in the course of ... her employment." Each will be addressed in turn.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Was Mr. Poole acting "within the scope of [his]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I do not accept the contention of Mr. Poole and Co-operators that </w:t>
      </w:r>
      <w:r>
        <w:rPr>
          <w:rFonts w:ascii="arial" w:eastAsia="arial" w:hAnsi="arial" w:cs="arial"/>
          <w:color w:val="000000"/>
          <w:sz w:val="20"/>
          <w:u w:val="single"/>
          <w:lang w:val="en-US" w:eastAsia="en-US" w:bidi="ar-SA"/>
        </w:rPr>
        <w:t>any</w:t>
      </w:r>
      <w:r>
        <w:rPr>
          <w:rFonts w:ascii="arial" w:eastAsia="arial" w:hAnsi="arial" w:cs="arial"/>
          <w:color w:val="000000"/>
          <w:sz w:val="20"/>
          <w:lang w:val="en-US" w:eastAsia="en-US" w:bidi="ar-SA"/>
        </w:rPr>
        <w:t xml:space="preserve"> connection between work and the activity, which triggered the insured to seek coverage, places that activity within the scope of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Counsel for Lombard referred me to the principles of vicarious liability. He argued that to determine the parties' "insuring intent," one must consider how liability can attach to the insured and the limitations to the doctrine of vicarious liability. I agree that the concepts are related. One of the risks that an employer is seeking to insure is liability for acts done by its employees for which the employer may be liable. However, the precise coverage provided by the policy must be based on the wording of the policy, not the principles of vicarious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The term "scope of employment" is found in other commercial general liability insurance policies and has been considered in a number of decisions in the United States courts. In </w:t>
      </w:r>
      <w:r>
        <w:rPr>
          <w:rFonts w:ascii="arial" w:eastAsia="arial" w:hAnsi="arial" w:cs="arial"/>
          <w:i/>
          <w:color w:val="000000"/>
          <w:sz w:val="20"/>
          <w:lang w:val="en-US" w:eastAsia="en-US" w:bidi="ar-SA"/>
        </w:rPr>
        <w:t>Canadian Contractual Interpretation Law</w:t>
      </w:r>
      <w:r>
        <w:rPr>
          <w:rFonts w:ascii="arial" w:eastAsia="arial" w:hAnsi="arial" w:cs="arial"/>
          <w:color w:val="000000"/>
          <w:sz w:val="20"/>
          <w:lang w:val="en-US" w:eastAsia="en-US" w:bidi="ar-SA"/>
        </w:rPr>
        <w:t xml:space="preserve"> (Markham, Ont.: LexisNexis, 2007), Geoff R. Hall comments on the willingness of Canadian courts to rely on American jurisprudence in interpreting insurance contracts. He says this at 183: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in general Canadian courts tend not to look at American authorities, in the insurance context Canadian courts have expressed a willingness to consider American cases where there are few Canadian authorities on point, provided the American cases employ rules of construction not materially different from those used in Canada. This is because insurance is often marketed content-wide and there should be uniformity in interpreting insurance contracts used in both Canada and the United States. In addition, many insurance issues which have not been much considered in Canada have been subject of much judicial consideration and academic commentary in the United States, and Canadian courts want to take advantage of American expertise. See: </w:t>
      </w:r>
      <w:r>
        <w:rPr>
          <w:rFonts w:ascii="arial" w:eastAsia="arial" w:hAnsi="arial" w:cs="arial"/>
          <w:i/>
          <w:color w:val="000000"/>
          <w:sz w:val="20"/>
          <w:lang w:val="en-US" w:eastAsia="en-US" w:bidi="ar-SA"/>
        </w:rPr>
        <w:t>Zurich Insurance Co. v. 686234 Ontario Ltd.,</w:t>
      </w:r>
      <w:r>
        <w:rPr>
          <w:rFonts w:ascii="arial" w:eastAsia="arial" w:hAnsi="arial" w:cs="arial"/>
          <w:color w:val="000000"/>
          <w:sz w:val="20"/>
          <w:lang w:val="en-US" w:eastAsia="en-US" w:bidi="ar-SA"/>
        </w:rPr>
        <w:t xml:space="preserve"> </w:t>
      </w:r>
      <w:hyperlink r:id="rId740" w:history="1">
        <w:r>
          <w:rPr>
            <w:rFonts w:ascii="arial" w:eastAsia="arial" w:hAnsi="arial" w:cs="arial"/>
            <w:i/>
            <w:color w:val="0077CC"/>
            <w:sz w:val="20"/>
            <w:u w:val="single"/>
            <w:shd w:val="clear" w:color="auto" w:fill="FFFFFF"/>
            <w:lang w:val="en-US" w:eastAsia="en-US" w:bidi="ar-SA"/>
          </w:rPr>
          <w:t>[2002] O.J. No. 4496</w:t>
        </w:r>
      </w:hyperlink>
      <w:r>
        <w:rPr>
          <w:rFonts w:ascii="arial" w:eastAsia="arial" w:hAnsi="arial" w:cs="arial"/>
          <w:color w:val="000000"/>
          <w:sz w:val="20"/>
          <w:lang w:val="en-US" w:eastAsia="en-US" w:bidi="ar-SA"/>
        </w:rPr>
        <w:t xml:space="preserve">, </w:t>
      </w:r>
      <w:hyperlink r:id="rId741" w:history="1">
        <w:r>
          <w:rPr>
            <w:rFonts w:ascii="arial" w:eastAsia="arial" w:hAnsi="arial" w:cs="arial"/>
            <w:i/>
            <w:color w:val="0077CC"/>
            <w:sz w:val="20"/>
            <w:u w:val="single"/>
            <w:shd w:val="clear" w:color="auto" w:fill="FFFFFF"/>
            <w:lang w:val="en-US" w:eastAsia="en-US" w:bidi="ar-SA"/>
          </w:rPr>
          <w:t>62 O.R. (3d) 447</w:t>
        </w:r>
      </w:hyperlink>
      <w:r>
        <w:rPr>
          <w:rFonts w:ascii="arial" w:eastAsia="arial" w:hAnsi="arial" w:cs="arial"/>
          <w:color w:val="000000"/>
          <w:sz w:val="20"/>
          <w:lang w:val="en-US" w:eastAsia="en-US" w:bidi="ar-SA"/>
        </w:rPr>
        <w:t xml:space="preserve"> at para. 34 (Ont. C.A.), leave to appeal to S.C.C. refused </w:t>
      </w:r>
      <w:hyperlink r:id="rId742" w:history="1">
        <w:r>
          <w:rPr>
            <w:rFonts w:ascii="arial" w:eastAsia="arial" w:hAnsi="arial" w:cs="arial"/>
            <w:i/>
            <w:color w:val="0077CC"/>
            <w:sz w:val="20"/>
            <w:u w:val="single"/>
            <w:shd w:val="clear" w:color="auto" w:fill="FFFFFF"/>
            <w:lang w:val="en-US" w:eastAsia="en-US" w:bidi="ar-SA"/>
          </w:rPr>
          <w:t>[2003] S.C.C.A. No. 33</w:t>
        </w:r>
      </w:hyperlink>
      <w:r>
        <w:rPr>
          <w:rFonts w:ascii="arial" w:eastAsia="arial" w:hAnsi="arial" w:cs="arial"/>
          <w:color w:val="000000"/>
          <w:sz w:val="20"/>
          <w:lang w:val="en-US" w:eastAsia="en-US" w:bidi="ar-SA"/>
        </w:rPr>
        <w:t xml:space="preserve"> (S.C.C.) and </w:t>
      </w:r>
      <w:r>
        <w:rPr>
          <w:rFonts w:ascii="arial" w:eastAsia="arial" w:hAnsi="arial" w:cs="arial"/>
          <w:i/>
          <w:color w:val="000000"/>
          <w:sz w:val="20"/>
          <w:lang w:val="en-US" w:eastAsia="en-US" w:bidi="ar-SA"/>
        </w:rPr>
        <w:t>Kohanski v. St. Paul Guarantee Insurance Co.,</w:t>
      </w:r>
      <w:r>
        <w:rPr>
          <w:rFonts w:ascii="arial" w:eastAsia="arial" w:hAnsi="arial" w:cs="arial"/>
          <w:color w:val="000000"/>
          <w:sz w:val="20"/>
          <w:lang w:val="en-US" w:eastAsia="en-US" w:bidi="ar-SA"/>
        </w:rPr>
        <w:t xml:space="preserve"> </w:t>
      </w:r>
      <w:hyperlink r:id="rId743" w:history="1">
        <w:r>
          <w:rPr>
            <w:rFonts w:ascii="arial" w:eastAsia="arial" w:hAnsi="arial" w:cs="arial"/>
            <w:i/>
            <w:color w:val="0077CC"/>
            <w:sz w:val="20"/>
            <w:u w:val="single"/>
            <w:shd w:val="clear" w:color="auto" w:fill="FFFFFF"/>
            <w:lang w:val="en-US" w:eastAsia="en-US" w:bidi="ar-SA"/>
          </w:rPr>
          <w:t>[2006] O.J. No. 157</w:t>
        </w:r>
      </w:hyperlink>
      <w:r>
        <w:rPr>
          <w:rFonts w:ascii="arial" w:eastAsia="arial" w:hAnsi="arial" w:cs="arial"/>
          <w:color w:val="000000"/>
          <w:sz w:val="20"/>
          <w:lang w:val="en-US" w:eastAsia="en-US" w:bidi="ar-SA"/>
        </w:rPr>
        <w:t xml:space="preserve">, </w:t>
      </w:r>
      <w:hyperlink r:id="rId744" w:history="1">
        <w:r>
          <w:rPr>
            <w:rFonts w:ascii="arial" w:eastAsia="arial" w:hAnsi="arial" w:cs="arial"/>
            <w:i/>
            <w:color w:val="0077CC"/>
            <w:sz w:val="20"/>
            <w:u w:val="single"/>
            <w:shd w:val="clear" w:color="auto" w:fill="FFFFFF"/>
            <w:lang w:val="en-US" w:eastAsia="en-US" w:bidi="ar-SA"/>
          </w:rPr>
          <w:t>78 O.R. (3d) 684</w:t>
        </w:r>
      </w:hyperlink>
      <w:r>
        <w:rPr>
          <w:rFonts w:ascii="arial" w:eastAsia="arial" w:hAnsi="arial" w:cs="arial"/>
          <w:color w:val="000000"/>
          <w:sz w:val="20"/>
          <w:lang w:val="en-US" w:eastAsia="en-US" w:bidi="ar-SA"/>
        </w:rPr>
        <w:t xml:space="preserve"> at para. 15 (Ont.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The present case is such an instance where American jurisprudence is instructive. Specifically, I draw insight from </w:t>
      </w:r>
      <w:r>
        <w:rPr>
          <w:rFonts w:ascii="arial" w:eastAsia="arial" w:hAnsi="arial" w:cs="arial"/>
          <w:i/>
          <w:color w:val="000000"/>
          <w:sz w:val="20"/>
          <w:lang w:val="en-US" w:eastAsia="en-US" w:bidi="ar-SA"/>
        </w:rPr>
        <w:t>Mumford v. Interplast, Inc.</w:t>
      </w:r>
      <w:r>
        <w:rPr>
          <w:rFonts w:ascii="arial" w:eastAsia="arial" w:hAnsi="arial" w:cs="arial"/>
          <w:color w:val="000000"/>
          <w:sz w:val="20"/>
          <w:lang w:val="en-US" w:eastAsia="en-US" w:bidi="ar-SA"/>
        </w:rPr>
        <w:t xml:space="preserve"> 696 N.E.2d 259 (Ohio App. 2 Dist. 1997), a decision of the Court of Appeals of Ohio, and </w:t>
      </w:r>
      <w:r>
        <w:rPr>
          <w:rFonts w:ascii="arial" w:eastAsia="arial" w:hAnsi="arial" w:cs="arial"/>
          <w:i/>
          <w:color w:val="000000"/>
          <w:sz w:val="20"/>
          <w:lang w:val="en-US" w:eastAsia="en-US" w:bidi="ar-SA"/>
        </w:rPr>
        <w:t>Hentges v. Thomford and Church Mutual Insurance Company</w:t>
      </w:r>
      <w:r>
        <w:rPr>
          <w:rFonts w:ascii="arial" w:eastAsia="arial" w:hAnsi="arial" w:cs="arial"/>
          <w:color w:val="000000"/>
          <w:sz w:val="20"/>
          <w:lang w:val="en-US" w:eastAsia="en-US" w:bidi="ar-SA"/>
        </w:rPr>
        <w:t>, 569 NW2d 424 (Minnesota Court of Appeals 1997), a decision of the Minnesota Court of Appeals.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Mumford</w:t>
      </w:r>
      <w:r>
        <w:rPr>
          <w:rFonts w:ascii="arial" w:eastAsia="arial" w:hAnsi="arial" w:cs="arial"/>
          <w:color w:val="000000"/>
          <w:sz w:val="20"/>
          <w:lang w:val="en-US" w:eastAsia="en-US" w:bidi="ar-SA"/>
        </w:rPr>
        <w:t>, the Court considered whether the insurer was required to indemnify the employer. Ms. Mumford was an underage employee of Interplast who was injured in a motor vehicle accident. She was driving her vehicle after consuming alcoholic beverages, which five fellow employees bought for her. The beverages were charged to the company's credit card. The issue was whether the employees were acting within the "scope of employment" when they bought these drinks. At 265, the court says this about the term "scope of employment":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[5-9] As a threshold matter, "[t]he expression 'scope of employment' cannot be accurately defined, because it is a question of fact to be determined according 734 to the peculiar facts of each case." </w:t>
      </w:r>
      <w:r>
        <w:rPr>
          <w:rFonts w:ascii="arial" w:eastAsia="arial" w:hAnsi="arial" w:cs="arial"/>
          <w:i/>
          <w:color w:val="000000"/>
          <w:sz w:val="20"/>
          <w:lang w:val="en-US" w:eastAsia="en-US" w:bidi="ar-SA"/>
        </w:rPr>
        <w:t>Tarlecka v. Morgan</w:t>
      </w:r>
      <w:r>
        <w:rPr>
          <w:rFonts w:ascii="arial" w:eastAsia="arial" w:hAnsi="arial" w:cs="arial"/>
          <w:color w:val="000000"/>
          <w:sz w:val="20"/>
          <w:lang w:val="en-US" w:eastAsia="en-US" w:bidi="ar-SA"/>
        </w:rPr>
        <w:t xml:space="preserve"> (1932), 125 Ohio St. 319, 181 N.E. 450, paragraph four of the syllabus; </w:t>
      </w:r>
      <w:r>
        <w:rPr>
          <w:rFonts w:ascii="arial" w:eastAsia="arial" w:hAnsi="arial" w:cs="arial"/>
          <w:i/>
          <w:color w:val="000000"/>
          <w:sz w:val="20"/>
          <w:lang w:val="en-US" w:eastAsia="en-US" w:bidi="ar-SA"/>
        </w:rPr>
        <w:t>Calhoun v. Middletown Coca-Cola Bottling Co.</w:t>
      </w:r>
      <w:r>
        <w:rPr>
          <w:rFonts w:ascii="arial" w:eastAsia="arial" w:hAnsi="arial" w:cs="arial"/>
          <w:color w:val="000000"/>
          <w:sz w:val="20"/>
          <w:lang w:val="en-US" w:eastAsia="en-US" w:bidi="ar-SA"/>
        </w:rPr>
        <w:t xml:space="preserve"> (1974), 43 Ohio App.2d 10, 13, 72 O.O.2d 158, 160, 332 N.E.2d 73, 76. Generally, "[c]onduct is within the scope of employment if it is initiated, in part, to further or promote the master's business." </w:t>
      </w:r>
      <w:r>
        <w:rPr>
          <w:rFonts w:ascii="arial" w:eastAsia="arial" w:hAnsi="arial" w:cs="arial"/>
          <w:i/>
          <w:color w:val="000000"/>
          <w:sz w:val="20"/>
          <w:lang w:val="en-US" w:eastAsia="en-US" w:bidi="ar-SA"/>
        </w:rPr>
        <w:t>Martin v. Cent. Ohio Transit Auth.</w:t>
      </w:r>
      <w:r>
        <w:rPr>
          <w:rFonts w:ascii="arial" w:eastAsia="arial" w:hAnsi="arial" w:cs="arial"/>
          <w:color w:val="000000"/>
          <w:sz w:val="20"/>
          <w:lang w:val="en-US" w:eastAsia="en-US" w:bidi="ar-SA"/>
        </w:rPr>
        <w:t xml:space="preserve"> (1990), 70 Ohio App.3d 83, 92, 590 N.E.2d 411, 417. Ordinarily, an act committed by an employee when he is off duty is not within the scope of employment. </w:t>
      </w:r>
      <w:r>
        <w:rPr>
          <w:rFonts w:ascii="arial" w:eastAsia="arial" w:hAnsi="arial" w:cs="arial"/>
          <w:i/>
          <w:color w:val="000000"/>
          <w:sz w:val="20"/>
          <w:lang w:val="en-US" w:eastAsia="en-US" w:bidi="ar-SA"/>
        </w:rPr>
        <w:t>Biddle v. New York Cent. Rd. Co.</w:t>
      </w:r>
      <w:r>
        <w:rPr>
          <w:rFonts w:ascii="arial" w:eastAsia="arial" w:hAnsi="arial" w:cs="arial"/>
          <w:color w:val="000000"/>
          <w:sz w:val="20"/>
          <w:lang w:val="en-US" w:eastAsia="en-US" w:bidi="ar-SA"/>
        </w:rPr>
        <w:t xml:space="preserve"> (1930), 43 Ohio App. 6, 8-9, 182 N.E. 601, 601-602; </w:t>
      </w:r>
      <w:r>
        <w:rPr>
          <w:rFonts w:ascii="arial" w:eastAsia="arial" w:hAnsi="arial" w:cs="arial"/>
          <w:i/>
          <w:color w:val="000000"/>
          <w:sz w:val="20"/>
          <w:lang w:val="en-US" w:eastAsia="en-US" w:bidi="ar-SA"/>
        </w:rPr>
        <w:t>Knecht v. Vandalia Med. Ctr., Inc.</w:t>
      </w:r>
      <w:r>
        <w:rPr>
          <w:rFonts w:ascii="arial" w:eastAsia="arial" w:hAnsi="arial" w:cs="arial"/>
          <w:color w:val="000000"/>
          <w:sz w:val="20"/>
          <w:lang w:val="en-US" w:eastAsia="en-US" w:bidi="ar-SA"/>
        </w:rPr>
        <w:t xml:space="preserve"> (1984), 14 Ohio App.3d 129, 132, 14 OBR 145, 147-148, 470 N.E. 2d 230, 233. An exception to this rule is where the employee has a duty to perform in furtherance of the master's business after working hours and performs that duty, causing injury to a third party. </w:t>
      </w:r>
      <w:r>
        <w:rPr>
          <w:rFonts w:ascii="arial" w:eastAsia="arial" w:hAnsi="arial" w:cs="arial"/>
          <w:i/>
          <w:color w:val="000000"/>
          <w:sz w:val="20"/>
          <w:lang w:val="en-US" w:eastAsia="en-US" w:bidi="ar-SA"/>
        </w:rPr>
        <w:t>Biddle</w:t>
      </w:r>
      <w:r>
        <w:rPr>
          <w:rFonts w:ascii="arial" w:eastAsia="arial" w:hAnsi="arial" w:cs="arial"/>
          <w:color w:val="000000"/>
          <w:sz w:val="20"/>
          <w:lang w:val="en-US" w:eastAsia="en-US" w:bidi="ar-SA"/>
        </w:rPr>
        <w:t xml:space="preserve">, 43 Ohio App. at 8-9, 182 N.E. at 601-602. Still, an employee is acting outside the scope of employment where the act has no relationship to the employer's business or is so divergent that its very character severs the employer-employee relationship. </w:t>
      </w:r>
      <w:r>
        <w:rPr>
          <w:rFonts w:ascii="arial" w:eastAsia="arial" w:hAnsi="arial" w:cs="arial"/>
          <w:i/>
          <w:color w:val="000000"/>
          <w:sz w:val="20"/>
          <w:lang w:val="en-US" w:eastAsia="en-US" w:bidi="ar-SA"/>
        </w:rPr>
        <w:t>Thomas v. Ohio Dept. of Rehab. &amp; Corr.</w:t>
      </w:r>
      <w:r>
        <w:rPr>
          <w:rFonts w:ascii="arial" w:eastAsia="arial" w:hAnsi="arial" w:cs="arial"/>
          <w:color w:val="000000"/>
          <w:sz w:val="20"/>
          <w:lang w:val="en-US" w:eastAsia="en-US" w:bidi="ar-SA"/>
        </w:rPr>
        <w:t xml:space="preserve"> (1988), 48 Ohio App.3d 86, 89, 548 N.E.2d 991, 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court went on to hold that the employees' actions were not within the scope of their employment: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In the case before us, Mumford alleges in Count One of her complaint that she and McQuinn, Dalton, Holden, Blocher, and Stump met at a cocktail lounge after their second shift at Interplast and consumed alcoholic beverages. Although Mumford claims that the alcoholic beverages were paid for with a company credit card, allegedly with the company's "knowledge and consent," this alone does not transform an after-work social event into acts performed in furtherance of the employer's business. On the face of the complaint, Mumford, McQuinn, Dalton, Holden, Blocher, and Stump were engaged in a purely social function with no stated business purpose or design. The fact that the alcoholic beverages were paid for with a company credit card does not, by itself, alter the nature of the activity, even where the company consents to the use of its credit card to pay for the activity. In sum, the allegations set forth in Count One of Mumford's complaint do not arguably or potentially establish acts that were within the scope of Interplast's employment of McQuinn, Dalton, Holden, Blocher, and Stump. Thus, the named employees were not an "insured" as defined by the comprehensive business policy, and Indiana Insurance has no duty to defend or indemnify them for liability arising from Count One of Mumford's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Hentges</w:t>
      </w:r>
      <w:r>
        <w:rPr>
          <w:rFonts w:ascii="arial" w:eastAsia="arial" w:hAnsi="arial" w:cs="arial"/>
          <w:color w:val="000000"/>
          <w:sz w:val="20"/>
          <w:lang w:val="en-US" w:eastAsia="en-US" w:bidi="ar-SA"/>
        </w:rPr>
        <w:t xml:space="preserve">, a Lutheran minister, while out hunting, accidentally killed one of his parishioners. In considering whether the employer church was liable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its employee, the issue became whether the negligent acts were committed in the course and scope of employment. The court said this about "scope of employment":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"Scope of employment" does not have a fixed or technical definition, and is ordinarily a question of fact for the jury. See </w:t>
      </w:r>
      <w:r>
        <w:rPr>
          <w:rFonts w:ascii="arial" w:eastAsia="arial" w:hAnsi="arial" w:cs="arial"/>
          <w:i/>
          <w:color w:val="000000"/>
          <w:sz w:val="20"/>
          <w:lang w:val="en-US" w:eastAsia="en-US" w:bidi="ar-SA"/>
        </w:rPr>
        <w:t>Marston v. Minneapolis Clinic of Psychiatry</w:t>
      </w:r>
      <w:r>
        <w:rPr>
          <w:rFonts w:ascii="arial" w:eastAsia="arial" w:hAnsi="arial" w:cs="arial"/>
          <w:color w:val="000000"/>
          <w:sz w:val="20"/>
          <w:lang w:val="en-US" w:eastAsia="en-US" w:bidi="ar-SA"/>
        </w:rPr>
        <w:t xml:space="preserve">, 329 NW2d 306, 311 (Minn. 1982); </w:t>
      </w:r>
      <w:r>
        <w:rPr>
          <w:rFonts w:ascii="arial" w:eastAsia="arial" w:hAnsi="arial" w:cs="arial"/>
          <w:i/>
          <w:color w:val="000000"/>
          <w:sz w:val="20"/>
          <w:lang w:val="en-US" w:eastAsia="en-US" w:bidi="ar-SA"/>
        </w:rPr>
        <w:t>Boland v. Morrill</w:t>
      </w:r>
      <w:r>
        <w:rPr>
          <w:rFonts w:ascii="arial" w:eastAsia="arial" w:hAnsi="arial" w:cs="arial"/>
          <w:color w:val="000000"/>
          <w:sz w:val="20"/>
          <w:lang w:val="en-US" w:eastAsia="en-US" w:bidi="ar-SA"/>
        </w:rPr>
        <w:t xml:space="preserve">, 270 Minn. 86, 96, 132 NW 2d 711, 718 (1965), but when the evidence in the record is conclusive on all the necessary elements or there is an absence of evidence to support a necessary element, no fact issue is presented for the jury and the scope of employment is determined as a matter of law. See </w:t>
      </w:r>
      <w:r>
        <w:rPr>
          <w:rFonts w:ascii="arial" w:eastAsia="arial" w:hAnsi="arial" w:cs="arial"/>
          <w:i/>
          <w:color w:val="000000"/>
          <w:sz w:val="20"/>
          <w:lang w:val="en-US" w:eastAsia="en-US" w:bidi="ar-SA"/>
        </w:rPr>
        <w:t>Lange v. National Biscuit Co.</w:t>
      </w:r>
      <w:r>
        <w:rPr>
          <w:rFonts w:ascii="arial" w:eastAsia="arial" w:hAnsi="arial" w:cs="arial"/>
          <w:color w:val="000000"/>
          <w:sz w:val="20"/>
          <w:lang w:val="en-US" w:eastAsia="en-US" w:bidi="ar-SA"/>
        </w:rPr>
        <w:t xml:space="preserve">, 297 Minn. 399, 404, 211 NW2d 783, 786 (1973); </w:t>
      </w:r>
      <w:r>
        <w:rPr>
          <w:rFonts w:ascii="arial" w:eastAsia="arial" w:hAnsi="arial" w:cs="arial"/>
          <w:i/>
          <w:color w:val="000000"/>
          <w:sz w:val="20"/>
          <w:lang w:val="en-US" w:eastAsia="en-US" w:bidi="ar-SA"/>
        </w:rPr>
        <w:t>Pesio v. Sherman</w:t>
      </w:r>
      <w:r>
        <w:rPr>
          <w:rFonts w:ascii="arial" w:eastAsia="arial" w:hAnsi="arial" w:cs="arial"/>
          <w:color w:val="000000"/>
          <w:sz w:val="20"/>
          <w:lang w:val="en-US" w:eastAsia="en-US" w:bidi="ar-SA"/>
        </w:rPr>
        <w:t>, 285 Minn. 246, 248, 172 NWTD 748, 750 (1969).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evidence demonstrated that the minister had changed his day off to go hunting. He would have gone hunting by himself if his parishioners had not been available. He went with them not because they were parishioners but because of his relationship with them. The court held that the hunting trip did not have the purpose of furthering relationships within the church. At best, it had a residual benefit of fostering an ongoing relationship among the pastor and his parishioners that could benefit the church. The residual benefit was found to be too tenuous in its connection to Reverend Thomford's employment "... to support a determination that he was acting within its scope": at 429.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I find that Mr. Poole's actions were not in the scope of his employment. He and Ms. Danicek both attended a dinner paid for by their employer. There were some business reasons for Alexander Holburn to sponsor such events: they promote good will for the firm, and they were an opportunity for associates to become acquainted. The attendance at Bar None, however, has a far more tenuous connection with employment. Some of the persons who attended the dinner decided to go to the bar; some did not. Additionally, it cannot be said that the law firm sponsored this. I agree with the vice-chair of the Workers' Compensation Appeal Tribunal that payment of one receipt for $17.50 does not mean that the employer sponsored the activity. Also see: </w:t>
      </w:r>
      <w:r>
        <w:rPr>
          <w:rFonts w:ascii="arial" w:eastAsia="arial" w:hAnsi="arial" w:cs="arial"/>
          <w:i/>
          <w:color w:val="000000"/>
          <w:sz w:val="20"/>
          <w:lang w:val="en-US" w:eastAsia="en-US" w:bidi="ar-SA"/>
        </w:rPr>
        <w:t>Mumford</w:t>
      </w:r>
      <w:r>
        <w:rPr>
          <w:rFonts w:ascii="arial" w:eastAsia="arial" w:hAnsi="arial" w:cs="arial"/>
          <w:color w:val="000000"/>
          <w:sz w:val="20"/>
          <w:lang w:val="en-US" w:eastAsia="en-US" w:bidi="ar-SA"/>
        </w:rPr>
        <w:t xml:space="preserve"> at para. 10. The evidence does not support the suggestion that Alexander Holburn gained any residual benefit from the attendance of its employees at Bar None. As such, there was no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Finally, there is a question as to whether Mr. Poole's liability arises out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his part at Rodney's, and whether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within the scope of his employment. It is theoretically possible that Mr. Poole's liability could arise from his actions at Rodney's earlier in the evening. Any such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might arguably be within the scope of his employment. However, there is no evidence that Mr. Poole was grossly intoxicated at Rodney's or otherwise. Nor can I find that he was demonstrably exercising poor judgment. Therefore, there is no reason to decide whether his actions at Rodney's were within the scope of his employment.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Was the injury caused to Ms. Danicek while "in the course of ... her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If I am wrong in concluding that Mr. Poole's acts were not within the scope of employment, I must go on to consider whether Ms. Danicek was injured while in the course of her employment pursuant to clause 2.a.1).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I adopt the reasoning of the Workers' Compensation Appeal Tribunal quoted above at paras. 33-35, which concluded that Ms. Danicek's injuries did not arise out of and in the course of her employment as that term is used in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concept of "in the course of employment" is not distinctly broader than "in the scope of employment." They essentially overlap. To determine if an act is in the course of employment, the scope of employment for which the employee was hired is relevant. Considered in the negative: if an employee is injured while outside the scope of employment, then she cannot be within the course of her employment at the time. That is Ms. Danicek's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Additionally, if it was intended for "in the course of employment" and "in the scope of employment" to have substantially different effects, that is not evident from an objective reading of clause 2. or the policy as a whole. As such, an interpretation of clause 2.a.1) "should give effect to the clear language, reading the contract as a whole": </w:t>
      </w:r>
      <w:r>
        <w:rPr>
          <w:rFonts w:ascii="arial" w:eastAsia="arial" w:hAnsi="arial" w:cs="arial"/>
          <w:i/>
          <w:color w:val="000000"/>
          <w:sz w:val="20"/>
          <w:lang w:val="en-US" w:eastAsia="en-US" w:bidi="ar-SA"/>
        </w:rPr>
        <w:t>Progressive Homes</w:t>
      </w:r>
      <w:r>
        <w:rPr>
          <w:rFonts w:ascii="arial" w:eastAsia="arial" w:hAnsi="arial" w:cs="arial"/>
          <w:color w:val="000000"/>
          <w:sz w:val="20"/>
          <w:lang w:val="en-US" w:eastAsia="en-US" w:bidi="ar-SA"/>
        </w:rPr>
        <w:t xml:space="preserve"> at para.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Thus, for similar reasons to my conclusion about Mr. Poole, I conclude that Ms. Danicek's injuries were not caused to her while in the course of her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Co-operators' Claim for Contribution from Lombard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Both insurers owed a duty to defend. Co-operators defended. Lombard denied coverage and, as discussed above, refused to contribute to Mr. Poole's defence. Now, Co-operators argues that it is entitled to reimbursement from Lombard, by way of either contribution or restitution, for the defence costs that it paid up to the date of settlement, January 28, 2009. Counsel for Co-operators submits that Lombard's coverage is primary and that Co-operators is the excess insurer.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Counsel for Lombard argues that, if its policy applies, it is irreconcilable with the Co-operators Policy to the extent that they each state that they are in excess to the other. Thus, defence costs should be borne equally.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Both insurers owed a duty to defend Mr. Poole in the Danicek action. Lombard failed to fulfill this duty. Thus, Co-operators, who bore the entire expense of the defence, is entitled to some amount of contribution from Lombard for this expense. It remains for me to decide how to fairly allocate the cost of defending Mr. Poole up to the point of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xml:space="preserve">  This issue was addressed in </w:t>
      </w:r>
      <w:r>
        <w:rPr>
          <w:rFonts w:ascii="arial" w:eastAsia="arial" w:hAnsi="arial" w:cs="arial"/>
          <w:i/>
          <w:color w:val="000000"/>
          <w:sz w:val="20"/>
          <w:lang w:val="en-US" w:eastAsia="en-US" w:bidi="ar-SA"/>
        </w:rPr>
        <w:t>Broadhurst &amp; Ball v. American Home Assurance Co.</w:t>
      </w:r>
      <w:r>
        <w:rPr>
          <w:rFonts w:ascii="arial" w:eastAsia="arial" w:hAnsi="arial" w:cs="arial"/>
          <w:color w:val="000000"/>
          <w:sz w:val="20"/>
          <w:lang w:val="en-US" w:eastAsia="en-US" w:bidi="ar-SA"/>
        </w:rPr>
        <w:t xml:space="preserve"> (sub nom. </w:t>
      </w:r>
      <w:r>
        <w:rPr>
          <w:rFonts w:ascii="arial" w:eastAsia="arial" w:hAnsi="arial" w:cs="arial"/>
          <w:i/>
          <w:color w:val="000000"/>
          <w:sz w:val="20"/>
          <w:lang w:val="en-US" w:eastAsia="en-US" w:bidi="ar-SA"/>
        </w:rPr>
        <w:t>Broadhurst v. American Home Assurance Co.</w:t>
      </w:r>
      <w:r>
        <w:rPr>
          <w:rFonts w:ascii="arial" w:eastAsia="arial" w:hAnsi="arial" w:cs="arial"/>
          <w:color w:val="000000"/>
          <w:sz w:val="20"/>
          <w:lang w:val="en-US" w:eastAsia="en-US" w:bidi="ar-SA"/>
        </w:rPr>
        <w:t xml:space="preserve">) </w:t>
      </w:r>
      <w:hyperlink r:id="rId745" w:history="1">
        <w:r>
          <w:rPr>
            <w:rFonts w:ascii="arial" w:eastAsia="arial" w:hAnsi="arial" w:cs="arial"/>
            <w:i/>
            <w:color w:val="0077CC"/>
            <w:sz w:val="20"/>
            <w:u w:val="single"/>
            <w:shd w:val="clear" w:color="auto" w:fill="FFFFFF"/>
            <w:lang w:val="en-US" w:eastAsia="en-US" w:bidi="ar-SA"/>
          </w:rPr>
          <w:t>(1990), 76 D.L.R. (4th) 80</w:t>
        </w:r>
      </w:hyperlink>
      <w:r>
        <w:rPr>
          <w:rFonts w:ascii="arial" w:eastAsia="arial" w:hAnsi="arial" w:cs="arial"/>
          <w:color w:val="000000"/>
          <w:sz w:val="20"/>
          <w:lang w:val="en-US" w:eastAsia="en-US" w:bidi="ar-SA"/>
        </w:rPr>
        <w:t xml:space="preserve">, </w:t>
      </w:r>
      <w:hyperlink r:id="rId745" w:history="1">
        <w:r>
          <w:rPr>
            <w:rFonts w:ascii="arial" w:eastAsia="arial" w:hAnsi="arial" w:cs="arial"/>
            <w:i/>
            <w:color w:val="0077CC"/>
            <w:sz w:val="20"/>
            <w:u w:val="single"/>
            <w:shd w:val="clear" w:color="auto" w:fill="FFFFFF"/>
            <w:lang w:val="en-US" w:eastAsia="en-US" w:bidi="ar-SA"/>
          </w:rPr>
          <w:t>1 O.R. (3d) 225</w:t>
        </w:r>
      </w:hyperlink>
      <w:r>
        <w:rPr>
          <w:rFonts w:ascii="arial" w:eastAsia="arial" w:hAnsi="arial" w:cs="arial"/>
          <w:color w:val="000000"/>
          <w:sz w:val="20"/>
          <w:lang w:val="en-US" w:eastAsia="en-US" w:bidi="ar-SA"/>
        </w:rPr>
        <w:t xml:space="preserve"> (C.A.), leave to appeal ref'd </w:t>
      </w:r>
      <w:hyperlink r:id="rId746" w:history="1">
        <w:r>
          <w:rPr>
            <w:rFonts w:ascii="arial" w:eastAsia="arial" w:hAnsi="arial" w:cs="arial"/>
            <w:i/>
            <w:color w:val="0077CC"/>
            <w:sz w:val="20"/>
            <w:u w:val="single"/>
            <w:shd w:val="clear" w:color="auto" w:fill="FFFFFF"/>
            <w:lang w:val="en-US" w:eastAsia="en-US" w:bidi="ar-SA"/>
          </w:rPr>
          <w:t>[1991] S.C.C.A. No. 55</w:t>
        </w:r>
      </w:hyperlink>
      <w:r>
        <w:rPr>
          <w:rFonts w:ascii="arial" w:eastAsia="arial" w:hAnsi="arial" w:cs="arial"/>
          <w:color w:val="000000"/>
          <w:sz w:val="20"/>
          <w:lang w:val="en-US" w:eastAsia="en-US" w:bidi="ar-SA"/>
        </w:rPr>
        <w:t>. There, the Court addressed what happens when the insured has more than one liability insurer and both are obligated to defend the action. Although the appeal concerned "the scope of an excess insurer's obligation to provide a defence for an insured and the allocation of defence costs among primary and excess insurers," it is still instructive: at para. 1. The Court's conclusions on the issue of allocation are found at pp. 95-96 [cited to D.L.R.] of the judgment: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facts of the present case, it appears to me that, as a simple matter of fairness between insurers under concurrent obligations to defend, and, as well, in fairness to the insured, Guardian should pay a proper share of the costs of defence. It follows that American Home should be able to compel such payment. Since these insurers have no agreement between themselves with respect to the defence their respective obligations cannot be a matter of contract. Nonetheless, their obligations should be subject to and governed by principles of equity and good conscience, which, in my opinion, dictate that the costs of litigation should be equitably distributed between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require a primary insurer, whose financial exposure is significantly less than that of the excess insurer, to bear the entire burden of defending an action of this nature is, in my view, patently inconsistent with those principles. By the same token, a result which allows an excess insurer to deny any responsibility for costs which it ought in good conscience to pay, is likewise inconsistent with those principles. As a matter of equity, the burden that these insurers assumed in insuring the same insured against the same risks should fall on both of them and the costs accordingly be shared by them. Insofar as it is necessary to provide American Home with a remedy to achieve this result, and without purporting to formulate any rule of general application to all cases involving claims exceeding the limits of the primary policy, I would adopt the approach taken in the line of authority to which I have made reference and recognize the equitable subrogation rights of American Home to compel Guardian to pay a fair share of the costs of defence.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what basis, then, should the costs of defending the Lumsden Building action be apportioned between these insurers? In American Home's submission, they should be shared </w:t>
      </w:r>
      <w:r>
        <w:rPr>
          <w:rFonts w:ascii="arial" w:eastAsia="arial" w:hAnsi="arial" w:cs="arial"/>
          <w:i/>
          <w:color w:val="000000"/>
          <w:sz w:val="20"/>
          <w:lang w:val="en-US" w:eastAsia="en-US" w:bidi="ar-SA"/>
        </w:rPr>
        <w:t>pro rata</w:t>
      </w:r>
      <w:r>
        <w:rPr>
          <w:rFonts w:ascii="arial" w:eastAsia="arial" w:hAnsi="arial" w:cs="arial"/>
          <w:color w:val="000000"/>
          <w:sz w:val="20"/>
          <w:lang w:val="en-US" w:eastAsia="en-US" w:bidi="ar-SA"/>
        </w:rPr>
        <w:t xml:space="preserve"> in proportion to the coverages afforded by each insurer, that is, 95% of costs should be borne by Guardian and 5% by American Home. I cannot accept that submission. The underlying action here, unlike the situation in most of the American cases, has not yet been tried or settled; it remains outstanding and its final outcome will not likely be known for some time. In this situation, I do not think it appropriate to allocate costs simply by reference to the respective policy limits, although I would add, in other situations, this may well be a fitting basis for the allocation. The costs of providing the defence here are clearly not necessarily related to the monetary limits of the policies. It seems to me, in viewing the matter broadly and as best I can, that the fairest, most reasonable and most equitable allocation of costs that can be made in the overall circumstances of this case is to apportion them equally between the insurers.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Alie v. Bertrand &amp; Frere Construction Co.</w:t>
      </w:r>
      <w:r>
        <w:rPr>
          <w:rFonts w:ascii="arial" w:eastAsia="arial" w:hAnsi="arial" w:cs="arial"/>
          <w:color w:val="000000"/>
          <w:sz w:val="20"/>
          <w:lang w:val="en-US" w:eastAsia="en-US" w:bidi="ar-SA"/>
        </w:rPr>
        <w:t xml:space="preserve"> </w:t>
      </w:r>
      <w:hyperlink r:id="rId747" w:history="1">
        <w:r>
          <w:rPr>
            <w:rFonts w:ascii="arial" w:eastAsia="arial" w:hAnsi="arial" w:cs="arial"/>
            <w:i/>
            <w:color w:val="0077CC"/>
            <w:sz w:val="20"/>
            <w:u w:val="single"/>
            <w:shd w:val="clear" w:color="auto" w:fill="FFFFFF"/>
            <w:lang w:val="en-US" w:eastAsia="en-US" w:bidi="ar-SA"/>
          </w:rPr>
          <w:t>(2002), 62 O.R. (3d) 345</w:t>
        </w:r>
      </w:hyperlink>
      <w:r>
        <w:rPr>
          <w:rFonts w:ascii="arial" w:eastAsia="arial" w:hAnsi="arial" w:cs="arial"/>
          <w:color w:val="000000"/>
          <w:sz w:val="20"/>
          <w:lang w:val="en-US" w:eastAsia="en-US" w:bidi="ar-SA"/>
        </w:rPr>
        <w:t xml:space="preserve"> (Ont. Sup. Ct.) at para. 203, interpreted </w:t>
      </w:r>
      <w:r>
        <w:rPr>
          <w:rFonts w:ascii="arial" w:eastAsia="arial" w:hAnsi="arial" w:cs="arial"/>
          <w:i/>
          <w:color w:val="000000"/>
          <w:sz w:val="20"/>
          <w:lang w:val="en-US" w:eastAsia="en-US" w:bidi="ar-SA"/>
        </w:rPr>
        <w:t>Broadhurst &amp; Ball</w:t>
      </w:r>
      <w:r>
        <w:rPr>
          <w:rFonts w:ascii="arial" w:eastAsia="arial" w:hAnsi="arial" w:cs="arial"/>
          <w:color w:val="000000"/>
          <w:sz w:val="20"/>
          <w:lang w:val="en-US" w:eastAsia="en-US" w:bidi="ar-SA"/>
        </w:rPr>
        <w:t xml:space="preserv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[203] ... </w:t>
      </w:r>
      <w:r>
        <w:rPr>
          <w:rFonts w:ascii="arial" w:eastAsia="arial" w:hAnsi="arial" w:cs="arial"/>
          <w:i/>
          <w:color w:val="000000"/>
          <w:sz w:val="20"/>
          <w:lang w:val="en-US" w:eastAsia="en-US" w:bidi="ar-SA"/>
        </w:rPr>
        <w:t>Broadhurst &amp; Ball</w:t>
      </w:r>
      <w:r>
        <w:rPr>
          <w:rFonts w:ascii="arial" w:eastAsia="arial" w:hAnsi="arial" w:cs="arial"/>
          <w:color w:val="000000"/>
          <w:sz w:val="20"/>
          <w:lang w:val="en-US" w:eastAsia="en-US" w:bidi="ar-SA"/>
        </w:rPr>
        <w:t xml:space="preserve"> does not hold that an excess insurer with a duty to defend will be compelled to contribute to defence costs in each and every case where a claim exceeds the limits of the primary insurer. Robins J.A. recognized that the excess insurer's obligation to contribute, if any, was a "matter of equity" or "fairness" as among the insurers who were under a duty to defend the claim. The determination of the equities depends on the circumstances of the particular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Unlike in </w:t>
      </w:r>
      <w:r>
        <w:rPr>
          <w:rFonts w:ascii="arial" w:eastAsia="arial" w:hAnsi="arial" w:cs="arial"/>
          <w:i/>
          <w:color w:val="000000"/>
          <w:sz w:val="20"/>
          <w:lang w:val="en-US" w:eastAsia="en-US" w:bidi="ar-SA"/>
        </w:rPr>
        <w:t>Broadhurst &amp; Ball, Alie</w:t>
      </w:r>
      <w:r>
        <w:rPr>
          <w:rFonts w:ascii="arial" w:eastAsia="arial" w:hAnsi="arial" w:cs="arial"/>
          <w:color w:val="000000"/>
          <w:sz w:val="20"/>
          <w:lang w:val="en-US" w:eastAsia="en-US" w:bidi="ar-SA"/>
        </w:rPr>
        <w:t xml:space="preserve"> involved an after-the-fact allocation of defence costs amongst multiple insurers.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One consideration in deciding how to fairly allocate defence costs "is whether the particular insurer was "plainly at risk" to indemnify the insured: </w:t>
      </w:r>
      <w:r>
        <w:rPr>
          <w:rFonts w:ascii="arial" w:eastAsia="arial" w:hAnsi="arial" w:cs="arial"/>
          <w:i/>
          <w:color w:val="000000"/>
          <w:sz w:val="20"/>
          <w:lang w:val="en-US" w:eastAsia="en-US" w:bidi="ar-SA"/>
        </w:rPr>
        <w:t>ING Insurance</w:t>
      </w:r>
      <w:r>
        <w:rPr>
          <w:rFonts w:ascii="arial" w:eastAsia="arial" w:hAnsi="arial" w:cs="arial"/>
          <w:color w:val="000000"/>
          <w:sz w:val="20"/>
          <w:lang w:val="en-US" w:eastAsia="en-US" w:bidi="ar-SA"/>
        </w:rPr>
        <w:t xml:space="preserve"> at para. 30. Further, the allocation of defence costs among insurers is "not an exact science": </w:t>
      </w:r>
      <w:r>
        <w:rPr>
          <w:rFonts w:ascii="arial" w:eastAsia="arial" w:hAnsi="arial" w:cs="arial"/>
          <w:i/>
          <w:color w:val="000000"/>
          <w:sz w:val="20"/>
          <w:lang w:val="en-US" w:eastAsia="en-US" w:bidi="ar-SA"/>
        </w:rPr>
        <w:t>Alie</w:t>
      </w:r>
      <w:r>
        <w:rPr>
          <w:rFonts w:ascii="arial" w:eastAsia="arial" w:hAnsi="arial" w:cs="arial"/>
          <w:color w:val="000000"/>
          <w:sz w:val="20"/>
          <w:lang w:val="en-US" w:eastAsia="en-US" w:bidi="ar-SA"/>
        </w:rPr>
        <w:t xml:space="preserve"> at para. 235.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Here, Lombard owed a duty to defend. It was at risk, if not "plainly at risk," to indemnify. In light of: (1) the fact that Lombard wrongfully refused to assume Mr. Poole's defence; (2) Lombard did not deny contribution to Mr. Poole's defence in bad faith; (3) Mr. Poole was not covered by the Lombard policy; and (4) that both parties would have been required to contribute to the defence, regardless of their priority; in my view, as a matter of equity and fairness, Lombard should contribute to fifty percent of Co-operators' expenses in defending Mr. Poole in the Danicek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The applicable principle is "equality in equity." Southin J.A. put it this way in </w:t>
      </w:r>
      <w:r>
        <w:rPr>
          <w:rFonts w:ascii="arial" w:eastAsia="arial" w:hAnsi="arial" w:cs="arial"/>
          <w:i/>
          <w:color w:val="000000"/>
          <w:sz w:val="20"/>
          <w:lang w:val="en-US" w:eastAsia="en-US" w:bidi="ar-SA"/>
        </w:rPr>
        <w:t>Affiliated FM Insurance Co. v. Quintette Coal Ltd.</w:t>
      </w:r>
      <w:r>
        <w:rPr>
          <w:rFonts w:ascii="arial" w:eastAsia="arial" w:hAnsi="arial" w:cs="arial"/>
          <w:color w:val="000000"/>
          <w:sz w:val="20"/>
          <w:lang w:val="en-US" w:eastAsia="en-US" w:bidi="ar-SA"/>
        </w:rPr>
        <w:t xml:space="preserve"> </w:t>
      </w:r>
      <w:hyperlink r:id="rId748" w:history="1">
        <w:r>
          <w:rPr>
            <w:rFonts w:ascii="arial" w:eastAsia="arial" w:hAnsi="arial" w:cs="arial"/>
            <w:i/>
            <w:color w:val="0077CC"/>
            <w:sz w:val="20"/>
            <w:u w:val="single"/>
            <w:shd w:val="clear" w:color="auto" w:fill="FFFFFF"/>
            <w:lang w:val="en-US" w:eastAsia="en-US" w:bidi="ar-SA"/>
          </w:rPr>
          <w:t>(1998), 156 D.L.R. (4th) 307</w:t>
        </w:r>
      </w:hyperlink>
      <w:r>
        <w:rPr>
          <w:rFonts w:ascii="arial" w:eastAsia="arial" w:hAnsi="arial" w:cs="arial"/>
          <w:color w:val="000000"/>
          <w:sz w:val="20"/>
          <w:lang w:val="en-US" w:eastAsia="en-US" w:bidi="ar-SA"/>
        </w:rPr>
        <w:t xml:space="preserve">, </w:t>
      </w:r>
      <w:hyperlink r:id="rId748" w:history="1">
        <w:r>
          <w:rPr>
            <w:rFonts w:ascii="arial" w:eastAsia="arial" w:hAnsi="arial" w:cs="arial"/>
            <w:i/>
            <w:color w:val="0077CC"/>
            <w:sz w:val="20"/>
            <w:u w:val="single"/>
            <w:shd w:val="clear" w:color="auto" w:fill="FFFFFF"/>
            <w:lang w:val="en-US" w:eastAsia="en-US" w:bidi="ar-SA"/>
          </w:rPr>
          <w:t>48 B.C.L.R. (3d) 8</w:t>
        </w:r>
      </w:hyperlink>
      <w:r>
        <w:rPr>
          <w:rFonts w:ascii="arial" w:eastAsia="arial" w:hAnsi="arial" w:cs="arial"/>
          <w:color w:val="000000"/>
          <w:sz w:val="20"/>
          <w:lang w:val="en-US" w:eastAsia="en-US" w:bidi="ar-SA"/>
        </w:rPr>
        <w:t xml:space="preserve"> at para. 52: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[52] There is a maxim of equity that "equality is equity". Like all equitable maxims, it can only apply if there is not some good reason in law and equity why it ought not to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sum, both Lombard and Co-operators owed a duty to defend Mr. Poole in the Danicek action. Co-operators assumed Mr. Poole's defence, while Lombard did not. Thus, Co-operators is entitled to contribution from Lombard for half of the amounts paid to defend Mr. Poole in the Danicek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Mr. Poole's Claim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Co-operators argues that Lombard breached its contract when it wrongfully refused to assume Mr. Poole's defence. As a result, they say that Mr. Poole is entitled to damages from Lombard for the amount paid to Killam Cordell.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Lombard submits that there is no basis for this award because "[t]here is no evidence that Mr. Killam was in any way attempting to secure coverage for Mr. Poole under the AHBL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duty to defend imposes on an insurer the obligation to fund the defence of the insured. However, an insurer's duty to defend does not include the funding of an insured's independent legal counsel where it is prudent to retain independent counsel in any event. To do so would unfairly extend the scope of the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In January 2009, Ms. Danicek asserted the settlement value of all her claims to be approximately $6 million. Mr. Poole was faced the possibility of $5 million in personal liability. As a result, Mr. Poole retained independent legal counsel, James Killam, Q.C., to represent him in the mediation and negotiations relating to the Danicek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Mr. Poole's exposure to significant personal liability was triggered as a consequence of Lombard's refusal to indemnify. The fact that Lombard refused to contribute to Mr. Poole's defence is of no consequence. Thus, retaining independent legal counsel would have resulted in any event. Put another way, it was prudent for Mr. Poole to retain Mr. Killam upon receiving notice that Lombard would not indemnify and that Ms. Danicek's claim exceeded Co-operators policy limit.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Lombard did not wrongfully deny coverage to Mr. Poole. However, if Mr. Poole were entitled to coverage by Lombard, he likely would have been entitled to the cost of retaining Mr. Killam.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In the result, I find that Lombard is not liable for the amount Mr. Poole's payment to Killam Cordell.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third party claim of Mr. Poole is allowed in part. Mr. Poole is entitled to a declaration that Lombard's denial of defence in the Danicek action was wrongful; however, the Danicek claim is not covered by the Lombard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Co-operator's action also succeeds in part. It is entitled to contribution from Lombard with respect to amounts Co-operators paid to defend Mr. Poole in the Danicek action. Consequently, I order that Lombard shall reimburse Co-operators for half of the expenses it incurred in the defence of Poole in the Danicek action up to January 28, 2009, the date of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There has been mixed success. Each party shall bear its own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S.F. KELLEHER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0" style="position:absolute;z-index:2518865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49"/>
          <w:headerReference w:type="default" r:id="rId750"/>
          <w:footerReference w:type="even" r:id="rId751"/>
          <w:footerReference w:type="default" r:id="rId752"/>
          <w:headerReference w:type="first" r:id="rId753"/>
          <w:footerReference w:type="first" r:id="rId75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55" w:history="1">
        <w:r>
          <w:rPr>
            <w:rFonts w:ascii="arial" w:eastAsia="arial" w:hAnsi="arial" w:cs="arial"/>
            <w:b/>
            <w:bCs/>
            <w:i/>
            <w:color w:val="0077CC"/>
            <w:kern w:val="32"/>
            <w:sz w:val="28"/>
            <w:szCs w:val="32"/>
            <w:u w:val="single"/>
            <w:shd w:val="clear" w:color="auto" w:fill="FFFFFF"/>
            <w:lang w:val="en-US" w:eastAsia="en-US" w:bidi="ar-SA"/>
          </w:rPr>
          <w:t>Day v. Central Okanagan (Regional District), [2000] B.C.J. No. 1417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Drossos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1 - 3, 1999, February 22 and 23,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24, 2000.</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Kelowna Registry No. 27357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[2000] B.C.J. No. 1417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BCSC 1134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79 B.C.L.R. (3d) 36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 C.C.L.T. (3d) 294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 C.L.R. (3d) 16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 M.P.L.R. (3d) 178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98 A.C.W.S. (3d) 458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[2000] B.C.T.C. 527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Wallace Arthur Day and Mary Anne Day, plaintiffs, and Regional District of Central Okanagan, Her Majesty the Queen in Right of the Province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1" style="position:absolute;z-index:2516961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36" w:name="Keywords_35"/>
      <w:bookmarkEnd w:id="236"/>
      <w:r>
        <w:rPr>
          <w:rFonts w:ascii="arial" w:eastAsia="arial" w:hAnsi="arial" w:cs="arial"/>
          <w:b/>
          <w:color w:val="000000"/>
          <w:sz w:val="20"/>
          <w:lang w:val="en-US" w:eastAsia="en-US" w:bidi="ar-SA"/>
        </w:rPr>
        <w:t xml:space="preserve">Municipal law — Actions against municipalities — Limitation periods — Liability of municipalities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of care — Duty to warn — Land regulation.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37" w:name="Case Summary_33"/>
            <w:bookmarkEnd w:id="23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Day, the purchaser of a house, against the Central Okanagan Regional District for damages from the settling of his house, allegedly caused by the construction of the house on loose fill. The house had been built in 1961, and the Days purchased the house from the Revills in 1974. The Days were not informed by anyone that the house had been built on fill. The Days first experienced problems with settling of the house in 1977. The engineer's report concluded that the settling and consequent damage resulted from a leak in the water main. Subsequent reports in 1979 and 1980 acknowledged the presence of fill on the property. However, the reports stressed that the introduction of water into the soil was the main reason for the settling of the house. Although repairs were made to the house, more settling occurred. In 1987, the Days sold the house to the McKagues. In 1989, the McKagues instituted proceedings against the Days, alleging that the house had been built on unstable fill soils and was settling, and that the Days had actively concealed the facts from the McKagues. After some negotiation, the action was settled. In August 1994, in exchange for the McKagues dismissing the action, the Days agreed to repurchase the house. In February 1996, as part of the repairs to the house, the Days obtained an engineer's report which stated that the house had been constructed on uncompacted fills. The Days gave the District written notice of their intention to commence an action against it, pursuant to section 286 of the Municipal Act, for damages for the repairs to the foundation. The action was commenced in July 1995. The Days claimed that the District, which had planning authority, had failed to warn them that the lot contained uncompacted fill and posed a foreseeable and substantial danger to the health and safety of the occupants. The District denied that it owed a duty of care to the Days, arguing that the cause of action was statute-barred because it was out of time.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38" w:name="Holdings of Court_26"/>
            <w:bookmarkEnd w:id="238"/>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Days were not statute-barred from instituting their action against the District. It was not until the Days repurchased the house from the McKagues in 1994 that the two-year limitation period began to run. During negotiations with the McKagues in May 1992, the Days first received indications that the existence of deep loose fill might have caused the settling of the house. Therefore, by May 1992 the Days knew or ought to have known that they could bring an action against the District for failure to warn of the existence of deep loose fill on the property. However, pursuant to section 6 of the Limitation Act, the limitation period did not begin to run until the Days repurchased the house in 1994. Before the house was repurchased, the Days could not have had a reasonable prospect of success in an action against the District because they could not demonstrate any losses. Nevertheless, the Days' claim against the District could not stand because they knew or ought to have known the true cause of the settling before the repurchase, thus removing them from the class of unsuspecting purchasers and negating any duty to warn that the District might have owed them.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9" w:name="Legislation Cited_25"/>
      <w:bookmarkEnd w:id="23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02" style="position:absolute;z-index:2517473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Act, R.S.B.C. 1996, c. 266, ss. 3, 3(2)(a), 4,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Municipal Act, R.S.B.C. 1996, c. 323, ss. 285, 286.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40" w:name="Counsel_36"/>
      <w:bookmarkEnd w:id="24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3" style="position:absolute;z-index:251798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Howard R. Berge, for the plaintiffs. Frank R. Scordo and L.S. Marchand, for the defendant, Regional District of Central Okanagan. Thomas H. MacLachlan, for the defendant, Her Majesty the Queen in Right of the Province of British Columbia.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1" w:name="Judgment_36"/>
      <w:bookmarkEnd w:id="241"/>
      <w:r>
        <w:pict>
          <v:line id="_x0000_s1204" style="position:absolute;z-index:25184870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2" w:name="DROSSOS J."/>
            <w:bookmarkEnd w:id="242"/>
            <w:r>
              <w:rPr>
                <w:rFonts w:ascii="arial" w:eastAsia="arial" w:hAnsi="arial" w:cs="arial"/>
                <w:b/>
                <w:color w:val="000000"/>
                <w:sz w:val="30"/>
                <w:lang w:val="en-US" w:eastAsia="en-US" w:bidi="ar-SA"/>
              </w:rPr>
              <w:t>DROSSOS J.</w:t>
            </w:r>
          </w:p>
        </w:tc>
      </w:tr>
    </w:tbl>
    <w:p>
      <w:pP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cr/>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Days bring this action against the defendants for damages arising out of the settling of the Days' house, apparently caused by the construction of the house on loose fill. Specifically, the Days submit that the defendants failed to warn them that the lot on which the house was built consisted of uncompacted fill and therefore posed a foreseeable and substantial danger to the health and safety of the house's occupants, including the plaintiffs. This cause of action was argued under the Rule 18A procedures for a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Regional District of Central Okanagan (the "Regional District") denies that it owed a duty of care to the plaintiffs and, in the alternative, claims that the plaintiffs' cause of action is statute barred as a result of the expiration of the applicable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Her Majesty the Queen in Right of the Province of British Columbia, as represented by the Ministry of Transportation and Highways (the "Department of Highways"), similarly denies that it owed a duty of care to the plaintiffs and claims that the limitation period has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addition, the Department of Highways submits that only some of the issues before the court can be appropriately disposed of by way of a hearing under Rule 18A. However, in light of the plaintiffs abandoning that part of their cause of action, i.e. the claim for negligent inspection, which the Department of Highways submitted was inappropriate for disposition under Rule 18A, the suitability of this case under Rule 18A is no longer in issue. In any event, I find that this case is now appropriate to be dealt with under Rule 18A.</w:t>
      </w:r>
      <w:r>
        <w:rPr>
          <w:rFonts w:ascii="arial" w:eastAsia="arial" w:hAnsi="arial" w:cs="arial"/>
          <w:sz w:val="20"/>
          <w:lang w:val="en-US" w:eastAsia="en-US" w:bidi="ar-SA"/>
        </w:rPr>
        <w:cr/>
      </w:r>
    </w:p>
    <w:p>
      <w:pPr>
        <w:numPr>
          <w:numId w:val="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plaintiffs, Wallace Arthur Day and Mary Anne Day, are husband and wife. They are the registered owners of a fee simple interest in a property at 1219 Sunnybrae Road, which is legally described as Lot 26, District Lot 581, Osoyoos Division Yale District, Plan 17329 (the "Property"). The Property is in the Sunnyside Subdivision (the "Subdivision") near Kelowna, British Columbia. The house that is the subject matter of this litigation is located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Regional District was originally incorporated by Letters Patent on August 24, 1967 and is now incorporated under the provisions of the Municipal Act, </w:t>
      </w:r>
      <w:r>
        <w:rPr>
          <w:rFonts w:ascii="arial" w:eastAsia="arial" w:hAnsi="arial" w:cs="arial"/>
          <w:i/>
          <w:color w:val="000000"/>
          <w:sz w:val="20"/>
          <w:lang w:val="en-US" w:eastAsia="en-US" w:bidi="ar-SA"/>
        </w:rPr>
        <w:t>R.S.B.C. 1996, c. 323</w:t>
      </w:r>
      <w:r>
        <w:rPr>
          <w:rFonts w:ascii="arial" w:eastAsia="arial" w:hAnsi="arial" w:cs="arial"/>
          <w:color w:val="000000"/>
          <w:sz w:val="20"/>
          <w:lang w:val="en-US" w:eastAsia="en-US" w:bidi="ar-SA"/>
        </w:rPr>
        <w:t>. On November 30, 1969 the Regional District assumed responsibility for, among other things, community planning and building regulation from the Central Okanagan Regional Planning Board (the "Planning Board") by Supplementary Letters Patent.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Department of Highways has at all material times been responsible for granting approval of the Subdivision.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the mid 1960s, West Sunnyside Lands Ltd. ("West Sunnyside"), a land developer, approached the Planning Board with a proposal to create the Subdivision, for which no zoning was in place. The Planning Board informed West Sunnyside that approval of the Subdivision relied on the approval of, among other bodies, the Department of Highways.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April 15, 1966 the Department of Highways received a formal application for the approval of the Subdivision from West Sunnyside. In June, 1967 the Department of Highways approved the Subdivision. The Plan of Subdivision was deposited at the Land Registry Office on July 26, 1967. On or about July 31, 1967 a prospectus relating to the Subdivision was filed with the Provincial Superintendent of Insurance. The prospectus states in part that "Lot 25 and 26 [have] been filled to a depth of 12 feet at the north end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August 16, 1971 the Regional District issued a building permit for the construction of the house on the Property to Mr. Revill, the owner, together with his wife, of the Property at that time. The Revills had the house built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plaintiffs purchased the Property from the Revills in April, 1974. The plaintiffs were not informed by anyone that the house had been built on fill nor did they receive a copy of the prospectus.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plaintiffs first experienced problems with settling of the house in 1977, when they noticed cracks in the ceiling, doors sticking, and water flowing from the bank beneath the house. The plaintiffs consulted their insurers, and in May, 1978 they were instructed to obtain an engineer's report of their property. In June, 1978 the plaintiffs obtained a report from Westside Engineering &amp; Design Ltd. (the "Westside Report"), which attached a report from geotechnical engineers, Interior Testing Services Ltd. (the "Interior Report") dated June 14, 1978.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Westside Report makes the following conclusions: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can be seen in Attachment 5 [the Interior Report] the footings are supported on original ground consisting mainly of silt with some layers of clay.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silt is characterized by a good bearing capacity in dry condition but when wet, its structure breaks down with a considerable decline in strength as a result.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have concluded that the settlement and consequent damage to the house resulted from the leak in the 6 inch water main. ... Over a period of ten months the ever increasing presence of free water caused a gradual decline of the bearing capacity of the soil finally resulting in settlements.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Interior Report identified fill in test holes dug around the house to a depth of 5.5 feet at the northwest corner. The test holes were only dug to 5.5 feet. The Interior Report contains the following comments: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Moisture migrating through the soil found the line of least resistance for travel, the fill area around the building, and has saturated the material.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soil is basically a silt, which when dry, has good bearing capacity. However, when moistened, the silt breaks down and becomes very compressible.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Based on the conclusions in the Westside Report, the plaintiffs made a claim to their home insurers, Lloyds of London ("Lloyds"), through their underwriters. On behalf of Lloyds, reports were made by structural engineers, Stanley Associates Engineering Ltd., dated October 27, 1978 (the "Stanley Report"), and geotechnical engineers, Golder Associates Ltd. dated October 12, 1978 (the "Golder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Golder Report is based on two boreholes that were made to depths of 21.5 feet to 23.5 feet, two hand auger holes made to depths of 6.0 to 7.5 feet, and a review of historic aerial photographs. The following conclusions are made in the Golder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the results of the investigation and a study of the air photographs it is our opinion that the lot is overlain by loose fill deposits and loose natural deposits.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loose fills and natural deposits have been saturated at several levels. The degree of saturation appears a maximum under the north end of the house. The loose fills would be expected to consolidate on saturation. The natural loose silty deposits are also such that saturation would break down the artificial bonds or structure and result in settlement.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believe that the settlement profile which has developed to date represents the extent of loose fills which have been saturated. The settlements have been excessive along the west and north walls. If the loose deposits are not further saturated no further settlements would occur. However, voids may be present between the structure and the loose fill and further subsidence could take place in limited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Stanley Report comments on the remedial measures that were recommended in the Golder Report. The Stanley Report also provides recommendations for limiting the introduction of water to the site, noting that "[a]nother injection of water into the supporting soils may result in further settlements".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plaintiffs received and reviewed each of the Westside, Interior, Stanley, and Golder Reports in late 1979 or early 1980.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Lloyds instructed N &amp; H Contracting Ltd. to repair the foundations of the house. The repairs were completed under the supervision of Golder Associates Ltd. at a cost of $60,000.00.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Lloyds commenced a subrogated action against several parties, essentially alleging that the defendants in that action had negligently caused a water leak from a water main that resulted in the settlement of the house. The subrogated action was settled during the course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Despite the repairs made to the house, more settlement occurred in the driveway and patio, and cracks appeared in the basement walls, the exterior of the house and in the carport.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September, 1987 the plaintiffs sold the Property to Frederick and Margaret McKague (the "McKagues").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April 27, 1989, the McKagues commenced an action against the Days alleging that the house was built on unstable fill soils, the house was actively settling, and the Days had actively concealed these facts from the McKagues. The Days denied the allegations and actively defended the McKague action essentially on the basis that:</w:t>
      </w:r>
      <w:r>
        <w:rPr>
          <w:rFonts w:ascii="arial" w:eastAsia="arial" w:hAnsi="arial" w:cs="arial"/>
          <w:sz w:val="20"/>
          <w:lang w:val="en-US" w:eastAsia="en-US" w:bidi="ar-SA"/>
        </w:rPr>
        <w:cr/>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Days had fully disclosed the previous settlement of the home and had made all of the previous engineer's reports available to the McKagues;</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settlement problems experienced by the McKagues resulted from further water infiltration; and</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McKagues were negligent in failing to control further water infiltration or identify the source of the further water infiltration.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During the course of the McKague action, and no later than June 4, 1990, the McKagues provided the Days with a report prepared by Interior Testing Services Ltd. dated October 5, 1988 (the "Second Interior Report"). This report generally indicates that new substantial settlements of the house had occurred as a result of water infiltrating fills under the house, and includes the following statements: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understood that this house has previously been repaired after it was discovered to be partially supported on deep loose FILLS. From the information reviewed, it appears that the house walls were probably underpinned to suitable native grade, and the floor slab was left to be supported by the FILL, with precautions against water infiltration recommended to minimize further FILL settlements.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apparent that substantial settlements have now occurred under the parking garage floor slab. From the previous information, it appears highly likely that water infiltration has been the primary cause of the new substantial settlements.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September 9, 12, and 21, 1988, a series of four hand auger holes were dug down to 9' to 13' below grade.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anticipated, each hole encountered FILL soil. It is possible that native soil was encountered at the base of test holes two and three, but this is not certain.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As part of his preparation in the McKague action, on January 16, 1991 Mr. Day met with Mr. Carlsen, who prepared the Golder Report. Mr. Day took notes of the conversation and delivered those notes to his counsel, Mr. Watts. In discovery, Mr. Day stated that it "could be" that he understood from his conversation with Mr. Carlsen that some of the house's original footings may have still been on fills.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After receiving Mr. Days' notes of his conversation with Mr. Carlsen, Mr. Watts wrote to the Days by letter on January 17, 1991. In that letter, Mr. Watts expressed the following concerns: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very concerned with the way in which this matter appears to be developing. Based upon Wally's notes, it appears that the problems with the house may be much more substantial than we had previously understood. It may be that the engineers who reviewed the original problem and recommended repairs were negligent in the advice that they provided at that time in the sense that the original problem that they were retained to fix has repeated itself. This would mean that we would have to take action on your behalf against the engineers by issuing a Third Party Notice in the presently pending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Days, as defendants in the McKague action, issued a Third Party Notice against the engineers responsible for the 1978 repairs on April 5, 1991, but not against the Regional District or the Department of Highways.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On March 13, 1991, Mrs. Day wrote to Mr. Watts: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only now that I understand that Mr. Hardwick [counsel for the McKagues] believes that "the basement slab &amp; garage slab are on loose fill soils." That was </w:t>
      </w:r>
      <w:r>
        <w:rPr>
          <w:rFonts w:ascii="arial" w:eastAsia="arial" w:hAnsi="arial" w:cs="arial"/>
          <w:color w:val="000000"/>
          <w:sz w:val="20"/>
          <w:u w:val="single"/>
          <w:lang w:val="en-US" w:eastAsia="en-US" w:bidi="ar-SA"/>
        </w:rPr>
        <w:t>never</w:t>
      </w:r>
      <w:r>
        <w:rPr>
          <w:rFonts w:ascii="arial" w:eastAsia="arial" w:hAnsi="arial" w:cs="arial"/>
          <w:color w:val="000000"/>
          <w:sz w:val="20"/>
          <w:lang w:val="en-US" w:eastAsia="en-US" w:bidi="ar-SA"/>
        </w:rPr>
        <w:t xml:space="preserve"> my understanding. He asked me a question on this towards the end of my discovery &amp; I didn't understand the question. I thought that he was referring to the underpinnings of the foundation. I know that my knowledge of the repairs are limited but I always have understood about the danger of water &amp; clay soils.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December 19, 1991, Mr. Watts received an engineer's report prepared by M.S.S. Engineering Ltd. (the "M.S.S. Report") from Mr. Hardwick, who was counsel for the McKagues. The Days received a copy of this report shortly thereafter. On the basis of a review of the previous engineer's reports, a level survey, and a site inspection, the M.S.S. Report made the following conclusions:</w:t>
      </w:r>
      <w:r>
        <w:rPr>
          <w:rFonts w:ascii="arial" w:eastAsia="arial" w:hAnsi="arial" w:cs="arial"/>
          <w:sz w:val="20"/>
          <w:lang w:val="en-US" w:eastAsia="en-US" w:bidi="ar-SA"/>
        </w:rPr>
        <w:cr/>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for the south east quadrant, the house was constructed on loose fill deposits and loose natural deposits of silt, sand and clay.</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footings, both interior and exterior, except for the east wall and the easterly portion of the south, initially, were constructed to bear on the loose soil.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M.S.S. Report recommended further underpinning of the foundation walls and the replacement of loose fills underlying the basement floor slab with compact structural bulk fill.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After reviewing the M.S.S. Report, Mr. Merkley, Mr. Watts' partner, wrote to Mr. Hardwick on December 24, 1991. This letter was copied to the Days. Mr. Merkley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assumption that this is the engineering evidence on which the Plaintiffs [the McKagues] rely to establish their claim, we see no basis upon which this claim can be maintained against our clients. Firstly, MSS Engineering concludes that the house was constructed on loose fill. If that is actionable, then our clients are not "to blame" for the approval of the construction base. That would fall upon the building contractor and the Municipal Inspectors. In that regard, we would suggest that those entities be joined to this lawsuit.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water infiltration problems are the continuing cause of the alleged settlement then, again, those problems arise from the failure of proper engineering to have been carried out at the time the infiltration was detected. This was addressed by the work done by the Third Parties.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December 29, 1991 Mrs. Day wrote to Mr. Watts, stating that she "found an old copy of the Prospectus of West Sunnyside Lands Ltd. ...". She then reproduced the portion of the prospectus that indicates that Lots 25 and 26 had been filled.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next letter of significance was one from Mr. Day to Mr. Watts on January 7, 1992, in which Mr. Day recounted the "highlights" of his meeting with Mr. Williams, the author of the Second Interior Report. Among the "highlights":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of Sunnyside is loose fill soils.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Geo-tech is required for new buildings because the Regional Dist. lost a case to Sid Pratt, 3395 Sunnyside for allowing his house to be built on fill. Pratt was awarded $100,000.00 by the Kelowna Supreme Court. ...</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Pratts [sic] house is two blocks above McKague.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plaintiffs Day then began investigating Mr. Pratt's case against the Regional District. On January 22, 1992 Mrs. Day wrote to Mr. Watts, briefly relating the results of their research into Mr. Pratt's case. She then speculated as to why Mr. Hardwick would not add the Regional District to the McKague's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Maybe Hardwick won't add the Regional District to our case because Golder and Associates investigated that lot and made recommendations for the reconstruction of the foundations on that particular land in 1978.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March 23, 1992, Mr. Watts wrote to the plaintiffs. A portion of that letter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note that the file has taken a new twist in the sense that a major part of the problem may in fact have resulted from the fact that the house was originally constructed on unstable material, which may be a significant cause of the present difficulties. This leaves an important question as to whether the repairs that were carried out to the house have contributed to or perhaps have minimized the present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Later, on May 4, 1992, Mr. Watts wrote to Mr. Hardwick, noting: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I visited the subject property I noted that other residences in the same neighbourhood have also experienced problems with soil movement or soil settlement. Have you considered whether the authorities who approved the original subdivision of this property for residential building purposes may have some liability in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Days received a copy of this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As part of their defence to the McKague action, the Days retained C.O. Brawner Engineering Ltd. to prepare a site report and received the Brawner Report on September 16, 1992 (the "Brawner Report"). Under the heading "Cause of Settlement", the Brawner Report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serious problems occurred with the house settling for about five years after construction. Hence the house foundations were adequately designed for the original site conditions. Whether the foundations were on fill or original ground did not influence the performance. In order for the large magnitude of settlement to occur, an extraneous event was required. All engineers who were involved in the investigation have agreed excess water from the broken water main upslope was that event. I support that conclusion.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an engineering standpoint, I consider nothing that Mr. Day has done has contributed to the settlements that the house has experienced after the house was sold to the McKagues.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October 8, 1992, Mr. Watts wrote to the Days, expressing his opinion that, on the basis of the Brawner Report, neither they nor the Third Party engineers would likely be liable to the McKagues. On June 18, 1993, the Third Party action against the engineers in the McKague action was dismissed by consent without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After some negotiation, the McKagues' action against the Days was settled. In exchange for the McKagues dismissing the action, the Days agreed to repurchase the house for $400,000.00. An appraisal of the house in an "undamaged" state valued the house at $530,000.00. In discovery, Mr. Day stated that he believed the house was worth $500,000.00 in an undamaged state and that the necessary foundation repairs would cost approximately $100,000.00.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settlement was completed with the transfer of the Property to the Days in August,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foundation repairs were completed in February, 1995. All necessary permits and inspections were made, and no complaint is made concerning these repairs.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As part of the repairs to the house, the plaintiffs obtained a further engineering study of the soils underlying the house, which culminated in a report from Vickars Developments Co. Ltd. (the "Vickars Report") dated February 15, 1996. The Days submit that it was on the basis of the Vickars Report that they learned that the house had been constructed on uncompacted fills to a depth of 30 feet. The Vickars Report states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house sits astride a perimeter concrete foundation heavily reinforced quite deep and has undergone differential settlement on two or three occasions with finally a definitive repair occurring done by Vickars Developments in the summer of 1994. Since that time the house has remained stable though there is some geotechnical opinion that the infilled ravine to the west side of your house and indeed the slope between your house and the lake itself is unstable. ... Since there were signs of movement on the slope in the past as well as the marked amount of fill material we found placed on the west and north sides of your lot we elected to place a slope indicator tube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you know following the old ravine up from your house there are multiple houses which are undergoing large amount [sic] of differential subsidence in the area. This appears to be exacerbated by large amounts of water run off which is being added to the ground flowing down this ravine past the south and west sides of your property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examined your house and its environs on many occasions and we concur that there is an increase in water on the slope as well as a higher water table than there was in 1989 when the initial settlement analysis and slope stability was done by Golder Associates. Re-examination of this problem in 1994 shows that the water table is much higher and the fills beneath the house have a larger amount of water now than in 1989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plaintiffs gave the Regional District written notice of their intention to commence an action against the Regional District, pursuant to section 286 of the Municipal Act, for damages for the repairs to the foundation on March 6,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plaintiffs commenced this action on July 26, 1995.</w:t>
      </w:r>
      <w:r>
        <w:rPr>
          <w:rFonts w:ascii="arial" w:eastAsia="arial" w:hAnsi="arial" w:cs="arial"/>
          <w:sz w:val="20"/>
          <w:lang w:val="en-US" w:eastAsia="en-US" w:bidi="ar-SA"/>
        </w:rPr>
        <w:cr/>
      </w:r>
    </w:p>
    <w:p>
      <w:pPr>
        <w:numPr>
          <w:numId w:val="6"/>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issues in this case are:</w:t>
      </w:r>
      <w:r>
        <w:rPr>
          <w:rFonts w:ascii="arial" w:eastAsia="arial" w:hAnsi="arial" w:cs="arial"/>
          <w:sz w:val="20"/>
          <w:lang w:val="en-US" w:eastAsia="en-US" w:bidi="ar-SA"/>
        </w:rPr>
        <w:cr/>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plaintiffs' action against either of the defendants statute barred because of the expiration of the applicable limitation period or failure to give timely notice of the cause of action?</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either the Regional District or the Department of Highways liable to the plaintiffs due to their failure to warn the plaintiffs that the house was constructed on loose fill?</w:t>
      </w:r>
    </w:p>
    <w:p>
      <w:pPr>
        <w:numPr>
          <w:numId w:val="8"/>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LAW</w:t>
      </w:r>
    </w:p>
    <w:p>
      <w:pPr>
        <w:numPr>
          <w:numId w:val="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There are limitation periods within the Municipal Act that would normally apply to a cause of action against the Regional District. However, for failure to warn cases, the limitation periods are set by the Limitation Act, </w:t>
      </w:r>
      <w:hyperlink r:id="rId549"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not the Municipal Act: Grewal v. District of Saanich </w:t>
      </w:r>
      <w:hyperlink r:id="rId756" w:history="1">
        <w:r>
          <w:rPr>
            <w:rFonts w:ascii="arial" w:eastAsia="arial" w:hAnsi="arial" w:cs="arial"/>
            <w:i/>
            <w:color w:val="0077CC"/>
            <w:sz w:val="20"/>
            <w:u w:val="single"/>
            <w:shd w:val="clear" w:color="auto" w:fill="FFFFFF"/>
            <w:lang w:val="en-US" w:eastAsia="en-US" w:bidi="ar-SA"/>
          </w:rPr>
          <w:t>(1989), 38 B.C.L.R. (2d) 250</w:t>
        </w:r>
      </w:hyperlink>
      <w:r>
        <w:rPr>
          <w:rFonts w:ascii="arial" w:eastAsia="arial" w:hAnsi="arial" w:cs="arial"/>
          <w:color w:val="000000"/>
          <w:sz w:val="20"/>
          <w:lang w:val="en-US" w:eastAsia="en-US" w:bidi="ar-SA"/>
        </w:rPr>
        <w:t xml:space="preserve">, </w:t>
      </w:r>
      <w:hyperlink r:id="rId756" w:history="1">
        <w:r>
          <w:rPr>
            <w:rFonts w:ascii="arial" w:eastAsia="arial" w:hAnsi="arial" w:cs="arial"/>
            <w:i/>
            <w:color w:val="0077CC"/>
            <w:sz w:val="20"/>
            <w:u w:val="single"/>
            <w:shd w:val="clear" w:color="auto" w:fill="FFFFFF"/>
            <w:lang w:val="en-US" w:eastAsia="en-US" w:bidi="ar-SA"/>
          </w:rPr>
          <w:t>60 D.L.R. (4th) 583</w:t>
        </w:r>
      </w:hyperlink>
      <w:r>
        <w:rPr>
          <w:rFonts w:ascii="arial" w:eastAsia="arial" w:hAnsi="arial" w:cs="arial"/>
          <w:color w:val="000000"/>
          <w:sz w:val="20"/>
          <w:lang w:val="en-US" w:eastAsia="en-US" w:bidi="ar-SA"/>
        </w:rPr>
        <w:t xml:space="preserve"> (C.A.). That case also stands for the proposition that although section 285 is not applicable in failure to warn cases, section 286 of the Municipal Act, which requires timely notice in writing of a cause of action against a municipality to be delivered to that municipality, still applies.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Of course, the limitation periods in the Limitation Act apply to the Department of Highways.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Section 3 of the Limitation Act provides a two year limitation period for failure to warn cases sounding in tort involving damage to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836"/>
        <w:gridCol w:w="314"/>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After the expiration of 2 years after the date on which the right to do so arose a person may not bring any of the following actions: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0"/>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subsection 4(k), for damages in respect of injury to person or property, including economic loss arising from the injury, whether based on contract, tort or statutory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Section 6 of the Limitation Act postpones the running of limitation periods in certain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836"/>
        <w:gridCol w:w="314"/>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w:t>
            </w:r>
          </w:p>
        </w:tc>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running of time with respect to the limitation periods set by this Act for any of the following actions is postponed as provided in subsection (4):</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for damage to property;</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Time does not begin to run against a plaintiff with respect to an action referred to in subsection (3) until the identity of the defendant is known to the plaintiff and those facts within the plaintiff's means of knowledge are such that a reasonable person, knowing those facts and having taken the appropriate advice a reasonable person would seek on those facts, would regard those facts as showing that</w:t>
      </w:r>
    </w:p>
    <w:p>
      <w:pPr>
        <w:numPr>
          <w:numId w:val="1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on the cause of action would, apart from the effect of the expiration of a limitation period, have a reasonable prospect of success, and</w:t>
      </w:r>
    </w:p>
    <w:p>
      <w:pPr>
        <w:numPr>
          <w:numId w:val="1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whose means of knowledge is in question ought, in the person's own interests and taking the person's circumstances into account, to be able to bring an action.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burden of proving that the running of time has been postponed under subsections (3) and (4) is on the person claiming the benefit of the postponement.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Section 286 of the Municipal Act states:</w:t>
      </w:r>
      <w:r>
        <w:rPr>
          <w:rFonts w:ascii="arial" w:eastAsia="arial" w:hAnsi="arial" w:cs="arial"/>
          <w:sz w:val="20"/>
          <w:lang w:val="en-US" w:eastAsia="en-US" w:bidi="ar-SA"/>
        </w:rPr>
        <w:cr/>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municipality is in no case liable for damages unless notice in writing, setting out the time, place and manner in which the damage has been sustained, is delivered to the municipality within 2 months from the date on which the damage was sustained.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give the notice or its insufficiency is not a bar to the maintenance of an action if the court before whom it is tried, or, in case of appeal, the Court of Appeal, believes</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reasonable excuse, and</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has not been prejudiced in its defence by the failure or insufficiency.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plaintiffs concede that the limitation period for bringing the present action would have expired before they commenced this action but for the operation of section 6 of the Limitation Act. The plaintiffs argue that the running of the limitation period should be postponed for two reasons: (1) the plaintiffs did not discover the true cause of the settlement, the use of deep fills, until 1995; and (2) the plaintiffs did not have a reasonable prospect of success until the common law concerning the duty to warn changed in 1995 with the judgment of Winnipeg Condominium Corp. v. Bird Construction Ltd., </w:t>
      </w:r>
      <w:hyperlink r:id="rId302" w:history="1">
        <w:r>
          <w:rPr>
            <w:rFonts w:ascii="arial" w:eastAsia="arial" w:hAnsi="arial" w:cs="arial"/>
            <w:i/>
            <w:color w:val="0077CC"/>
            <w:sz w:val="20"/>
            <w:u w:val="single"/>
            <w:shd w:val="clear" w:color="auto" w:fill="FFFFFF"/>
            <w:lang w:val="en-US" w:eastAsia="en-US" w:bidi="ar-SA"/>
          </w:rPr>
          <w:t>[1995] 1 S.C.R. 85</w:t>
        </w:r>
      </w:hyperlink>
      <w:r>
        <w:rPr>
          <w:rFonts w:ascii="arial" w:eastAsia="arial" w:hAnsi="arial" w:cs="arial"/>
          <w:color w:val="000000"/>
          <w:sz w:val="20"/>
          <w:lang w:val="en-US" w:eastAsia="en-US" w:bidi="ar-SA"/>
        </w:rPr>
        <w:t xml:space="preserve">, </w:t>
      </w:r>
      <w:hyperlink r:id="rId302" w:history="1">
        <w:r>
          <w:rPr>
            <w:rFonts w:ascii="arial" w:eastAsia="arial" w:hAnsi="arial" w:cs="arial"/>
            <w:i/>
            <w:color w:val="0077CC"/>
            <w:sz w:val="20"/>
            <w:u w:val="single"/>
            <w:shd w:val="clear" w:color="auto" w:fill="FFFFFF"/>
            <w:lang w:val="en-US" w:eastAsia="en-US" w:bidi="ar-SA"/>
          </w:rPr>
          <w:t>121 D.L.R. (4th) 193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arguing the first branch, the plaintiffs submit that the limitation period does not run from the discovery of the injury but from the discovery of the cause of the injury: 355022 B.C. Ltd. v. CCS Properties Inc. </w:t>
      </w:r>
      <w:hyperlink r:id="rId757" w:history="1">
        <w:r>
          <w:rPr>
            <w:rFonts w:ascii="arial" w:eastAsia="arial" w:hAnsi="arial" w:cs="arial"/>
            <w:i/>
            <w:color w:val="0077CC"/>
            <w:sz w:val="20"/>
            <w:u w:val="single"/>
            <w:shd w:val="clear" w:color="auto" w:fill="FFFFFF"/>
            <w:lang w:val="en-US" w:eastAsia="en-US" w:bidi="ar-SA"/>
          </w:rPr>
          <w:t>(1995), 14 B.C.L.R. (3d) 107</w:t>
        </w:r>
      </w:hyperlink>
      <w:r>
        <w:rPr>
          <w:rFonts w:ascii="arial" w:eastAsia="arial" w:hAnsi="arial" w:cs="arial"/>
          <w:color w:val="000000"/>
          <w:sz w:val="20"/>
          <w:lang w:val="en-US" w:eastAsia="en-US" w:bidi="ar-SA"/>
        </w:rPr>
        <w:t xml:space="preserve">, </w:t>
      </w:r>
      <w:hyperlink r:id="rId757" w:history="1">
        <w:r>
          <w:rPr>
            <w:rFonts w:ascii="arial" w:eastAsia="arial" w:hAnsi="arial" w:cs="arial"/>
            <w:i/>
            <w:color w:val="0077CC"/>
            <w:sz w:val="20"/>
            <w:u w:val="single"/>
            <w:shd w:val="clear" w:color="auto" w:fill="FFFFFF"/>
            <w:lang w:val="en-US" w:eastAsia="en-US" w:bidi="ar-SA"/>
          </w:rPr>
          <w:t>[1996] 2 W.W.R. 622</w:t>
        </w:r>
      </w:hyperlink>
      <w:r>
        <w:rPr>
          <w:rFonts w:ascii="arial" w:eastAsia="arial" w:hAnsi="arial" w:cs="arial"/>
          <w:color w:val="000000"/>
          <w:sz w:val="20"/>
          <w:lang w:val="en-US" w:eastAsia="en-US" w:bidi="ar-SA"/>
        </w:rPr>
        <w:t xml:space="preserve"> (C.A.), at para. 29. The plaintiffs argue that they did not know of the use of deep fills in the Subdivision until after they repurchased the Property from the McKagues and carried out more testing as part of the repairs to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defendants submit that on the evidence the plaintiffs should have been aware of the potential cause of action generally, and the cause of the settlement specifically, in 1979 and 1980 or, in the alternative, by no later than the spring of 1992. They argue that the limitation period began to run from either of those times and therefore expired before the plaintiffs commenced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In arguing the second branch, the plaintiffs rely on the reasons in Edgeworth Construction Ltd. v. Thurber Consultants Ltd. </w:t>
      </w:r>
      <w:hyperlink r:id="rId758" w:history="1">
        <w:r>
          <w:rPr>
            <w:rFonts w:ascii="arial" w:eastAsia="arial" w:hAnsi="arial" w:cs="arial"/>
            <w:i/>
            <w:color w:val="0077CC"/>
            <w:sz w:val="20"/>
            <w:u w:val="single"/>
            <w:shd w:val="clear" w:color="auto" w:fill="FFFFFF"/>
            <w:lang w:val="en-US" w:eastAsia="en-US" w:bidi="ar-SA"/>
          </w:rPr>
          <w:t>(1996), 18 B.C.L.R. (3d) 127</w:t>
        </w:r>
      </w:hyperlink>
      <w:r>
        <w:rPr>
          <w:rFonts w:ascii="arial" w:eastAsia="arial" w:hAnsi="arial" w:cs="arial"/>
          <w:color w:val="000000"/>
          <w:sz w:val="20"/>
          <w:lang w:val="en-US" w:eastAsia="en-US" w:bidi="ar-SA"/>
        </w:rPr>
        <w:t xml:space="preserve">, </w:t>
      </w:r>
      <w:hyperlink r:id="rId758" w:history="1">
        <w:r>
          <w:rPr>
            <w:rFonts w:ascii="arial" w:eastAsia="arial" w:hAnsi="arial" w:cs="arial"/>
            <w:i/>
            <w:color w:val="0077CC"/>
            <w:sz w:val="20"/>
            <w:u w:val="single"/>
            <w:shd w:val="clear" w:color="auto" w:fill="FFFFFF"/>
            <w:lang w:val="en-US" w:eastAsia="en-US" w:bidi="ar-SA"/>
          </w:rPr>
          <w:t>[1996] 5 W.W.R. 730</w:t>
        </w:r>
      </w:hyperlink>
      <w:r>
        <w:rPr>
          <w:rFonts w:ascii="arial" w:eastAsia="arial" w:hAnsi="arial" w:cs="arial"/>
          <w:color w:val="000000"/>
          <w:sz w:val="20"/>
          <w:lang w:val="en-US" w:eastAsia="en-US" w:bidi="ar-SA"/>
        </w:rPr>
        <w:t xml:space="preserve"> (S.C.). In that case, the plaintiff Edgeworth submitted that Winnipeg Condominium changed the law so that the limitation period did not begin to run until it was released. In finding for the plaintiff that the limitation period had been postponed, Errico, J. cited, at para. 28, this passage from the minority judgment of Lambert, J.A. in Perron v. RJR-MacDonald Inc. </w:t>
      </w:r>
      <w:hyperlink r:id="rId759" w:history="1">
        <w:r>
          <w:rPr>
            <w:rFonts w:ascii="arial" w:eastAsia="arial" w:hAnsi="arial" w:cs="arial"/>
            <w:i/>
            <w:color w:val="0077CC"/>
            <w:sz w:val="20"/>
            <w:u w:val="single"/>
            <w:shd w:val="clear" w:color="auto" w:fill="FFFFFF"/>
            <w:lang w:val="en-US" w:eastAsia="en-US" w:bidi="ar-SA"/>
          </w:rPr>
          <w:t>(1990), 43 B.C.L.R. (2d) 178</w:t>
        </w:r>
      </w:hyperlink>
      <w:r>
        <w:rPr>
          <w:rFonts w:ascii="arial" w:eastAsia="arial" w:hAnsi="arial" w:cs="arial"/>
          <w:color w:val="000000"/>
          <w:sz w:val="20"/>
          <w:lang w:val="en-US" w:eastAsia="en-US" w:bidi="ar-SA"/>
        </w:rPr>
        <w:t xml:space="preserve"> at 191, </w:t>
      </w:r>
      <w:hyperlink r:id="rId759" w:history="1">
        <w:r>
          <w:rPr>
            <w:rFonts w:ascii="arial" w:eastAsia="arial" w:hAnsi="arial" w:cs="arial"/>
            <w:i/>
            <w:color w:val="0077CC"/>
            <w:sz w:val="20"/>
            <w:u w:val="single"/>
            <w:shd w:val="clear" w:color="auto" w:fill="FFFFFF"/>
            <w:lang w:val="en-US" w:eastAsia="en-US" w:bidi="ar-SA"/>
          </w:rPr>
          <w:t>66 D.L.R. (4th) 132</w:t>
        </w:r>
      </w:hyperlink>
      <w:r>
        <w:rPr>
          <w:rFonts w:ascii="arial" w:eastAsia="arial" w:hAnsi="arial" w:cs="arial"/>
          <w:color w:val="000000"/>
          <w:sz w:val="20"/>
          <w:lang w:val="en-US" w:eastAsia="en-US" w:bidi="ar-SA"/>
        </w:rPr>
        <w:t xml:space="preserve">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sixth point also relates to the words "a reasonable prospect of success". It is possible for such things as the overruling of a previous decision to change a lawyer's or a layman's perception of whether an action has a reasonable prospect of success. An action may, on undisputed facts, be thought to have no reasonable prospect of success when the cause of action arises. But ten years later it may, for the first time, be considered to have had, when it arose, a reasonable prospect of success. On the basis of the present wording of the postponement provisions, there is, in my opinion, no alternative but to conclude that in those circumstances the limitation period would be postponed throughout the period when the action was reasonably thought to have no reasonable prospect of success, and to start to run only when the action was reasonably thought to have a reasonable prospect of success. Changes in the general knowledge about the significance of relevant facts might have a somewhat similar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Errico, J. noted, at para. 37, that Newbury, J. had expressed concern about Mr. Justice Lambert's reasoning in Edgeworth Construction Ltd. v. N.D. Lea &amp; Associates Ltd. </w:t>
      </w:r>
      <w:hyperlink r:id="rId760" w:history="1">
        <w:r>
          <w:rPr>
            <w:rFonts w:ascii="arial" w:eastAsia="arial" w:hAnsi="arial" w:cs="arial"/>
            <w:i/>
            <w:color w:val="0077CC"/>
            <w:sz w:val="20"/>
            <w:u w:val="single"/>
            <w:shd w:val="clear" w:color="auto" w:fill="FFFFFF"/>
            <w:lang w:val="en-US" w:eastAsia="en-US" w:bidi="ar-SA"/>
          </w:rPr>
          <w:t>(1995), 5 B.C.L.R. (3d) 263</w:t>
        </w:r>
      </w:hyperlink>
      <w:r>
        <w:rPr>
          <w:rFonts w:ascii="arial" w:eastAsia="arial" w:hAnsi="arial" w:cs="arial"/>
          <w:color w:val="000000"/>
          <w:sz w:val="20"/>
          <w:lang w:val="en-US" w:eastAsia="en-US" w:bidi="ar-SA"/>
        </w:rPr>
        <w:t xml:space="preserve">, </w:t>
      </w:r>
      <w:hyperlink r:id="rId760" w:history="1">
        <w:r>
          <w:rPr>
            <w:rFonts w:ascii="arial" w:eastAsia="arial" w:hAnsi="arial" w:cs="arial"/>
            <w:i/>
            <w:color w:val="0077CC"/>
            <w:sz w:val="20"/>
            <w:u w:val="single"/>
            <w:shd w:val="clear" w:color="auto" w:fill="FFFFFF"/>
            <w:lang w:val="en-US" w:eastAsia="en-US" w:bidi="ar-SA"/>
          </w:rPr>
          <w:t>[1995] 6 W.W.R. 343</w:t>
        </w:r>
      </w:hyperlink>
      <w:r>
        <w:rPr>
          <w:rFonts w:ascii="arial" w:eastAsia="arial" w:hAnsi="arial" w:cs="arial"/>
          <w:color w:val="000000"/>
          <w:sz w:val="20"/>
          <w:lang w:val="en-US" w:eastAsia="en-US" w:bidi="ar-SA"/>
        </w:rPr>
        <w:t xml:space="preserve"> (S.C.), where she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confess to finding this suggestion surprising, given the balance sought by the Act between certainty and finality, and fairness to the plaintiffs who notwithstanding reasonable efforts to protect themselves are discouraged from suing by reason of what proves to be only a temporary difficulty in the law. The result envisaged by Lambert J.A. would, subject to the thirty-year "ultimate" limitation, permit the "revival" of causes of action long abandoned, while litigants who in the meantime had pursued their claims unsuccessfully would be unable to take advantage of later changes in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have similar concerns with the present state of the law. Although the reasons of Lambert, J.A. were not mentioned in the majority decision of the Court of Appeal, Newbury, J., as she then was, followed the same. Errico, J. subsequently made a similar determination at para. 39 of his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concluded that a claim as framed as a claim for economic loss incurred in correcting a negligent design so as to arrest the likelihood of future physical harm or property damage would not have a reasonable prospect of success prior to May 30, 1989. There is no evidence that the plaintiff sought or received that advice at that time but as I read section 6(3) of the Limitation Act that is not necessary for the limitation period to be postponed. Accordingly, I conclude that the plaintiff's claim framed in this manner is not barred by section 3 of the Limitation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accordingly feel constrained to follow the reasons of these eminent jurists.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In reply to the plaintiffs' second branch of argument, the defendants submit that "duty to warn" cases have been well established since at least Rivtow Marine Ltd. v. Washington Iron Works, </w:t>
      </w:r>
      <w:hyperlink r:id="rId761" w:history="1">
        <w:r>
          <w:rPr>
            <w:rFonts w:ascii="arial" w:eastAsia="arial" w:hAnsi="arial" w:cs="arial"/>
            <w:i/>
            <w:color w:val="0077CC"/>
            <w:sz w:val="20"/>
            <w:u w:val="single"/>
            <w:shd w:val="clear" w:color="auto" w:fill="FFFFFF"/>
            <w:lang w:val="en-US" w:eastAsia="en-US" w:bidi="ar-SA"/>
          </w:rPr>
          <w:t>[1974] S.C.R. 1189</w:t>
        </w:r>
      </w:hyperlink>
      <w:r>
        <w:rPr>
          <w:rFonts w:ascii="arial" w:eastAsia="arial" w:hAnsi="arial" w:cs="arial"/>
          <w:color w:val="000000"/>
          <w:sz w:val="20"/>
          <w:lang w:val="en-US" w:eastAsia="en-US" w:bidi="ar-SA"/>
        </w:rPr>
        <w:t xml:space="preserve">, </w:t>
      </w:r>
      <w:hyperlink r:id="rId761" w:history="1">
        <w:r>
          <w:rPr>
            <w:rFonts w:ascii="arial" w:eastAsia="arial" w:hAnsi="arial" w:cs="arial"/>
            <w:i/>
            <w:color w:val="0077CC"/>
            <w:sz w:val="20"/>
            <w:u w:val="single"/>
            <w:shd w:val="clear" w:color="auto" w:fill="FFFFFF"/>
            <w:lang w:val="en-US" w:eastAsia="en-US" w:bidi="ar-SA"/>
          </w:rPr>
          <w:t>40 D.L.R. (3d) 530</w:t>
        </w:r>
      </w:hyperlink>
      <w:r>
        <w:rPr>
          <w:rFonts w:ascii="arial" w:eastAsia="arial" w:hAnsi="arial" w:cs="arial"/>
          <w:color w:val="000000"/>
          <w:sz w:val="20"/>
          <w:lang w:val="en-US" w:eastAsia="en-US" w:bidi="ar-SA"/>
        </w:rPr>
        <w:t xml:space="preserve">. The defendants also note that there have been a great number of cases involving allegations of the failure of municipal authorities or vendors to warn unsuspecting purchasers of real property hazards: e.g., District of Surrey v. Church et al </w:t>
      </w:r>
      <w:hyperlink r:id="rId762" w:history="1">
        <w:r>
          <w:rPr>
            <w:rFonts w:ascii="arial" w:eastAsia="arial" w:hAnsi="arial" w:cs="arial"/>
            <w:i/>
            <w:color w:val="0077CC"/>
            <w:sz w:val="20"/>
            <w:u w:val="single"/>
            <w:shd w:val="clear" w:color="auto" w:fill="FFFFFF"/>
            <w:lang w:val="en-US" w:eastAsia="en-US" w:bidi="ar-SA"/>
          </w:rPr>
          <w:t>(1977), 76 D.L.R (3d) 721</w:t>
        </w:r>
      </w:hyperlink>
      <w:r>
        <w:rPr>
          <w:rFonts w:ascii="arial" w:eastAsia="arial" w:hAnsi="arial" w:cs="arial"/>
          <w:color w:val="000000"/>
          <w:sz w:val="20"/>
          <w:lang w:val="en-US" w:eastAsia="en-US" w:bidi="ar-SA"/>
        </w:rPr>
        <w:t xml:space="preserve"> (B.C.S.C.), aff'd </w:t>
      </w:r>
      <w:hyperlink r:id="rId763" w:history="1">
        <w:r>
          <w:rPr>
            <w:rFonts w:ascii="arial" w:eastAsia="arial" w:hAnsi="arial" w:cs="arial"/>
            <w:i/>
            <w:color w:val="0077CC"/>
            <w:sz w:val="20"/>
            <w:u w:val="single"/>
            <w:shd w:val="clear" w:color="auto" w:fill="FFFFFF"/>
            <w:lang w:val="en-US" w:eastAsia="en-US" w:bidi="ar-SA"/>
          </w:rPr>
          <w:t>[1979] 6 W.W.R. 289</w:t>
        </w:r>
      </w:hyperlink>
      <w:r>
        <w:rPr>
          <w:rFonts w:ascii="arial" w:eastAsia="arial" w:hAnsi="arial" w:cs="arial"/>
          <w:color w:val="000000"/>
          <w:sz w:val="20"/>
          <w:lang w:val="en-US" w:eastAsia="en-US" w:bidi="ar-SA"/>
        </w:rPr>
        <w:t xml:space="preserve"> (B.C.C.A.); and Grewal v. District of Saanich </w:t>
      </w:r>
      <w:hyperlink r:id="rId764" w:history="1">
        <w:r>
          <w:rPr>
            <w:rFonts w:ascii="arial" w:eastAsia="arial" w:hAnsi="arial" w:cs="arial"/>
            <w:i/>
            <w:color w:val="0077CC"/>
            <w:sz w:val="20"/>
            <w:u w:val="single"/>
            <w:shd w:val="clear" w:color="auto" w:fill="FFFFFF"/>
            <w:lang w:val="en-US" w:eastAsia="en-US" w:bidi="ar-SA"/>
          </w:rPr>
          <w:t>(1986), 43 R.P.R. 207</w:t>
        </w:r>
      </w:hyperlink>
      <w:r>
        <w:rPr>
          <w:rFonts w:ascii="arial" w:eastAsia="arial" w:hAnsi="arial" w:cs="arial"/>
          <w:color w:val="000000"/>
          <w:sz w:val="20"/>
          <w:lang w:val="en-US" w:eastAsia="en-US" w:bidi="ar-SA"/>
        </w:rPr>
        <w:t xml:space="preserve"> (B.C.S.C.), rev'd on other grounds </w:t>
      </w:r>
      <w:hyperlink r:id="rId756" w:history="1">
        <w:r>
          <w:rPr>
            <w:rFonts w:ascii="arial" w:eastAsia="arial" w:hAnsi="arial" w:cs="arial"/>
            <w:i/>
            <w:color w:val="0077CC"/>
            <w:sz w:val="20"/>
            <w:u w:val="single"/>
            <w:shd w:val="clear" w:color="auto" w:fill="FFFFFF"/>
            <w:lang w:val="en-US" w:eastAsia="en-US" w:bidi="ar-SA"/>
          </w:rPr>
          <w:t>(1989), 38 B.C.L.R. (2d) 250</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In the alternative, the defendants submit that Winnipeg Condominium was not concerned with a duty to warn or recovery of costs to repair actual physical damage to a building. Instead, the defendants argue that it was only concerned with the recovery of damages flowing from a dangerously defective good where there has been no actual physical harm. The defendants note that an argument which they say is similar to the plaintiffs' argument in this case was rejected in Strata Plan No. VR 1720 v. Bart Developments Ltd. </w:t>
      </w:r>
      <w:hyperlink r:id="rId765" w:history="1">
        <w:r>
          <w:rPr>
            <w:rFonts w:ascii="arial" w:eastAsia="arial" w:hAnsi="arial" w:cs="arial"/>
            <w:i/>
            <w:color w:val="0077CC"/>
            <w:sz w:val="20"/>
            <w:u w:val="single"/>
            <w:shd w:val="clear" w:color="auto" w:fill="FFFFFF"/>
            <w:lang w:val="en-US" w:eastAsia="en-US" w:bidi="ar-SA"/>
          </w:rPr>
          <w:t>(1998), 53 B.C.L.R. (3d) 289</w:t>
        </w:r>
      </w:hyperlink>
      <w:r>
        <w:rPr>
          <w:rFonts w:ascii="arial" w:eastAsia="arial" w:hAnsi="arial" w:cs="arial"/>
          <w:color w:val="000000"/>
          <w:sz w:val="20"/>
          <w:lang w:val="en-US" w:eastAsia="en-US" w:bidi="ar-SA"/>
        </w:rPr>
        <w:t xml:space="preserve"> at 301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Furthermore, the defendants submit that the plaintiffs were aware that neighbours with homes built on fill in the same Subdivision commenced actions against the Regional District for failure to warn as early as 1982, so that the plaintiffs' contention that they had no reasonable prospect of success until Winnipeg Condominium is untenable.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As for the operation of section 286 of the Municipal Act in relation to the Days' cause of action against the Regional District, the plaintiffs Day submit that relief should be granted on the same basis as the postponement of the running of the limitation period under the Limitation Act. In making this submission, the plaintiffs rely on Petrie v. Groome </w:t>
      </w:r>
      <w:hyperlink r:id="rId766" w:history="1">
        <w:r>
          <w:rPr>
            <w:rFonts w:ascii="arial" w:eastAsia="arial" w:hAnsi="arial" w:cs="arial"/>
            <w:i/>
            <w:color w:val="0077CC"/>
            <w:sz w:val="20"/>
            <w:u w:val="single"/>
            <w:shd w:val="clear" w:color="auto" w:fill="FFFFFF"/>
            <w:lang w:val="en-US" w:eastAsia="en-US" w:bidi="ar-SA"/>
          </w:rPr>
          <w:t>(1991), 4 M.P.L.R. (2d) 182</w:t>
        </w:r>
      </w:hyperlink>
      <w:r>
        <w:rPr>
          <w:rFonts w:ascii="arial" w:eastAsia="arial" w:hAnsi="arial" w:cs="arial"/>
          <w:color w:val="000000"/>
          <w:sz w:val="20"/>
          <w:lang w:val="en-US" w:eastAsia="en-US" w:bidi="ar-SA"/>
        </w:rPr>
        <w:t xml:space="preserve">, </w:t>
      </w:r>
      <w:hyperlink r:id="rId766" w:history="1">
        <w:r>
          <w:rPr>
            <w:rFonts w:ascii="arial" w:eastAsia="arial" w:hAnsi="arial" w:cs="arial"/>
            <w:i/>
            <w:color w:val="0077CC"/>
            <w:sz w:val="20"/>
            <w:u w:val="single"/>
            <w:shd w:val="clear" w:color="auto" w:fill="FFFFFF"/>
            <w:lang w:val="en-US" w:eastAsia="en-US" w:bidi="ar-SA"/>
          </w:rPr>
          <w:t>45 C.L.R. 132</w:t>
        </w:r>
      </w:hyperlink>
      <w:r>
        <w:rPr>
          <w:rFonts w:ascii="arial" w:eastAsia="arial" w:hAnsi="arial" w:cs="arial"/>
          <w:color w:val="000000"/>
          <w:sz w:val="20"/>
          <w:lang w:val="en-US" w:eastAsia="en-US" w:bidi="ar-SA"/>
        </w:rPr>
        <w:t xml:space="preserve"> (B.C.S.C.), Myriad Projects Ltd. v. Vernon (City) </w:t>
      </w:r>
      <w:hyperlink r:id="rId767" w:history="1">
        <w:r>
          <w:rPr>
            <w:rFonts w:ascii="arial" w:eastAsia="arial" w:hAnsi="arial" w:cs="arial"/>
            <w:i/>
            <w:color w:val="0077CC"/>
            <w:sz w:val="20"/>
            <w:u w:val="single"/>
            <w:shd w:val="clear" w:color="auto" w:fill="FFFFFF"/>
            <w:lang w:val="en-US" w:eastAsia="en-US" w:bidi="ar-SA"/>
          </w:rPr>
          <w:t>(1994), 99 B.C.L.R. (2d) 278</w:t>
        </w:r>
      </w:hyperlink>
      <w:r>
        <w:rPr>
          <w:rFonts w:ascii="arial" w:eastAsia="arial" w:hAnsi="arial" w:cs="arial"/>
          <w:color w:val="000000"/>
          <w:sz w:val="20"/>
          <w:lang w:val="en-US" w:eastAsia="en-US" w:bidi="ar-SA"/>
        </w:rPr>
        <w:t xml:space="preserve">, </w:t>
      </w:r>
      <w:hyperlink r:id="rId767" w:history="1">
        <w:r>
          <w:rPr>
            <w:rFonts w:ascii="arial" w:eastAsia="arial" w:hAnsi="arial" w:cs="arial"/>
            <w:i/>
            <w:color w:val="0077CC"/>
            <w:sz w:val="20"/>
            <w:u w:val="single"/>
            <w:shd w:val="clear" w:color="auto" w:fill="FFFFFF"/>
            <w:lang w:val="en-US" w:eastAsia="en-US" w:bidi="ar-SA"/>
          </w:rPr>
          <w:t>24 M.P.L.R. (2d) 132</w:t>
        </w:r>
      </w:hyperlink>
      <w:r>
        <w:rPr>
          <w:rFonts w:ascii="arial" w:eastAsia="arial" w:hAnsi="arial" w:cs="arial"/>
          <w:color w:val="000000"/>
          <w:sz w:val="20"/>
          <w:lang w:val="en-US" w:eastAsia="en-US" w:bidi="ar-SA"/>
        </w:rPr>
        <w:t xml:space="preserve"> (C.A.), and the Court of Appeal's decision in Grewal v. District of Saanich </w:t>
      </w:r>
      <w:hyperlink r:id="rId756" w:history="1">
        <w:r>
          <w:rPr>
            <w:rFonts w:ascii="arial" w:eastAsia="arial" w:hAnsi="arial" w:cs="arial"/>
            <w:i/>
            <w:color w:val="0077CC"/>
            <w:sz w:val="20"/>
            <w:u w:val="single"/>
            <w:shd w:val="clear" w:color="auto" w:fill="FFFFFF"/>
            <w:lang w:val="en-US" w:eastAsia="en-US" w:bidi="ar-SA"/>
          </w:rPr>
          <w:t>(1989), 38 B.C.L.R. (2d) 250</w:t>
        </w:r>
      </w:hyperlink>
      <w:r>
        <w:rPr>
          <w:rFonts w:ascii="arial" w:eastAsia="arial" w:hAnsi="arial" w:cs="arial"/>
          <w:color w:val="000000"/>
          <w:sz w:val="20"/>
          <w:lang w:val="en-US" w:eastAsia="en-US" w:bidi="ar-SA"/>
        </w:rPr>
        <w:t xml:space="preserve">, </w:t>
      </w:r>
      <w:hyperlink r:id="rId756" w:history="1">
        <w:r>
          <w:rPr>
            <w:rFonts w:ascii="arial" w:eastAsia="arial" w:hAnsi="arial" w:cs="arial"/>
            <w:i/>
            <w:color w:val="0077CC"/>
            <w:sz w:val="20"/>
            <w:u w:val="single"/>
            <w:shd w:val="clear" w:color="auto" w:fill="FFFFFF"/>
            <w:lang w:val="en-US" w:eastAsia="en-US" w:bidi="ar-SA"/>
          </w:rPr>
          <w:t>60 D.L.R. (4th) 583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Petrie and Myriad Projects Ltd. rely on the reasoning in Grewal in assessing section 755, the predecessor to section 286. In Grewal, the court said the following concerning the operation of section 755 (at page 256):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first thing to be noticed about s. 755 is that it does not limit the time within which an action is to be brought. But the section has the same draconian effect as a limitation period because it bars recovery if notice has not been given, and if the saving provisions based upon reasonable excuse and no prejudice are not met.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Secondly, s. 755 is not confined to giving notice that damage has been sustained but also the notice must provide information of: "the time, place and manner in which the damage is sustained".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object of the section, like the provisions contained in s. 23(2) of the Insurance (Motor Vehicle) Act, is to provide an early opportunity for the municipality to examine the place where the damage has occurred, to interview witnesses, and to consider whether to settle or contest the matter.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order for the section to fulfill its purpose a claimant must be in a position to know what and who has probably caused or contributed to the damage which has been sustained.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duty to give notice to the municipality of a possible claim does not arise merely from the discovery of the damage. The complainant must be able to give particulars of the time, place, and manner of the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Furthermore, the complainant must be in a position to know that the municipality has committed some act or has omitted to do something which may make it liable, in whole or in part, for the damage sustained by the complainant before the duty to give notice can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response to the plaintiffs' arguments concerning section 286, the Regional District submits that the plaintiffs ought to have been aware of the potential cause of action for failure to warn in 1979 and 1980, or, alternatively, in the spring of 1992, or, in the further alternative, upon the plaintiffs' repurchase of the house in 1994. Therefore, the Regional District submits that the two month notice period under section 286 was not observed by the plaintiffs.</w:t>
      </w:r>
      <w:r>
        <w:rPr>
          <w:rFonts w:ascii="arial" w:eastAsia="arial" w:hAnsi="arial" w:cs="arial"/>
          <w:sz w:val="20"/>
          <w:lang w:val="en-US" w:eastAsia="en-US" w:bidi="ar-SA"/>
        </w:rPr>
        <w:cr/>
      </w:r>
    </w:p>
    <w:p>
      <w:pPr>
        <w:numPr>
          <w:numId w:val="18"/>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Warn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plaintiffs abandoned their claim for negligent inspection. Their claim for failure to warn is all that remains.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Causes of action for failure to warn have existed at common law for some time. In fact, the decision of the Supreme Court of Canada in Rivtow Marine Ltd., supra, was a failure to warn case. In that decision, Ritchie, J. reviewed the history of the duty to warn. I need not repeat that review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However, I note the two questions that must be asked in order to establish whether or not a private law duty of care exists as set out in Anns v. Merton London Borough Council, [1978] A.C. 728, [1977] 2 All E.R. 492, and adopted by the Supreme Court of Canada in Kamloops (City) v. Nielsen, </w:t>
      </w:r>
      <w:hyperlink r:id="rId11" w:history="1">
        <w:r>
          <w:rPr>
            <w:rFonts w:ascii="arial" w:eastAsia="arial" w:hAnsi="arial" w:cs="arial"/>
            <w:i/>
            <w:color w:val="0077CC"/>
            <w:sz w:val="20"/>
            <w:u w:val="single"/>
            <w:shd w:val="clear" w:color="auto" w:fill="FFFFFF"/>
            <w:lang w:val="en-US" w:eastAsia="en-US" w:bidi="ar-SA"/>
          </w:rPr>
          <w:t>[1984] 2 S.C.R. 2</w:t>
        </w:r>
      </w:hyperlink>
      <w:r>
        <w:rPr>
          <w:rFonts w:ascii="arial" w:eastAsia="arial" w:hAnsi="arial" w:cs="arial"/>
          <w:color w:val="000000"/>
          <w:sz w:val="20"/>
          <w:lang w:val="en-US" w:eastAsia="en-US" w:bidi="ar-SA"/>
        </w:rPr>
        <w:t xml:space="preserve">, </w:t>
      </w:r>
      <w:hyperlink r:id="rId11" w:history="1">
        <w:r>
          <w:rPr>
            <w:rFonts w:ascii="arial" w:eastAsia="arial" w:hAnsi="arial" w:cs="arial"/>
            <w:i/>
            <w:color w:val="0077CC"/>
            <w:sz w:val="20"/>
            <w:u w:val="single"/>
            <w:shd w:val="clear" w:color="auto" w:fill="FFFFFF"/>
            <w:lang w:val="en-US" w:eastAsia="en-US" w:bidi="ar-SA"/>
          </w:rPr>
          <w:t>10 D.L.R. (4th) 641</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2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a sufficiently close relationship between the parties (the local authority and the person who has suffered the damage) so that, in the reasonable contemplation of the authority, carelessness on its part might cause damage to that person? If so,</w:t>
      </w:r>
    </w:p>
    <w:p>
      <w:pPr>
        <w:numPr>
          <w:numId w:val="2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there any considerations which ought to negative or limit (a) the scope of the duty and (b) the class of persons to whom it is owed or (c) the damages to which a breach of it may give 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It is important to note that, although courts often gloss over them in their reasoning in failure to warn cases, all of the elements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must be present in order for a plaintiff to make out a claim for failure to warn.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 adopt the elements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enumerated by Allen M. Linden in Canadian Tort Law, 6th ed. (Vancouver: Butterworths, 1997), at page 99:</w:t>
      </w:r>
      <w:r>
        <w:rPr>
          <w:rFonts w:ascii="arial" w:eastAsia="arial" w:hAnsi="arial" w:cs="arial"/>
          <w:sz w:val="20"/>
          <w:lang w:val="en-US" w:eastAsia="en-US" w:bidi="ar-SA"/>
        </w:rPr>
        <w:cr/>
      </w:r>
    </w:p>
    <w:p>
      <w:pPr>
        <w:numPr>
          <w:numId w:val="2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claimant must suffer some damage;</w:t>
      </w:r>
    </w:p>
    <w:p>
      <w:pPr>
        <w:numPr>
          <w:numId w:val="2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damage suffered must be caused by the conduct of the defendant;</w:t>
      </w:r>
    </w:p>
    <w:p>
      <w:pPr>
        <w:numPr>
          <w:numId w:val="2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conduct must be negligent, that is, in breach of the standard of care set by the law;</w:t>
      </w:r>
    </w:p>
    <w:p>
      <w:pPr>
        <w:numPr>
          <w:numId w:val="2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a duty recognized by the law to avoid this damage;</w:t>
      </w:r>
    </w:p>
    <w:p>
      <w:pPr>
        <w:numPr>
          <w:numId w:val="2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conduct of the defendant must be a proximate cause of the loss or, stated in another way, the damage should not be too remote a result of the defendant's conduct; and</w:t>
      </w:r>
    </w:p>
    <w:p>
      <w:pPr>
        <w:numPr>
          <w:numId w:val="2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conduct of the plaintiff should not be such as to bar recovery, that is the plaintiff must not be guilty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must not voluntarily assume the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reply to the plaintiffs' cause of action for failure to warn, the defendants submit that the duty to warn only extends to unsuspecting purchasers and submit that the plaintiffs Day were not unsuspecting purchasers because when they repurchased the house in 1994 they knew or ought to have known that the house was built on uncompacted fill.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In support, the defendants rely on the decision of Burnyeat, J. in 444601 B.C. Ltd. v. Ashcroft (Village), </w:t>
      </w:r>
      <w:hyperlink r:id="rId768" w:history="1">
        <w:r>
          <w:rPr>
            <w:rFonts w:ascii="arial" w:eastAsia="arial" w:hAnsi="arial" w:cs="arial"/>
            <w:i/>
            <w:color w:val="0077CC"/>
            <w:sz w:val="20"/>
            <w:u w:val="single"/>
            <w:shd w:val="clear" w:color="auto" w:fill="FFFFFF"/>
            <w:lang w:val="en-US" w:eastAsia="en-US" w:bidi="ar-SA"/>
          </w:rPr>
          <w:t>[1998] B.C.J. No. 1964</w:t>
        </w:r>
      </w:hyperlink>
      <w:r>
        <w:rPr>
          <w:rFonts w:ascii="arial" w:eastAsia="arial" w:hAnsi="arial" w:cs="arial"/>
          <w:color w:val="000000"/>
          <w:sz w:val="20"/>
          <w:lang w:val="en-US" w:eastAsia="en-US" w:bidi="ar-SA"/>
        </w:rPr>
        <w:t xml:space="preserve">, (18 August 1998), Kelowna 25036 (B.C.S.C.). In that decision, the plaintiffs sued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among other causes of action, alleging that the defendant failed to properly carry out inspections of a building that was purchased by the plaintiff. Burnyeat, J. held that there were factors that negated the existence of a duty of care owing to the plaintiff from the defendant and dismissed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Among the factors cited by Burnyeat, J. were: the plaintiff's knowledge that the building had suffered extensive damage and was in an obvious state of disrepair; and the building had a replacement value of $748,000.00 and an assessed value of $171,500.00 but the price paid by the plaintiff for the land and building was only $75,000.00.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the alternative, the defendants, the Department of Highways and Regional District, submit that, in light of the knowledge of the plaintiffs Day of the presence of uncompacted fill when they repurchased the house in 1994, there can be no causal connection between any failure on the part of the defendants to warn the plaintiffs of the fill and any damages incurred by the plaintiffs as a result of the existence of the fill.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In support of this alternative submission, the defendants cite Harris v. Hartwell, </w:t>
      </w:r>
      <w:hyperlink r:id="rId769" w:history="1">
        <w:r>
          <w:rPr>
            <w:rFonts w:ascii="arial" w:eastAsia="arial" w:hAnsi="arial" w:cs="arial"/>
            <w:i/>
            <w:color w:val="0077CC"/>
            <w:sz w:val="20"/>
            <w:u w:val="single"/>
            <w:shd w:val="clear" w:color="auto" w:fill="FFFFFF"/>
            <w:lang w:val="en-US" w:eastAsia="en-US" w:bidi="ar-SA"/>
          </w:rPr>
          <w:t>[1992] B.C.J. No. 2194</w:t>
        </w:r>
      </w:hyperlink>
      <w:r>
        <w:rPr>
          <w:rFonts w:ascii="arial" w:eastAsia="arial" w:hAnsi="arial" w:cs="arial"/>
          <w:color w:val="000000"/>
          <w:sz w:val="20"/>
          <w:lang w:val="en-US" w:eastAsia="en-US" w:bidi="ar-SA"/>
        </w:rPr>
        <w:t>, (15 October 1992), Prince George 21063 (B.C.S.C.). In that case, the plaintiffs brought an action against a regional district for failing to warn the plaintiffs that they proposed to build a house in a flood area. In dismissing the action for failure to warn, Meiklem, J. held that there was no causal connection between the plaintiffs' loss and the defendant's failure to warn because the plaintiffs knew or ought to have known that they were building in a flood area (at page 3).</w:t>
      </w:r>
      <w:r>
        <w:rPr>
          <w:rFonts w:ascii="arial" w:eastAsia="arial" w:hAnsi="arial" w:cs="arial"/>
          <w:sz w:val="20"/>
          <w:lang w:val="en-US" w:eastAsia="en-US" w:bidi="ar-SA"/>
        </w:rPr>
        <w:cr/>
      </w:r>
    </w:p>
    <w:p>
      <w:pPr>
        <w:numPr>
          <w:numId w:val="2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ANALYSIS</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As mentioned above, the two year limitation period under subsection 3(2)(a) of the Limitation Act applies to the action against both of the defendants. The plaintiffs started this action on July 26, 1995. The plaintiffs concede that the limitation period would have expired by that time unless the running of the limitation period was postponed by section 6.</w:t>
      </w:r>
      <w:r>
        <w:rPr>
          <w:rFonts w:ascii="arial" w:eastAsia="arial" w:hAnsi="arial" w:cs="arial"/>
          <w:sz w:val="20"/>
          <w:lang w:val="en-US" w:eastAsia="en-US" w:bidi="ar-SA"/>
        </w:rPr>
        <w:cr/>
      </w:r>
    </w:p>
    <w:p>
      <w:pPr>
        <w:numPr>
          <w:numId w:val="2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Discovery of the True Cause of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First, the plaintiffs argue that the running of the limitation period is postponed because they did not discover the true cause of the settling of the house until 1995. After a review of the evidence, I cannot agree. In my view, the defendants knew or ought to have known enough about the true cause of the settling of the house by 1992. A review of the evidence shows: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defendants submit that the plaintiffs should have been aware of the cause of the settlement of the house in 1979 and 1980 by virtue of the engineer's reports prepared in conjunction with the first set of repairs made to the house. I do not agree with this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first report prepared, the Westside Report, recognizes that the house was built on silt and clay, but stresses the introduction of water into the soil, resulting from a leak in a water main, as the reason for the settlement and the consequent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second report, the Interior Report, recognizes the existence of some fill up to a depth of 5.5 feet, which was the maximum depth of the test holes. The defendants appear to argue that this should have been enough to put the plaintiffs on notice of the existence of the deeper fills so that the limitation period should have begun to run. In my view, that is not sufficient in this case, especially in light of the fact that the Interior Report also finds that the introduction of water into the soil was the main reason for the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Golder Report is based on deeper boreholes, 21.5 feet to 23.5 feet, than the Interior Report. It recognizes the existence of loose fill deposits and loose natural deposits under the Property. However, like the Westside and Interior Reports, the Golder Report ultimately finds that the main cause of the settlement is the saturation of these fills, not the existence of the fills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Similarly, the Stanley Report recommends limiting the introduction of water onto the site in order to prevent further settlement of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Although the reports prepared in 1979 and 1980 acknowledge the presence of fills on the Property, they all stress the introduction of water into the soil as the main reason for the settlement of the house. In my view, it would be too harsh to find that the plaintiffs ought to have known or suspected that the existence of fills was the actual reason for the settlement of the house. Such a finding would, in my opinion, be based on hindsight, and not on the evidence that was available to the plaintiffs at the time. Accordingly, I do not find that the plaintiffs knew or ought to have known the true cause of the settlement in 1979 and 1980. Therefore, I do not find that the limitation period began to run from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the alternative, the defendants submit that the plaintiffs knew or ought to have known the true cause of the settlement in 1992. On the whole of the evidence before me, I agree with this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Like the reports reviewed above, the Second Interior Report, dated October 5, 1988, recognizes the existence of fills in the Property. In fact, it goes so far as to recognize the existence of "deep loose FILLS". However, like the previous reports, the Second Interior Report ultimately blames water infiltration for the settlement of the house experienced after the original repairs.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However, during the course of the correspondence between the plaintiffs Day and their lawyer, Mr. Watts, and Mr. Watts and the lawyer for the McKagues, Mr. Hardwick, and other enquiries, discussions, and documents, it is evident that the plaintiffs and Mr. Watts became aware, or ought to have, that the true cause of the settlement of the house could be the existence of deep fills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early 1991, Mr. Day met with the author of the Golder Report and admitted that he may have understood after that meeting that the house's original footings could have still been supported by fill. Mr. Day wrote to Mr. Watts concerning this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his reply, Mr. Watts recognized that "the problems with the house may be much more substantial than we had previously understood". On the basis of that recognition, the engineers responsible for the earlier repairs were issued a Third Party Notice in the McKague action, but as stated earlier no such Notice was issued against the Department of Highways or the Regional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a letter dated March 13, 1991 sent to Mr. Watts, Mrs. Day acknowledged her understanding that it was Mr. Hardwick's belief that the basement and the garage of the house were built on loose fill soils.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late 1991, the plaintiffs Day and Mr. Watts received a copy of the M.S.S. Report, dated December 11, 1991, which unequivocally concludes that "the house was constructed on loose fill deposits and loose natural deposits ...", and recommends that the loose fills under the basement be replaced with compact bulk fill.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On the basis of the M.S.S. Report, Mr. Watts' partner, Mr. Merkley, wrote to Mr. Hardwick, as already mentioned, on December 24, 1991. In that letter, Mr. Merkley explicitly recognized that the house was built on loose fill. As a result, Mr. Merkley queried Mr. Hardwick as to the liability of the Regional District which for convenience of reference, I repeat: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assumption that this is the engineering evidence on which the Plaintiffs [the McKagues] rely to establish their claim, we see no basis upon which this claim can be maintained against our clients. Firstly, MSS Engineering concludes that the house was constructed on loose fill. If that is actionable, then our clients are not "to blame" for the approval of the construction base. That would fall upon the building contractor and the Municipal Inspectors. In that regard, we would suggest that those entities be joined to this lawsuit.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water infiltration problems are the continuing cause of the alleged settlement then, again, those problems arise from the failure of proper engineering to have been carried out at the time the infiltration was detected. This was addressed by the work done by the Third Parties.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plaintiffs Day received a copy of Mr. Merkley's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late 1991, Mrs. Day acquired a copy of the prospectus, which states that Lot 26 is constructed on loose fills. In early 1992, Mr. Day's meeting with Mr. Williams, the author of the Second Interior Report, revealed the fact that all of the Subdivision was built on loose fills. The plaintiffs relayed this information to Mr. Watts by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Early in 1992, the plaintiffs began investigating Mr. Pratt's case against the Regional District, forwarding the results of their research to Mr. Watts. On March 23, 1992 in a letter replying to the plaintiffs, Mr. Watts stated (supra, page 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note that the file has taken a new twist in the sense that a major part of the problem may in fact have resulted from the fact that the house was originally constructed on unstable material, which may be a significant cause of the present difficulties. This leaves an important question as to whether the repairs that were carried out to the house have contributed to or perhaps have minimized the present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Then Mr. Watts wrote to Mr. Hardwick on May 4, 1992. The plaintiffs received a copy of this letter. That letter states, in part (supra, page 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I visited the subject property I noted that other residences in the same neighbourhood have also experienced problems with soil movement or soil settlement. Have you considered whether the authorities who approved the original subdivision of this property for residential building purposes may have some liability in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 find that by this point in time the plaintiffs knew or ought to have known that they could bring an action against the defendants for failure to warn of the existence of deep loose fill on the Property. By May 4, 1992, it is clear that the plaintiffs and Mr. Watts had received several indications that the existence of deep fill may have been the cause of the settlement of the house, including the various engineer's reports, the prospectus, the information received from meetings with the authors of the engineer's reports, and the knowledge of other lawsuits by homeowners in the Subdivision. In addition, the correspondence preceding that date reveals that the plaintiffs or their counsel, Mr. Watts and Mr. Merkley, may have or had in fact realized that the "authorities who approved the original subdivision" may be liable. For example, see Mrs. Day's letter of March 13, 1991, Mr. Merkley's letter to Mr. Hardwick of December 24, 1991, and Mr. Watts' letters to the plaintiffs and Mr. Hardwick on March 23, 1992 and May 4, 1992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While this correspondence does not reveal perfect knowledge of the existence of a cause of action against the defendants, perfect knowledge is not what is required. Instead, what is required is knowledge that is sufficient to put a plaintiff on notice that it ought to commence an action against a defendant. The plaintiff can then acquire more evidence pointing to the liability of the defendant during the discovery process in contemplation of a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 recognize that the Brawner Report, released on September 16, 1992, concludes that the existence of fills on the Property did not influence the performance of the original foundations of the house and that the introduction of water was the cause of the settlement. However, I note that the Brawner Report is based on a review of the previous engineer's reports and an inspection of the house and Property on August 27, 1992. No test holes were made in order to further test the soil beneath the house. Under these circumstances, in light of the previous recognition that the existence of fills may have been the cause of the settlement of the house, it would not be reasonable for the plaintiffs to rely on the Brawner Report. Therefore, despite the existence of the Brawner Report, I find that the plaintiffs knew or ought to have known of the actual cause of the settlement of the home by, at the very latest, May 4,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If May 4, 1992 is the appropriate date from which the postponed limitation period should run, it is clear that the two year limitation period would have expired long before the commencement of this action on July 26,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However, in my view the limitation period could not have begun to run on May 4, 1992 despite the fact that the plaintiffs had the requisite knowledge of the actual cause of the settlement of the house, the existence of deep fill on the Property. Although not argued by the plaintiffs in this action, my reading of the Limitation Act reveals that the limitation period in the present action could not have begun to run until the plaintiffs repurchased the house in 1994.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 reproduce in part section 6 of the Limitation Act, which governs postponement (supra, page 19):</w:t>
      </w:r>
      <w:r>
        <w:rPr>
          <w:rFonts w:ascii="arial" w:eastAsia="arial" w:hAnsi="arial" w:cs="arial"/>
          <w:sz w:val="20"/>
          <w:lang w:val="en-US" w:eastAsia="en-US" w:bidi="ar-SA"/>
        </w:rPr>
        <w:cr/>
      </w:r>
    </w:p>
    <w:p>
      <w:pPr>
        <w:numPr>
          <w:numId w:val="2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Time does not begin to run against a plaintiff with respect to an action referred to in subsection (3) until the identity of the defendant is known to the plaintiff and those facts within the plaintiff's means of knowledge are such that a reasonable person, knowing those facts and having taken the appropriate advice a reasonable person would seek on those facts, would regard those facts as showing that</w:t>
      </w:r>
    </w:p>
    <w:p>
      <w:pPr>
        <w:numPr>
          <w:numId w:val="2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on the cause of action would, apart from the effect of the expiration of a limitation period, have a reasonable prospect of success, and</w:t>
      </w:r>
    </w:p>
    <w:p>
      <w:pPr>
        <w:numPr>
          <w:numId w:val="27"/>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whose means of knowledge is in question ought, in the person's own interests and taking the person's circumstances into account, to be able to bring 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Before the plaintiffs repurchased the house, they could not have had a reasonable prospect of success in an action against the defendants because they obviously could not have demonstrated that they had suffered any loss as a result of the defendants' alleged failure to warn of the existence of fill on the Property. Therefore, it was not until the plaintiffs repurchased the house from the McKagues in 1994 that the two year limitation period would begin to run, and, having commenced this action on July 26, 1995, the plaintiffs were within that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It may be argued that the limitation period should begin to run from 1992 because at that time the plaintiffs were involved, as defendants, in the McKague action and could have initiated third party proceedings against the defendants in the present cause of action. However, that is not my reading of the Limitation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my view, section 4 of the Limitation Act clearly prevents the expiry of a limitation period from barring, among other things, a third party proceeding. Section four states in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836"/>
        <w:gridCol w:w="314"/>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w:t>
            </w:r>
          </w:p>
        </w:tc>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an action to which this or any other Act applies has been commenced, the lapse of time for bringing an action is no bar to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8"/>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third party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It appears that if the expiration of a limitation period is not a bar to commencing third party proceedings, then surely the postponement of the running of limitation periods under section 6 is not applicable to third party proceedings for indemnity or contributions, and other responsive proceedings. Therefore, the discovery by the plaintiffs of those facts which should have put them on notice to commence third party proceedings against the defendants in this action cannot have caused the limitation period to begin to run.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This analysis of the Limitation Act as it applies to third party proceedings supports my finding that the postponed limitation period did not begin to run until the plaintiffs repurchased the house in 1994. Accordingly, I conclude that the plaintiffs commenced this action within the limitation period.</w:t>
      </w:r>
      <w:r>
        <w:rPr>
          <w:rFonts w:ascii="arial" w:eastAsia="arial" w:hAnsi="arial" w:cs="arial"/>
          <w:sz w:val="20"/>
          <w:lang w:val="en-US" w:eastAsia="en-US" w:bidi="ar-SA"/>
        </w:rPr>
        <w:cr/>
      </w:r>
    </w:p>
    <w:p>
      <w:pPr>
        <w:numPr>
          <w:numId w:val="29"/>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Change in the Common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plaintiffs argued in the alternative that the limitation period did not start to run until the release of Winnipeg Condominium, supra. In light of my finding that the plaintiffs commenced this action within the limitation period because they could not have had a reasonable prospect of success until they repurchased the house, it is not necessary for me to consider this submission. However, I proceed to do so in case my previous conclusion is incorrect.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plaintiffs argued that Winnipeg Condominium changed the law concerning the duty to warn. In actuality, Winnipeg Condominium was concerned with and changed the law with respect to recoverability in tort for pure economic loss. However, the plaintiffs' submission remains the same: they could not have had a reasonable prospect of success until the release of Winnipeg Condominium. I agree with this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 change in the law brought about by Winnipeg Condominium is demonstrated by this passage provided by La Forest, J., writing for the unanimous court (at para. 36):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view, the reasonable likelihood that a defect in a building will cause injury to its inhabitants is also sufficient to ground a contractor's duty in tort to subsequent purchasers of the building for the cost of repairing the defect if that defect is discovered prior to any injury and if it poses a real and substantial danger to the inhabitants of the building. In coming to this conclusion, I adopt the reasoning of Laskin J. in Rivtow, which I find highly persuasive. If a contractor can be held liable in tort where he or she constructs a building negligently and, as a result of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building causes damage to persons or property, it follows that the contractor should also be held liable in cases where the dangerous defect is discovered and the owner of the building wishes to mitigate the danger by fixing the defect and putting the building back into a non-dangerous state. In both cases, the duty in tort serves to protect the bodily integrity and property interests of the inhabitants of the building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In my view the plaintiffs could not have had a reasonable prospect of success in the present action before Winnipeg Condominium. Before the change in law concerning recovery for economic loss, the plaintiffs could not have reasonably expected that they could recover damages from the defendants for the settlement of their house. Therefore, until Winnipeg Condominium was released by the Supreme Court of Canada, section 6 operated to postpone the running of the two year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 should note that I make this finding without deciding whether or not the plaintiffs could in fact recover damages for their economic losses. However, certainty of recovery is not what is required under section 6. The plaintiffs only need to have a reasonable prospect of success, and I find that the reasons in Winnipeg Condominium provided them with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 base this finding on the present state of the law in British Columbia as expressed and reviewed above in Perron, supra, and Edgeworth Construction Ltd., supra.</w:t>
      </w:r>
      <w:r>
        <w:rPr>
          <w:rFonts w:ascii="arial" w:eastAsia="arial" w:hAnsi="arial" w:cs="arial"/>
          <w:sz w:val="20"/>
          <w:lang w:val="en-US" w:eastAsia="en-US" w:bidi="ar-SA"/>
        </w:rPr>
        <w:cr/>
      </w:r>
    </w:p>
    <w:p>
      <w:pPr>
        <w:numPr>
          <w:numId w:val="30"/>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286 of the Municipal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As noted above, although the limitation period under the Limitation Act and not the Municipal Act apply to the Regional District in this action, section 286 is still applicable. In light of my findings above that the plaintiffs knew or ought to have known of their cause of action against the Regional District and that they had a reasonable prospect of success in that action upon the release of Winnipeg Condominium, I find that the plaintiffs gave timely notice to the Regional District of their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Section 286 provides a two month window within which a plaintiff must inform a municipality of "the time, place and manner in which the damage has been sustained ...". Winnipeg Condominium was released on January 26, 1995. The plaintiffs gave written notice to the Regional District on March 6, 1995, within the two month notice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 recognize that section 286 requires notice to be delivered within two months "from the date on which the damage was sustained". However, I note the reasons in Grewal, supra, where the Court of Appeal stated (at 256):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duty to give notice to the municipality of a possible claim does not arise merely from the discovery of the damage. The complainant must be able to give particulars of the time, place, and manner of the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 also recognize that section 286 does not provide that a plaintiff must have a reasonable prospect of success before the two month period begins running. However, I again rely on Grewal (at 256):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Furthermore, the complainant must be in a position to know that the municipality has committed some act or has omitted to do something which may make it liable, in whole or in part, for the damage sustained by the complainant before the duty to give notice can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In my view a plaintiff cannot be in a position to know that a municipality may be liable until the law is such that liability may flow from the action or inaction of the municipality. Therefore, it was not until Winnipeg Condominium was released that the plaintiffs could have been expected to provide written notice to the Regional District of their cause of action against the Regional District. Accordingly, section 286 does not operate in this case to bar recovery of damages by the plaintiffs from the Regional District.</w:t>
      </w:r>
      <w:r>
        <w:rPr>
          <w:rFonts w:ascii="arial" w:eastAsia="arial" w:hAnsi="arial" w:cs="arial"/>
          <w:sz w:val="20"/>
          <w:lang w:val="en-US" w:eastAsia="en-US" w:bidi="ar-SA"/>
        </w:rPr>
        <w:cr/>
      </w:r>
    </w:p>
    <w:p>
      <w:pPr>
        <w:numPr>
          <w:numId w:val="3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Warn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Having decided that the limitation period under the Limitation Act should not operate to prevent this action from proceeding and the notice requirement under the Municipal Act should not operate to prevent recovery against the Regional District, I turn to consider the plaintiffs' cause of action on its merits.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In light of the finding of fact that I made above, that the plaintiffs knew or ought to have known of the true cause of the settlement of the house in 1992, well before their repurchase of the house in 1994, the plaintiffs' claim for failure to warn cannot stand. Whether characterized as negating any duty of care that the defendants may have owed to the plaintiffs or as negating any causal connection between the alleged failure of the defendants to warn the plaintiffs and any damage sustained by the Days, I find that the plaintiffs' knowledge operates to prevent them from recovering damages from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In so finding, I agree with the defendants' submission that the plaintiffs' knowledge removes them from the class of unsuspecting purchasers, and, therefore, the duty to warn, if indeed the defendants had such a duty in this case, should not extend to the plaintiffs. I note the decision of 444601 B.C. Ltd., supra, where Burnyeat, J. held that the plaintiff's knowledge in that case was a consideration to be taken into account under the second phase of the Anns test which negated the duty to warn which was otherwise owing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I make a similar finding in the present case. The plaintiffs' knowledge of the true cause of the settlement of the house before their repurchase operates to negate any duty to warn that the defendants may have owed to the plaintiffs. Without a duty being owed to the plaintiffs, there obviously cannot be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defendants for breach of a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 also agree with the defendants' alternative submission that the plaintiffs' knowledge prevents there being a causal connection between the defendants' alleged failure to warn and the plaintiffs' loss. I note the similar finding made by Meiklem, J. in Harris,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In the present case, the plaintiffs had or ought to have had knowledge of the true cause of the settlement of the house, the existence of fills on the Property, well before they repurchased the house. In fact, it appears that the plaintiffs had more information before them than the defendants had. If that is the case, how can the defendants be liable for failing to warn the plaintiffs of the existence of fills? Certainly it cannot be argued that the defendants' failure to warn the plaintiffs was the cause of the plaintiffs' loss when the plaintiffs had better knowledge of the cause of the settlement than the defendants. Further, with full knowledge, the Days allowed for their loss in their settlement of the McKague action on the repurchase of the property. Undamaged, it was appraised at $530,000.00 and valued at $500,000.00 by Mr. Day, who allowed for $100,000.00 for the damage repair on arriving at the reduced repurchase price of $400,000.00 for the property. On considering the whole of the foregoing, the Days cannot now turn around and look to recover any deficiency from the defendants for a failure to warn.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Regardless of how it is characterized, as negating the duty of care owed to the plaintiffs or as preventing the existence of a causal connection between the defendants' failure to warn and the plaintiffs' loss, the knowledge that the plaintiffs had upon the repurchase of the house from the McKagues prevents the plaintiffs from being successful in this action.</w:t>
      </w:r>
      <w:r>
        <w:rPr>
          <w:rFonts w:ascii="arial" w:eastAsia="arial" w:hAnsi="arial" w:cs="arial"/>
          <w:sz w:val="20"/>
          <w:lang w:val="en-US" w:eastAsia="en-US" w:bidi="ar-SA"/>
        </w:rPr>
        <w:cr/>
      </w:r>
    </w:p>
    <w:p>
      <w:pPr>
        <w:numPr>
          <w:numId w:val="3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plaintiffs' claim against each of the defendants is dismissed, with costs to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DROSSOS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5" style="position:absolute;z-index:2518876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70"/>
          <w:headerReference w:type="default" r:id="rId771"/>
          <w:footerReference w:type="even" r:id="rId772"/>
          <w:footerReference w:type="default" r:id="rId773"/>
          <w:headerReference w:type="first" r:id="rId774"/>
          <w:footerReference w:type="first" r:id="rId77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76" w:history="1">
        <w:r>
          <w:rPr>
            <w:rFonts w:ascii="arial" w:eastAsia="arial" w:hAnsi="arial" w:cs="arial"/>
            <w:b/>
            <w:bCs/>
            <w:i/>
            <w:color w:val="0077CC"/>
            <w:kern w:val="32"/>
            <w:sz w:val="28"/>
            <w:szCs w:val="32"/>
            <w:u w:val="single"/>
            <w:shd w:val="clear" w:color="auto" w:fill="FFFFFF"/>
            <w:lang w:val="en-US" w:eastAsia="en-US" w:bidi="ar-SA"/>
          </w:rPr>
          <w:t>Dosanjh v. Leblanc, [2011] B.C.J. No. 2332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Master G. Taylor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22 and 24,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5,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S085155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[2011] B.C.J. No. 2332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2011 BCSC 1660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Selina Kaur Dosanjh, Plaintiff, and Dr. Jacques G. Leblanc, Dr. Giuseppe Del Vicario, Dr. Xin Lin, Dr. Mohamedali, Dr. Li, Dr. John Doe, Harry Mickelson, K. Mauvet, Perfusionist John Doe, E. McCutcheson, Coleen Newland, S. Kerr, Chris McRae, A. Bui, A. Maddatn, M. Cottrell, St. Paul's Hospital, Providence Health Care Society, Nurse Jane Doe #1, Nurse Jane Doe #2, Defendants, and St. Paul's Hospital, Providence Health Care Society and Harry Mickelson,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6" style="position:absolute;z-index:2516971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43" w:name="Keywords_36"/>
      <w:bookmarkEnd w:id="243"/>
      <w:r>
        <w:rPr>
          <w:rFonts w:ascii="arial" w:eastAsia="arial" w:hAnsi="arial" w:cs="arial"/>
          <w:b/>
          <w:color w:val="000000"/>
          <w:sz w:val="20"/>
          <w:lang w:val="en-US" w:eastAsia="en-US" w:bidi="ar-SA"/>
        </w:rPr>
        <w:t xml:space="preserve">Civil litigation — Civil procedure — Discovery — Production and inspection of documents — Objections and compelling production — Scope — Electronic discovery and production — Disclosure of privileged and private communications — Application by defendants for order requiring plaintiff to produce metadata associated with production of her resumes and cover letters and her complete Facebook and Twitter profiles dismissed — Plaintiff brought action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against defendant doctors and hospital after suffering stroke during surgery — Plaintiff alleged that she suffered permanent physical and cognitive disabilities that affected her thinking process and social life — Test was whether documents could prove or disprove material facts — Defendants did not set out material facts to be proven by searching plaintiff's computer or social media sites — Application was fishing expedition.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44" w:name="Case Summary_34"/>
            <w:bookmarkEnd w:id="24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doctors for an order requiring Dosanjh to produce her resumes and cover letters, metadata associated with the production of those documents and her complete Facebook and Twitter profiles. Dosanjh claimed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 doctors and hospital after she suffered a stroke during surgery. Dosanjh alleged that the stroke resulted in permanent physical and cognitive disabilities, which affected her thinking process and her social life. Dosanjh consented to producing the resumes and cover letters.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45" w:name="Holdings of Court_27"/>
            <w:bookmarkEnd w:id="245"/>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appropriate test under Rule 7-1(1)(a)(i) was whether or not the documents could prove or disprove a material fact. Access was being sought to Dosanjh's personal writings and thoughts. It was highly unlikely she would ever have contemplated that her private thoughts would become the subject of an application in order to defend against her allegations of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defendants did not set out the material facts that they believed could be proved by searching Dosanjh's computer or social media sites. The defendants' application was too broad and lacked focus. It was a fishing expedition.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46" w:name="Legislation Cited_26"/>
      <w:bookmarkEnd w:id="24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07" style="position:absolute;z-index:2517483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Rules of Court, Rule 26(10), Rule 26(11)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7-1 Rule 7-1(1)(a), Rule 7-1(1) (a)(i), Rule 7-1(11), Rule 7-1(12), Rule 7-1(13), Rule 7-1(14), Rule 7-1(17)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47" w:name="Counsel_37"/>
      <w:bookmarkEnd w:id="24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8" style="position:absolute;z-index:251799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K. Gourlay.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Dr. Jacques G. Leblanc, Dr. Giuseppe Del Vicario, Dr. Xin Lin, Dr. Mohamedali and Dr. Li: D.J. Reid.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8" w:name="Judgment_37"/>
      <w:bookmarkEnd w:id="248"/>
      <w:r>
        <w:pict>
          <v:line id="_x0000_s1209" style="position:absolute;z-index:251849728"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correction was released by the Court December 8, 2011; the change has been made to the text and the correction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9" w:name="MASTER G. TAYLOR"/>
            <w:bookmarkEnd w:id="249"/>
            <w:r>
              <w:rPr>
                <w:rFonts w:ascii="arial" w:eastAsia="arial" w:hAnsi="arial" w:cs="arial"/>
                <w:b/>
                <w:color w:val="000000"/>
                <w:sz w:val="30"/>
                <w:lang w:val="en-US" w:eastAsia="en-US" w:bidi="ar-SA"/>
              </w:rPr>
              <w:t>MASTER G. TAYLOR</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matter is one where the plaintiff alleges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doctors, nurses, perfusionists, and the hospital where, during open heart surgery to repair an atrial septal defect or a "hole in the heart", an air embolism was allowed to enter the plaintiff's blood stream thereby causing a stroke. The plaintiff alleges the stroke resulted in permanent physical and cognitive disabilities, loss and damage as well as current and future loss and expense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One of the significant complaints alleged by the plaintiff is cognitive impairment. Inspite of this, the plaintiff has been able to return to school and maintain employment, but with some difficulty.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discovery in July and August, 2011, the plaintiff gave evidence that she suffered cognitive impairment that has affected her thinking process. She also testified that her social life has been affected since the surgery.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September 1, 2011, the defendant's counsel wrote to the plaintiff's counsel demanding, pursuant to Rule 7-1(11) the plaintiff's list of documents including those documents from the plaintiff's hard drive, social media accounts, iPhone and digital camera that relate to matters in question in this litigation, including the plaintiff's health, mental state and employability.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basis for the demand was contained in a paragraph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bringing this action, your client has put her general health, enjoyment of life and employability directly at issue. She testified she suffers from headaches, fatigue, memory loss and weakness in her left arm. As set out above, she testified on discovery that she makes use of her computer to send emails to friends and family in relating to how she is feeling, prepares resumes and cover letters, and that she has a Twitter account. Further, your client gave evidence on Examination for Discovery that she has made use of her iPhone to keep track of appointments with physicians, and that she has taken a number of trips abroad. Despite the above, no documents from your client's computer, iPhone, social media accounts of digital photographs, if any, have been disclosed in your list of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As a result of the refusal of the plaintiff to produce the requested documents a Notice of Application dated November 8, 2011 was brought where the defendants seek the following orders:</w:t>
      </w:r>
      <w:r>
        <w:rPr>
          <w:rFonts w:ascii="arial" w:eastAsia="arial" w:hAnsi="arial" w:cs="arial"/>
          <w:sz w:val="20"/>
          <w:lang w:val="en-US" w:eastAsia="en-US" w:bidi="ar-SA"/>
        </w:rPr>
        <w:cr/>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Immediately and until the conclusion of the trial of this matter, the plaintiff not delete any content from her Facebook and Twitter profiles, including any and all restricted and unrestricted wall posts, news feeds, profile information, friend lists and photo album contents;</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Within two business days of the date of this Order, the plaintiff produce her complete Facebook and Twitter profiles, including any and all restricted and unrestricted wall posts, news feeds, profile information, friends lists, and photo album contents since the inception of her account to the present date;</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Within two business days of the date of this Order, the plaintiff produce all resumes and cover letters, including associated metadata, authored by the plaintiff on her personal computer;</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Within seven days of the date of this Order the plaintiff shall deliver up her computer to TCS Forensics, so that TCS forensics may perform a forensic examination be conducted [sic] of the plaintiff's personal computer hard drive;</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Within seven days of the date of this Order the plaintiff shall deliver up her iPhone to TCS Forensics, so that TCS Forensics may perform a forensic examination be conducted [sic] of the plaintiff's personal iPhone;</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Within two business days of the date of this Order, the plaintiff serve a further and better List of Documents which includes her complete Facebook and Twitter profiles, including any and all restricted or unrestricted wall posts, news feeds, profile information, friend lists and photo album contents since the inception of her account to present date, as well as all relevant documents from her computer hard drive, iPhone and digital camera;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this application be payable to the defendant Dr. Leblanc in any event of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Paragraphs 1 - 3 of the defendant's Notice of Application were dealt with by way of a consent order at the hearing, and concerned educational and employment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has, in her Application Response, indicated her consent to producing all resumes and cover letters in her possession sought from two years pre-accident to the present, but asks for 14 days rather than two days in order to do a proper search for the requested materials. I think seven days is sufficient for that purpose and I so order. This order does not deal with metadata as that request is dealt with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According to the defendant, during the continuation of the plaintiff's examination for discovery in August, 2011, the plaintiff gave evidence that:</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social life has changed since the surgery at issue, and that now she does not have as many friends or go out as often as she used to;</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has a personal laptop, which she uses exclusively;</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uses her personal computer to email her friends and family about how she was doing and how she was feeling;</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has also used her computer to put together her resume and cover letters;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has a Twitter account, which is active;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has a Facebook account, which is not currently active, but on which she had posted pictures and text; and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she has an iPhone, on which she posted to Twitter. She also used her iPhone to keep track of doctor's appointments.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At the same discovery, counsel for the defendant requested that the plaintiff's computer and hard drive and iPhone be preserved and produced.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Since the discovery, counsel for the defendant has written to plaintiff's counsel and made a demand pursuant to Rule 7-1(11) of the </w:t>
      </w:r>
      <w:r>
        <w:rPr>
          <w:rFonts w:ascii="arial" w:eastAsia="arial" w:hAnsi="arial" w:cs="arial"/>
          <w:i/>
          <w:color w:val="000000"/>
          <w:sz w:val="20"/>
          <w:lang w:val="en-US" w:eastAsia="en-US" w:bidi="ar-SA"/>
        </w:rPr>
        <w:t>SCCR</w:t>
      </w:r>
      <w:r>
        <w:rPr>
          <w:rFonts w:ascii="arial" w:eastAsia="arial" w:hAnsi="arial" w:cs="arial"/>
          <w:color w:val="000000"/>
          <w:sz w:val="20"/>
          <w:lang w:val="en-US" w:eastAsia="en-US" w:bidi="ar-SA"/>
        </w:rPr>
        <w:t xml:space="preserve"> that the plaintiff amend her list of documents to include those documents from the plaintiff's hard drive, social media accounts, and iPhone and digital camera that relate to matters in question in the litigation, including the plaintiff's health, mental state and employability. To date, none of the requested information has been produced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defendant submits that information contained on social media sites can have significant probative value and should be produced. As well, the defendant submits that given the plaintiff's claims of anxiety, depression, fatigue, damage to her self esteem and impairment of her ability to work, information posted on her social media site ought to be produced. The defendant cites </w:t>
      </w:r>
      <w:r>
        <w:rPr>
          <w:rFonts w:ascii="arial" w:eastAsia="arial" w:hAnsi="arial" w:cs="arial"/>
          <w:i/>
          <w:color w:val="000000"/>
          <w:sz w:val="20"/>
          <w:lang w:val="en-US" w:eastAsia="en-US" w:bidi="ar-SA"/>
        </w:rPr>
        <w:t>Bishop v. Minichiello,</w:t>
      </w:r>
      <w:r>
        <w:rPr>
          <w:rFonts w:ascii="arial" w:eastAsia="arial" w:hAnsi="arial" w:cs="arial"/>
          <w:color w:val="000000"/>
          <w:sz w:val="20"/>
          <w:lang w:val="en-US" w:eastAsia="en-US" w:bidi="ar-SA"/>
        </w:rPr>
        <w:t xml:space="preserve"> </w:t>
      </w:r>
      <w:hyperlink r:id="rId777" w:history="1">
        <w:r>
          <w:rPr>
            <w:rFonts w:ascii="arial" w:eastAsia="arial" w:hAnsi="arial" w:cs="arial"/>
            <w:i/>
            <w:color w:val="0077CC"/>
            <w:sz w:val="20"/>
            <w:u w:val="single"/>
            <w:shd w:val="clear" w:color="auto" w:fill="FFFFFF"/>
            <w:lang w:val="en-US" w:eastAsia="en-US" w:bidi="ar-SA"/>
          </w:rPr>
          <w:t>2009 BCSC 358</w:t>
        </w:r>
      </w:hyperlink>
      <w:r>
        <w:rPr>
          <w:rFonts w:ascii="arial" w:eastAsia="arial" w:hAnsi="arial" w:cs="arial"/>
          <w:color w:val="000000"/>
          <w:sz w:val="20"/>
          <w:lang w:val="en-US" w:eastAsia="en-US" w:bidi="ar-SA"/>
        </w:rPr>
        <w:t xml:space="preserve"> in support of this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Bishop</w:t>
      </w:r>
      <w:r>
        <w:rPr>
          <w:rFonts w:ascii="arial" w:eastAsia="arial" w:hAnsi="arial" w:cs="arial"/>
          <w:color w:val="000000"/>
          <w:sz w:val="20"/>
          <w:lang w:val="en-US" w:eastAsia="en-US" w:bidi="ar-SA"/>
        </w:rPr>
        <w:t xml:space="preserve"> an application had been made in chambers seeking,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an order for the plaintiff's computer in order that an independent expert search the plaintiff's computer and prepare a report identifying the number, nature, and time for all files relating to the use of the plaintiff's Facebook and Hotmail accounts plus other computer activity between the hours of 11:00 p.m. and 5:00 a.m. from a certain date to the date of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application to the chambers judge was founded on the proposition that while the plaintiff complained of suffering debilitating fatigue as a result of an accident, he had testified at his discovery that he communicated with a friend on Facebook at night and during a psychiatric assessment the plaintiff had reported to the psychiatrist that his sleep varies with the time one of his friends goes to bed as he spends a lot of time on Facebook chatting with his friend.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chambers judge only allowed the application as to the Facebook account and dismissed the rest of the application as it related to anything else being sought from the plaintiff's computer.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On appeal to the Court of Appeal, </w:t>
      </w:r>
      <w:hyperlink r:id="rId778" w:history="1">
        <w:r>
          <w:rPr>
            <w:rFonts w:ascii="arial" w:eastAsia="arial" w:hAnsi="arial" w:cs="arial"/>
            <w:i/>
            <w:color w:val="0077CC"/>
            <w:sz w:val="20"/>
            <w:u w:val="single"/>
            <w:shd w:val="clear" w:color="auto" w:fill="FFFFFF"/>
            <w:lang w:val="en-US" w:eastAsia="en-US" w:bidi="ar-SA"/>
          </w:rPr>
          <w:t>[2009] B.C.J. No. 2446</w:t>
        </w:r>
      </w:hyperlink>
      <w:r>
        <w:rPr>
          <w:rFonts w:ascii="arial" w:eastAsia="arial" w:hAnsi="arial" w:cs="arial"/>
          <w:color w:val="000000"/>
          <w:sz w:val="20"/>
          <w:lang w:val="en-US" w:eastAsia="en-US" w:bidi="ar-SA"/>
        </w:rPr>
        <w:t>, Madam Justice Garson found the appeal by the defendant was without merit. She found that there was not an evidentiary foundation for the request for the electronic records of the plaintiff's computer usage beyond Facebook. She also found that any other gaming websites or other such websites being used late into the night was somewhat speculative.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opposes the defendant's application for her Facebook and Twitter accounts as the information contained therein is not relevant and the disclosure of same would represent a significant infringement on her privacy. The plaintiff is opposed to the defendant's application for access to the hard drive of her personal computer and her iPhone on the same basis of lack of relevance and issues of privacy. As well, it is submitted that issues of solicitor-client privilege exist as the plaintiff has said she uses the computer and her iPhone to communicate with her solicitor.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Master Bouck gave careful consideration to applications pursuant to Rule 7-1 and its many subrules, but subrules (11), (12), (13) and (14) in particular in </w:t>
      </w:r>
      <w:r>
        <w:rPr>
          <w:rFonts w:ascii="arial" w:eastAsia="arial" w:hAnsi="arial" w:cs="arial"/>
          <w:i/>
          <w:color w:val="000000"/>
          <w:sz w:val="20"/>
          <w:lang w:val="en-US" w:eastAsia="en-US" w:bidi="ar-SA"/>
        </w:rPr>
        <w:t>Przybysz v. Crowe</w:t>
      </w:r>
      <w:r>
        <w:rPr>
          <w:rFonts w:ascii="arial" w:eastAsia="arial" w:hAnsi="arial" w:cs="arial"/>
          <w:color w:val="000000"/>
          <w:sz w:val="20"/>
          <w:lang w:val="en-US" w:eastAsia="en-US" w:bidi="ar-SA"/>
        </w:rPr>
        <w:t xml:space="preserve">, </w:t>
      </w:r>
      <w:hyperlink r:id="rId779" w:history="1">
        <w:r>
          <w:rPr>
            <w:rFonts w:ascii="arial" w:eastAsia="arial" w:hAnsi="arial" w:cs="arial"/>
            <w:i/>
            <w:color w:val="0077CC"/>
            <w:sz w:val="20"/>
            <w:u w:val="single"/>
            <w:shd w:val="clear" w:color="auto" w:fill="FFFFFF"/>
            <w:lang w:val="en-US" w:eastAsia="en-US" w:bidi="ar-SA"/>
          </w:rPr>
          <w:t>2011 BCSC 731</w:t>
        </w:r>
      </w:hyperlink>
      <w:r>
        <w:rPr>
          <w:rFonts w:ascii="arial" w:eastAsia="arial" w:hAnsi="arial" w:cs="arial"/>
          <w:color w:val="000000"/>
          <w:sz w:val="20"/>
          <w:lang w:val="en-US" w:eastAsia="en-US" w:bidi="ar-SA"/>
        </w:rPr>
        <w:t>. At paragraph 27 she discussed the broader scope of document disclosure in these subrules compared with the disclosure initially required by Rule 7-1(1)(a) and said that the two tier process of disclosure reflects the SSCR's [sic] objective of proportionality.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At paragraph 29 of the </w:t>
      </w:r>
      <w:r>
        <w:rPr>
          <w:rFonts w:ascii="arial" w:eastAsia="arial" w:hAnsi="arial" w:cs="arial"/>
          <w:i/>
          <w:color w:val="000000"/>
          <w:sz w:val="20"/>
          <w:lang w:val="en-US" w:eastAsia="en-US" w:bidi="ar-SA"/>
        </w:rPr>
        <w:t>Crowe</w:t>
      </w:r>
      <w:r>
        <w:rPr>
          <w:rFonts w:ascii="arial" w:eastAsia="arial" w:hAnsi="arial" w:cs="arial"/>
          <w:color w:val="000000"/>
          <w:sz w:val="20"/>
          <w:lang w:val="en-US" w:eastAsia="en-US" w:bidi="ar-SA"/>
        </w:rPr>
        <w:t xml:space="preserve"> decision, Master Bouck spoke of the discretion retained by the court under Rule 7-1(14) to order that the responding party not produce the requested list or documents by looking to the objectives of the SCCR's in exercising the discretion.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As to the form and substance of the request, Master Bouck referred to Master Baker's decision in </w:t>
      </w:r>
      <w:r>
        <w:rPr>
          <w:rFonts w:ascii="arial" w:eastAsia="arial" w:hAnsi="arial" w:cs="arial"/>
          <w:i/>
          <w:color w:val="000000"/>
          <w:sz w:val="20"/>
          <w:lang w:val="en-US" w:eastAsia="en-US" w:bidi="ar-SA"/>
        </w:rPr>
        <w:t>Anderson v. Kauhane and Roome</w:t>
      </w:r>
      <w:r>
        <w:rPr>
          <w:rFonts w:ascii="arial" w:eastAsia="arial" w:hAnsi="arial" w:cs="arial"/>
          <w:color w:val="000000"/>
          <w:sz w:val="20"/>
          <w:lang w:val="en-US" w:eastAsia="en-US" w:bidi="ar-SA"/>
        </w:rPr>
        <w:t xml:space="preserve"> (unreported, February 22, 2011, Vancouver Registry No. M103201) at paragraph 4 where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there is a higher duty on a party requesting documents under ... Rule 7-1(11) ... they must satisfy either the party being demanded or the court ... with an explanation "with reasonable specificity that indicates the reason why such additional documents or classes of documents should be disclosed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It is evident from the reasons in </w:t>
      </w:r>
      <w:r>
        <w:rPr>
          <w:rFonts w:ascii="arial" w:eastAsia="arial" w:hAnsi="arial" w:cs="arial"/>
          <w:i/>
          <w:color w:val="000000"/>
          <w:sz w:val="20"/>
          <w:lang w:val="en-US" w:eastAsia="en-US" w:bidi="ar-SA"/>
        </w:rPr>
        <w:t>Crowe</w:t>
      </w:r>
      <w:r>
        <w:rPr>
          <w:rFonts w:ascii="arial" w:eastAsia="arial" w:hAnsi="arial" w:cs="arial"/>
          <w:color w:val="000000"/>
          <w:sz w:val="20"/>
          <w:lang w:val="en-US" w:eastAsia="en-US" w:bidi="ar-SA"/>
        </w:rPr>
        <w:t xml:space="preserve"> that Master Bouck determined that the new Rules as revealed by Rule 7-1, rather than Rule 26(11) of the old Rules, has a new test for the production of a document. Whereas the old Rules required the court to consider whether the documents had relevancy, the test now as set out in 7-1(1)(a)(i) is whether or not the documents can prove or disprove a material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Park v. Mullin,</w:t>
      </w:r>
      <w:r>
        <w:rPr>
          <w:rFonts w:ascii="arial" w:eastAsia="arial" w:hAnsi="arial" w:cs="arial"/>
          <w:color w:val="000000"/>
          <w:sz w:val="20"/>
          <w:lang w:val="en-US" w:eastAsia="en-US" w:bidi="ar-SA"/>
        </w:rPr>
        <w:t xml:space="preserve"> </w:t>
      </w:r>
      <w:hyperlink r:id="rId780" w:history="1">
        <w:r>
          <w:rPr>
            <w:rFonts w:ascii="arial" w:eastAsia="arial" w:hAnsi="arial" w:cs="arial"/>
            <w:i/>
            <w:color w:val="0077CC"/>
            <w:sz w:val="20"/>
            <w:u w:val="single"/>
            <w:shd w:val="clear" w:color="auto" w:fill="FFFFFF"/>
            <w:lang w:val="en-US" w:eastAsia="en-US" w:bidi="ar-SA"/>
          </w:rPr>
          <w:t>2005 BCSC 1813</w:t>
        </w:r>
      </w:hyperlink>
      <w:r>
        <w:rPr>
          <w:rFonts w:ascii="arial" w:eastAsia="arial" w:hAnsi="arial" w:cs="arial"/>
          <w:color w:val="000000"/>
          <w:sz w:val="20"/>
          <w:lang w:val="en-US" w:eastAsia="en-US" w:bidi="ar-SA"/>
        </w:rPr>
        <w:t>, a case which pre-dates the new Rules, Madam Justice Dorgan refused an application for access to the plaintiff's computer used for both personal and business purposes where the plaintiff suffered a head injury and consequent brain damage in a motor vehicle accident. While Rule 26(10) which is now Rule 7-1(17), provides the court "may order" the production of a document, Justice Dorgan said the court has a discretion to deny an application for the production of a document and gave two examples of cases at paragraph 15 where the court had exercised its discretion not to order the production of documents: one, where there existed thousands of documents in question of only possible relevance; and two, where the documents sought do not have significant probative value and the value of the production is outweighed by competing interests, such as confidentiality, and time and expense required for the party to produce the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issue of privacy was also alive in </w:t>
      </w:r>
      <w:r>
        <w:rPr>
          <w:rFonts w:ascii="arial" w:eastAsia="arial" w:hAnsi="arial" w:cs="arial"/>
          <w:i/>
          <w:color w:val="000000"/>
          <w:sz w:val="20"/>
          <w:lang w:val="en-US" w:eastAsia="en-US" w:bidi="ar-SA"/>
        </w:rPr>
        <w:t>Park v. Mullin</w:t>
      </w:r>
      <w:r>
        <w:rPr>
          <w:rFonts w:ascii="arial" w:eastAsia="arial" w:hAnsi="arial" w:cs="arial"/>
          <w:color w:val="000000"/>
          <w:sz w:val="20"/>
          <w:lang w:val="en-US" w:eastAsia="en-US" w:bidi="ar-SA"/>
        </w:rPr>
        <w:t xml:space="preserve"> where at paragraph 21, Dorgan, J.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That the issue of privacy is a robust and real issue should be taken into account on an application such as this. In </w:t>
      </w:r>
      <w:r>
        <w:rPr>
          <w:rFonts w:ascii="arial" w:eastAsia="arial" w:hAnsi="arial" w:cs="arial"/>
          <w:i/>
          <w:color w:val="000000"/>
          <w:sz w:val="20"/>
          <w:lang w:val="en-US" w:eastAsia="en-US" w:bidi="ar-SA"/>
        </w:rPr>
        <w:t>M. (A.) v. Ryan,</w:t>
      </w:r>
      <w:r>
        <w:rPr>
          <w:rFonts w:ascii="arial" w:eastAsia="arial" w:hAnsi="arial" w:cs="arial"/>
          <w:color w:val="000000"/>
          <w:sz w:val="20"/>
          <w:lang w:val="en-US" w:eastAsia="en-US" w:bidi="ar-SA"/>
        </w:rPr>
        <w:t xml:space="preserve"> </w:t>
      </w:r>
      <w:hyperlink r:id="rId781" w:history="1">
        <w:r>
          <w:rPr>
            <w:rFonts w:ascii="arial" w:eastAsia="arial" w:hAnsi="arial" w:cs="arial"/>
            <w:i/>
            <w:color w:val="0077CC"/>
            <w:sz w:val="20"/>
            <w:u w:val="single"/>
            <w:shd w:val="clear" w:color="auto" w:fill="FFFFFF"/>
            <w:lang w:val="en-US" w:eastAsia="en-US" w:bidi="ar-SA"/>
          </w:rPr>
          <w:t>[1997] 1 S.C.R. 157</w:t>
        </w:r>
      </w:hyperlink>
      <w:r>
        <w:rPr>
          <w:rFonts w:ascii="arial" w:eastAsia="arial" w:hAnsi="arial" w:cs="arial"/>
          <w:color w:val="000000"/>
          <w:sz w:val="20"/>
          <w:lang w:val="en-US" w:eastAsia="en-US" w:bidi="ar-SA"/>
        </w:rPr>
        <w:t xml:space="preserve">, </w:t>
      </w:r>
      <w:hyperlink r:id="rId781" w:history="1">
        <w:r>
          <w:rPr>
            <w:rFonts w:ascii="arial" w:eastAsia="arial" w:hAnsi="arial" w:cs="arial"/>
            <w:i/>
            <w:color w:val="0077CC"/>
            <w:sz w:val="20"/>
            <w:u w:val="single"/>
            <w:shd w:val="clear" w:color="auto" w:fill="FFFFFF"/>
            <w:lang w:val="en-US" w:eastAsia="en-US" w:bidi="ar-SA"/>
          </w:rPr>
          <w:t>143 D.L.R. (4th) 1</w:t>
        </w:r>
      </w:hyperlink>
      <w:r>
        <w:rPr>
          <w:rFonts w:ascii="arial" w:eastAsia="arial" w:hAnsi="arial" w:cs="arial"/>
          <w:color w:val="000000"/>
          <w:sz w:val="20"/>
          <w:lang w:val="en-US" w:eastAsia="en-US" w:bidi="ar-SA"/>
        </w:rPr>
        <w:t xml:space="preserve"> (S.C.C.), McLachlin J. commented on a party's privacy interests in the context of an application for third party clinical records under Rule 26(11). In determining whether the records at issue were privileged, McLachlin J. stated the following at para. 30: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common law must develop in a way that reflects emerging Charter values ... one such value is the interest affirmed by s. 8 of the Charter of each person in privacy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further at para 38: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 accept that a litigant must accept such intrusions upon her privacy as are necessary to enable the judge or jury to get to the truth and render a just verdict. But I do not accept that by claiming such damages as the law allows, a litigant grants her opponent a licence to delve into private aspects of her life which need not be probed for the proper disposition of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 point out that the privacy discussion engaged in by McLachlin J. was referencing access to an individual's clinical records, and likely those which pre-dated the accident, which have been, more often than not, disclosed if related to an issue of pre-existing injury. In the case at bar, access is being sought to the plaintiff's personal writings and thoughts. It is highly unlikely she would ever have contemplated her private thoughts would become the subject of an application in order to defend against her allegations of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Desgagne v. Yuen,</w:t>
      </w:r>
      <w:r>
        <w:rPr>
          <w:rFonts w:ascii="arial" w:eastAsia="arial" w:hAnsi="arial" w:cs="arial"/>
          <w:color w:val="000000"/>
          <w:sz w:val="20"/>
          <w:lang w:val="en-US" w:eastAsia="en-US" w:bidi="ar-SA"/>
        </w:rPr>
        <w:t xml:space="preserve"> </w:t>
      </w:r>
      <w:hyperlink r:id="rId782" w:history="1">
        <w:r>
          <w:rPr>
            <w:rFonts w:ascii="arial" w:eastAsia="arial" w:hAnsi="arial" w:cs="arial"/>
            <w:i/>
            <w:color w:val="0077CC"/>
            <w:sz w:val="20"/>
            <w:u w:val="single"/>
            <w:shd w:val="clear" w:color="auto" w:fill="FFFFFF"/>
            <w:lang w:val="en-US" w:eastAsia="en-US" w:bidi="ar-SA"/>
          </w:rPr>
          <w:t>2006 BCSC 955</w:t>
        </w:r>
      </w:hyperlink>
      <w:r>
        <w:rPr>
          <w:rFonts w:ascii="arial" w:eastAsia="arial" w:hAnsi="arial" w:cs="arial"/>
          <w:color w:val="000000"/>
          <w:sz w:val="20"/>
          <w:lang w:val="en-US" w:eastAsia="en-US" w:bidi="ar-SA"/>
        </w:rPr>
        <w:t>, the plaintiff suffered a brain injury, chronic pain and fatigue following a motor vehicle accident, as a result of which the plaintiff alleged cognitive dysfunction including difficulties with concentration and attention. The defendants sought production of the hard drive from the plaintiff's home computer, his palm pilot, and his video game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After determining that he was bound to follow </w:t>
      </w:r>
      <w:r>
        <w:rPr>
          <w:rFonts w:ascii="arial" w:eastAsia="arial" w:hAnsi="arial" w:cs="arial"/>
          <w:i/>
          <w:color w:val="000000"/>
          <w:sz w:val="20"/>
          <w:lang w:val="en-US" w:eastAsia="en-US" w:bidi="ar-SA"/>
        </w:rPr>
        <w:t>Park,</w:t>
      </w:r>
      <w:r>
        <w:rPr>
          <w:rFonts w:ascii="arial" w:eastAsia="arial" w:hAnsi="arial" w:cs="arial"/>
          <w:color w:val="000000"/>
          <w:sz w:val="20"/>
          <w:lang w:val="en-US" w:eastAsia="en-US" w:bidi="ar-SA"/>
        </w:rPr>
        <w:t xml:space="preserve"> supra, Mr. Justice Myers said, at paragraph 18: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Furthermore, there is no evidence that the files contain statements as to the plaintiff's condition or health. The files are being sought because admissions </w:t>
      </w:r>
      <w:r>
        <w:rPr>
          <w:rFonts w:ascii="arial" w:eastAsia="arial" w:hAnsi="arial" w:cs="arial"/>
          <w:i/>
          <w:color w:val="000000"/>
          <w:sz w:val="20"/>
          <w:lang w:val="en-US" w:eastAsia="en-US" w:bidi="ar-SA"/>
        </w:rPr>
        <w:t>may</w:t>
      </w:r>
      <w:r>
        <w:rPr>
          <w:rFonts w:ascii="arial" w:eastAsia="arial" w:hAnsi="arial" w:cs="arial"/>
          <w:color w:val="000000"/>
          <w:sz w:val="20"/>
          <w:lang w:val="en-US" w:eastAsia="en-US" w:bidi="ar-SA"/>
        </w:rPr>
        <w:t xml:space="preserve"> have been made. (his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It was at least 14 years ago when McLachlin, J. spoke of the interest of each person in privacy as a Charter value. That interest still applies today.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defendant has not indicated the material fact or facts which it believes can be proved by searching the plaintiff's personal computer and her social media sites. Rather, the defendant merely says that health, enjoyment of life and employability are in issue. Surely more is or should be required to meet the test of Rule 7-1(1)(a)(i) than just saying a particular matter is in issue in order to infringe on a litigant's privacy.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To be able to obtain a litigant's private thoughts and feelings as expressed to friends or family members after the fact is, in my view, similar to a party intercepting private communications of another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am unable to envisage any rational justification for breaching the privacy rights of an individual in civil proceedings simply because it is alleged that the individual's general health, enjoyment of life and employability are directly at issue. Merely because a record may be made of the communication shouldn't make it any different than a private telephone conversation. If not, surely applications in civil proceedings for recordings of private communications can't be far behind.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has provided an affidavit in response to the defendant's application, in which she has deposed that she uses both her laptop and her iPhone to communicate with her lawyer over email and, in the case of her iPhone, using text messages.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As well, the plaintiff has deposed to being upset with the prospect of producing her Facebook account, her Twitter account, her computer and iPhone to the defendant as she feels they are private. She has also deposed that she opened a Facebook account around the time of her surgery in 2006, mostly to see what other people were doing and to keep in touch with friends or family with whom she had lost touch. The plaintiff has also deposed that she closed her Facebook account approximately a year and a half ago.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 am satisfied that the defendant's application is entirely too broad and lacks the focus required by Rule 7-1(1)(a)(i). In fact, I am more inclined to call this application a classic fishing expedition, but without the appropriate bait. I observe as well that the order made by the court in </w:t>
      </w:r>
      <w:r>
        <w:rPr>
          <w:rFonts w:ascii="arial" w:eastAsia="arial" w:hAnsi="arial" w:cs="arial"/>
          <w:i/>
          <w:color w:val="000000"/>
          <w:sz w:val="20"/>
          <w:lang w:val="en-US" w:eastAsia="en-US" w:bidi="ar-SA"/>
        </w:rPr>
        <w:t>Bishop</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was focussed on the times the plaintiff spent on his Facebook account on his computer, and did not give the defendant </w:t>
      </w:r>
      <w:r>
        <w:rPr>
          <w:rFonts w:ascii="arial" w:eastAsia="arial" w:hAnsi="arial" w:cs="arial"/>
          <w:i/>
          <w:color w:val="000000"/>
          <w:sz w:val="20"/>
          <w:lang w:val="en-US" w:eastAsia="en-US" w:bidi="ar-SA"/>
        </w:rPr>
        <w:t>cart blanche</w:t>
      </w:r>
      <w:r>
        <w:rPr>
          <w:rFonts w:ascii="arial" w:eastAsia="arial" w:hAnsi="arial" w:cs="arial"/>
          <w:color w:val="000000"/>
          <w:sz w:val="20"/>
          <w:lang w:val="en-US" w:eastAsia="en-US" w:bidi="ar-SA"/>
        </w:rPr>
        <w:t xml:space="preserve"> to troll through the plaintiff's correspondence as is sought in the application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Thus, in relation to the application that the plaintiff produce her Facebook and Twitter profiles and all related posts and photographs as set out in paragraph 5 of the application, the defendant's application is dismissed. It follows that paragraphs 7, 8 and 9 are also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relation to the request that the plaintiff provide associated metadata associated with the production of her resume(s) and cover letters, that application is dismissed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Myers, J. provided a definition for metadata in his decision of </w:t>
      </w:r>
      <w:r>
        <w:rPr>
          <w:rFonts w:ascii="arial" w:eastAsia="arial" w:hAnsi="arial" w:cs="arial"/>
          <w:i/>
          <w:color w:val="000000"/>
          <w:sz w:val="20"/>
          <w:lang w:val="en-US" w:eastAsia="en-US" w:bidi="ar-SA"/>
        </w:rPr>
        <w:t>Desgagne, supra,</w:t>
      </w:r>
      <w:r>
        <w:rPr>
          <w:rFonts w:ascii="arial" w:eastAsia="arial" w:hAnsi="arial" w:cs="arial"/>
          <w:color w:val="000000"/>
          <w:sz w:val="20"/>
          <w:lang w:val="en-US" w:eastAsia="en-US" w:bidi="ar-SA"/>
        </w:rPr>
        <w:t xml:space="preserve"> at paragraph 8 from which I borrow: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Each file on a computer has metadata associated with it. This metadata logs information such as the time the file was created, which user was logged on to the system when the file was created, and how long the file was open.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Surely if the material sought by the defendant from the social media sites on the plaintiff's computer is an invasion of privacy, the application for metadata, in the context of the case at bar, would also be a serious invasion of the individual's privacy. In any event, in the context of this application I would choose to exercise my discretion not to grant the application for metadata associated with the plaintiff's files related to her resumes and cover letters.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summary, therefore, all of the applications set out in paragraphs 4 - 9 of the defendant's application are dismissed, save and except all resumes and cover letters the plaintiff has created or written on her computer. The associated application for metadata related to those files on the plaintiff's personal computer is also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 is awarded her costs related to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G. TAYLOR</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Correction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December 8,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Reasons for Judgment of Master G. Taylor dated December 5, 2011 have been amended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front page, the style of cause was corrected to show St. Paul's Hospital, Providence Health Care Society and Harry Mickelson as the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MASTER G. TAYLOR</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0" style="position:absolute;z-index:2518886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83"/>
          <w:headerReference w:type="default" r:id="rId784"/>
          <w:footerReference w:type="even" r:id="rId785"/>
          <w:footerReference w:type="default" r:id="rId786"/>
          <w:headerReference w:type="first" r:id="rId787"/>
          <w:footerReference w:type="first" r:id="rId78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89" w:history="1">
        <w:r>
          <w:rPr>
            <w:rFonts w:ascii="arial" w:eastAsia="arial" w:hAnsi="arial" w:cs="arial"/>
            <w:b/>
            <w:bCs/>
            <w:i/>
            <w:color w:val="0077CC"/>
            <w:kern w:val="32"/>
            <w:sz w:val="28"/>
            <w:szCs w:val="32"/>
            <w:u w:val="single"/>
            <w:shd w:val="clear" w:color="auto" w:fill="FFFFFF"/>
            <w:lang w:val="en-US" w:eastAsia="en-US" w:bidi="ar-SA"/>
          </w:rPr>
          <w:t>England v. Research Capital Corp., [2008] B.C.J. No. 829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M.M. Koenigsberg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27,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6,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S063006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829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580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166 A.C.W.S. (3d) 254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Vincent and Melody England, Plaintiffs, and Research Capital Corporation, Brian Strong and Jason Stefanuk,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1" style="position:absolute;z-index:2516981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0" w:name="Keywords_37"/>
      <w:bookmarkEnd w:id="250"/>
      <w:r>
        <w:rPr>
          <w:rFonts w:ascii="arial" w:eastAsia="arial" w:hAnsi="arial" w:cs="arial"/>
          <w:b/>
          <w:color w:val="000000"/>
          <w:sz w:val="20"/>
          <w:lang w:val="en-US" w:eastAsia="en-US" w:bidi="ar-SA"/>
        </w:rPr>
        <w:t xml:space="preserve">Conflict of laws — Jurisdiction — Determination of — Real and substantial connection — Defendants' application for a stay of proceedings granted — The account contracts in question in the underlying action for breach of contract,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etc., were governed by the laws of Alberta, and no real and substantial connection with B.C. had been demonstrated — Nor was there any evidence of a tort being committed in B.C. — The present court had no jurisdiction, and alternatively would decline jurisdiction as Alberta was the more appropriate forum.</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Conflict of laws — Conflicts by legal area — Contracts — Choice of law — No law specified by parties — Defendants' application for a stay of proceedings granted — The account contracts in question in the underlying action for breach of contract,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etc., were governed by the laws of Alberta, and no real and substantial connection with B.C. had been demonstrated — Nor was there any evidence of a tort being committed in B.C. — The present court had no jurisdiction, and alternatively would decline jurisdiction as Alberta was the more appropriate forum.</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51" w:name="Case Summary_35"/>
            <w:bookmarkEnd w:id="25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defendants for a stay of proceedings on the ground that the court had no jurisdiction, or that it ought to decline jurisdiction because Alberta was the appropriate forum. In the underlying claim, the plaintiffs alleged that the individual defendants had mismanaged three investment accounts the plaintiffs held with the defendant Research Capital Corp. Claims were asserted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breach of contract, unauthorized trading activity and breach of fiduciary duty, etc. The plaintiffs, who at all material times lived in B.C., had applied to open the accounts while in Calgary. However, all subsequent communication between the parties was by way of telephone calls and correspondence from the plaintiffs in B.C.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52" w:name="Holdings of Court_28"/>
            <w:bookmarkEnd w:id="252"/>
            <w:r>
              <w:rPr>
                <w:rFonts w:ascii="arial" w:eastAsia="arial" w:hAnsi="arial" w:cs="arial"/>
                <w:color w:val="000000"/>
                <w:sz w:val="20"/>
                <w:lang w:val="en-US" w:eastAsia="en-US" w:bidi="ar-SA"/>
              </w:rPr>
              <w:t>HELD: Application for a stay granted with costs.</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account contracts were governed by the laws of Alberta. A real and substantial connection between B.C. and the contract claim was not established and the court did not have territorial competence over it. The main substance of the contract and the activity to which the alleged breach of contract related was not performed in B.C. There was no evidence to support a finding that the contractual obligations were to be performed substantially in B.C. There was nothing in the contract language signed by the plaintiffs when they applied to open the accounts in 1999 that stipulated what law governed the contract. In 2005, they signed the revised NCAFs which provided that the laws of the jurisdiction of the office of RCC from which the account was administered governed the contract and the revised contract applied to all transactions made in the client's account. It was reasonable to infer that by applying to open accounts in Alberta and continuing to deal exclusively with the individual defendants at RCC's Calgary branch once the accounts were open, the plaintiffs would have anticipated, had they considered the matter, that any legal recourse they might seek in respect of the contract would have to be pursued in Alberta where the individual defendants worked, since the plaintiffs had no contact with any RCC branch in B.C. Nor could it be said that any tort had been committed in B.C. Alternatively, the court would decline jurisdiction as the potential inconvenience to the plaintiffs was balanced out by the convenience of the defendants, who had five potential witnesses in Alberta. There would be a cost savings to the parties to not have to prove Alberta law in B.C. The fair and efficient working of the legal system in Canada was better served if the action was tried by an Alberta court, the law of which applied to this dispute. A request for a transfer of proceedings issued.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53" w:name="Legislation Cited_27"/>
      <w:bookmarkEnd w:id="25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12" style="position:absolute;z-index:2517493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13(1)(h), Rule 14(6.1), Rule 14(6)(b)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Court Jurisdiction and Proceedings Transfer Act, </w:t>
      </w:r>
      <w:hyperlink r:id="rId790" w:history="1">
        <w:r>
          <w:rPr>
            <w:rFonts w:ascii="arial" w:eastAsia="arial" w:hAnsi="arial" w:cs="arial"/>
            <w:i/>
            <w:color w:val="0077CC"/>
            <w:sz w:val="20"/>
            <w:u w:val="single"/>
            <w:shd w:val="clear" w:color="auto" w:fill="FFFFFF"/>
            <w:lang w:val="en-US" w:eastAsia="en-US" w:bidi="ar-SA"/>
          </w:rPr>
          <w:t>S.B.C. 2003, c. 28, s. 3</w:t>
        </w:r>
      </w:hyperlink>
      <w:r>
        <w:rPr>
          <w:rFonts w:ascii="arial" w:eastAsia="arial" w:hAnsi="arial" w:cs="arial"/>
          <w:color w:val="000000"/>
          <w:sz w:val="20"/>
          <w:lang w:val="en-US" w:eastAsia="en-US" w:bidi="ar-SA"/>
        </w:rPr>
        <w:t>(d), s. 10, s. 11, s. 15(1)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54" w:name="Counsel_38"/>
      <w:bookmarkEnd w:id="25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3" style="position:absolute;z-index:251800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Maryam Z. Sherkat.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Ronald N. Pelletier.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5" w:name="Judgment_38"/>
      <w:bookmarkEnd w:id="255"/>
      <w:r>
        <w:pict>
          <v:line id="_x0000_s1214" style="position:absolute;z-index:25185075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6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6" w:name="M.M. KOENIGSBERG J."/>
            <w:bookmarkEnd w:id="256"/>
            <w:r>
              <w:rPr>
                <w:rFonts w:ascii="arial" w:eastAsia="arial" w:hAnsi="arial" w:cs="arial"/>
                <w:b/>
                <w:color w:val="000000"/>
                <w:sz w:val="30"/>
                <w:lang w:val="en-US" w:eastAsia="en-US" w:bidi="ar-SA"/>
              </w:rPr>
              <w:t>M.M. KOENIGSBERG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application by the defendants for a stay of proceedings pursuant to Rule 14(6)(b)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221/90</w:t>
      </w:r>
      <w:r>
        <w:rPr>
          <w:rFonts w:ascii="arial" w:eastAsia="arial" w:hAnsi="arial" w:cs="arial"/>
          <w:color w:val="000000"/>
          <w:sz w:val="20"/>
          <w:lang w:val="en-US" w:eastAsia="en-US" w:bidi="ar-SA"/>
        </w:rPr>
        <w:t>, on the ground this Court has no jurisdiction, or alternatively pursuant to Rule 14(6.1) on the basis that the Court ought to decline jurisdiction because Alberta is the appropriate forum.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statement of claim alleges the individual defendants Brian Strong and Jason Stefanuk mismanaged three investment accounts ("the accounts") the plaintiffs held with the defendant Research Capital Corporation ("RCC").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More specifically, the statement of claim alleges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contract, unauthorized trading activity and breach of fiduciary duty against all of the defendants, as well as vicarious liability and breach of duty to supervise specifically against RCC.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RCC is a full-service brokerage firm headquartered in Toronto with branches in several provinces, including British Columbia and Alberta.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plaintiffs, who at all material times lived in the lower mainland of British Columbia, applied to open the accounts in 1999 at the RCC branch in Calgary, where they met with Mr. Strong, who had been recommended to them. When Mr. Strong left RCC in 2004, Mr. Stefanuk assumed his role as the plaintiffs' investment advisor for the accounts at RCC's Calgary branch.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Apart from the initial meeting with Mr. Strong, all of the plaintiffs' communication with RCC, Mr. Strong, and Mr. Stefanuk respecting the accounts was by way of telephone calls and correspondence exchanged between the plaintiffs in British Columbia and the defendants, as well as account statements and other documents sent by RCC.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Losses claimed by the plaintiffs resulted from what the plaintiffs allege were unauthorized purchases of shares of Wi-Lan Inc. between December 1999 and August 2001. The Wi-Lan shares were sold on June 14, 2002, at a loss of $63,825 in one account and a loss of $54,620 in a second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TERRITORIAL COMPETENCE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Since RCC has branches in British Columbia, RCC concedes this Court has "territorial competence" over RCC pursuant to s. 3(d) of the </w:t>
      </w:r>
      <w:r>
        <w:rPr>
          <w:rFonts w:ascii="arial" w:eastAsia="arial" w:hAnsi="arial" w:cs="arial"/>
          <w:b/>
          <w:i/>
          <w:color w:val="000000"/>
          <w:sz w:val="20"/>
          <w:lang w:val="en-US" w:eastAsia="en-US" w:bidi="ar-SA"/>
        </w:rPr>
        <w:t>Court Jurisdiction and Proceedings Transfer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2003, c. 28</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CJPTA</w:t>
      </w:r>
      <w:r>
        <w:rPr>
          <w:rFonts w:ascii="arial" w:eastAsia="arial" w:hAnsi="arial" w:cs="arial"/>
          <w:color w:val="000000"/>
          <w:sz w:val="20"/>
          <w:lang w:val="en-US" w:eastAsia="en-US" w:bidi="ar-SA"/>
        </w:rPr>
        <w:t>") because it is "ordinarily resident"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Sections 3(d) and (e) of the </w:t>
      </w:r>
      <w:r>
        <w:rPr>
          <w:rFonts w:ascii="arial" w:eastAsia="arial" w:hAnsi="arial" w:cs="arial"/>
          <w:b/>
          <w:i/>
          <w:color w:val="000000"/>
          <w:sz w:val="20"/>
          <w:lang w:val="en-US" w:eastAsia="en-US" w:bidi="ar-SA"/>
        </w:rPr>
        <w:t>CJPTA</w:t>
      </w:r>
      <w:r>
        <w:rPr>
          <w:rFonts w:ascii="arial" w:eastAsia="arial" w:hAnsi="arial" w:cs="arial"/>
          <w:color w:val="000000"/>
          <w:sz w:val="20"/>
          <w:lang w:val="en-US" w:eastAsia="en-US" w:bidi="ar-SA"/>
        </w:rPr>
        <w:t xml:space="preserve">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Proceedings against a person</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court has territorial competence in a proceeding that is brought against a person only if</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person is ordinarily resident in British Columbia at the time of the commencement of the proceeding, or</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real and substantial connection between British Columbia and the facts on which the proceeding against that person is based.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It is the defendants' position that the since the individual defendants were not "ordinarily resident" in British Columbia, the plaintiffs must establish pursuant to s. 3(e) of the </w:t>
      </w:r>
      <w:r>
        <w:rPr>
          <w:rFonts w:ascii="arial" w:eastAsia="arial" w:hAnsi="arial" w:cs="arial"/>
          <w:b/>
          <w:i/>
          <w:color w:val="000000"/>
          <w:sz w:val="20"/>
          <w:lang w:val="en-US" w:eastAsia="en-US" w:bidi="ar-SA"/>
        </w:rPr>
        <w:t>CJPTA</w:t>
      </w:r>
      <w:r>
        <w:rPr>
          <w:rFonts w:ascii="arial" w:eastAsia="arial" w:hAnsi="arial" w:cs="arial"/>
          <w:color w:val="000000"/>
          <w:sz w:val="20"/>
          <w:lang w:val="en-US" w:eastAsia="en-US" w:bidi="ar-SA"/>
        </w:rPr>
        <w:t xml:space="preserve"> a "real and substantial connection between British Columbia and the facts on which the proceeding" against Mr. Strong and Mr. Stefanuk is based.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Section 10 of the </w:t>
      </w:r>
      <w:r>
        <w:rPr>
          <w:rFonts w:ascii="arial" w:eastAsia="arial" w:hAnsi="arial" w:cs="arial"/>
          <w:b/>
          <w:i/>
          <w:color w:val="000000"/>
          <w:sz w:val="20"/>
          <w:lang w:val="en-US" w:eastAsia="en-US" w:bidi="ar-SA"/>
        </w:rPr>
        <w:t>CJPTA</w:t>
      </w:r>
      <w:r>
        <w:rPr>
          <w:rFonts w:ascii="arial" w:eastAsia="arial" w:hAnsi="arial" w:cs="arial"/>
          <w:color w:val="000000"/>
          <w:sz w:val="20"/>
          <w:lang w:val="en-US" w:eastAsia="en-US" w:bidi="ar-SA"/>
        </w:rPr>
        <w:t xml:space="preserve"> lists circumstances under which a real and substantial connection is established between British Columbia and the subject matter of a proceeding. The parts of s. 10 potentially germane to this application provide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Real and substantial connection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limiting the right of the plaintiff to prove other circumstances that constitute a real and substantial connection between British Columbia and the facts on which a proceeding is based, a real and substantial connection between British Columbia and those facts is presumed to exist if the proceeding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concerns contractual obligations, and</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contractual obligations, to a substantial extent, were to be performed in British Columbia,</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by its express terms, the contract is governed by the law of British Columbia, or</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contract</w:t>
      </w:r>
    </w:p>
    <w:p>
      <w:pPr>
        <w:numPr>
          <w:numId w:val="8"/>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is for the purchase of property, services or both, for use other than in the course of the purchaser's trade or profession, and</w:t>
      </w:r>
    </w:p>
    <w:p>
      <w:pPr>
        <w:numPr>
          <w:numId w:val="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resulted from a solicitation of business in British Columbia by or on behalf of the seller,</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concerns a tort committed in British Columbia,</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concerns a business carried on in British Columbia,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breach of contract alleged is unauthorized trading by the individual defendants. Pursuant to s. 10(e)(i), a real and substantial connection is presumed to exist if the contractual obligations in this case were, to a substantial extent, to be performed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plaintiffs' accounts were administered in the Calgary branch office where Mr. Strong and Mr. Stefanuk operated, copies of the account records were kept in Calgary and supervision of the accounts was carried out primarily in Calgary. The original account records were kept and maintained in the Toronto office and overall supervision, although as a practical matter this was delegated in the absence of exceptional circumstances or specific requirements, was the responsibility of the head of compliance who was employed at the head office in Toronto.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As well, RCC mails its clients copies of a confirmation statement for each trade in an account and a monthly statement for each month there is a transaction, or in any event a quarterly statement each year. The mailing of these statements is generated and carried out by a third party service provider in Toronto.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plaintiffs submit that s. 10(e)(i) does not distinguish between the obligations of the seller and the buyer, and as the plaintiffs' obligations to pay for the services and provide instructions were performed in British Columbia, the British Columbia court has jurisdiction over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However, it is incidental that these obligations were to be performed in British Columbia. The main substance of the contract and the activity to which the alleged breach of contract relates, was not performed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British Columbia Court of Appeal recently considered s. 10(e)(i) of the </w:t>
      </w:r>
      <w:r>
        <w:rPr>
          <w:rFonts w:ascii="arial" w:eastAsia="arial" w:hAnsi="arial" w:cs="arial"/>
          <w:b/>
          <w:i/>
          <w:color w:val="000000"/>
          <w:sz w:val="20"/>
          <w:lang w:val="en-US" w:eastAsia="en-US" w:bidi="ar-SA"/>
        </w:rPr>
        <w:t>CJPTA</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Purple Echo Productions, Inc. v. KCTS Television</w:t>
      </w:r>
      <w:r>
        <w:rPr>
          <w:rFonts w:ascii="arial" w:eastAsia="arial" w:hAnsi="arial" w:cs="arial"/>
          <w:color w:val="000000"/>
          <w:sz w:val="20"/>
          <w:lang w:val="en-US" w:eastAsia="en-US" w:bidi="ar-SA"/>
        </w:rPr>
        <w:t xml:space="preserve">, </w:t>
      </w:r>
      <w:hyperlink r:id="rId791" w:history="1">
        <w:r>
          <w:rPr>
            <w:rFonts w:ascii="arial" w:eastAsia="arial" w:hAnsi="arial" w:cs="arial"/>
            <w:i/>
            <w:color w:val="0077CC"/>
            <w:sz w:val="20"/>
            <w:u w:val="single"/>
            <w:shd w:val="clear" w:color="auto" w:fill="FFFFFF"/>
            <w:lang w:val="en-US" w:eastAsia="en-US" w:bidi="ar-SA"/>
          </w:rPr>
          <w:t>[2008] B.C.J. No. 307</w:t>
        </w:r>
      </w:hyperlink>
      <w:r>
        <w:rPr>
          <w:rFonts w:ascii="arial" w:eastAsia="arial" w:hAnsi="arial" w:cs="arial"/>
          <w:color w:val="000000"/>
          <w:sz w:val="20"/>
          <w:lang w:val="en-US" w:eastAsia="en-US" w:bidi="ar-SA"/>
        </w:rPr>
        <w:t xml:space="preserve">, </w:t>
      </w:r>
      <w:hyperlink r:id="rId791" w:history="1">
        <w:r>
          <w:rPr>
            <w:rFonts w:ascii="arial" w:eastAsia="arial" w:hAnsi="arial" w:cs="arial"/>
            <w:i/>
            <w:color w:val="0077CC"/>
            <w:sz w:val="20"/>
            <w:u w:val="single"/>
            <w:shd w:val="clear" w:color="auto" w:fill="FFFFFF"/>
            <w:lang w:val="en-US" w:eastAsia="en-US" w:bidi="ar-SA"/>
          </w:rPr>
          <w:t>2008 BCCA 85</w:t>
        </w:r>
      </w:hyperlink>
      <w:r>
        <w:rPr>
          <w:rFonts w:ascii="arial" w:eastAsia="arial" w:hAnsi="arial" w:cs="arial"/>
          <w:color w:val="000000"/>
          <w:sz w:val="20"/>
          <w:lang w:val="en-US" w:eastAsia="en-US" w:bidi="ar-SA"/>
        </w:rPr>
        <w:t>. The Court stated at para. 50: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construction of the Agreement is a question of mixed fact and law (</w:t>
      </w:r>
      <w:r>
        <w:rPr>
          <w:rFonts w:ascii="arial" w:eastAsia="arial" w:hAnsi="arial" w:cs="arial"/>
          <w:i/>
          <w:color w:val="000000"/>
          <w:sz w:val="20"/>
          <w:lang w:val="en-US" w:eastAsia="en-US" w:bidi="ar-SA"/>
        </w:rPr>
        <w:t>Petty v. Telus Corp.</w:t>
      </w:r>
      <w:r>
        <w:rPr>
          <w:rFonts w:ascii="arial" w:eastAsia="arial" w:hAnsi="arial" w:cs="arial"/>
          <w:color w:val="000000"/>
          <w:sz w:val="20"/>
          <w:lang w:val="en-US" w:eastAsia="en-US" w:bidi="ar-SA"/>
        </w:rPr>
        <w:t xml:space="preserve">, </w:t>
      </w:r>
      <w:hyperlink r:id="rId792" w:history="1">
        <w:r>
          <w:rPr>
            <w:rFonts w:ascii="arial" w:eastAsia="arial" w:hAnsi="arial" w:cs="arial"/>
            <w:i/>
            <w:color w:val="0077CC"/>
            <w:sz w:val="20"/>
            <w:u w:val="single"/>
            <w:shd w:val="clear" w:color="auto" w:fill="FFFFFF"/>
            <w:lang w:val="en-US" w:eastAsia="en-US" w:bidi="ar-SA"/>
          </w:rPr>
          <w:t>2002 BCCA 135</w:t>
        </w:r>
      </w:hyperlink>
      <w:r>
        <w:rPr>
          <w:rFonts w:ascii="arial" w:eastAsia="arial" w:hAnsi="arial" w:cs="arial"/>
          <w:color w:val="000000"/>
          <w:sz w:val="20"/>
          <w:lang w:val="en-US" w:eastAsia="en-US" w:bidi="ar-SA"/>
        </w:rPr>
        <w:t xml:space="preserve">, </w:t>
      </w:r>
      <w:hyperlink r:id="rId792" w:history="1">
        <w:r>
          <w:rPr>
            <w:rFonts w:ascii="arial" w:eastAsia="arial" w:hAnsi="arial" w:cs="arial"/>
            <w:i/>
            <w:color w:val="0077CC"/>
            <w:sz w:val="20"/>
            <w:u w:val="single"/>
            <w:shd w:val="clear" w:color="auto" w:fill="FFFFFF"/>
            <w:lang w:val="en-US" w:eastAsia="en-US" w:bidi="ar-SA"/>
          </w:rPr>
          <w:t>164 B.C.A.C. 152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Hayes Forest Services Limited v. Weyerhaeuser Company Limited</w:t>
      </w:r>
      <w:r>
        <w:rPr>
          <w:rFonts w:ascii="arial" w:eastAsia="arial" w:hAnsi="arial" w:cs="arial"/>
          <w:color w:val="000000"/>
          <w:sz w:val="20"/>
          <w:lang w:val="en-US" w:eastAsia="en-US" w:bidi="ar-SA"/>
        </w:rPr>
        <w:t xml:space="preserve">, </w:t>
      </w:r>
      <w:hyperlink r:id="rId793" w:history="1">
        <w:r>
          <w:rPr>
            <w:rFonts w:ascii="arial" w:eastAsia="arial" w:hAnsi="arial" w:cs="arial"/>
            <w:i/>
            <w:color w:val="0077CC"/>
            <w:sz w:val="20"/>
            <w:u w:val="single"/>
            <w:shd w:val="clear" w:color="auto" w:fill="FFFFFF"/>
            <w:lang w:val="en-US" w:eastAsia="en-US" w:bidi="ar-SA"/>
          </w:rPr>
          <w:t>2008 BCCA 31</w:t>
        </w:r>
      </w:hyperlink>
      <w:r>
        <w:rPr>
          <w:rFonts w:ascii="arial" w:eastAsia="arial" w:hAnsi="arial" w:cs="arial"/>
          <w:color w:val="000000"/>
          <w:sz w:val="20"/>
          <w:lang w:val="en-US" w:eastAsia="en-US" w:bidi="ar-SA"/>
        </w:rPr>
        <w:t xml:space="preserve">, </w:t>
      </w:r>
      <w:hyperlink r:id="rId793" w:history="1">
        <w:r>
          <w:rPr>
            <w:rFonts w:ascii="arial" w:eastAsia="arial" w:hAnsi="arial" w:cs="arial"/>
            <w:i/>
            <w:color w:val="0077CC"/>
            <w:sz w:val="20"/>
            <w:u w:val="single"/>
            <w:shd w:val="clear" w:color="auto" w:fill="FFFFFF"/>
            <w:lang w:val="en-US" w:eastAsia="en-US" w:bidi="ar-SA"/>
          </w:rPr>
          <w:t>[2008] B.C.J. No. 108</w:t>
        </w:r>
      </w:hyperlink>
      <w:r>
        <w:rPr>
          <w:rFonts w:ascii="arial" w:eastAsia="arial" w:hAnsi="arial" w:cs="arial"/>
          <w:color w:val="000000"/>
          <w:sz w:val="20"/>
          <w:lang w:val="en-US" w:eastAsia="en-US" w:bidi="ar-SA"/>
        </w:rPr>
        <w:t xml:space="preserve"> (QL)).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Court further stated at para. 50 that evidence "relevant to the factual matrix of the Agreement" and evidence that was likely "relevant to the business purpose of the Agreement" should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Any such evidence in the present case does not support a finding that the contractual obligations were to be performed substantially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Thus, the contractual obligations were not, to a substantial extent, performed in British Columbia and a real and substantial connection is not presumed to exist pursuant to s. 10(e)(i).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plaintiffs further submit that a real and substantial connection may be presumed to exist pursuant to s. 10(e)(iii). The plaintiffs submit that the defendants "solicited business in British Columbia by virtue of registering as investment advisers with the British Columbia Securities Commission and registering extra-provincially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Although RCC carried on business at branches in British Columbia, the plaintiffs do not allege they ever had any dealings with RCC at or through these branches. Mr. Stefanuk deposed that he never travelled to nor solicited business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Strong and Mr. Stefanuk were registered with the British Columbia Securities Commission as investment advisors. It was, counsel agreed, RCC's standard practice to have its advisors registered under the applicable securities legislation in a number of provinces. These facts do not establish a real and substantial connection pursuant to s. 10(e)(iii) or (h).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 real and substantial connection also cannot be presumed pursuant to s. 10(e)(ii). There was nothing in the contract language on the back of the New Client Application Form ("NCAF") the plaintiffs signed when they applied to open the accounts in 1999 that stipulated what law governed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2005, the plaintiffs signed the revised NCAFs, which provided that the "laws of the jurisdiction of the office of RCC from which the Account is administered" governed the contract and that the revised contract "applies to all transactions made in the accounts of the Client, including accounts currently open ..." The plaintiffs' accounts were administered in the Calgary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account contracts are, therefore, governed by the law of Alberta.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Plaintiffs' counsel argued that RCC could have stipulated that any dispute under the contract would be within the jurisdiction of the province where the contract was accepted by RCC, as was done by the brokerage in </w:t>
      </w:r>
      <w:r>
        <w:rPr>
          <w:rFonts w:ascii="arial" w:eastAsia="arial" w:hAnsi="arial" w:cs="arial"/>
          <w:b/>
          <w:i/>
          <w:color w:val="000000"/>
          <w:sz w:val="20"/>
          <w:lang w:val="en-US" w:eastAsia="en-US" w:bidi="ar-SA"/>
        </w:rPr>
        <w:t>Scalas Fashions Ltd. v. Yorkton Securities Inc.</w:t>
      </w:r>
      <w:r>
        <w:rPr>
          <w:rFonts w:ascii="arial" w:eastAsia="arial" w:hAnsi="arial" w:cs="arial"/>
          <w:color w:val="000000"/>
          <w:sz w:val="20"/>
          <w:lang w:val="en-US" w:eastAsia="en-US" w:bidi="ar-SA"/>
        </w:rPr>
        <w:t xml:space="preserve">, </w:t>
      </w:r>
      <w:hyperlink r:id="rId794" w:history="1">
        <w:r>
          <w:rPr>
            <w:rFonts w:ascii="arial" w:eastAsia="arial" w:hAnsi="arial" w:cs="arial"/>
            <w:i/>
            <w:color w:val="0077CC"/>
            <w:sz w:val="20"/>
            <w:u w:val="single"/>
            <w:shd w:val="clear" w:color="auto" w:fill="FFFFFF"/>
            <w:lang w:val="en-US" w:eastAsia="en-US" w:bidi="ar-SA"/>
          </w:rPr>
          <w:t>2003 BCCA 366</w:t>
        </w:r>
      </w:hyperlink>
      <w:r>
        <w:rPr>
          <w:rFonts w:ascii="arial" w:eastAsia="arial" w:hAnsi="arial" w:cs="arial"/>
          <w:color w:val="000000"/>
          <w:sz w:val="20"/>
          <w:lang w:val="en-US" w:eastAsia="en-US" w:bidi="ar-SA"/>
        </w:rPr>
        <w:t xml:space="preserve">, </w:t>
      </w:r>
      <w:hyperlink r:id="rId794" w:history="1">
        <w:r>
          <w:rPr>
            <w:rFonts w:ascii="arial" w:eastAsia="arial" w:hAnsi="arial" w:cs="arial"/>
            <w:i/>
            <w:color w:val="0077CC"/>
            <w:sz w:val="20"/>
            <w:u w:val="single"/>
            <w:shd w:val="clear" w:color="auto" w:fill="FFFFFF"/>
            <w:lang w:val="en-US" w:eastAsia="en-US" w:bidi="ar-SA"/>
          </w:rPr>
          <w:t>17 B.C.L.R. (4th) 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While such a term in RCC's standard contract would have put the matter beyond doubt, the absence of such a term does not lead to the necessary inference that the court in the clients' province of residence has territorial competence over a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It is reasonable to infer that by applying to open accounts in Alberta and continuing to deal exclusively with the individual defendants at RCC's Calgary branch once the accounts were open, the plaintiffs would have anticipated, had they considered the matter, that any legal recourse they might seek in respect of the contract would have to be pursued in Alberta where the individual defendants worked, since the plaintiffs had no contact with any RCC branch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plaintiffs submit, in the alternative, that if no real and substantial connection is presumed to exist on the basis of s. 10 of the </w:t>
      </w:r>
      <w:r>
        <w:rPr>
          <w:rFonts w:ascii="arial" w:eastAsia="arial" w:hAnsi="arial" w:cs="arial"/>
          <w:b/>
          <w:i/>
          <w:color w:val="000000"/>
          <w:sz w:val="20"/>
          <w:lang w:val="en-US" w:eastAsia="en-US" w:bidi="ar-SA"/>
        </w:rPr>
        <w:t>CJPTA</w:t>
      </w:r>
      <w:r>
        <w:rPr>
          <w:rFonts w:ascii="arial" w:eastAsia="arial" w:hAnsi="arial" w:cs="arial"/>
          <w:color w:val="000000"/>
          <w:sz w:val="20"/>
          <w:lang w:val="en-US" w:eastAsia="en-US" w:bidi="ar-SA"/>
        </w:rPr>
        <w:t>, the Court must consider whether a real and substantial connection, and thus territorial competence, exists on the basis of circumstances other than those enumerated in s.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this regard, the plaintiffs submit that the contract was formed in British Columbia and that this establishes the necessary connection and jurisdiction over the personal defendants in relation to the claim in contract. The defendants submit that the contract was formed when the application was accepted in the Calgary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Given that the circumstances discussed above, specifically the contractual obligations and the governing law, show the connection is more with Alberta, the circumstance of where the contract was formed is not sufficient to establish the necessary connection with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 real and substantial connection between British Columbia and the contract claim is not established and this Court does not have territorial competence over the contract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plaintiffs allege the defendants were negligent in performing their duties with respect to trading activity, in failing to employ an appropriate trading strategy, and in failing to notify the plaintiffs of trading activity in their accounts in a timely manner. The plaintiffs also allege the defendants breached their fiduciary duty in failing to advise the plaintiffs or execute the plaintiffs' instructions fully, honestly, and in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Pursuant to s. 10(g), a real and substantial connection between British Columbia and the facts on which a proceeding is based is presumed to exist if the proceeding "concerns a tort committed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this case, all trading activity in the accounts, whether it was contrary to the plaintiffs' instructions as they allege or not, was initiated by Mr. Strong and Mr. Stefanuk in Calgary. Any failure to execute the plaintiffs' instructions occurred in the Calgary office, and any failure to notify the plaintiffs or to advise the plaintiffs also occurred in Calgary, or possibly Ontario, from where mailing of confirmation and monthly statements was carried out. The alleged failure by RCC to supervise the accounts must have occurred at the Calgary branch or Toronto headquarters, not in British Columbia. Thus the acts alleged to constitute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fiduciary duty took place in Alberta.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regards to the damage suffered, the defendants submit any losses were suffered in Alberta. The defendants submit that proceeds of the share purchases remained at the Calgary branch.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The defendants refer to the case </w:t>
      </w:r>
      <w:r>
        <w:rPr>
          <w:rFonts w:ascii="arial" w:eastAsia="arial" w:hAnsi="arial" w:cs="arial"/>
          <w:b/>
          <w:i/>
          <w:color w:val="000000"/>
          <w:sz w:val="20"/>
          <w:lang w:val="en-US" w:eastAsia="en-US" w:bidi="ar-SA"/>
        </w:rPr>
        <w:t>Pineridge Capital Group Inc. v. Anderson</w:t>
      </w:r>
      <w:r>
        <w:rPr>
          <w:rFonts w:ascii="arial" w:eastAsia="arial" w:hAnsi="arial" w:cs="arial"/>
          <w:color w:val="000000"/>
          <w:sz w:val="20"/>
          <w:lang w:val="en-US" w:eastAsia="en-US" w:bidi="ar-SA"/>
        </w:rPr>
        <w:t xml:space="preserve"> </w:t>
      </w:r>
      <w:hyperlink r:id="rId795" w:history="1">
        <w:r>
          <w:rPr>
            <w:rFonts w:ascii="arial" w:eastAsia="arial" w:hAnsi="arial" w:cs="arial"/>
            <w:i/>
            <w:color w:val="0077CC"/>
            <w:sz w:val="20"/>
            <w:u w:val="single"/>
            <w:shd w:val="clear" w:color="auto" w:fill="FFFFFF"/>
            <w:lang w:val="en-US" w:eastAsia="en-US" w:bidi="ar-SA"/>
          </w:rPr>
          <w:t>(1995), 16 B.C.L.R. (3d) 296</w:t>
        </w:r>
      </w:hyperlink>
      <w:r>
        <w:rPr>
          <w:rFonts w:ascii="arial" w:eastAsia="arial" w:hAnsi="arial" w:cs="arial"/>
          <w:color w:val="000000"/>
          <w:sz w:val="20"/>
          <w:lang w:val="en-US" w:eastAsia="en-US" w:bidi="ar-SA"/>
        </w:rPr>
        <w:t xml:space="preserve"> (S.C.), in their submissions for the proposition that "[i]n cases involving alleged losses to bank or investment accounts, it is the jurisdiction in which the account is located that is deemed to be where the losses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plaintiffs submit that the damage in this case was suffered by the plaintiffs in British Columbia, and thus the British Columbia courts have jurisdiction. The plaintiffs say that "the loss was suffered in British Columbia because the amount of money that was transferred back to the Plaintiffs when their accounts were closed was received by them in British Columbia." The plaintiffs also submit that the loss occurred when shares held in the names of the plaintiffs lost value and thus the loss occurred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plaintiffs say that although some of the activity was performed in Alberta, it was common sense that if the activity was not properly performed the plaintiffs would suffer damage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plaintiffs referred to the case </w:t>
      </w:r>
      <w:r>
        <w:rPr>
          <w:rFonts w:ascii="arial" w:eastAsia="arial" w:hAnsi="arial" w:cs="arial"/>
          <w:b/>
          <w:i/>
          <w:color w:val="000000"/>
          <w:sz w:val="20"/>
          <w:lang w:val="en-US" w:eastAsia="en-US" w:bidi="ar-SA"/>
        </w:rPr>
        <w:t>Moran v. Pyle National (Canada) Ltd.</w:t>
      </w:r>
      <w:r>
        <w:rPr>
          <w:rFonts w:ascii="arial" w:eastAsia="arial" w:hAnsi="arial" w:cs="arial"/>
          <w:color w:val="000000"/>
          <w:sz w:val="20"/>
          <w:lang w:val="en-US" w:eastAsia="en-US" w:bidi="ar-SA"/>
        </w:rPr>
        <w:t xml:space="preserve">, </w:t>
      </w:r>
      <w:hyperlink r:id="rId796" w:history="1">
        <w:r>
          <w:rPr>
            <w:rFonts w:ascii="arial" w:eastAsia="arial" w:hAnsi="arial" w:cs="arial"/>
            <w:i/>
            <w:color w:val="0077CC"/>
            <w:sz w:val="20"/>
            <w:u w:val="single"/>
            <w:shd w:val="clear" w:color="auto" w:fill="FFFFFF"/>
            <w:lang w:val="en-US" w:eastAsia="en-US" w:bidi="ar-SA"/>
          </w:rPr>
          <w:t>[1975] 1 S.C.R. 393</w:t>
        </w:r>
      </w:hyperlink>
      <w:r>
        <w:rPr>
          <w:rFonts w:ascii="arial" w:eastAsia="arial" w:hAnsi="arial" w:cs="arial"/>
          <w:color w:val="000000"/>
          <w:sz w:val="20"/>
          <w:lang w:val="en-US" w:eastAsia="en-US" w:bidi="ar-SA"/>
        </w:rPr>
        <w:t>, where the Court stated at 408-409: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it would not be inappropriate to regard a tort as having occurred in any country substantially affected by the defendant's activities or its consequences and the law of which is likely to have been in the reasonable contemplation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plaintiffs submit that therefore torts occur where they substantially affect people, that harm is a significant consideration, and that in determining jurisdiction a tort may have more than one place of occurrence. The plaintiffs submit there is jurisdiction over the tort where the damage occurs, referring to </w:t>
      </w:r>
      <w:r>
        <w:rPr>
          <w:rFonts w:ascii="arial" w:eastAsia="arial" w:hAnsi="arial" w:cs="arial"/>
          <w:b/>
          <w:i/>
          <w:color w:val="000000"/>
          <w:sz w:val="20"/>
          <w:lang w:val="en-US" w:eastAsia="en-US" w:bidi="ar-SA"/>
        </w:rPr>
        <w:t>Furlan v. Shell Oil Co.</w:t>
      </w:r>
      <w:r>
        <w:rPr>
          <w:rFonts w:ascii="arial" w:eastAsia="arial" w:hAnsi="arial" w:cs="arial"/>
          <w:color w:val="000000"/>
          <w:sz w:val="20"/>
          <w:lang w:val="en-US" w:eastAsia="en-US" w:bidi="ar-SA"/>
        </w:rPr>
        <w:t xml:space="preserve">, </w:t>
      </w:r>
      <w:hyperlink r:id="rId797" w:history="1">
        <w:r>
          <w:rPr>
            <w:rFonts w:ascii="arial" w:eastAsia="arial" w:hAnsi="arial" w:cs="arial"/>
            <w:i/>
            <w:color w:val="0077CC"/>
            <w:sz w:val="20"/>
            <w:u w:val="single"/>
            <w:shd w:val="clear" w:color="auto" w:fill="FFFFFF"/>
            <w:lang w:val="en-US" w:eastAsia="en-US" w:bidi="ar-SA"/>
          </w:rPr>
          <w:t>[2000] B.C.J. No. 1334</w:t>
        </w:r>
      </w:hyperlink>
      <w:r>
        <w:rPr>
          <w:rFonts w:ascii="arial" w:eastAsia="arial" w:hAnsi="arial" w:cs="arial"/>
          <w:color w:val="000000"/>
          <w:sz w:val="20"/>
          <w:lang w:val="en-US" w:eastAsia="en-US" w:bidi="ar-SA"/>
        </w:rPr>
        <w:t xml:space="preserve">, </w:t>
      </w:r>
      <w:hyperlink r:id="rId797" w:history="1">
        <w:r>
          <w:rPr>
            <w:rFonts w:ascii="arial" w:eastAsia="arial" w:hAnsi="arial" w:cs="arial"/>
            <w:i/>
            <w:color w:val="0077CC"/>
            <w:sz w:val="20"/>
            <w:u w:val="single"/>
            <w:shd w:val="clear" w:color="auto" w:fill="FFFFFF"/>
            <w:lang w:val="en-US" w:eastAsia="en-US" w:bidi="ar-SA"/>
          </w:rPr>
          <w:t>2000 BCCA 404</w:t>
        </w:r>
      </w:hyperlink>
      <w:r>
        <w:rPr>
          <w:rFonts w:ascii="arial" w:eastAsia="arial" w:hAnsi="arial" w:cs="arial"/>
          <w:color w:val="000000"/>
          <w:sz w:val="20"/>
          <w:lang w:val="en-US" w:eastAsia="en-US" w:bidi="ar-SA"/>
        </w:rPr>
        <w:t xml:space="preserve"> at paras. 21, 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plaintiffs submit that the case </w:t>
      </w:r>
      <w:r>
        <w:rPr>
          <w:rFonts w:ascii="arial" w:eastAsia="arial" w:hAnsi="arial" w:cs="arial"/>
          <w:b/>
          <w:i/>
          <w:color w:val="000000"/>
          <w:sz w:val="20"/>
          <w:lang w:val="en-US" w:eastAsia="en-US" w:bidi="ar-SA"/>
        </w:rPr>
        <w:t>Pineridge</w:t>
      </w:r>
      <w:r>
        <w:rPr>
          <w:rFonts w:ascii="arial" w:eastAsia="arial" w:hAnsi="arial" w:cs="arial"/>
          <w:color w:val="000000"/>
          <w:sz w:val="20"/>
          <w:lang w:val="en-US" w:eastAsia="en-US" w:bidi="ar-SA"/>
        </w:rPr>
        <w:t xml:space="preserve"> is distinguishable.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Pineridge</w:t>
      </w:r>
      <w:r>
        <w:rPr>
          <w:rFonts w:ascii="arial" w:eastAsia="arial" w:hAnsi="arial" w:cs="arial"/>
          <w:color w:val="000000"/>
          <w:sz w:val="20"/>
          <w:lang w:val="en-US" w:eastAsia="en-US" w:bidi="ar-SA"/>
        </w:rPr>
        <w:t>, the plaintiff, a British Columbia company, brought claims for conspiracy, conversion and a declaration of trust against the defendant applicant BSI, a Swiss bank. The Court stated at para. 16, "[i]f there was a conspiracy involving BSI as alleged, its result was to wrest away Pineridge's asset in Switzerland. The proceeds of the debenture never left BSI's offices. They were transferred on paper through the Pineridge and HTB accounts held in the bank in Switzerland."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Court considered the location of the tort and stated at para. 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 case alleged against BSI does not show a tort committed by it in British Columbia. Pineridge was present in Switzerland through its bank account there and it was there that it suffered a loss of the debenture proceeds. All that is shown at this stage is that BSI knew it was dealing with the funds of a British Columbia company when it permitted the debenture proceeds to be transferred from Pineridge to HTB ... The true consequence of BSI's actions was the loss of the Pineridge asset in Switzerland, not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Court found that service on BSI could not be justified pursuant to Rule 13(1)(h) as it was at that time, which allowed service on a party outside British Columbia without an order if "the proceeding is founded on a tort committed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Pineridge</w:t>
      </w:r>
      <w:r>
        <w:rPr>
          <w:rFonts w:ascii="arial" w:eastAsia="arial" w:hAnsi="arial" w:cs="arial"/>
          <w:color w:val="000000"/>
          <w:sz w:val="20"/>
          <w:lang w:val="en-US" w:eastAsia="en-US" w:bidi="ar-SA"/>
        </w:rPr>
        <w:t xml:space="preserve"> was referred to in </w:t>
      </w:r>
      <w:r>
        <w:rPr>
          <w:rFonts w:ascii="arial" w:eastAsia="arial" w:hAnsi="arial" w:cs="arial"/>
          <w:b/>
          <w:i/>
          <w:color w:val="000000"/>
          <w:sz w:val="20"/>
          <w:lang w:val="en-US" w:eastAsia="en-US" w:bidi="ar-SA"/>
        </w:rPr>
        <w:t>Coast Spas Inc. v. California Acrylic Industries Inc.</w:t>
      </w:r>
      <w:r>
        <w:rPr>
          <w:rFonts w:ascii="arial" w:eastAsia="arial" w:hAnsi="arial" w:cs="arial"/>
          <w:color w:val="000000"/>
          <w:sz w:val="20"/>
          <w:lang w:val="en-US" w:eastAsia="en-US" w:bidi="ar-SA"/>
        </w:rPr>
        <w:t xml:space="preserve">, </w:t>
      </w:r>
      <w:hyperlink r:id="rId798" w:history="1">
        <w:r>
          <w:rPr>
            <w:rFonts w:ascii="arial" w:eastAsia="arial" w:hAnsi="arial" w:cs="arial"/>
            <w:i/>
            <w:color w:val="0077CC"/>
            <w:sz w:val="20"/>
            <w:u w:val="single"/>
            <w:shd w:val="clear" w:color="auto" w:fill="FFFFFF"/>
            <w:lang w:val="en-US" w:eastAsia="en-US" w:bidi="ar-SA"/>
          </w:rPr>
          <w:t>[1997] B.C.J. No. 1718</w:t>
        </w:r>
      </w:hyperlink>
      <w:r>
        <w:rPr>
          <w:rFonts w:ascii="arial" w:eastAsia="arial" w:hAnsi="arial" w:cs="arial"/>
          <w:color w:val="000000"/>
          <w:sz w:val="20"/>
          <w:lang w:val="en-US" w:eastAsia="en-US" w:bidi="ar-SA"/>
        </w:rPr>
        <w:t xml:space="preserve"> (QL) (S.C.). In this case, the plaintiffs had alleged a conspiracy against some of the defendants, and the defendants argued that the courts of California were the more appropriate forum to hear the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Court stated at para. 22, "[i]t is argued that the alleged tort of conspiracy occurred in British Columbia because the target of the conspiracy, being Mr. Elkington's companies, suffered damage in terms of business losses here." The Court went on to state at para. 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 do not accept that the alleged tort can be said to have been committed in British Columbia simply because Mr. Elkington's companies suffered losses here. Indeed, that is the very kind of contention that appears to have been rejected in Pineridge,</w:t>
      </w:r>
      <w:r>
        <w:rPr>
          <w:rFonts w:ascii="arial" w:eastAsia="arial" w:hAnsi="arial" w:cs="arial"/>
          <w:color w:val="000000"/>
          <w:sz w:val="20"/>
          <w:lang w:val="en-US" w:eastAsia="en-US" w:bidi="ar-SA"/>
        </w:rPr>
        <w:t xml:space="preserve"> (paras. 17-19). In my view, on the pleadings and the affidavit evidence before me, it cannot be said with any certainty where the alleged tort of conspiracy would be found to have been committed. It may be shown to have occurred in different jurisdictions, but it does appear that the conduct of which Mr. Elkington complains occurred almost entirely in the United States and its effect was to prevent his doing business there. If so, that is where, in the main, the tort is alleged to have occurred. I do not consider there is any sound basis upon which it could be concluded now that what appears to be the essence of the claims made, particularly against the attorneys, would be governed by the law of this jurisdiction. Their conduct is not only to be governed by American law but is a matter of the professional standards of the California bar.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Pan-Afric Holdings Ltd. v. Ernst &amp; Young LLP</w:t>
      </w:r>
      <w:r>
        <w:rPr>
          <w:rFonts w:ascii="arial" w:eastAsia="arial" w:hAnsi="arial" w:cs="arial"/>
          <w:color w:val="000000"/>
          <w:sz w:val="20"/>
          <w:lang w:val="en-US" w:eastAsia="en-US" w:bidi="ar-SA"/>
        </w:rPr>
        <w:t xml:space="preserve">, </w:t>
      </w:r>
      <w:hyperlink r:id="rId799" w:history="1">
        <w:r>
          <w:rPr>
            <w:rFonts w:ascii="arial" w:eastAsia="arial" w:hAnsi="arial" w:cs="arial"/>
            <w:i/>
            <w:color w:val="0077CC"/>
            <w:sz w:val="20"/>
            <w:u w:val="single"/>
            <w:shd w:val="clear" w:color="auto" w:fill="FFFFFF"/>
            <w:lang w:val="en-US" w:eastAsia="en-US" w:bidi="ar-SA"/>
          </w:rPr>
          <w:t>2007 BCSC 685</w:t>
        </w:r>
      </w:hyperlink>
      <w:r>
        <w:rPr>
          <w:rFonts w:ascii="arial" w:eastAsia="arial" w:hAnsi="arial" w:cs="arial"/>
          <w:color w:val="000000"/>
          <w:sz w:val="20"/>
          <w:lang w:val="en-US" w:eastAsia="en-US" w:bidi="ar-SA"/>
        </w:rPr>
        <w:t xml:space="preserve">, </w:t>
      </w:r>
      <w:hyperlink r:id="rId799" w:history="1">
        <w:r>
          <w:rPr>
            <w:rFonts w:ascii="arial" w:eastAsia="arial" w:hAnsi="arial" w:cs="arial"/>
            <w:i/>
            <w:color w:val="0077CC"/>
            <w:sz w:val="20"/>
            <w:u w:val="single"/>
            <w:shd w:val="clear" w:color="auto" w:fill="FFFFFF"/>
            <w:lang w:val="en-US" w:eastAsia="en-US" w:bidi="ar-SA"/>
          </w:rPr>
          <w:t>73 B.C.L.R. (4th) 355</w:t>
        </w:r>
      </w:hyperlink>
      <w:r>
        <w:rPr>
          <w:rFonts w:ascii="arial" w:eastAsia="arial" w:hAnsi="arial" w:cs="arial"/>
          <w:color w:val="000000"/>
          <w:sz w:val="20"/>
          <w:lang w:val="en-US" w:eastAsia="en-US" w:bidi="ar-SA"/>
        </w:rPr>
        <w:t xml:space="preserve">, the Court considered the issue of </w:t>
      </w:r>
      <w:r>
        <w:rPr>
          <w:rFonts w:ascii="arial" w:eastAsia="arial" w:hAnsi="arial" w:cs="arial"/>
          <w:i/>
          <w:color w:val="000000"/>
          <w:sz w:val="20"/>
          <w:lang w:val="en-US" w:eastAsia="en-US" w:bidi="ar-SA"/>
        </w:rPr>
        <w:t>forum non conveniens</w:t>
      </w:r>
      <w:r>
        <w:rPr>
          <w:rFonts w:ascii="arial" w:eastAsia="arial" w:hAnsi="arial" w:cs="arial"/>
          <w:color w:val="000000"/>
          <w:sz w:val="20"/>
          <w:lang w:val="en-US" w:eastAsia="en-US" w:bidi="ar-SA"/>
        </w:rPr>
        <w:t xml:space="preserve"> pursuant to s. 11 of the </w:t>
      </w:r>
      <w:r>
        <w:rPr>
          <w:rFonts w:ascii="arial" w:eastAsia="arial" w:hAnsi="arial" w:cs="arial"/>
          <w:b/>
          <w:i/>
          <w:color w:val="000000"/>
          <w:sz w:val="20"/>
          <w:lang w:val="en-US" w:eastAsia="en-US" w:bidi="ar-SA"/>
        </w:rPr>
        <w:t>CJPTA</w:t>
      </w:r>
      <w:r>
        <w:rPr>
          <w:rFonts w:ascii="arial" w:eastAsia="arial" w:hAnsi="arial" w:cs="arial"/>
          <w:color w:val="000000"/>
          <w:sz w:val="20"/>
          <w:lang w:val="en-US" w:eastAsia="en-US" w:bidi="ar-SA"/>
        </w:rPr>
        <w:t xml:space="preserve">. The defendant conceded that British Columbia had territorial competence but sought an order that the State of Maryland was the more appropriate forum to hear the dispute. The plaintiff alleged breach of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addressing the question of the law to be applied to the issues in the proceedings, the Court stated at para. 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Pan-Afric seeks to recover general, aggravated, punitive, and special damages for breach of contract, and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Although by reason of the fact that Pan-Afric is a British Columbia company any loss suffered would have occurred here, its claim rests on a contract entered into in Maryland, for work done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And further at para. 36: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respect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I similarly hold that it is governed by the laws of Maryland. What is in issue here is the conduct of Maryland professionals whose competence should be judged according to the laws and professional standards applicable in that jurisdiction. </w:t>
      </w:r>
      <w:r>
        <w:rPr>
          <w:rFonts w:ascii="arial" w:eastAsia="arial" w:hAnsi="arial" w:cs="arial"/>
          <w:b/>
          <w:color w:val="000000"/>
          <w:sz w:val="20"/>
          <w:lang w:val="en-US" w:eastAsia="en-US" w:bidi="ar-SA"/>
        </w:rPr>
        <w:t>If the alleged tort was committed, then it was committed there, not here</w:t>
      </w:r>
      <w:r>
        <w:rPr>
          <w:rFonts w:ascii="arial" w:eastAsia="arial" w:hAnsi="arial" w:cs="arial"/>
          <w:color w:val="000000"/>
          <w:sz w:val="20"/>
          <w:lang w:val="en-US" w:eastAsia="en-US" w:bidi="ar-SA"/>
        </w:rPr>
        <w:t xml:space="preserve">: see </w:t>
      </w:r>
      <w:r>
        <w:rPr>
          <w:rFonts w:ascii="arial" w:eastAsia="arial" w:hAnsi="arial" w:cs="arial"/>
          <w:b/>
          <w:i/>
          <w:color w:val="000000"/>
          <w:sz w:val="20"/>
          <w:lang w:val="en-US" w:eastAsia="en-US" w:bidi="ar-SA"/>
        </w:rPr>
        <w:t>Coast Spas Inc. v. California Acrylic Industries Inc.</w:t>
      </w:r>
      <w:r>
        <w:rPr>
          <w:rFonts w:ascii="arial" w:eastAsia="arial" w:hAnsi="arial" w:cs="arial"/>
          <w:color w:val="000000"/>
          <w:sz w:val="20"/>
          <w:lang w:val="en-US" w:eastAsia="en-US" w:bidi="ar-SA"/>
        </w:rPr>
        <w:t xml:space="preserve">, </w:t>
      </w:r>
      <w:hyperlink r:id="rId798" w:history="1">
        <w:r>
          <w:rPr>
            <w:rFonts w:ascii="arial" w:eastAsia="arial" w:hAnsi="arial" w:cs="arial"/>
            <w:i/>
            <w:color w:val="0077CC"/>
            <w:sz w:val="20"/>
            <w:u w:val="single"/>
            <w:shd w:val="clear" w:color="auto" w:fill="FFFFFF"/>
            <w:lang w:val="en-US" w:eastAsia="en-US" w:bidi="ar-SA"/>
          </w:rPr>
          <w:t>[1997] B.C.J. No. 1718</w:t>
        </w:r>
      </w:hyperlink>
      <w:r>
        <w:rPr>
          <w:rFonts w:ascii="arial" w:eastAsia="arial" w:hAnsi="arial" w:cs="arial"/>
          <w:color w:val="000000"/>
          <w:sz w:val="20"/>
          <w:lang w:val="en-US" w:eastAsia="en-US" w:bidi="ar-SA"/>
        </w:rPr>
        <w:t xml:space="preserve"> (QL) (S.C.) at para. 25 (per Lowry J., as he then was); Castel and Walker, </w:t>
      </w:r>
      <w:r>
        <w:rPr>
          <w:rFonts w:ascii="arial" w:eastAsia="arial" w:hAnsi="arial" w:cs="arial"/>
          <w:i/>
          <w:color w:val="000000"/>
          <w:sz w:val="20"/>
          <w:lang w:val="en-US" w:eastAsia="en-US" w:bidi="ar-SA"/>
        </w:rPr>
        <w:t>Canadian Conflict of Laws</w:t>
      </w:r>
      <w:r>
        <w:rPr>
          <w:rFonts w:ascii="arial" w:eastAsia="arial" w:hAnsi="arial" w:cs="arial"/>
          <w:color w:val="000000"/>
          <w:sz w:val="20"/>
          <w:lang w:val="en-US" w:eastAsia="en-US" w:bidi="ar-SA"/>
        </w:rPr>
        <w:t>, Vol. 2, s. 35.5.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Although the statements in these cases were made in the context of a </w:t>
      </w:r>
      <w:r>
        <w:rPr>
          <w:rFonts w:ascii="arial" w:eastAsia="arial" w:hAnsi="arial" w:cs="arial"/>
          <w:i/>
          <w:color w:val="000000"/>
          <w:sz w:val="20"/>
          <w:lang w:val="en-US" w:eastAsia="en-US" w:bidi="ar-SA"/>
        </w:rPr>
        <w:t>forum non conveniens</w:t>
      </w:r>
      <w:r>
        <w:rPr>
          <w:rFonts w:ascii="arial" w:eastAsia="arial" w:hAnsi="arial" w:cs="arial"/>
          <w:color w:val="000000"/>
          <w:sz w:val="20"/>
          <w:lang w:val="en-US" w:eastAsia="en-US" w:bidi="ar-SA"/>
        </w:rPr>
        <w:t xml:space="preserve"> analysis rather than the territorial competence analysis, and specifically s. 10(g) of the </w:t>
      </w:r>
      <w:r>
        <w:rPr>
          <w:rFonts w:ascii="arial" w:eastAsia="arial" w:hAnsi="arial" w:cs="arial"/>
          <w:b/>
          <w:i/>
          <w:color w:val="000000"/>
          <w:sz w:val="20"/>
          <w:lang w:val="en-US" w:eastAsia="en-US" w:bidi="ar-SA"/>
        </w:rPr>
        <w:t>CJPTA</w:t>
      </w:r>
      <w:r>
        <w:rPr>
          <w:rFonts w:ascii="arial" w:eastAsia="arial" w:hAnsi="arial" w:cs="arial"/>
          <w:color w:val="000000"/>
          <w:sz w:val="20"/>
          <w:lang w:val="en-US" w:eastAsia="en-US" w:bidi="ar-SA"/>
        </w:rPr>
        <w:t>, they indicate that financial loss suffered in British Columbia is not sufficient to find that the tort has been committed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the present case, the activity giving rise to the alleged tort claims occurred in Alberta, and possibly Ontario, and it was only the alleged financial loss that was suffered in British Columbia. Further, it is the law of Alberta that has been found to govern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It cannot be said for the purposes of s. 10(g) that the tort was committed in British Columbia. Thus a real and substantial connection between British Columbia and the tort claim is not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It is the plaintiffs' submission that because the Court has territorial competence in a proceeding against RCC because RCC is "ordinarily resident" in British Columbia, the Court also has territorial competence over the individual defendants as necessary parties, because RCC is vicariously liable for the individual defendants' alleged mismanagement of the accounts.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It seems to me that this submission puts the cart before the horse. But for the alleged mismanagement of the accounts by the individual defendants, the plaintiffs would have no basis for alleging RCC is liable, vicariously or otherwise. The "facts on which the proceeding is based" are the individual defendants' alleged acts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contract or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fact that the plaintiffs and RCC are resident in British Columbia is only incidentally related to the facts that are the basis of the proceeding, and irrelevant to the causes of action alleged. The fact of residence, which is the only one linking the proceeding to British Columbia, is therefore insufficient to establish territorial competence over the individual defendants, whose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breach of contract or breach of fiduciary duty while carrying out their jobs in Alberta are the only bases for RCC's vicarious liability. I am therefore unable to accept the plaintiffs' submission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APPROPRIATE FORUM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If I am wrong in concluding that the Court does not have territorial competence in respect of the proceeding against the individual defendants, I would nevertheless decline jurisdiction in respect of all three defendants for the following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Although conceding territorial competence in respect of RCC, the three defendants ask the Court to decline jurisdiction in respect of all of them on the basis that an Alberta court is the more appropriate forum to hear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Section 11 of the </w:t>
      </w:r>
      <w:r>
        <w:rPr>
          <w:rFonts w:ascii="arial" w:eastAsia="arial" w:hAnsi="arial" w:cs="arial"/>
          <w:b/>
          <w:i/>
          <w:color w:val="000000"/>
          <w:sz w:val="20"/>
          <w:lang w:val="en-US" w:eastAsia="en-US" w:bidi="ar-SA"/>
        </w:rPr>
        <w:t>CJPTA</w:t>
      </w:r>
      <w:r>
        <w:rPr>
          <w:rFonts w:ascii="arial" w:eastAsia="arial" w:hAnsi="arial" w:cs="arial"/>
          <w:color w:val="000000"/>
          <w:sz w:val="20"/>
          <w:lang w:val="en-US" w:eastAsia="en-US" w:bidi="ar-SA"/>
        </w:rPr>
        <w:t xml:space="preserve">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Discretion as to the exercise of territorial competence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11(1) After considering the interests of the parties to a proceeding and the ends of justice, a court may decline to exercise its territorial competence in the proceeding on the ground that a court of another state is a more appropriate forum in which to hear the proceeding.</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court, in deciding the question of whether it or a court outside British Columbia is the more appropriate forum in which to hear a proceeding, must consider the circumstances relevant to the proceeding, including</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comparative convenience and expense for the parties to the proceeding and for their witnesses, in litigating in the court or in any alternative forum,</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law to be applied to issues in the proceeding,</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desirability of avoiding multiplicity of legal proceedings,</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desirability of avoiding conflicting decisions in different courts,</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enforcement of an eventual judgment, and</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fair and efficient working of the Canadian legal system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Purple Echo</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the Court stated at para. 59 that "[t]he weight given to these factors is a matter for the discretion of the Chambers judge" but emphasized that the interests of the parties, specifically the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entitlement of the plaintiff to its choice of forum, must be considered. The Court quoted the statement from </w:t>
      </w:r>
      <w:r>
        <w:rPr>
          <w:rFonts w:ascii="arial" w:eastAsia="arial" w:hAnsi="arial" w:cs="arial"/>
          <w:b/>
          <w:i/>
          <w:color w:val="000000"/>
          <w:sz w:val="20"/>
          <w:lang w:val="en-US" w:eastAsia="en-US" w:bidi="ar-SA"/>
        </w:rPr>
        <w:t>Amchem Products Inc. v. British Columbia (Workers' Compensation Board)</w:t>
      </w:r>
      <w:r>
        <w:rPr>
          <w:rFonts w:ascii="arial" w:eastAsia="arial" w:hAnsi="arial" w:cs="arial"/>
          <w:color w:val="000000"/>
          <w:sz w:val="20"/>
          <w:lang w:val="en-US" w:eastAsia="en-US" w:bidi="ar-SA"/>
        </w:rPr>
        <w:t xml:space="preserve">, </w:t>
      </w:r>
      <w:hyperlink r:id="rId800" w:history="1">
        <w:r>
          <w:rPr>
            <w:rFonts w:ascii="arial" w:eastAsia="arial" w:hAnsi="arial" w:cs="arial"/>
            <w:i/>
            <w:color w:val="0077CC"/>
            <w:sz w:val="20"/>
            <w:u w:val="single"/>
            <w:shd w:val="clear" w:color="auto" w:fill="FFFFFF"/>
            <w:lang w:val="en-US" w:eastAsia="en-US" w:bidi="ar-SA"/>
          </w:rPr>
          <w:t>[1993] 1 S.C.R. 897</w:t>
        </w:r>
      </w:hyperlink>
      <w:r>
        <w:rPr>
          <w:rFonts w:ascii="arial" w:eastAsia="arial" w:hAnsi="arial" w:cs="arial"/>
          <w:color w:val="000000"/>
          <w:sz w:val="20"/>
          <w:lang w:val="en-US" w:eastAsia="en-US" w:bidi="ar-SA"/>
        </w:rPr>
        <w:t xml:space="preserve"> at 921 that "the existence of a more appropriate forum must be </w:t>
      </w:r>
      <w:r>
        <w:rPr>
          <w:rFonts w:ascii="arial" w:eastAsia="arial" w:hAnsi="arial" w:cs="arial"/>
          <w:color w:val="000000"/>
          <w:sz w:val="20"/>
          <w:u w:val="single"/>
          <w:lang w:val="en-US" w:eastAsia="en-US" w:bidi="ar-SA"/>
        </w:rPr>
        <w:t>clearly</w:t>
      </w:r>
      <w:r>
        <w:rPr>
          <w:rFonts w:ascii="arial" w:eastAsia="arial" w:hAnsi="arial" w:cs="arial"/>
          <w:color w:val="000000"/>
          <w:sz w:val="20"/>
          <w:lang w:val="en-US" w:eastAsia="en-US" w:bidi="ar-SA"/>
        </w:rPr>
        <w:t xml:space="preserve"> established to displace the forum selected by the plaintiff"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interest of the parties in this case would not be served by proceedings against RCC in British Columbia and proceedings against the individual defendants in Alberta, which could be the result of my conclusion that this Court has no territorial competence in respect of the latter. No proceeding has yet been commenced in Alberta.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Comparative convenience and expense are not factors of great significance in this case in light of the relevant ease of transport and communication between Vancouver and Calgary.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law to be applied is that of Alberta, which militates in favour of this Court exercising its discretion to decline jurisdiction in favour of the Alberta court. The potential inconvenience and added expense that this may cause the plaintiffs must be balanced against the convenience of the defendants, whose five potential witnesses are all in Alberta. There will be a cost saving to the parties of not having to prove Alberta law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fair and efficient working of the legal system in Canada is better served if the action is tried by an Alberta court, the law of which applies to this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Existing common law is also applicable to the </w:t>
      </w:r>
      <w:r>
        <w:rPr>
          <w:rFonts w:ascii="arial" w:eastAsia="arial" w:hAnsi="arial" w:cs="arial"/>
          <w:i/>
          <w:color w:val="000000"/>
          <w:sz w:val="20"/>
          <w:lang w:val="en-US" w:eastAsia="en-US" w:bidi="ar-SA"/>
        </w:rPr>
        <w:t>forum non conveniens</w:t>
      </w:r>
      <w:r>
        <w:rPr>
          <w:rFonts w:ascii="arial" w:eastAsia="arial" w:hAnsi="arial" w:cs="arial"/>
          <w:color w:val="000000"/>
          <w:sz w:val="20"/>
          <w:lang w:val="en-US" w:eastAsia="en-US" w:bidi="ar-SA"/>
        </w:rPr>
        <w:t xml:space="preserve"> analysis: </w:t>
      </w:r>
      <w:r>
        <w:rPr>
          <w:rFonts w:ascii="arial" w:eastAsia="arial" w:hAnsi="arial" w:cs="arial"/>
          <w:b/>
          <w:i/>
          <w:color w:val="000000"/>
          <w:sz w:val="20"/>
          <w:lang w:val="en-US" w:eastAsia="en-US" w:bidi="ar-SA"/>
        </w:rPr>
        <w:t>Purple Echo,</w:t>
      </w:r>
      <w:r>
        <w:rPr>
          <w:rFonts w:ascii="arial" w:eastAsia="arial" w:hAnsi="arial" w:cs="arial"/>
          <w:i/>
          <w:color w:val="000000"/>
          <w:sz w:val="20"/>
          <w:lang w:val="en-US" w:eastAsia="en-US" w:bidi="ar-SA"/>
        </w:rPr>
        <w:t xml:space="preserve"> supra</w:t>
      </w:r>
      <w:r>
        <w:rPr>
          <w:rFonts w:ascii="arial" w:eastAsia="arial" w:hAnsi="arial" w:cs="arial"/>
          <w:color w:val="000000"/>
          <w:sz w:val="20"/>
          <w:lang w:val="en-US" w:eastAsia="en-US" w:bidi="ar-SA"/>
        </w:rPr>
        <w:t xml:space="preserve"> at para. 59. A consideration of these additional factors also indicates that Alberta is the more appropriate forum to hear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defendants' application for a stay is granted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plaintiffs' counsel asked that if the stay were granted the action be transferred to Alberta under Part 3 of the </w:t>
      </w:r>
      <w:r>
        <w:rPr>
          <w:rFonts w:ascii="arial" w:eastAsia="arial" w:hAnsi="arial" w:cs="arial"/>
          <w:b/>
          <w:i/>
          <w:color w:val="000000"/>
          <w:sz w:val="20"/>
          <w:lang w:val="en-US" w:eastAsia="en-US" w:bidi="ar-SA"/>
        </w:rPr>
        <w:t>CJPTA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Part 3 of the </w:t>
      </w:r>
      <w:r>
        <w:rPr>
          <w:rFonts w:ascii="arial" w:eastAsia="arial" w:hAnsi="arial" w:cs="arial"/>
          <w:b/>
          <w:i/>
          <w:color w:val="000000"/>
          <w:sz w:val="20"/>
          <w:lang w:val="en-US" w:eastAsia="en-US" w:bidi="ar-SA"/>
        </w:rPr>
        <w:t>CJPTA</w:t>
      </w:r>
      <w:r>
        <w:rPr>
          <w:rFonts w:ascii="arial" w:eastAsia="arial" w:hAnsi="arial" w:cs="arial"/>
          <w:color w:val="000000"/>
          <w:sz w:val="20"/>
          <w:lang w:val="en-US" w:eastAsia="en-US" w:bidi="ar-SA"/>
        </w:rPr>
        <w:t xml:space="preserve"> is titled "Transfer of a Proceeding" and includes ss. 13-24. Section 13 states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General provisions applicable to transfers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13(1) The Supreme Court, in accordance with this Part, may</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transfer a proceeding to a court outside British Columbia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power given under this Part to the Supreme Court to transfer a proceeding to a court outside British Columbia includes the power to transfer part of the proceeding to that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anything relating to a transfer of a proceeding is done or ought to be done in a court outside British Columbia, the Supreme Court, despite any differences between this Part and the rules applicable in the court outside British Columbia, may transfer or accept a transfer of the proceeding if the Supreme Court considers that the differences do not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 the effectiveness of the transfer, or</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inhibit the fair and proper conduct of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Section 14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Grounds for an order transferring a proceeding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14(1) The Supreme Court by order may request a court outside British Columbia to accept a transfer of a proceeding in which the Supreme Court has both territorial and subject matter competence if the Supreme Court is satisfied that</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receiving court has subject matter competence in the proceeding, and</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section 11, the receiving court is a more appropriate forum for the proceeding than the Supreme Court.</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Supreme Court by order may request a court outside British Columbia to accept a transfer of a proceeding, in which the Supreme Court lacks territorial or subject matter competence if the Supreme Court is satisfied that the receiving court has both territorial and subject mater competence in the proceeding.</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deciding whether a court outside British Columbia has territorial or subject matter competence in a proceeding, the Supreme Court must apply the laws of the state in which the court outside British Columbia is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Section 15(1)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Provisions relating to the transfer order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15(1) In an order requesting a court outside British Columbia to accept a transfer of a proceeding, the Supreme Court must state the reasons for the request.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Iskander and Sons, Inc. v. Haghighat</w:t>
      </w:r>
      <w:r>
        <w:rPr>
          <w:rFonts w:ascii="arial" w:eastAsia="arial" w:hAnsi="arial" w:cs="arial"/>
          <w:color w:val="000000"/>
          <w:sz w:val="20"/>
          <w:lang w:val="en-US" w:eastAsia="en-US" w:bidi="ar-SA"/>
        </w:rPr>
        <w:t xml:space="preserve">, </w:t>
      </w:r>
      <w:hyperlink r:id="rId801" w:history="1">
        <w:r>
          <w:rPr>
            <w:rFonts w:ascii="arial" w:eastAsia="arial" w:hAnsi="arial" w:cs="arial"/>
            <w:i/>
            <w:color w:val="0077CC"/>
            <w:sz w:val="20"/>
            <w:u w:val="single"/>
            <w:shd w:val="clear" w:color="auto" w:fill="FFFFFF"/>
            <w:lang w:val="en-US" w:eastAsia="en-US" w:bidi="ar-SA"/>
          </w:rPr>
          <w:t>[2007] B.C.J. No. 1803</w:t>
        </w:r>
      </w:hyperlink>
      <w:r>
        <w:rPr>
          <w:rFonts w:ascii="arial" w:eastAsia="arial" w:hAnsi="arial" w:cs="arial"/>
          <w:color w:val="000000"/>
          <w:sz w:val="20"/>
          <w:lang w:val="en-US" w:eastAsia="en-US" w:bidi="ar-SA"/>
        </w:rPr>
        <w:t xml:space="preserve">, </w:t>
      </w:r>
      <w:hyperlink r:id="rId801" w:history="1">
        <w:r>
          <w:rPr>
            <w:rFonts w:ascii="arial" w:eastAsia="arial" w:hAnsi="arial" w:cs="arial"/>
            <w:i/>
            <w:color w:val="0077CC"/>
            <w:sz w:val="20"/>
            <w:u w:val="single"/>
            <w:shd w:val="clear" w:color="auto" w:fill="FFFFFF"/>
            <w:lang w:val="en-US" w:eastAsia="en-US" w:bidi="ar-SA"/>
          </w:rPr>
          <w:t>2007 BCCA 416</w:t>
        </w:r>
      </w:hyperlink>
      <w:r>
        <w:rPr>
          <w:rFonts w:ascii="arial" w:eastAsia="arial" w:hAnsi="arial" w:cs="arial"/>
          <w:color w:val="000000"/>
          <w:sz w:val="20"/>
          <w:lang w:val="en-US" w:eastAsia="en-US" w:bidi="ar-SA"/>
        </w:rPr>
        <w:t>, the Court stated at paras. 11-12: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decision to request a transfer of proceedings is in my view a discretionary matter having regard to the permissive language used in s. 14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 A full consideration of when and in what circumstances a request for a transfer order ought to be made should await another day when the issue is more squarely raised than is the situation in these proceedings.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Having regard to the circumstances that in this case proceedings were ongoing in the other jurisdiction, a request for a transfer order would appear on its face to have less efficacy than might be the case in circumstances where the only action extant was a proceeding commenced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Court declined to make a transfer order stating that it would be likely to cause unnecessary delay and be generally inappropriate.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the present case, the only action is this proceeding commenced in the British Columbia court. The Alberta courts have both territorial and subject matter competence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Given the finding that the British Columbia courts do not have territorial competence, or in any event that Alberta is the more appropriate forum to hear the dispute, this is an appropriate case in which to exercise the discretion to request a transfer of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Pursuant to s. 15(1) of the </w:t>
      </w:r>
      <w:r>
        <w:rPr>
          <w:rFonts w:ascii="arial" w:eastAsia="arial" w:hAnsi="arial" w:cs="arial"/>
          <w:b/>
          <w:i/>
          <w:color w:val="000000"/>
          <w:sz w:val="20"/>
          <w:lang w:val="en-US" w:eastAsia="en-US" w:bidi="ar-SA"/>
        </w:rPr>
        <w:t>CJPTA,</w:t>
      </w:r>
      <w:r>
        <w:rPr>
          <w:rFonts w:ascii="arial" w:eastAsia="arial" w:hAnsi="arial" w:cs="arial"/>
          <w:color w:val="000000"/>
          <w:sz w:val="20"/>
          <w:lang w:val="en-US" w:eastAsia="en-US" w:bidi="ar-SA"/>
        </w:rPr>
        <w:t xml:space="preserve"> my reason for requesting transfer of this proceeding to the Alberta Court of Queen's Bench is that I have found this Court does not have territorial competence over the proceeding against two of three defendants on the basis that there is no substantial connection between British Columbia and the facts on which the proceeding against them is based. I have found that those facts establish a substantial connection between what is alleged against the defendants and Alberta, which is therefore the state with territorial competence over the individual defendants and the Alberta Court of Queen's Bench is the more appropriate forum.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Neither counsel requested any terms or conditions be included in the order requesting transfer, nor any provision for return of the proceeding to British Columbia. If any such terms or conditions are agreed by counsel, they may include them in the formal order submitted for entry, which should be accompanied by a brief note of explanation to my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M.M. KOENIGSBERG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5" style="position:absolute;z-index:2518896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02"/>
          <w:headerReference w:type="default" r:id="rId803"/>
          <w:footerReference w:type="even" r:id="rId804"/>
          <w:footerReference w:type="default" r:id="rId805"/>
          <w:headerReference w:type="first" r:id="rId806"/>
          <w:footerReference w:type="first" r:id="rId80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08" w:history="1">
        <w:r>
          <w:rPr>
            <w:rFonts w:ascii="arial" w:eastAsia="arial" w:hAnsi="arial" w:cs="arial"/>
            <w:b/>
            <w:bCs/>
            <w:i/>
            <w:color w:val="0077CC"/>
            <w:kern w:val="32"/>
            <w:sz w:val="28"/>
            <w:szCs w:val="32"/>
            <w:u w:val="single"/>
            <w:shd w:val="clear" w:color="auto" w:fill="FFFFFF"/>
            <w:lang w:val="en-US" w:eastAsia="en-US" w:bidi="ar-SA"/>
          </w:rPr>
          <w:t>Golden Hill Ventures Ltd. v. Kemess Mines Inc., [2002] B.C.J. No. 2340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Burnyeat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17 - 20, 25 - 28, May 1, 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8 - 12, 23 - 26, 29 - 31, June 1, 5 - 9, 19 - 23,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26 - 28, July 4 - 6, 24 - 28, 31, August 1 - 4,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September 1 - 13, 21, 22, 25 - 29, October 4 - 6,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10 - 13, 16 - 20, 23 - 26, November 27 - 30, December</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5 - 8, 11, 13 - 15, 2000; March 12 - 15, April 2, 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17 - 20, 23, 25, 26, 30, May 1, 2, 7 - 10, 11, 14, 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June 11, 13, 14, 15 and 22,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Written submissions: July 13,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17,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L000508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2340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1460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 B.C.L.R. (4th) 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22 C.L.R. (3d) 26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B.C.T.C. 1460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1460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Golden Hill Ventures Ltd., plaintiff, and Kemess Mines Inc. and Kemess Mines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(1200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6" style="position:absolute;z-index:2516992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7" w:name="Keywords_38"/>
      <w:bookmarkEnd w:id="257"/>
      <w:r>
        <w:rPr>
          <w:rFonts w:ascii="arial" w:eastAsia="arial" w:hAnsi="arial" w:cs="arial"/>
          <w:b/>
          <w:color w:val="000000"/>
          <w:sz w:val="20"/>
          <w:lang w:val="en-US" w:eastAsia="en-US" w:bidi="ar-SA"/>
        </w:rPr>
        <w:t xml:space="preserve">Building contracts — Tender calls — Duty of disclosure of person calling tender — Negligent misrepresentation — Actions against the owner — For breach of contract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Damages, measure of — Torts — Interference with economic relations — Interference with contractual rights.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58" w:name="Case Summary_36"/>
            <w:bookmarkEnd w:id="25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Golden Hill Ventures against Kemess Mines, and counterclaim by Kemess Mines, arising from a project for construction of a pit mine and other projects, including a housing camp and airstrip. Kemess retained Golden to prepare the site. Golden did not complete the work as initially scheduled. It finally terminated its work at the end of June 1997 due to Kemess's failure to pay it monies owing. Golden filed builders' liens against Kemess's mining claims and leases, which were found to be valid. Kemess claimed that Golden owed it $426,881.44 for staying at a camp on its site. It submitted that Golden made an admission in its amended statement of claim that it owed it this amount.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59" w:name="Holdings of Court_29"/>
            <w:bookmarkEnd w:id="259"/>
            <w:r>
              <w:rPr>
                <w:rFonts w:ascii="arial" w:eastAsia="arial" w:hAnsi="arial" w:cs="arial"/>
                <w:color w:val="000000"/>
                <w:sz w:val="20"/>
                <w:lang w:val="en-US" w:eastAsia="en-US" w:bidi="ar-SA"/>
              </w:rPr>
              <w:t>HELD: Action and counterclaim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Golden was awarded judgment for $7,003,617.57 and was entitled to a lien for $6,521,177,57. Kemess was liable in contract and tort due to the inadequate soil sources, and its failure to allow Golden to control the work and to provide permits in a timely manner. It also failed to provide sufficient pre- and post-tender information, designate adequate topsoil stockpiles, borrow pits and waste drums and to allow Golden to suspend the work when appropriate. It also breached its duty of good faith and fair treatment. Kemess was also liable in tort for failing to accurately describe the nature of the work, threatening to breach the contract and for its negligent misrepresentations. It also was liable for damages for acceleration as a result of forcing Golden to incur losses by forcing it to complete parts of the work ahead of schedule. Golden did not agree to waive, limit or negate its right to sue under the tender or the contract. It was not contributorily negligent for its damages. Given that there was concurrent liability in contract and tort, Golden was entitled to the tort measure of damages. It was awarded damages representing its total costs as claimed, less the amount paid and reductions which were not appropriately charged for the project. With regard to the counterclaim, Golden was permitted to withdraw its admission in the absence of prejudice to Kemess in the interests of justice. However, Kemess was entitled to the amount claimed for having the personnel on site given that Golden was compensated for Kemess's tortious acts, which caused it to have to use the site for the lengthy period of time. The lien amount was awarded for the amounts owing under the contract.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60" w:name="Legislation Cited_28"/>
      <w:bookmarkEnd w:id="26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17" style="position:absolute;z-index:2517504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18A, 31(5).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Builders' Lien Act, R.S.B.C. 1996, c. 41, ss. 4, 20, 24, 30(4), 37, 39, 39(1), 39(1)(a), 41, 44, 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Court Order Interest Act, R.S.B.C. 1996, c. 79, ss. 1.1, 2, 2(b).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Forest Act, </w:t>
      </w:r>
      <w:r>
        <w:rPr>
          <w:rFonts w:ascii="arial" w:eastAsia="arial" w:hAnsi="arial" w:cs="arial"/>
          <w:i/>
          <w:color w:val="000000"/>
          <w:sz w:val="20"/>
          <w:lang w:val="en-US" w:eastAsia="en-US" w:bidi="ar-SA"/>
        </w:rPr>
        <w:t>R.S.B.C. 1996, c. 157</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Law and Equity Act, </w:t>
      </w:r>
      <w:hyperlink r:id="rId809" w:history="1">
        <w:r>
          <w:rPr>
            <w:rFonts w:ascii="arial" w:eastAsia="arial" w:hAnsi="arial" w:cs="arial"/>
            <w:i/>
            <w:color w:val="0077CC"/>
            <w:sz w:val="20"/>
            <w:u w:val="single"/>
            <w:shd w:val="clear" w:color="auto" w:fill="FFFFFF"/>
            <w:lang w:val="en-US" w:eastAsia="en-US" w:bidi="ar-SA"/>
          </w:rPr>
          <w:t>R.S.B.C. 1996, c. 253, s. 62</w:t>
        </w:r>
      </w:hyperlink>
      <w:r>
        <w:rPr>
          <w:rFonts w:ascii="arial" w:eastAsia="arial" w:hAnsi="arial" w:cs="arial"/>
          <w:color w:val="000000"/>
          <w:sz w:val="20"/>
          <w:lang w:val="en-US" w:eastAsia="en-US" w:bidi="ar-SA"/>
        </w:rPr>
        <w:t>, 62(2).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Mines Act, </w:t>
      </w:r>
      <w:r>
        <w:rPr>
          <w:rFonts w:ascii="arial" w:eastAsia="arial" w:hAnsi="arial" w:cs="arial"/>
          <w:i/>
          <w:color w:val="000000"/>
          <w:sz w:val="20"/>
          <w:lang w:val="en-US" w:eastAsia="en-US" w:bidi="ar-SA"/>
        </w:rPr>
        <w:t>R.S.B.C. 1996, c. 293</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61" w:name="Counsel_39"/>
      <w:bookmarkEnd w:id="26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8" style="position:absolute;z-index:251801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K.L. Martin, T.J. Rothe and A. Mackay, for the plaintiff. J.A. Hall, M.G. Demers and H.E. Maconachie,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2" w:name="Judgment_39"/>
      <w:bookmarkEnd w:id="262"/>
      <w:r>
        <w:pict>
          <v:line id="_x0000_s1219" style="position:absolute;z-index:25185177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3" w:name="BURNYEAT J."/>
            <w:bookmarkEnd w:id="263"/>
            <w:r>
              <w:rPr>
                <w:rFonts w:ascii="arial" w:eastAsia="arial" w:hAnsi="arial" w:cs="arial"/>
                <w:b/>
                <w:color w:val="000000"/>
                <w:sz w:val="30"/>
                <w:lang w:val="en-US" w:eastAsia="en-US" w:bidi="ar-SA"/>
              </w:rPr>
              <w:t>BURNYEAT J.</w:t>
            </w:r>
          </w:p>
        </w:tc>
      </w:tr>
    </w:tbl>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INDEX</w:t>
      </w:r>
      <w:r>
        <w:rPr>
          <w:rFonts w:ascii="arial" w:eastAsia="arial" w:hAnsi="arial" w:cs="arial"/>
          <w:sz w:val="20"/>
          <w:lang w:val="en-US" w:eastAsia="en-US" w:bidi="ar-SA"/>
        </w:rPr>
        <w:cr/>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Early History of the Project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C101 Tender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Work Set Out in the Tender Documents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Site Visit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Bid Preparation of Golden Hill</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Comparing the Golden Hill Bid to the Other Bids</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Post Tender Meeting</w:t>
      </w:r>
    </w:p>
    <w:p>
      <w:pPr>
        <w:numPr>
          <w:numId w:val="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Post Tender Meeting Minutes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June 19 Letter from Golden Hill to Kilborn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June 20 Letters from Golden Hill to Kilborn</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Letter of Intent</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Was The Contract Between The Parties?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Weather</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Effect of Weather Conditions, Unanticipated Soil Conditions, Project Changes, and Project Delays</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Claims of Golden Hill Barred?</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Exclusion Clause (Article VI)</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Entire Agreement Clause (Article V)</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Full Investigation Clause (GC 12.1 AND GC 12.2)</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Non-Reliance Clause (GC 12.3)</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Representations of Future Behaviour</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Effect of General Condition 36.0</w:t>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Effect of the Over/Under Clause</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Alleged Breaches Of Contract And Tortious Acts</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Work</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Suitability and Adequacy of the Soils Sources</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Negligent Misrepresentations of Mr. Rempel Regarding the Soil Conditions</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Ability to Commence Earthworks by July 8</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Direction And Control Of The Work</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Obtain Permits in a Timely Manner</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Provision of Appropriate, Timely and Sufficiently Complete Information Pre Tender and Post Tender</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Timely Designation of Adequate Topsoil Stockpiles, Borrow Pits and Waste Dumps</w:t>
      </w:r>
    </w:p>
    <w:p>
      <w:pPr>
        <w:numPr>
          <w:numId w:val="3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Suspension of the Work</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Duty of Good Faith and Fair Treatment and the Tort Of Intimidation</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Summary of Findings Relating to Breaches of Contract and Tortious Acts</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Was There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There Acceleration?</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w:t>
      </w:r>
    </w:p>
    <w:p>
      <w:pPr>
        <w:numPr>
          <w:numId w:val="4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 - Calculation of Damages</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Measure of Damages in Contract</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Measure of Damages in Tort</w:t>
      </w:r>
    </w:p>
    <w:p>
      <w:pPr>
        <w:numPr>
          <w:numId w:val="46"/>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 for Loss of Productivity</w:t>
      </w:r>
    </w:p>
    <w:p>
      <w:pPr>
        <w:numPr>
          <w:numId w:val="47"/>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Total Costs Claimed</w:t>
      </w:r>
    </w:p>
    <w:p>
      <w:pPr>
        <w:numPr>
          <w:numId w:val="48"/>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CONAC System of Golden Hill</w:t>
      </w:r>
    </w:p>
    <w:p>
      <w:pPr>
        <w:numPr>
          <w:numId w:val="4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Adjustments Which Should Be Made</w:t>
      </w:r>
    </w:p>
    <w:p>
      <w:pPr>
        <w:numPr>
          <w:numId w:val="50"/>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G.S.T. in the CONAC System</w:t>
      </w:r>
    </w:p>
    <w:p>
      <w:pPr>
        <w:numPr>
          <w:numId w:val="50"/>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Labour Costs ($213,345.40 Claimed by Golden Hill)</w:t>
      </w:r>
    </w:p>
    <w:p>
      <w:pPr>
        <w:numPr>
          <w:numId w:val="50"/>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Freight Costs ($100,000.00 Claimed by Golden Hill)</w:t>
      </w:r>
    </w:p>
    <w:p>
      <w:pPr>
        <w:numPr>
          <w:numId w:val="50"/>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Equipment Cost ($1,455,292.00 Reduction Claimed by Kemess)</w:t>
      </w:r>
    </w:p>
    <w:p>
      <w:pPr>
        <w:numPr>
          <w:numId w:val="50"/>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Rental Equipment Cost Reduction ($930,314.80)</w:t>
      </w:r>
    </w:p>
    <w:p>
      <w:pPr>
        <w:numPr>
          <w:numId w:val="50"/>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Repair and Maintenance Costs ($779,280.47 Claimed by Golden Hill)</w:t>
      </w:r>
    </w:p>
    <w:p>
      <w:pPr>
        <w:numPr>
          <w:numId w:val="50"/>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P.S.T. ($152,633.13 Claimed by Golden Hill)</w:t>
      </w:r>
    </w:p>
    <w:p>
      <w:pPr>
        <w:numPr>
          <w:numId w:val="50"/>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on Scrapers ($616,942.72 Claimed by Golden Hill)</w:t>
      </w:r>
    </w:p>
    <w:p>
      <w:pPr>
        <w:numPr>
          <w:numId w:val="50"/>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Nuway Crushing (Credit of $26,050.00 Claimed by Kemess)</w:t>
      </w:r>
    </w:p>
    <w:p>
      <w:pPr>
        <w:numPr>
          <w:numId w:val="5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Supplies and Small Tools ($223,118.14 Claimed by Golden Hill)</w:t>
      </w:r>
    </w:p>
    <w:p>
      <w:pPr>
        <w:numPr>
          <w:numId w:val="5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Deleted Work (Deletion of $12,717.00 Claimed by Kemess)</w:t>
      </w:r>
    </w:p>
    <w:p>
      <w:pPr>
        <w:numPr>
          <w:numId w:val="5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Approved Extra Work ($54,006.00 Plus G.S.T. Claimed by Golden Hill)</w:t>
      </w:r>
    </w:p>
    <w:p>
      <w:pPr>
        <w:numPr>
          <w:numId w:val="5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Additional Equipment Costs ($300,000.00 Claimed by Golden Hill)</w:t>
      </w:r>
    </w:p>
    <w:p>
      <w:pPr>
        <w:numPr>
          <w:numId w:val="5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Use Of A Grader by Kemess ($14,030.00 Claimed by Golden Hill)</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Summary of Claimed Total Costs, Adjustments Requested, and Rulings Made</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Overhead (10% Claimed by Golden Hill)</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Standby Charges ($482,440.00 Claimed by Golden Hill)</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Profit on Work Performed (5% Claimed by Golden Hill)</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Claim in Quantum Meruit or Unjust Enrichment</w:t>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Interest Payable on the Damages Awarded</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Builders Lien</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 There Be a Lien For Tort Damages?</w:t>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 Interest Be Claimed Under the Lien?</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Priority of the Lien</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Costs Included in the Lien?</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Counterclaim of Kemess</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Summary</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arises from a construction contract awarded to Golden Hill Ventures Ltd. ("Golden Hill") by Kemess Mines Inc. ("Kemess") for the earthworks site preparation and the aggregate production for the Kemess Gold and Copper Mine located in northern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Golden Hill is a Yukon based earthworks contractor. Kemess was at all material times a wholly owned subsidiary of Royal Oak Mines Ltd. ("Royal Oak") based out of Kirkland, Washington.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Kemess South Copper-Gold Project ("Project") is located on Crown land approximately 300 kilometres north west of McKenzie and approximately 250 kilometres north east of Smithers in the Peace River Regional District of northern British Columbia. The Project is located in a remote, mountainous, undeveloped area at an elevation of between 1225 and 1285 metres ("Site"). The Site is serviced by the 468 kilometre Omineca Resources Access Road ("Omineca Access Road") which is a gravel road connecting the Project with Highway 97 approximately 30 kilometres south west of McKenzie. The Site is also accessible by air at an Airstrip which is approximately 45 kilometres north west of the Site ("Sturdee Airstrip").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construction of the Project included a large open pit mine to develop a 200,400,000 ton ore deposit, a crushing and concentrating facility south of the open pit to produce copper, gold, and silver concentrate ("Millsite"), a mine tailings storage facility north west of the open pit ("Tailings Dams"), a series of water collection, diversion and management structures to manage water at the Project, a mine waste rock storage site west of the open pit ("Waste Rock Area"), a permanent housing camp located immediately east of the Millsite ("Mancamp"), a smaller temporary housing camp located adjacent to Kemess Lake ("Exploration Camp"), an air strip located south east of the Millsite on a plateau above Kemess and Attichika Creeks ("Airstrip"), an access road from the Omineca Access Road to the Millsite ("Millsite Access Road") and an access road to the Airstrip ("Airstrip Access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Construction on the Project began in 1996 with a budget of approximately $390,000,000.00. The first stage of construction of the Project was to be the site preparation work for the Millsite, Millsite Access Road, Mancamp, Airstrip, and Airstrip Access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contract for this work was awarded to Golden Hill who commenced work in early July, 1996. The work was scheduled to be completed by October, 1996 but, due to a number of factors, the work took longer than anticipated. Golden Hill worked on the Project until mid-December when its operations were shut down. Golden Hill returned to the Site in February, 1997 and worked until early March, 1997 to complete the Millsite Access Road. Golden Hill was scheduled to work to complete the Airstrip and to finish cleanup of the Site following the spring break-up in 1997 but terminated its work at the end of June, 1997 alleging that Kemess had failed to pay the monies owing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Golden Hill subsequently filed builders liens against the various mineral claims and leases held by Kemess and, in the context of an application by Kemess pursuant to Rule 18A of the Rules of Court that the builders liens of Golden Hill had been filed out of time, I found that the builders liens were validly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Accordingly, this Trial deals with the questions of the balances owing to Golden Hill, the amounts that can be claimed under the liens, and the amount of the Counterclaim of Kemess against Golden Hill.</w:t>
      </w:r>
      <w:r>
        <w:rPr>
          <w:rFonts w:ascii="arial" w:eastAsia="arial" w:hAnsi="arial" w:cs="arial"/>
          <w:sz w:val="20"/>
          <w:lang w:val="en-US" w:eastAsia="en-US" w:bidi="ar-SA"/>
        </w:rPr>
        <w:cr/>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EARLY HISTORY OF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Between 1991 and early 1996, El Condor Resources Ltd. ("El Condor") and St. Phillips Resources Inc. ("St. Phillips") participated in a joint venture to own, explore and develop the Project with El Condor as the operator of the joint venture. In 1994, they applied to the Province for a mine development certificate. That application did not include a proposal for an on-site air strip as it was their intention to use the Sturdee Airstrip.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1999, El Condor retained Knight Piésold Ltd. ("Knight Piésold") to perform a variety of services relating to the geotechnical investigation and design of the Project including performing geotechnical investigations for proposed locations of the Tailings Dams and the Millsite. Between January, 1993 and March, 1995, Knight Piésold produced a series of geotechnical reports for El Condor.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One site ("Site M") was being considered for the location of the Tailings Dams. Site M was subsequently selected by Kemess as the location where the Airstrip would be constructed. The Knight Piésold geotechnical reports for El Condor included: (a) a January, 1993 Report on Materials for Embankment Construction and Concrete Aggregate ("Embankment Report"); (b) a February, 1993 Terrain Analysis and Natural Hazards Assessment ("Terrain Assessment"); (c) a March, 1993 Report on Tailings Facility Surficial Geotechnical Investigations ("Surficial Report"); and (d) a March, 1995 Report on Comparative Assessment of Tailings Sites G and M ("Comparative Assessment Report"). Those Reports and Assessments are collectively referred to as the "Site M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August, 1995, Royal Oak Ventures Ltd. (also referred to as "Royal Oak") reached an agreement with El Condor and St. Phillips to acquire, develop and operate the Project. Subsequently, Royal Oak acquired all of the issued and outstanding shares of El Condor and St. Phillips. Kemess was incorporated to develop and operate the 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Kemess Mines Ltd. became the owner of the mineral claims and lease which are the subject of the liens of Golden Hill. Before the Trial commenced, it was added as a Defendant to these proceedings. I will refer throughout to Kemess Mines Inc. and Kemess Mines Ltd. as "Kemess".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September, 1995, Royal Oak retained PCL Industrial Constructors Inc. ("PCL") to perform a variety of services relating to the design and construction of the Project including the preparation of budgets and the design of an on-site airstrip. In November, 1995, PCL solicited proposals from Vilholth Jensen &amp; Associates Ltd. ("Vilholth Jensen") and Kilborn Engineering Pacific Ltd. ("Kilborn") for engineering and design services for the construction of the Airstrip.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late November, 1995, PCL provided Royal Oak with a cost estimate that Knight Piésold had prepared for geotechnical investigations at various locations at the Project. In that cost estimate, PCL expressed the importance of geotechnical investigations to the development of the Project. The geotechnical work was described as "critical" to the construction program relating to the Tailings Dam area and in laying out the Millsite location. It was proposed that soil investigation would start immediately and that a site investigation report would be available in January, 1996. In that cost estimate, Knight Piésold listed all of the Site M Reports which it had prepared for El Condor.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December, 1995, PCL provided Royal Oak with its budget for completing a preliminary set of designs for the Airstrip which included a commitment by PCL to "assemble and co-ordinate the required topographical drawings, topographical maps, preliminary site plan and determine reasonable structural cross-sections working with the soils consultant in the 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By December, 1995, Royal Oak had retained Kilborn to act as its design engineer for the civil engineering work on the Project and had retained Knight Piésold to perform a series of geotechnical investigations on the proposed locations of the Tailings Dams and the Millsite and to prepare a report summarizing geotechnical, geological, and hydro-geological information "as necessary for design and for the Tender documents". The geotechnical investigation of the original location for the Millsite revealed problems. As a result, Royal Oak elected to move the Millsite to a location adjacent to the open pit.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PCL provided Royal Oak with a revised budget for the Project totalling $553,268,446.00 which was approximately $190,000,000.00 higher than the pre-feasibility cost estimate of Royal Oak. Royal Oak embarked on a cost-cutting program that culminated with a decision to delete a number of items including the Airstrip. The original cost allowance for the Airstrip was $3,372,694.00.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March, 1996, Royal Oak decided that a further move of the location of the Millsite was necessary. The new location was approximately one kilometre away from the boundary of the open pit. At about the same time, Royal Oak decided not to retain PCL as its general contractor. Accordingly, PCL removed its equipment from the Site. Royal Oak decided that it would be its own project manager. I am satisfied that Royal Oak had no previous experience as a project manager developing a mine and processing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On March 13, 1996, the Province published a report pursuant to the Environmental Assessment Act ("Assessment Report") making recommendations in favour of the development of the Project. The Assessment Report noted that Royal Oak intended to construct the Airstrip "at a location called Site M that </w:t>
      </w:r>
      <w:r>
        <w:rPr>
          <w:rFonts w:ascii="arial" w:eastAsia="arial" w:hAnsi="arial" w:cs="arial"/>
          <w:color w:val="000000"/>
          <w:sz w:val="20"/>
          <w:u w:val="single"/>
          <w:lang w:val="en-US" w:eastAsia="en-US" w:bidi="ar-SA"/>
        </w:rPr>
        <w:t>was</w:t>
      </w:r>
      <w:r>
        <w:rPr>
          <w:rFonts w:ascii="arial" w:eastAsia="arial" w:hAnsi="arial" w:cs="arial"/>
          <w:color w:val="000000"/>
          <w:sz w:val="20"/>
          <w:lang w:val="en-US" w:eastAsia="en-US" w:bidi="ar-SA"/>
        </w:rPr>
        <w:t xml:space="preserve"> assessed as a potential Tailings Pond location."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 revised budget totalling approximately $390,000,000.00 was provided by PCL to Royal Oak in late March, 1996. The contingency budget was reduced from over $21,000,000.00 to $10,000,000.00. The advice received from PCL was that: "This reflects a high level of risk for this stage of engineering and pricing". The revised budget included the deletion of the Airstrip, a reduction in the cost allowance for access roads and adjustments to the cost allowance for general site preparation.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By mid-April, 1996, Kilborn and Knight Piésold were working to complete the design and geotechnical investigations for the Mancamp and the Millsite. Their estimate was that the engineering work for the Project was approximately 2 months behind schedule. By the end of April, 1996, Royal Oak had reversed its decision to delete the Airstrip from the project but had not added any cost allowance back into the budget to reflect that addition.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Knight Piésold finished its field work for the geotechnical investigation of the Mancamp site on April 30 and for the Millsite on May 3. The information was forwarded to Kilborn on May 8. PCL sent a package of preliminary designs for the Airstrip to Royal Oak. The cover letter that accompanied the designs stated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Information regarding cut fills and mass halls is enclosed. It was our original intention to perform final estimate of quantities when the site was available for field investigation of overburden and organic depths, etc. Field investigation is also required for gravel fill requirements, etc. Final access road to airstrip has not yet been determined.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Kilborn was retained to prepare the tender documents ("Tender Documents") for the Project and, on May 3, Royal Oak prepared a preliminary construction schedule that included target dates of May 17 for issuing Tender Documents and of May 28 for awarding the contract which would include the logging of the trees that were on the Site, the clearing of the Site, and the necessary earthworks operations to allow the Project to be built. That contract will be referred to throughout as the "C101 Contract". A list of selected bidders was compiled by Kilborn and included PCL, Golden Hill, Tercon Construction Ltd. ("Tercon"), Ledcor Industries ("Ledcor") and North American Construction Ltd. ("North American").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Prior to when the Tender Documents were issued, Royal Oak took no independent steps to arrange for a geotechnical investigation of the Airstrip. Jim Koski was hired by Royal Oak on February 14, 1996 as the construction manager for the Project. On the basis of his testimony, I am satisfied that Mr. Koski did not know as late as May 1, 1996 that PCL had intended to conduct a field investigation of the Airstrip but had not done so. I also find that he took no steps to arrange for a geotechnical investigation of the Airstrip before the Tender Documents were issued and that Royal Oak and Kemess relied on Kilborn to direct the geotechnical investigations of Knight Piésold. I also find that Mr. Koski and others at Kemess did not review the Tender Documents before Kilborn issued them to prospective bidders.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May 3, Royal Oak set a preliminary construction schedule for the Project which included target dates of May 17 for the issuance of Tender Documents for the C101 Contract and of May 28 for the awarding of the C101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May, 1996, Golden Hill was contacted by a senior engineer at Kilborn who asked if Golden Hill was interested in having its name put on the bidders list. After indicating that it was, Golden Hill received the Tender Documents.</w:t>
      </w:r>
      <w:r>
        <w:rPr>
          <w:rFonts w:ascii="arial" w:eastAsia="arial" w:hAnsi="arial" w:cs="arial"/>
          <w:sz w:val="20"/>
          <w:lang w:val="en-US" w:eastAsia="en-US" w:bidi="ar-SA"/>
        </w:rPr>
        <w:cr/>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C101 TENDER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Kilborn wrote to Royal Oak on May 6 advising that the late entry of Kilborn into the tendering phase of the Project limited its ability to complete the Tender Documents before they went out to potential bidders: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 our mandate to prepare the contracts for the Project has been a very recent one, we are only now preparing the frontend of the contracts to be used for the Project. We propose issuing the generic portion of the document to you for review and approval at the same time as using it for this contract in order that we do not lose time in the contracting process. We trust you will approve of this method. It is our intent to tidy up the contract during the tender period and hopefully have it finalized by the time the work needs to be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On May 22, Kilborn forwarded the Tender Documents to seven potential bidders. The Tender Documents included "Instructions to Tenderers" and the "Tender Form" (including a list of items and prices into which tenderers were to insert their unit prices and estimated quantities); a proposed "Form of Agreement"; "General Conditions" and supplementary conditions; detailed "Specifications" for the "Work" (including general requirements and technical specifications); and a list of tender and reference drawings and sketches for the proposed areas of Work. Also included was a set of drawings ("Drawings"), soils data on the Millsite and Mancamp ("Soils Data") and an invitation to visit the Site. The Soils Data consisted of test pit logs, bore hole logs, a sketch of the Millsite showing the location of the test holes, and a number of faxes prepared by Knight Piésold.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cover letter from Kilborn also stated that: "a copy of the currently available soils data is included with this letter for the information of tenderers." This was not the case as the Site M Reports were not enclosed in the Tender Documents. The cover letter set the closing date for responses as June 11 at 12:00 noon. The letter also stated that the successful tenderer might be required to provide a 50% Performance Bond and a 50% Labour and Materials Bond.</w:t>
      </w:r>
      <w:r>
        <w:rPr>
          <w:rFonts w:ascii="arial" w:eastAsia="arial" w:hAnsi="arial" w:cs="arial"/>
          <w:sz w:val="20"/>
          <w:lang w:val="en-US" w:eastAsia="en-US" w:bidi="ar-SA"/>
        </w:rPr>
        <w:cr/>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WORK SET OUT IN THE TENDER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Tender Documents called for a unit price contract for all of the earthwork activities and aggregate production. Bidders were asked to set out prices for each step involved in earthworks under the following headings:</w:t>
      </w:r>
      <w:r>
        <w:rPr>
          <w:rFonts w:ascii="arial" w:eastAsia="arial" w:hAnsi="arial" w:cs="arial"/>
          <w:sz w:val="20"/>
          <w:lang w:val="en-US" w:eastAsia="en-US" w:bidi="ar-SA"/>
        </w:rPr>
        <w:cr/>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"Clear and Grub" (per hectare);</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"Strip and Stockpile Topsoil" (per hectare);</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"Scarify and Compact Orig Ground" (per hectare);</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"Bulk Excavation" including all of the following on a cost "per cubic metre" basis: "Cut to Fill Common Material", "Cut to Stockpile Unsuitable", "Borrow to Fill Common Material" and, "Cut to Stockpile Granular Material";</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"Surfacing" including all of the following on a cost "per square metre" basis: "Place Granular Base 300mm" ("Granular "B"), "Place Granular Surfacing 150mm" ("Granular A") and "Spread Topsoil 150mm"; and</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"Overhaul" (cost per cubic metre per kilometre for material hauled in excess of 1 kilometre).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Bidders were asked to submit these unit prices for each of the 5 areas of the C101 Contract: the "Airstrip Access Road", the "Airstrip", the "Millsite Access Road", the "Millsite", and the "Mancamp". The unit prices were to include all of the costs for performing that unit of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What perhaps makes this unit price contract unusual is that the bidders were to fill in not only the cost per unit of work but also the quantities of each unit of work. Regarding the estimated quantities for each unit price, the contractors were advised: "The Contractor is responsible for establishing the estimated quantity of each pay item on the list, except for those quantities provided by the Owner which are based on preliminary estimates." No anticipated quantities of material were set out in the Tender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Under the category "Bulk Excavation", bidders were required to estimate: (a) the amount of "cut to fill common", being soils from design cut areas that would be suitable for use as fill; (b) the amount of "cut to stockpile unsuitable", being soils from design cut areas that would be unsuitable for fill areas or that were suitable but were surplus to the fill requirements and therefore would have to be removed and placed in waste dumps; (c) the amount of "borrow to fill", being soils from areas other than design cut areas including within and without the cleared limits of the Project which would be needed to supplement the fill that was available within design cut areas; and (d) the amount of "cut to stockpile granular", being material from cut areas that was of a granular quality, being material which was to be stockpiled for processing by the crusher to make the granular material or the concrete aggregate which would be required for the Project or which was to be used to provide the surface of the Site once other earthworks were 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Specifications gave definitions for granular fill and for Granular A and Granular B material. Granular fill was described as: "a mixture of fine and coarse granular material composed of hard durable uncoated particles obtained from naturally formed deposits or crushed rocks." Granular B material was to be placed in areas where structures, roads or parking areas would ultimately be located. Granular A was to be placed in other areas. The difference between Granular A and Granular B was based on the respective percentages of the size of the material comprising the two granular fills. 100% of Granular B material had to be less than 150 mm in size whereas 100% of Granular A material had to be less than 25.5 mm in size. The granular material also had to have certain "physical requirements". Granular A material had to have a rating of 60 Los Angeles Abrasion as determined by ASTM C131 and a 0 Plasticity Index as determined by ASTM D4318 and Granular B material had to have a 0 to 4 Plasticity Index as determined by ASTM D4318.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Tender Documents set out definitions or specifications of "suitable" and "unsuitable" fill for the Project. Under the "Technical Specifications" section of the Tender Documents, "Unstable" or "Unsuitable" were defined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"Unstable" or "unsuitable" as applied to subgrade materials means in a loose state, or too wet, or frozen, or containing ice or snow, or containing organic or other deleterious matter, or having poor characteristics of grading and compaction, or having other characteristics which may result in undesirable settlement or other movement of foundations, fills or other superimposed load, or otherwise not meeting the requirements of the specifications; provided, however, that this definition permits compacting, drying dewatering, thawing and any other remedial work, improvements or processing where same is required by or permitted by the specifications of the Owner.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"Unstable" or "unsuitable" as applied to fill material means too wet, too dry, or frozen or containing ice or snow, or containing organic or other deleterious matter, or having poor characteristics of grading and compaction, or having other characteristics which may result in undesirable settlement or other movement of the fill or within the fill, or otherwise not meeting the requirements of the specifications, provided however that this definition permits drying, dewatering, watering, thawing and any other processing or reprocessing to make the material stable and suitable prior to incorporating it into the fill.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Under the definition of "Fill", the Technical Specifications indicated that Fill was not to be placed until the "subgrade had been compacted to 90 percent of maximum density determined by ASTMD1557 (Modified Proctor Test)". The Technical Specifications then set out differing specifications for: (a) "Roads and Parking Areas" (to place subgrade materials and layers not greater than 300 mm thickness before compaction and to select subgrade materials to not less than 95% of maximum density determined by ASTMD1557 - Modified Proctor Test); and (b) "General Site Grading" (to place layers not greater than 300 mm thickness before compaction and to select subgrade materials to not less than 90% of maximum density determined by ASTMD1557 - Modified Proctor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Concerning the unit prices, the "Notes on the List of Items and Price" under the heading "A. General" stated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Each unit price shall be the </w:t>
      </w:r>
      <w:r>
        <w:rPr>
          <w:rFonts w:ascii="arial" w:eastAsia="arial" w:hAnsi="arial" w:cs="arial"/>
          <w:color w:val="000000"/>
          <w:sz w:val="20"/>
          <w:u w:val="single"/>
          <w:lang w:val="en-US" w:eastAsia="en-US" w:bidi="ar-SA"/>
        </w:rPr>
        <w:t>full and only amount payable</w:t>
      </w:r>
      <w:r>
        <w:rPr>
          <w:rFonts w:ascii="arial" w:eastAsia="arial" w:hAnsi="arial" w:cs="arial"/>
          <w:color w:val="000000"/>
          <w:sz w:val="20"/>
          <w:lang w:val="en-US" w:eastAsia="en-US" w:bidi="ar-SA"/>
        </w:rPr>
        <w:t xml:space="preserve"> by the Owner for the unit and all things directly or indirectly required to complete it in accordance with the Contract... (at para. .06). Each Unit Price </w:t>
      </w:r>
      <w:r>
        <w:rPr>
          <w:rFonts w:ascii="arial" w:eastAsia="arial" w:hAnsi="arial" w:cs="arial"/>
          <w:color w:val="000000"/>
          <w:sz w:val="20"/>
          <w:u w:val="single"/>
          <w:lang w:val="en-US" w:eastAsia="en-US" w:bidi="ar-SA"/>
        </w:rPr>
        <w:t>shall be firm</w:t>
      </w:r>
      <w:r>
        <w:rPr>
          <w:rFonts w:ascii="arial" w:eastAsia="arial" w:hAnsi="arial" w:cs="arial"/>
          <w:color w:val="000000"/>
          <w:sz w:val="20"/>
          <w:lang w:val="en-US" w:eastAsia="en-US" w:bidi="ar-SA"/>
        </w:rPr>
        <w:t xml:space="preserve"> for the duration of the Contract" (at para. .07).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Section B of the "Notes on the List of Items and Price" set out how the units would be measured for payment and further detailed the activities to be covered by the unit 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As part of the environmental requirements of the Provincial Government, the topsoil on the Site ("Topsoil") was to be removed and stockpiled in order that it could be returned to the Site when the mining and processing operations were concluded. The Section B Notes included the following regarding the stripping and stockpiling of Topsoil: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These items include the removal of topsoil, to an average depth of 150mm, the loading, hauling and placing in stockpile of the topsoil. Also included will be the contouring of the stockpile and all measures taken to prevent erosion and run-off from the stockpile from carrying sediment to the water courses.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unit measurement for stripping and stockpiling Topsoil would be based on a per hectare basis. The Tender Documents stipulated that this unit measurement for Topsoil would only include an average depth of 150 mm so that any Topsoil below that depth would not be measured with the Topsoil unit measurement.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Section B Notes also dealt with the distance that material had to be hauled and what was or was not to be included within the unit prices. The "Free Haul" distance would be 1 kilometre. This meant that there would be no additional payments for hauling material under 1 kilometre when stockpiling Topsoil, placing Fill, or moving unsuitable or granular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For distances in excess of 1 kilometre, the unit price for "Overhaul" had to be designated and it was stipulated that the distance would be measured: "... based upon the shortest distance between the centre of mass of the excavated material and centre of mass of the place in which it is deposited".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addition to the unit prices, bidders were also asked to include separate lump sum prices for the following which were to be paid on a monthly basis: (a) mobilization and demobilization costs of equipment and labour forces to and from the Project; (b) insurance costs; and (c) temporary facilities and indirect costs which were to include: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all indirect costs of a monthly nature associated with overhead costs and maintaining the site temporary facilities, such as, but not limited to, supervisor personnel, office trailers, warehousing facilities, tool cribs, pick-ups, first aid facilities, sanitary facilities, etc.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Tender Documents specified that bidders provide the following: (a) hourly labour and equipment rates for additional work on a cost plus basis ("Schedule B"); (b) an equipment list setting out the equipment that was required for the work ("Schedule C"); (c) a basic contract schedule setting out the activities involved and an approximate average manpower needed per month ("Schedule "K"); and (d) any exceptions, deviations or qualifications to any of the Tender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Form of Agreement set out a number of General Conditions ("General Conditions" or "GC"). General Conditions 3.0 (Contract Schedule), 4.0 (Commencement and Completion of Contract), 5.0 (Time and Order of Construction), 12.0 (Site Conditions), 27.0 (Changes in the Work), 28.0 (Valuation of Changes), 36.0 (Delays And Extension of Time), 37.0 (Suspension of Work), 38.0 (Non-Fulfilment of the Contract, and 40.0 (Disputes) are all in issue in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There are a number of provisions in the Tender Documents dealing with oral representations including "Instructions to Tenderers", Articles V and VI of the Form of Agreement, and GC 12.0. Those provisions are also in issue in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There was an over/under clause which was to be completed by Golden Hill ("Over/Under Clause"). This clause provided that, if the final quantity of any of the unit price items varied by more than 50% of the quantities estimated by a bidder for that item, the unit price for that item would be adjusted by a percentage that was to be set by the tenderers. Tenderers were also to provide a percentage increase and decrease where the percentage variation or quantity exceeded 50% but did not exceed 100% and were to provide a percent variation in unit price if the quantity increase exceeded 100%.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Jon Rudolph is the President and sole shareholder of Golden Hill. It was his responsibility to prepare the bid made by Golden Hill on the C101 Contract. When Mr. Rudolph reviewed the Tender Documents and noticed that there was no estimated quantities provided, he contacted Kilborn and was advised that the bidders were expected to estimate the quantities. Mr. Rudolph then asked Jerry Quaile of Golden Hill to estimate the quantities from the information supplied in the Tender Documents. Mr. Quaile was the head surveyor for Golden Hill but was not a geotechnical engineer nor a soils technician.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There was no evidence that Mr. Quaile had any experience in evaluating soil conditions in terms of whether those soil materials would be suitable or unsuitable for use in construction. I find that Mr. Quaile had never taken any courses to learn how to analyze test pit logs and could only say that he had read "some documentation on test pit logs and how to analyze them". I also find that he had never previously been involved in putting together actual bid numbers for prices or for quantities relating to an earthworks contract bid.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Regarding the discussions that Mr. Rudolph had with Kilborn, I accept the evidence of Mr. Rudolph that Mr. Clegg of Kilborn advised him that Kilborn had just become involved in C101, that they were obtaining data from the owner and were "scrambling" to issue the Tender Documents in time for the earthworks to be performed during the 1996 construction season.</w:t>
      </w:r>
      <w:r>
        <w:rPr>
          <w:rFonts w:ascii="arial" w:eastAsia="arial" w:hAnsi="arial" w:cs="arial"/>
          <w:sz w:val="20"/>
          <w:lang w:val="en-US" w:eastAsia="en-US" w:bidi="ar-SA"/>
        </w:rPr>
        <w:cr/>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SITE VISIT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General Condition 12.1 required prospective tenderers to undertake a careful examination of the Site before submitting a tender: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understood and agreed that the Contractor has, by careful examination of the Site and the Contract Documents and by other means before tendering on this Contract, satisfied himself as to the nature and location of the Work, the conformation of the ground, the soil conditions, the character, quality and quantity of the materials to be encountered, the character, quality and quantity of equipment and facilities needed preliminary to and during the performance of the Work, the general and location conditions, and all other matters which can in any way affect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Part Four of the Instructions to Tenders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Pre-tender meeting may be held on site on the date noted in the Letter of Invitation. In any event, the Contractors are motivated to make themselves fully familiar with access to the site, and the physical conditions of the site.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purpose of the meeting is to clarify any questions regarding the Scope of Work and to examine the site. All Tenderers are encouraged to attend this meeting.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Obtain the Owner's approval before disturbing the Site if any such disturbance is to be made in examining the Site. Restore all such disturbance.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Contractor will be considered as having taken into account possible site working conditions, abnormal conditions, such as effects on labour productivity, weather, access, soil conditions, lay down areas, congestion, permits, environmental needs, etc., that may arise during the course of construction. No additional reimbursement will be considered by the Owner to cover extra costs arising from these or similar conditions, other than those specifically provided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There was no date for the site visit mentioned in the Letter of Invitation. Mr. Rudolph had been advised that Kilborn was not planning to hold an official site visit, that it was the responsibility of each tenderer to make their own arrangements to visit the Site, and that Mr. Rempel would be the representative of Kemess on the Site to meet with Golden Hill if a Site Visit was arranged by Golden Hill.</w:t>
      </w:r>
      <w:r>
        <w:rPr>
          <w:rFonts w:ascii="arial" w:eastAsia="arial" w:hAnsi="arial" w:cs="arial"/>
          <w:sz w:val="20"/>
          <w:lang w:val="en-US" w:eastAsia="en-US" w:bidi="ar-SA"/>
        </w:rPr>
        <w:cr/>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GOLDEN HILL REPRESENTATIVES AT THE SITE VISIT ("SITE VISIT")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Rudolph arranged for a site visit for June 5. On that day, Mr. Rudolph was accompanied by Mr. Lyons of Golden Hill as well as Mr. Adams of Nuway Crushing ("Nuway"). Golden Hill would subcontract with Nuway to perform the aggregate production work required under the C101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am satisfied that Mr. Adams had extensive experience observing soil conditions and the suitability of soil for fill and aggregate purposes. Mr. Lyons was the senior superintendent of Golden Hill and was later to be one of the superintendents on the job supervising the work undertaken. I am satisfied that Mr. Lyons had extensive experience observing soil conditions, and the suitability of soil for earthworks, and supervising earthworks operations. I am also satisfied that Mr. Rudolph had extensive experience observing soil conditions, the suitability of soil for fill and aggregate purposes, and the preparation of bids for and the operations relating to earthworks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Rudolph had a very long history of participating in site visits. He described his general practice during such visits was to focus on the following elements: (a) the geographical location of the site to assess the ability of Golden Hill to mobilize equipment, labour, parts and supplies; (b) the general layout or slope of the land, including the availability of water for use in dust control; (c) the tree cover on the site and the magnitude of any clearing that would be required under the contract; (d) the general slope of the terrain to begin to envision the location of the cut and fill areas and to assess the haul gradient; (e) the location of potential campsites and laydown locations; and (f) the location of any exposed soils to assess the general soils' condition and determine whether the soils were generally granular, silty or wet.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find that Mr. Rudolph followed this general practice on the Site Visit. I also find that, prior to going on the Site Visit, Mr. Rudolph was advised by Mr. Quaile that no soils data for the Airstrip or the Millsite Access Road areas had been received.</w:t>
      </w:r>
      <w:r>
        <w:rPr>
          <w:rFonts w:ascii="arial" w:eastAsia="arial" w:hAnsi="arial" w:cs="arial"/>
          <w:sz w:val="20"/>
          <w:lang w:val="en-US" w:eastAsia="en-US" w:bidi="ar-SA"/>
        </w:rPr>
        <w:cr/>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REMPEL REPRESENTING KEMESS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By the time of the Site Visit, Mr. Rempel had spent approximately 4 to 5 days reviewing construction drawings with Kilborn engineers in Vancouver. Mr. Rempel testified that Mr. Collins of Kilborn had advised him that the Millsite had granular deposits suitable for concrete aggregate and an abundance of Granular A, Granular B and concrete aggregate materials. Mr. Rempel also testified that he had discussions with several other Kilborn engineers to confirm that understanding. Mr. Rempel testified that the information about the availability of granular deposits on the Millsite was important to his job because large earthworks projects like the C101 Contract required a large supply of granular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At Trial, Mr. Rempel admitted that his conversations with representatives of Kilborn led him to expect that the Millsite had good quality granular material at elevations that would allow "a cut fill operation to construct the Millsite area... I had fully expected to see a good quality granular material at lower elevations." As to what he meant by "lower elevations", I am satisfied that this referred to what would be below the "topsoil, the silty, sandy, wet saturated material" which Mr. Rempel expected to find on the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From his testimony, I am satisfied that Mr. Rempel had expectations that good quality granular material would be found at elevations at Millsite that would "allow a cut/fill operation to construct the Millsite area." I find that Mr. Rempel made no effort to ask anyone at Knight Piésold about the availability of soils information for the Airstrip.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After meeting with Kilborn and Knight Piésold employees in Vancouver, Mr. Rempel spent a short time in the Smithers office of Kemess before driving to the Project in the third week of May, 1996. While in Smithers, Mr. Rempel flew by helicopter to the Kemess Site on 3 or 4 occasions and, while he knew only the approximate location of the proposed Airstrip and did not know that the open areas which could be seen would ultimately fall within the clearing limits of the Airstrip, Mr. Rempel testified that his flights over where he thought the Airstrip would be located gave him "no impression" about the soil conditions that might be encountered during construction at the Airstrip. However, Mr. Rempel did form an opinion about whether good granular material could be found at the Airstrip based on his own observation of the side slopes "on the road leading up to the airport strip". I find that, by the end of May, Mr. Rempel expected to find good granular material at the Airstrip.</w:t>
      </w:r>
      <w:r>
        <w:rPr>
          <w:rFonts w:ascii="arial" w:eastAsia="arial" w:hAnsi="arial" w:cs="arial"/>
          <w:sz w:val="20"/>
          <w:lang w:val="en-US" w:eastAsia="en-US" w:bidi="ar-SA"/>
        </w:rPr>
        <w:cr/>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JUNE 5 VISIT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Golden Hill representatives met with Mr. Rempel about noon, had lunch at the Exploration Camp, accompanied Mr. Rempel to the Kemess site office where they reviewed the plans for the Project and discussed in general terms the locations of the Millsite, the Mancamp, the Airstrip and the access roads. Mr. Lyons testified that Mr. Rempel told them that: "the soils reports were coming, they weren't ready yet". I accept the testimony of Mr. Lyons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group then used all-terrain vehicles to travel south on the main access road from the Exploration Camp to the general area of the Millsite. Mr. Rudolph testified that the flat ground near the Exploration Camp appeared to have "very clean granular material". He recalled that there was a small "borrow pit" near a creek adjacent to the Camp and that it also had "very clear, clean gravel". Mr. Rudolph also remembers seeing what he considered "granular-type material" in the road cuts between the Exploration Camp and the Millsite. I accept their evidence in that regard.</w:t>
      </w:r>
      <w:r>
        <w:rPr>
          <w:rFonts w:ascii="arial" w:eastAsia="arial" w:hAnsi="arial" w:cs="arial"/>
          <w:sz w:val="20"/>
          <w:lang w:val="en-US" w:eastAsia="en-US" w:bidi="ar-SA"/>
        </w:rPr>
        <w:cr/>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MILLSITE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There was no road into the Millsite area. However, the centre line of the Millsite had been cleared and, when the group reached the intersection of the Millsite centre line and the Exploration Road, they turned south on to the Millsite centre line and started to drive through the proposed location of the Millsite before stopping at the remains of a back-filled test pit.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There were no open test pits available for viewing on June 5. However, the group was able to observe the pile of material that had been produced when the test pit had been dug and the material from the test pit had been replaced into the test pit.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While there was some dispute about the exact location of this first stop, I find that it was near a test pit and that the results of the testing of the materials at this test pit were included in the Soils Data received by Golden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Messrs. Lyons and Adams stayed behind the rest of the group to look at the soil material that was exposed in a side cut on the edge of the Millsite centre line. Mr. Lyons recalled that the 1 to 1.5 metre deep side cut exposed "lots of gravel" and "very little if any" silt. This location was approximately 30 to 40 feet away from the remains of the back-filled test pit. I accept his evidence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At the test pit, Mr. Lyons recalled that the members of the group commented that the pile of gravel at the top of old test pit was "good material". Mr. Lyons quotes Mr. Rempel as saying: "The whole site is of the same material. It's all over" and that he was referring to "good granular material" at the time. Mr. Lyons rejected the suggestion made that Mr. Rempel made a comment that he "expected" that there would be good granular material on the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Rudolph testified that the pile of gravel at the first back-filled test pit was "good gravel, fairly clean, well graded and not too big... a little dirty". He testified that the group commented that the pile of gravel "looked like very good material" and that he recalls Mr. Adams saying that "it would be no problem at all making Granular A or Granular B out of that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Rudolph testified that Mr. Rempel stated that the pile of gravel was "pretty much representative" of what Golden Hill would find on the whole Millsite. Mr. Rudolph testified that Mr. Rempel said on more than one occasion that the granular material on the first stop on the Millsite was representative of the material across the Millsite.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It was also put to Mr. Rudolph that Mr. Rempel had said that he "expected" that the material at the first stop on the Millsite was present throughout the site. Mr. Rudolph testified that, while he could not be 100% sure, his recollection was that Mr. Rempel used words to the effect that the gravel was "indicative" of what Golden Hill would find in the whole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direct examination, Mr. Rempel could not recall what, if any, conversations he had with Messrs. Rudolph and Lyons at the first stop at the Millsite but he did not deny the evidence of Messrs. Rudolph and Lyons regarding what he was alleged to have said. Mr. Rempel admitted that the Site Visit had taken place after he spent time at the offices of Kilborn where he gained the impression that the Millsite had an "abundance" of good granular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cross-examination, Mr. Rempel agreed that he expected that there would be "a good source of good material on site". However, Mr. Rempel does recall telling Mr. Adams that "the granular material was at lower elevations, beneath the organics in certain areas of the Millsite."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accept the evidence of Messrs. Lyons and Rudolph regarding what Mr. Rempel said on June 5. I find that he expressed the opinion that "good granular material" would be found throughout the Millsite. I reject the suggestion made by counsel that Mr. Rempel was merely commenting about what he "expected" to find. I also do not accept the testimony of Mr. Rempel that he restricted his comments to the material that would be found at "lower elevations" and only in "certain areas of the Millsite".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First, in direct examination Mr. Rempel testified that he could not recall specifically the conversations he had had with Messrs. Rudolph and Lyons. Second, I accept the evidence of what Messrs. Rudolph and Lyons report Mr. Rempel as saying as they had specific recollections of the conversations. Third, I am satisfied that Mr. Rempel made sweeping statements about what would be encountered and it is unlikely that he would have put a caveat on such sweeping statements that the statements only related to "certain areas". Fourth, the Tender Documents contemplated that the organics (Topsoil included) would only be 150 mm throughout the site. Because of that, I am satisfied it would have been in the contemplation of Mr. Rempel and that he would have been of the belief that the "good granular material" he was referring to would be consistently found below 150 mm of Topsoil so that there would be no need for him to indicate that the good granular material would be at "lower elevations". Fifth, if any such statement was made, I am satisfied that it would be in the context of the inability of the group to travel below about half way down the centre line of the Millsite. They were moving downhill, and I find that any reference to "lower elevations", referred to further down the centre line rather than below the organics/Topsoil.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Rudolph also testified that he had a discussion with Messrs. Rempel and Adams whether it would be necessary for Nuway to process the Granular B material on the Millsite or whether Golden Hill would be able to "free dig" the material out of the Millsite because it appeared that the gravel material at the test pit could satisfy the specifications for Granular B without processing. Mr. Rudolph testified that Mr. Rempel said that Kemess would not require Golden Hill to process the Granular B if it was not necessary. I am satisfied that this discussion became reflected in the bid of Golden Hill as Mr. Rudolph wrote "don't anticipate" beside the unit price for processing Granular B material. I accept the evidence of Mr. Rudolph in this regard and I am satisfied that this discussion also would have reinforced the view of Mr. Rudolph gained from the statements of Mr. Rempel that there was adequate good granular material at the Millsite.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After their discussions at the first stop, the group drove further south on the Millsite centre line. There were a few areas near the centre line which were impassable and, eventually, the trail began to deteriorate significantly so the group stopped. The best estimate is that the group travelled a little more than half way down the Millsite centre line. They decided not to go further and Mr. Rudolph quotes Mr. Rempel as saying that the remains of the 2 or possibly 3 back-filled test pits that they had driven by were "representative of the rest of the test pits". Mr. Rempel could not recall any of the details of the discussion at the second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 number of photographs were taken that day. From the photographs it is apparent that there are a number of areas of wet Topsoil. In fact, one of the all-terrain vehicles became stuck on a log in an area of wet Topsoil. The pictures show a number of pockets of water as well as black soil indicating soil rich in organics. I am satisfied that none of the group expressed concern about the areas of standing water at the locations visited that day. In fact, Mr. Rempel thought that it was quite possible that frost conditions in the ground could have caused the spring melt water to pool at the surface. He testified that nothing happened during the Site Visit to cause him to think that Golden Hill might encounter a significant amount of silty saturated materials when the earthworks operation started at the Millsite. I find that to be the case.</w:t>
      </w:r>
      <w:r>
        <w:rPr>
          <w:rFonts w:ascii="arial" w:eastAsia="arial" w:hAnsi="arial" w:cs="arial"/>
          <w:sz w:val="20"/>
          <w:lang w:val="en-US" w:eastAsia="en-US" w:bidi="ar-SA"/>
        </w:rPr>
        <w:cr/>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MANCAMP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group then retraced their route to the Exploration Road and turned south on the access road driving towards the perimeter of the Mancamp. Once close to the proposed location for the Mancamp, the group stopped. Mr. Rempel admitted that he told the group that it was not possible to access the Mancamp using all-terrain vehicles. Golden Hill representatives looked at the perimeter of the Mancamp from the Exploration Road to get a feel for the lay of the land and concluded that the portion of the Site which would be the Mancamp and the Exploration Road both had materials similar to the Millsite area. I find that this conclusion was reached after the statements made by Mr. Rempel regarding the nature of the material that would be found throughout the Site.</w:t>
      </w:r>
      <w:r>
        <w:rPr>
          <w:rFonts w:ascii="arial" w:eastAsia="arial" w:hAnsi="arial" w:cs="arial"/>
          <w:sz w:val="20"/>
          <w:lang w:val="en-US" w:eastAsia="en-US" w:bidi="ar-SA"/>
        </w:rPr>
        <w:cr/>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AIRPORT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Mr. Rempel testified that he told the Golden Hill representatives that, because of snow conditions, they could not travel up to the Airstrip area during the Site Visit unless they wanted to park the all-terrain vehicles and walk. Further along the Exploration Road, Mr. Rempel stopped the visit to point out the general location of the Airstrip.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Mr. Lyons testified that Mr. Rempel told the group that the soil conditions at the Airstrip were good granular, the bench where the Airstrip was going to be built had exposed granular deposits and was "showing a good granular on the side" and that there was good granular on the "whole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Rudolph testified that Mr. Rempel told the group that the Airstrip "would be good gravel, similar to the rest of the site", that it was "virtually impossible" to get to the Airstrip, that they could fly over the Airstrip in the helicopter when the Golden Hill representatives left the Site, that it was possible to see "high cut gravel banks" leading down from the Airstrip to the Omineca Access Road, and that there was evidence of "granular outcroppings in 4 or 5 places" on the Omineca Access Road directly below where the Airstrip would be. I accept the evidence of Messrs. Lyons and Rudolph as to what was said by Mr. Rempel regarding the material at the Airstrip.</w:t>
      </w:r>
      <w:r>
        <w:rPr>
          <w:rFonts w:ascii="arial" w:eastAsia="arial" w:hAnsi="arial" w:cs="arial"/>
          <w:sz w:val="20"/>
          <w:lang w:val="en-US" w:eastAsia="en-US" w:bidi="ar-SA"/>
        </w:rPr>
        <w:cr/>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HELICOPTER RIDE OUT FROM THE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group then drove back to the Exploration Camp. The Golden Hill representatives left the Site by helicopter at approximately 5:00 p.m. After circling the Millsite and the Mancamp, the helicopter flew down the Exploration Road to the Omineca Access Road and then followed the Omineca Access Road towards the bench where the Airstrip was to be built.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From a height of between 75 - 100 feet, Messrs. Rudolph and Lyons saw exposed deposits of gravel material between the Omineca Access Road and the proposed location of the Airstrip. Mr. Lyons described the materials as being: "good granular materials, like lots of gravel, coarse gravel... 1" to maybe 2" and smaller". Mr. Rudolph described the same area as "good gravel, good gravel cuts, gravel washes". The helicopter then moved up to the bench and made one or two passes over the bench looking for the vest that Mr. Rempel said identified the proposed centre line of the Airstrip.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Rudolph testified that he noticed that the tree cover at the Airstrip was lighter and more sparse and was "more predominantly pine". Mr. Lyons testified that he saw a mix of pine and spruce from the helicopter, "probably half and half". Mr. Rudolph testified that his observation of the tree cover did not cause him to draw any definite conclusions about the soil conditions at the Airstrip although, from his own experience, he believed pine trees preferred to grow in drier conditions than spruce trees.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 Lyons testified that he saw a couple of brown areas" off to the side of the cut line that he thought might be the proposed centre line of the Airstrip but he did not see any standing water. Mr. Rudolph testified that he noticed there were some areas on the east side of the Airstrip that had fewer trees than other areas but Mr. Rudolph was not particularly concerned with the sparse area as he was "more concerned with where the Airstrip was being built".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On the basis of the testimony of Messrs. Rempel, Lyons and Rudolph, I find that anyone flying over the area that would ultimately be the Airstrip would not observe in May or early June of 1996 anything that would allow them to conclude that the soil conditions at the Airstrip would not be "good granular material", being the description given by Mr. Rempel when he spoke to Messrs. Lyons and Rudolph during the Site Visit.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On the basis of the testimony of Messrs. Lyons and Rudolph, I find that there is nothing about the tree cover or the areas without trees in the area that would ultimately be the Airstrip which would allow a person observing the area in May or early June from the air to conclude that the soil conditions at the Airstrip would not be "good granular" material.</w:t>
      </w:r>
      <w:r>
        <w:rPr>
          <w:rFonts w:ascii="arial" w:eastAsia="arial" w:hAnsi="arial" w:cs="arial"/>
          <w:sz w:val="20"/>
          <w:lang w:val="en-US" w:eastAsia="en-US" w:bidi="ar-SA"/>
        </w:rPr>
        <w:cr/>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BID PREPARATION OF GOLDEN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bid was prepared by Messrs. Quaile and Mr. Rudolph. Mr. Quaile calculated the quantities of materials and Mr. Rudolph conceived the plan for the Work, selected a fleet of equipment, developed a schedule for the Work, and prepared the detailed estimate of the expected cost of the work for the purposes of developing the unit prices which were then inserted in the bid.</w:t>
      </w:r>
      <w:r>
        <w:rPr>
          <w:rFonts w:ascii="arial" w:eastAsia="arial" w:hAnsi="arial" w:cs="arial"/>
          <w:sz w:val="20"/>
          <w:lang w:val="en-US" w:eastAsia="en-US" w:bidi="ar-SA"/>
        </w:rPr>
        <w:cr/>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PLAN FOR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In order to determine his prices for bidding on a unit price contract, Mr. Rudolph testified that he usually looked at the overall quantities to determine the magnitude of the job and then inserted a "representative" or "historic" unit price into the quantities schedule in order to determine a rough dollar cost of the job. Mr. Rudolph testified that he performed that exercise on this bid but that he was unable to locate his worksheet setting out these calculations.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After reviewing all of the testimony of Mr. Rudolph, I am satisfied that nothing turns on his inability to produce his worksheet for the C101 Contract bid. First, the worksheets for other jobs which were in evidence allow me to conclude that Mr. Rudolph followed his invariable practice on this bid. Second, the bid flowing from the worksheets is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Mr. Rudolph testified that the Soils Data provided was very important in determining his prices as the Soils Data: "has a lot to do with it, both the soils, the haul distances, and the gradients are basically the things that control price...what it relates to is your production rate, the production of material that you can move in a given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Regarding the equipment that would be needed, Mr. Rudolph testified it was his experience that a "three piece truck spread" would result in a production rate of approximately 150 loads of material (each load being 15 cubic metres) per shift in a short haul cut/fill situation but that a "three piece scraper operation" in the same circumstances would achieve approximately 300 to 400 loads per shift. Where the material had to be hauled a longer distance, Mr. Rudolph testified that a truck operation was more efficient and that he usually limited a scraper operation to hauls of less than 2 kilometres. The latter was what he anticipated on this Project so that his plan centered around a three piece scraper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Mr. Rudolph decided to use two scraper operations for a number of reasons. First, there was a large volume of soil to be moved in a short period of time. Second, the work was to be undertaken in a confined site with relatively short hauls and slight gradients. Third, Mr. Rudolph expected that his competitors would likely use scrapers which are more efficient in a short haul situation. Fourth, his equipment and labour would be most productive using two scraper operations on the Project. Fifth, Mr. Rudolph testified that his impressions of the availability of good granular material throughout the Site were gained during the Site Visit and on the basis of what Mr. Rempel stated. Because Mr. Rempel stated that the soils were well graded granular material, he expected that they would not be much affected by weather. He concluded that the soils described by Mr. Rempel were a perfect material for a scraper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Mr. Rudolph testified that he did not consider weather to be a prominent factor. He expected that there would be some rain so that the operation would be shut down "the odd time" but, because of his expectations regarding the material to be moved, weather was not a major consideration in his productivity calculations. I am satisfied that Mr. Rudolph made no inquiries about what was the "usual" weather to be expected at the Site between June and October.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After calculating his ballpark dollar figure for the Project and selecting his equipment, Mr. Rudolph calculated the number of spreads of equipment he needed to perform the Work by dividing the total amount of the material that needed to be moved by the total time allotted for the Project. He testified that this calculation allowed him to ascertain the amount of material that needed to be moved in a shift and he then adjusted this amount downward to account for delays, breakdowns and other down time.</w:t>
      </w:r>
      <w:r>
        <w:rPr>
          <w:rFonts w:ascii="arial" w:eastAsia="arial" w:hAnsi="arial" w:cs="arial"/>
          <w:sz w:val="20"/>
          <w:lang w:val="en-US" w:eastAsia="en-US" w:bidi="ar-SA"/>
        </w:rPr>
        <w:cr/>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QUANTITIES TO BE HANDLED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In order to calculate his production rates, to select his equipment and to calculate his prices, Mr. Rudolph utilized the estimates of quantities provided to him by Mr. Quaile.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Mr. Quaile had used the Soils Data to estimate the quantities of soils that needed to be moved. Mr. Quaile stated that he located the testholes and compared them to the depth of the corresponding cut or fill areas shown on the Drawings. Mr. Quaile testified that he anticipated that there would be wet weather and assumed that Golden Hill would not have to move silty material in the wet weather but would be in a position to switch operations to areas that were expected to contain more sand and gravel such as the concentrator site and the service complex within the Millsite.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For certain areas within the Site, Mr. Quaile did not expect any significant quantities so he inserted the quantity of 1,000 cubic metres in some areas of the bid simply so that a price could be entered and would exist if material falling into those categories was encountered during operations. Because there was no soils information available for the Airstrip, Mr. Quaile assumed roughly the same average type of material for the Airstrip as for the Millsite and Mancamp. Mr. Rudolph reviewed Mr. Quaile's estimated quantities in a general fashion but did not review his detailed calculations.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Regarding the Over/Under clause, Mr. Rudolph set a figure of plus 10% for increases or decreases over the quantities estimated of between 50% and 100% and an increase of 50% for increases over 100% over the quantities estimated by Golden Hill.</w:t>
      </w:r>
      <w:r>
        <w:rPr>
          <w:rFonts w:ascii="arial" w:eastAsia="arial" w:hAnsi="arial" w:cs="arial"/>
          <w:sz w:val="20"/>
          <w:lang w:val="en-US" w:eastAsia="en-US" w:bidi="ar-SA"/>
        </w:rPr>
        <w:cr/>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PRODUCTIVITY EXPECTATIONS OF GOLDEN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Based on the quantities estimated by Mr. Quaile, Mr. Rudolph planned for the bulk excavation of 678,000 cubic metres (including cut to fill and cut to unsuitable) at the Millsite and Mancamp combined. He determined that an equipment spread should consist of a D10 bulldozer, 3 scrapers, 1 grader, 2 packers, a D9N bulldozer, and an excavator and that 1 spread of equipment could produce 330 loads per shift based on what Golden Hill had been able to produce in the past on similar jobs having similar anticipated soil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estimated number of loads per shift was multiplied by 15 cubic metres per load to calculate that 1 spread could move 4,950 cubic metres of material each shift (or 9,900 cubic metres of material per day using two shifts).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Using those calculations, Mr. Rudolph calculated that it would take 68 days of double shift production to move the 686,000 cubic metres of material at the Millsite and the Mancamp and 39 days of double shift production to move the 385,200 cubic metres of material at the Airstrip and the Airstrip Access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For the cleaning and grubbing operation which would take place prior to the earthworks operation, Mr. Rudolph planned to use a bulldozer spread consisting of a D7, a D8K, a D8N as well as the EX 400 excavator. He calculated that it would take this spread 35 days of double shift production to complete the required clearing.</w:t>
      </w:r>
      <w:r>
        <w:rPr>
          <w:rFonts w:ascii="arial" w:eastAsia="arial" w:hAnsi="arial" w:cs="arial"/>
          <w:sz w:val="20"/>
          <w:lang w:val="en-US" w:eastAsia="en-US" w:bidi="ar-SA"/>
        </w:rPr>
        <w:cr/>
      </w:r>
    </w:p>
    <w:p>
      <w:pPr>
        <w:numPr>
          <w:numId w:val="1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Golden Hill was required to submit an equipment list with its bid. In addition to the equipment outlined above, Mr. Rudolph selected "vibratory" packers for the Project because he felt they were the most suitable and versatile for granular fill and granular materials. He testified that it was his experience that a "pad foot" packer was inappropriate for granular materials.</w:t>
      </w:r>
      <w:r>
        <w:rPr>
          <w:rFonts w:ascii="arial" w:eastAsia="arial" w:hAnsi="arial" w:cs="arial"/>
          <w:sz w:val="20"/>
          <w:lang w:val="en-US" w:eastAsia="en-US" w:bidi="ar-SA"/>
        </w:rPr>
        <w:cr/>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BID ESTIMATE SHEET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After selecting the equipment for a Project, Mr. Rudolph stated that he filled out a "bid estimate sheet". His first step was to list all the equipment he expected to use on the Project. His next step was to insert the number of weeks that the particular piece of equipment would be in use. In the next column, he inserted his weekly "internal equipment rental rate". He would then identify the amount of fuel needed by that piece of equipment over the relevant number of weeks. He arrived at this estimate by taking into account his past experience and the expected job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He next inserted his mobilization and demobilization costs for the equipment. The following items were then included in the bid estimate sheet: (a) materials at quoted prices; (b) fuel at quoted prices as well as an allowance for oils and filters of 10%-12%; (c) labour costs including superintendent's salary, mechanical staff and equipment operators; (d) a 12-15% payroll burden and associated overhead allowance (designed to cover holiday pay, UIC, CPP, WCB); (e) estimates of mechanical costs, bonding and insurance; (f) subcontractors' prices; (g) crew transport (i.e. weekly flights), freight for consumables, and room and board; (h) interest; (i) a lump sum number to cover head office expense - including salaries, telephone, hydro, taxes, rent, computers; and (j) an amount for profit (usually 5% to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After he completed this bid estimate sheet, Mr. Rudolph stated that he would compare the final figure on the sheet to his original ballpark calculation based on historical unit prices and then make adjustments to historical prices to ensure that the total figure on the ballpark sheet matched the total figure on his bid estimate sheet.</w:t>
      </w:r>
      <w:r>
        <w:rPr>
          <w:rFonts w:ascii="arial" w:eastAsia="arial" w:hAnsi="arial" w:cs="arial"/>
          <w:sz w:val="20"/>
          <w:lang w:val="en-US" w:eastAsia="en-US" w:bidi="ar-SA"/>
        </w:rPr>
        <w:cr/>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UNIT PRICES 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Mr. Rudolph's final prices for the bulk excavation items were $2.00 per cubic metre at the Millsite and Campsite and $2.10 per cubic metre at the Airstrip and the Millsite Access Road. The unit price for the Airstrip and the Millsite Access Road was higher as Mr. Rudolph testified that he believed that those latter two items involved longer hauls of materials.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Mr. Rudolph testified that it was his practice to use "blended unit prices" for the different types of bulk excavations so that the $2.00 and $2.10 figures were the same prices for "cut to fill" and for "cut to unsuitable/waste". It was the opinion of Mr. Rudolph that the cost of moving those two different materials averaged about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Mr. Rudolph stated that the amount of waste that he anticipated at a project could be a factor in the unit prices selected as matters such as the amount of waste, the type of material, the moisture content, the location of the waste dumps and the operation for removing waste would all affect his unit prices. As Mr. Rudolph did not anticipate a large volume of waste, he planned on handling the waste predominantly by scrapers.</w:t>
      </w:r>
      <w:r>
        <w:rPr>
          <w:rFonts w:ascii="arial" w:eastAsia="arial" w:hAnsi="arial" w:cs="arial"/>
          <w:sz w:val="20"/>
          <w:lang w:val="en-US" w:eastAsia="en-US" w:bidi="ar-SA"/>
        </w:rPr>
        <w:cr/>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SCHEDULE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Golden Hill committed to work a schedule of shifts of 21 days on Site followed by seven days of "turn around". Shifts would be 11 hours consisting of a 30 minute unpaid lunch break and two 15 minute paid coffee breaks. Mr. Rudolph planned on 2 shifts per day. A bar chart schedule indicating the time periods during which he planned to perform certain work was set out in Statement K to the Golden Hill Tender ("Schedule"). Mr. Rudolph testified that the bars on the Schedule did not necessarily mean that the activity would be continuous during that time frame but merely that it would occur during that time frame.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Schedule showed that Golden Hill planned to: (a) mobilize its equipment during a period of about 4 weeks; (b) perform initial clearing and grubbing over the Site during a period of 5 weeks; (c) start the earthworks at the Airstrip first and perform that work during a period of 7 to 8 weeks; (d) start the earthworks at the Millsite next and perform that work during a 10 week period; (e) perform the nearby Mancamp earthworks for a 2 week period within that 10 week period; (f) construct the Millsite Access Road during a 5 week period after the Airstrip earthworks were completed; and (g) place all granular material during a period of just over 4 weeks at the end of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total timeframe covered by the Schedule was a 4 1/2 month construction schedule. The plan was to have two earthworks equipment spreads so that it was possible to perform earthworks at two locations on the Site at the same time.</w:t>
      </w:r>
      <w:r>
        <w:rPr>
          <w:rFonts w:ascii="arial" w:eastAsia="arial" w:hAnsi="arial" w:cs="arial"/>
          <w:sz w:val="20"/>
          <w:lang w:val="en-US" w:eastAsia="en-US" w:bidi="ar-SA"/>
        </w:rPr>
        <w:cr/>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COMPARING THE GOLDEN HILL BID TO THE OTHER BIDS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The estimated quantities of Mr. Quaile and Golden Hill were in line with the quantities estimated by the 3 other bidders. It is important to note that Kilborn performed a detailed analysis and comparison of the C101 bids but made no comments to Golden Hill other than comments relating to the estimates for Granular A and Granular B which Golden Hill later admitted were underestimated.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Bids submitted by Ledcor, Tercon, and North American were in evidence. After the 4 bids were received, Kilborn prepared a bid tabulation which compared not only the actual bids of the four bidders but the "rationalized total" for each bidder. This rationalized total raised the quantities of each pay item to the maximum amount estimated by any of the 4 bidders for any part of the Project. A comparison of the face amount of the four bids shows bids of $5,793,985.00 (Tercon), $5,924,019.00 (Golden Hill), $8,250,000.75 (Ledcor), and $8,125,324.70 (North American). The "rationalized" totals were $8,879,583.20 (Golden Hill), $9,359,747.33 (Tercon), $14,416,526.88 (Ledcor), and $10,848.382.85 (North American).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equipment list for Golden Hill and North American were virtually identical except that North American included one more bulldozer and one more grader. The equipment list for Ledcor was also similar to Golden Hill. The equipment list of Tercon included 4 Cat rock trucks and three Cat D300 articulated rock trucks.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A comparison of the 4 bids confirms that Golden Hill's estimates for waste material at the Airstrip and the Millsite was the most conservative of all of the bidders at 20,000 and 40,000 cubic metres respectively. North American predicted no waste whereas the other two bidders predicted smaller amounts of waste than had Golden Hill.</w:t>
      </w:r>
      <w:r>
        <w:rPr>
          <w:rFonts w:ascii="arial" w:eastAsia="arial" w:hAnsi="arial" w:cs="arial"/>
          <w:sz w:val="20"/>
          <w:lang w:val="en-US" w:eastAsia="en-US" w:bidi="ar-SA"/>
        </w:rPr>
        <w:cr/>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POST TENDER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In mid-June, 1996, Mr. Clegg of Kilborn telephoned Mr. Rudolph to ask him to attend a meeting at the Kilborn offices in Vancouver to discuss aspects of the Golden Hill bid ("Post Tender Meeting"). Mr. Rudolph was advised that Kilborn was also talking to a second contractor. Mr. Rudolph was not advised that Golden Hill had submitted the low "rationalized" bid.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meeting was scheduled for June 18. In advance of the meeting, Mr. Rudolph drafted a revised schedule to address the concern of Kilborn that the original schedule set out by Golden Hill had the potential to run past the proposed completion date for the Project ("Amended Schedule"). Unlike the original schedule, the Amended Schedule attached dates to the various stages of the Contract based on an assumed contract award date of June 21. Mobilization of equipment was to start on June 22 and the project was to be completed by mid-October.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Initially in attendance at the meeting were Mr. Rudolph and Messrs. Collins and Clegg of Kilborn. Mr. Koski of Kemess arrived late for the meeting. Messrs. Collins and Clegg did not testify about the meeting and Mr. Koski admitted that he could not recall from memory anything that was discussed at the meeting. Mr. Rudolph was able to recall a number of the discussions at the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Mr. Rudolph was told by Mr. Collins that it was a tender review meeting, Golden Hill was not necessarily the lowest bidder and Kilborn was in discussions with another contractor which Mr. Rudolph later learned was Tercon. I accept the evidence of Mr. Rudolph as to what was discussed at the Post Tender Meeting. First, Mr. Koski had no independent recollection of what was discussed. Second, Messrs. Collins and Clegg did not testify about the meeting. Third, I am satisfied that the minutes which were subsequently produced reflect the recollections of Mr. Rudolph. The most important things discussed at the Post Tender Meeting are set out as follows.</w:t>
      </w:r>
      <w:r>
        <w:rPr>
          <w:rFonts w:ascii="arial" w:eastAsia="arial" w:hAnsi="arial" w:cs="arial"/>
          <w:sz w:val="20"/>
          <w:lang w:val="en-US" w:eastAsia="en-US" w:bidi="ar-SA"/>
        </w:rPr>
        <w:cr/>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CONCESSIONS ON UNIT PRICES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Mr. Rudolph was asked to make a series of concessions relating to the unit prices for additional work under the Contract. The concessions included a request that Golden Hill reduce its price for standby charges from 40% to 25% of its equipment rates, reduce its percentage fees on materials from 15% to 10% and reduce its price for additional equipment not specified in the tender list from 120% of the Canadian Construction Association price to 110% of the B.C. Hydro "Rate Book Price". Mr. Rudolph made those concessions and subsequent billings by Golden Hill reflected those concessions.</w:t>
      </w:r>
      <w:r>
        <w:rPr>
          <w:rFonts w:ascii="arial" w:eastAsia="arial" w:hAnsi="arial" w:cs="arial"/>
          <w:sz w:val="20"/>
          <w:lang w:val="en-US" w:eastAsia="en-US" w:bidi="ar-SA"/>
        </w:rPr>
        <w:cr/>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Mr. Rudolph was asked whether he was comfortable with his equipment selection and, in response to a particular concern about whether the scrapers of Golden Hill could get down into the bottom of the deep cut area at the crusher site to finish that excavation, Mr. Rudolph states that he told Mr. Collins of Kilborn that, if Golden Hill could not excavate the material out of the crusher site using scrapers, Golden Hill would mobilize other equipment to finish the excavation. Other than this commitment, Golden Hill submits that there was no general commitment to mobilize equipment to the Site in addition to what was already listed.</w:t>
      </w:r>
      <w:r>
        <w:rPr>
          <w:rFonts w:ascii="arial" w:eastAsia="arial" w:hAnsi="arial" w:cs="arial"/>
          <w:sz w:val="20"/>
          <w:lang w:val="en-US" w:eastAsia="en-US" w:bidi="ar-SA"/>
        </w:rPr>
        <w:cr/>
      </w:r>
    </w:p>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question of a bond for the Project was discussed. Mr. Rudolph was advised that Kemess would get back to Golden Hill if a bond was to be required.</w:t>
      </w:r>
      <w:r>
        <w:rPr>
          <w:rFonts w:ascii="arial" w:eastAsia="arial" w:hAnsi="arial" w:cs="arial"/>
          <w:sz w:val="20"/>
          <w:lang w:val="en-US" w:eastAsia="en-US" w:bidi="ar-SA"/>
        </w:rPr>
        <w:cr/>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ROLES OF KEMESS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Mr. Rudolph was advised that Kilborn was not going to have a presence at the Site and that Kemess representatives would be in charge of administering the Project including the C101 Contract. Mr. Rudolph testified that this came as a complete surprise to him as he had assumed that Kilborn would have a presence on the Site and would administer the Project as Kilborn had authored the Tender Documents and was an experienced construction supervisor. Mr. Rudolph testified that he expressed serious concerns about the intention of Kemess to play the roles of owner, engineer, and contract administrator as he was aware that this Project was the first attempt by Royal Oak at mine construction.</w:t>
      </w:r>
      <w:r>
        <w:rPr>
          <w:rFonts w:ascii="arial" w:eastAsia="arial" w:hAnsi="arial" w:cs="arial"/>
          <w:sz w:val="20"/>
          <w:lang w:val="en-US" w:eastAsia="en-US" w:bidi="ar-SA"/>
        </w:rPr>
        <w:cr/>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DEWATERING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Mr. Rudolph confirmed at the meeting that, so long as normal water was encountered, the cost of dewatering would be for the account of Golden Hill but that, if "major springs" were encountered, that would not be included in the unit prices.</w:t>
      </w:r>
      <w:r>
        <w:rPr>
          <w:rFonts w:ascii="arial" w:eastAsia="arial" w:hAnsi="arial" w:cs="arial"/>
          <w:sz w:val="20"/>
          <w:lang w:val="en-US" w:eastAsia="en-US" w:bidi="ar-SA"/>
        </w:rPr>
        <w:cr/>
      </w:r>
    </w:p>
    <w:p>
      <w:pPr>
        <w:numPr>
          <w:numId w:val="1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SOILS DATA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Mr. Rudolph confirmed that he reviewed the Soils Data. Mr. Rudolph was advised that there was another Knight Piésold report. Kilborn representatives indicated that they had not received a copy of the report as it was still in draft form and was incomplete. Mr. Rudolph was advised by Kilborn that they would send this report to Golden Hill once it was received and Mr. Rudolph testified that he was advised that Kilborn did not anticipate that the information would be any different than the Soils Data already received. The notes of the meeting indicate "geotechnical report coming". I find that this report was not received by Golden Hill at any time during the Project. Similarly, I find that none of the Site M Reports were received by Golden Hill at any time during the Project.</w:t>
      </w:r>
      <w:r>
        <w:rPr>
          <w:rFonts w:ascii="arial" w:eastAsia="arial" w:hAnsi="arial" w:cs="arial"/>
          <w:sz w:val="20"/>
          <w:lang w:val="en-US" w:eastAsia="en-US" w:bidi="ar-SA"/>
        </w:rPr>
        <w:cr/>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"OVER/UNDER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Mr. Rudolph testified that there was a lengthy discussion regarding the Over/Under Clause and the potential for a contractor to deliberately estimate low quantities with the expectation of earning a higher rate from the Over/Under Clause when the actual quantities inevitably exceeded the estimated quantities. Mr. Rudolph testified that the discussion about the clause focused on the fact that Kilborn and Kemess had not done sufficient engineering to allow them to include quantities in the Tender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Mr. Collins of Kilborn asked Mr. Rudolph to make a significant concession by eliminating the Over/Under Clause altogether. Mr. Rudolph testified that he told Mr. Collins he was not prepared to drop the Over/Under Clause. Mr. Rudolph testified that he told Kilborn that he was concerned that, if the scope of the Work changed or the soil conditions were different, he did not want to waive his rights to call for the percentage increases set out in the Over/Under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Mr. Rudolph testified that he said that he might be prepared to agree to drop the percentage increases if the material to be moved was as expected and they were comparing "apples to apples" but that, if the quantities greatly increased from what Golden Hill anticipated and if Kemess still wanted the Project finished in the same period of time, it would make a considerable difference so he was not prepared to drop the Over/Under Clause completely.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Mr. Rudolph testified that he agreed that, if everything was the same as what was anticipated and the scope of the Work remained the same, then he would agree to a 0% change in price provided that Golden Hill was not asked to compress more volumes into the same or a shorter time period. At Trial, Mr. Rudolph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I wasn't prepared to do that, and we had discussions about well, they said fair enough, but if the materials are the same than what you've anticipated, and what's there, what we think is there, and the scope doesn't change, that everything remains the same, then are you prepared to give us a zero percent change? Well, I said, if you know if that's the way it is, if that's what we are talking about, that if everything's the same in what's anticipated and the scope's the same, yes, I will be prepared to give a zero percent change providing, you know, that I'm not now asked to compress more volumes into a shorter time period or the time period that's been allotted in the contract.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mean there was a general discussion about, you know, how this whole clause could be interpreted, misrepresented in a bidding process. I mean, I acknowledged that, and it was - I mean, I made it very clear that I wasn't prepared to do that unless everything was the same as what I anticipated.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 position taken by Golden Hill at Trial is that the Over/Under Clause did not survive the Post Tender Meeting. I do not accept that proposition. It is clear from the minutes of the Post Tender Meeting that the Over/Under Clause would not survive only if the scope of the Work remained the same as was contemplated, if the soil conditions remained as was contemplated and if it was not necessary to do the Work in less time than what was contemplated by the Amended Schedule.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 find that the Over/Under Clause survived the Post Tender Meeting. If anticipated soils and the scope of the Work remained the same, there would be a 0% change in price if the Amended Schedule remained in effect and was not accelerated but volumes increased. If the scope of the Work changed and the soils were not as anticipated then there would be a 10% increase in the unit rates if the actual quantities increased between 50% and 100% over the quantities originally estimated and a 15% increase in the unit rates over the unit rates if the quantities encountered increased over 100% over the quantities originally estimated.</w:t>
      </w:r>
      <w:r>
        <w:rPr>
          <w:rFonts w:ascii="arial" w:eastAsia="arial" w:hAnsi="arial" w:cs="arial"/>
          <w:sz w:val="20"/>
          <w:lang w:val="en-US" w:eastAsia="en-US" w:bidi="ar-SA"/>
        </w:rPr>
        <w:cr/>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MOBILIZATION/DEMOBILIZATION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Mr. Rudolph was asked for fixed mobilization rates for additional equipment that Golden Hill might have to mobilize to the site for "cost-plus" work or for "changes in scope". A list of transportation costs from Whitehorse and from Prince George to the Site was later provided.</w:t>
      </w:r>
      <w:r>
        <w:rPr>
          <w:rFonts w:ascii="arial" w:eastAsia="arial" w:hAnsi="arial" w:cs="arial"/>
          <w:sz w:val="20"/>
          <w:lang w:val="en-US" w:eastAsia="en-US" w:bidi="ar-SA"/>
        </w:rPr>
        <w:cr/>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PERMITS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Kemess did not have all of the required permits in place. Although there is some dispute between the parties as to Mr. Rudolph's understanding, I find that Mr. Rudolph was aware that a number of permits had not been obtained and that the Work could not start until the appropriate permits were obtained.</w:t>
      </w:r>
      <w:r>
        <w:rPr>
          <w:rFonts w:ascii="arial" w:eastAsia="arial" w:hAnsi="arial" w:cs="arial"/>
          <w:sz w:val="20"/>
          <w:lang w:val="en-US" w:eastAsia="en-US" w:bidi="ar-SA"/>
        </w:rPr>
        <w:cr/>
      </w:r>
    </w:p>
    <w:p>
      <w:pPr>
        <w:numPr>
          <w:numId w:val="1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QUANTITIES OF GRANULAR MATERIALS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Mr. Rudolph was asked to check his quantities for Granular A and Granular B as Kilborn was of the belief that the estimates were low. The quantities were later checked and Golden Hill found that the quantities had been miscalculated. They were later adjusted.</w:t>
      </w:r>
      <w:r>
        <w:rPr>
          <w:rFonts w:ascii="arial" w:eastAsia="arial" w:hAnsi="arial" w:cs="arial"/>
          <w:sz w:val="20"/>
          <w:lang w:val="en-US" w:eastAsia="en-US" w:bidi="ar-SA"/>
        </w:rPr>
        <w:cr/>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POST TENDER MEETING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About June 21, Kilborn prepared Minutes from the meeting ("Minutes"). The Minutes set out the discussion and took on a question and answer format.</w:t>
      </w:r>
      <w:r>
        <w:rPr>
          <w:rFonts w:ascii="arial" w:eastAsia="arial" w:hAnsi="arial" w:cs="arial"/>
          <w:sz w:val="20"/>
          <w:lang w:val="en-US" w:eastAsia="en-US" w:bidi="ar-SA"/>
        </w:rPr>
        <w:cr/>
      </w:r>
    </w:p>
    <w:p>
      <w:pPr>
        <w:numPr>
          <w:numId w:val="1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OVER/UNDER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Section 8 of the Minutes states the following regarding the Over/Under Clause: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 variations in unit prices (Statement A, Page 6) were discussed [the Over Under Clause].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 increase submitted in the tender was based on the anticipation that the scope may be expanded significantly or the work accelerated and more equipment would need to be mobilized. GHV offered a 0% change in the unit rates for variations in quantity if the scope remains the same and the soils remain consistent with what is anticipated.</w:t>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MOBILIZATION/DEMOBILIZATION OF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Section 8 of the Minutes also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 additional equipment required will be mobilized and demobilized at GHV's own cost for reasons such as lack of production or underestimating. Additional equipment required as a result of acceleration orders by the Owner or changes in scope will be negotiated. GHV will submit a rate for mobilizing each item of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There has been considerable disagreement at Trial regarding this section of the Minutes. On the basis of what was set out in the Minutes and on the basis of the subsequent dealings between the parties, I find that, if there was a need for additional equipment merely because Golden Hill was experiencing lack of production relating to the materials that were anticipated, then the cost of mobilizing and demobilizing additional equipment would be borne by Golden Hill. I am satisfied that the reference to "lack of production or under estimating" does not refer to lack of production caused by changed soil conditions resulting in "under-estimating" the amount of material that would have to be moved. Rather, it refers only to Golden Hill having made an error in what production rates it anticipated when it put together its bid based on the soil conditions anticipated by both parties and the anticipated volume of material that would have to be moved in order to meet the Specifications.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If there was a need for additional equipment because the soils did not remain consistent with what was anticipated, then additional equipment would be mobilized at the cost of Kemess after negotiation between the parties regarding the rates for the equipment and the cost of mobilizing and demobilizing the equipment. The parties subsequently negotiated the cost of mobilizing and demobilizing the equipment not shown on the amended equipment 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 find that Kemess paid for all mobilization and demobilization of equipment which was not set out in the original equipment list provided by Golden Hill prior to arriving at the Site. The fact that the mobilization and demobilization costs of additional equipment was borne by Kemess allows me to conclude that the additional equipment was required either because of changed soil conditions, acceleration orders from Kemess or changes in the scope of the Work to be done.</w:t>
      </w:r>
      <w:r>
        <w:rPr>
          <w:rFonts w:ascii="arial" w:eastAsia="arial" w:hAnsi="arial" w:cs="arial"/>
          <w:sz w:val="20"/>
          <w:lang w:val="en-US" w:eastAsia="en-US" w:bidi="ar-SA"/>
        </w:rPr>
        <w:cr/>
      </w:r>
    </w:p>
    <w:p>
      <w:pPr>
        <w:numPr>
          <w:numId w:val="1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CHANGE IN UNIT 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Golden Hill submits that it was anticipated that there would also be a change in the unit rates if there was a decision by Kemess to accelerate the work or if the actual soil conditions were different than what was anticipated. I am satisfied that there was no such discussion at the Post Tender Meeting. Such a discussion is not reflected in the Minutes which Mr. Rudolph agreed were generally accurate and reflective of what had occurred at the meeting. The Minutes speak only of "a rate for mobilizing each item of equipment". There is no mention of the unit rates being adjusted for the new equipment. There is no mention of an adjustment of equipment rates in any of the correspondence which follows or in any of the dealings between the parties. I find that there was no agreement reached between the parties that the unit rates would be adjusted if there was acceleration, if the soil conditions were different than what was anticipated, or if there was a need for new equipment to be brought onto the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However, the fact that the parties were not obligated to negotiate new unit rates does not preclude Golden Hill from advancing a claim for damages relating to any breaches of contract of tortious acts of Kemess.</w:t>
      </w:r>
      <w:r>
        <w:rPr>
          <w:rFonts w:ascii="arial" w:eastAsia="arial" w:hAnsi="arial" w:cs="arial"/>
          <w:sz w:val="20"/>
          <w:lang w:val="en-US" w:eastAsia="en-US" w:bidi="ar-SA"/>
        </w:rPr>
        <w:cr/>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DISCUSSIONS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Section 22 of the Minutes asked the question whether Golden Hill satisfied itself as to "the site conditions, including evaluating soil conditions, rock, water, topography, access, etc." and the answer stated in the Minutes was "yes". The question was also asked whether Golden Hill had reviewed the Soils Data provided with the bid "but not K&amp;P reports". "A final report has not yet been done." The answer stated in the Minutes was again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Section 25 of the Minutes asked the question of whether Golden Hill had examined the Site and the answer set out in the Minutes is "yes". The question of "oral agreements" was dealt with under Section 32 of the Minutes which asked the question "Is it understood that oral agreements are non-binding?" with the answer "Yes" given for that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Section 35 of the Minutes states in part: "These and subsequent Minutes become part of the contract." In the course of giving his evidence, Mr. Rudolph could not recall any discussion about this minute other than his recollection that the statement came from Mr. Collins. I am satisfied that the parties did not act on the assumption that "subsequent Minutes" would become part of the Contract between the parties. First, the reference is confusing as minutes were produced at a number of meetings where Golden Hill was present but there was no indication that those minutes became a binding agreement between the parties. Second, there were no further meetings of this nature between Golden Hill, Kilborn and Kemess. In the circumstances, I give no meaning to s. 35 of the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Section 45 of the Minutes confirms the advice of Mr. Rudolph to Kilborn that the Project would take 4 and 1/2 months to complete. Section 49 of the Minutes states: "Has the contractor allowed for working in inclement weather? The answer to that question was: "Yes, GHV has allowed for this". Mr. Rudolph could not recall any discussion about this issue and stated at Trial that Kilborn had simply asked him the question during the meeting and he replied that his bid included an allowance for working in inclement weather.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Section 51 of the Minutes states: "Has the Contractor reviewed the geotechnical information available?" and the answer given was "in part". Under cross-examination, Mr. Rudolph indicated that he answered this question this way because he had only reviewed what had been sent to him and had not reviewed the Knight Piésold report because it was not yet complete. He did confirm that he did not pursue Knight Piésold for the information because Kilborn told him they would provide him with a copy of the report when it was ready.</w:t>
      </w:r>
      <w:r>
        <w:rPr>
          <w:rFonts w:ascii="arial" w:eastAsia="arial" w:hAnsi="arial" w:cs="arial"/>
          <w:sz w:val="20"/>
          <w:lang w:val="en-US" w:eastAsia="en-US" w:bidi="ar-SA"/>
        </w:rPr>
        <w:cr/>
      </w:r>
    </w:p>
    <w:p>
      <w:pPr>
        <w:numPr>
          <w:numId w:val="1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JUNE 19 LETTER FROM GOLDEN HILL TO KILBORN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In a June 19 facsimile transmission letter to Kilborn, Mr. Rudolph set out mobilization and demobilization prices for additional equipment, provided new quantities for surfacing and resurfacing (Granular A and Granular B) and confirmed that three belly dump tractor trailers should have been included in the original equipment list of Golden Hill.</w:t>
      </w:r>
      <w:r>
        <w:rPr>
          <w:rFonts w:ascii="arial" w:eastAsia="arial" w:hAnsi="arial" w:cs="arial"/>
          <w:sz w:val="20"/>
          <w:lang w:val="en-US" w:eastAsia="en-US" w:bidi="ar-SA"/>
        </w:rPr>
        <w:cr/>
      </w:r>
    </w:p>
    <w:p>
      <w:pPr>
        <w:numPr>
          <w:numId w:val="1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JUNE 20 LETTERS FROM GOLDEN HILL TO KILBORN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By facsimile transmission, Golden Hill forwarded a June 20 letter to Mr. Clegg of Kilborn confirming that Golden Hill would not charge mobilization and demobilization costs of any additional equipment that was required by Golden Hill "to complete the contract by the completion date and within the scope of the contract". The letter also noted: "We have an extremely large fleet of heavy equipment from which to draw from, if additional equipment is required." While Mr. Rudolph did not sign the letter personally, the letter was clearly sent on behalf of Golden Hill. While it was the submission of Kemess that this letter should be interpreted as meaning that no further mobilization and demobilization costs would be charged by Golden Hill no matter why the further equipment was needed, I reject that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First, Golden Hill charged and Kemess paid for further mobilization and demobilization. Second, I am satisfied that this letter must be read in the context of the agreement that was reached between the parties that Kemess would pay for the mobilization and demobilization of additional equipment if that equipment was needed because the soil conditions were other than what was anticipated, if there was an acceleration of the Work by Kemess, or if the scope of the Work 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In a second letter that was also signed on behalf of Mr. Rudolph, Golden Hill stated: "We would like to propose a one percent reduction to our overall contract price, and in return for this reduction we would like a two week billing period with payment to be made in fourteen days." That proposal was never accepted by Kemess and the subsequent requests for Progress Draws were never made in accordance with this proposal.</w:t>
      </w:r>
      <w:r>
        <w:rPr>
          <w:rFonts w:ascii="arial" w:eastAsia="arial" w:hAnsi="arial" w:cs="arial"/>
          <w:sz w:val="20"/>
          <w:lang w:val="en-US" w:eastAsia="en-US" w:bidi="ar-SA"/>
        </w:rPr>
        <w:cr/>
      </w:r>
    </w:p>
    <w:p>
      <w:pPr>
        <w:numPr>
          <w:numId w:val="1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LETTER OF INTENT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Golden Hill started to mobilize equipment to the Site prior to receiving the formal advice from Kemess that they had been awarded the C101 Contract. On July 3, Mr. Koski forwarded a signed copy of a Letter of Intent to Kilborn which Kilborn then forwarded to Golden Hill on July 4. In that letter, Golden Hill was advised that their bid had been accepted. Golden Hill states that this was the first notice that Golden Hill had received that it had been awarded the C101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Mr. Rudolph was not believable in stating that Golden Hill started to mobilize a number of days ahead of July 4 even though Golden Hill was not aware that it was the successful bidder. I find that Golden Hill must have been virtually certain or actually certain that, on the basis of discussions that Mr. Rudolph had with Kilborn or Kemess, Golden Hill was the successful bidder. There is no other economically sound explanation of why labour and equipment arrived at the Project prior to the receipt of the Letter of Intent.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Mr. Rudolph signed the Letter of Intent on July 4 and sent it back to Kilborn on July 5. The Letter of Intent was subject to two conditions: (a) "necessary government approvals are received"; and (b) that an agreement was reached on the credit available to Kemess for use of Kemess equipment by Golden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The Letter of Intent contained the following further provisions: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Contract will be a unit rates type contract based on the Tender Documents including Addendum No. 1, the discussions held in the Post-Tender Meeting of June 21, 1996, the minutes of which are attached to, and form part of, this letter, modifications to the Contract wording which were handed to you at the meeting and also transmitted to you by facsimile, dated June 21 and 26, 1996, your facsimile letters of June 24 and 26, 1996, Kilborn facsimile letter of June 27, 1996 and your forthcoming response, and your letter facsimile of June 28, 1996 to Royal Oak Mines.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award value of the Contract will be $5,924,019.80, this being based on the Golden Hill Ventures Ltd. estimated quantities of work to be performed and the unit rates in your proposal. The determination of the final Contract Price will be in accordance with the terms of measurement and payment set out in the Tender Documents.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schedule for this work in the Tender Documents, i.e. work to commence immediately upon notice to proceed and all work to be completed by mid-October, 1996. As per the Tender Documents you will be required to co-ordinate your work with the work of others, the details of this will be resolved between yourself and Kemess's Construction Manager, Mr. Jim Koski.</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contact Mr. Koski prior to mobilization...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Contract is contingent upon Kemess receiving confirmation that the required bonds and insurance are in place and that WCB dues are fully paid. Kemess will advise shortly on the bonds that they require.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further document will be prepared for your signature shortly. In the meantime, kindly acknowledge your acceptance of this letter of intent and the conditions set out herein, by signing this letter below and returning a copy to this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It is clear that the parties ignored the two "conditions" contained in the Letter of Intent as well as the stipulation that the Work was to commence only "upon notice to proceed". This is indicative of how the parties would treat the notice and other provisions set out in the Tender Documents over the course of the Work on the Site.</w:t>
      </w:r>
      <w:r>
        <w:rPr>
          <w:rFonts w:ascii="arial" w:eastAsia="arial" w:hAnsi="arial" w:cs="arial"/>
          <w:sz w:val="20"/>
          <w:lang w:val="en-US" w:eastAsia="en-US" w:bidi="ar-SA"/>
        </w:rPr>
        <w:cr/>
      </w:r>
    </w:p>
    <w:p>
      <w:pPr>
        <w:numPr>
          <w:numId w:val="1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GOVERNMENT APPROVALS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Regarding the first condition, not all permits were in place although Kemess had been advised by the B.C. Government and advised Golden Hill that approval had been granted in principle and that would be a matter of a few days or a week before the actual document was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Despite the anticipated delay in obtaining permits and in awarding the Contract, there was no extension of the contemplated mid-October completion date for the Project. At this stage of the Project, Golden Hill did not request an extension of the contemplated completion date and Kemess did not offer an extension. It should be noted that the Amended Schedule had been prepared prior to the advice received at the Post Tender Meeting that Kemess had not received its mine development permit and that the C101 Contract would not be awarded until the permits were in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 Letter of Intent was issued two weeks after the date originally contemplated and as set out in the Amended Schedule provided by Golden Hill. The Amended Schedule provided by Golden Hill assumed that Kemess would award the contract on June 21 and that Golden Hill would start mobilizing equipment on June 22.</w:t>
      </w:r>
      <w:r>
        <w:rPr>
          <w:rFonts w:ascii="arial" w:eastAsia="arial" w:hAnsi="arial" w:cs="arial"/>
          <w:sz w:val="20"/>
          <w:lang w:val="en-US" w:eastAsia="en-US" w:bidi="ar-SA"/>
        </w:rPr>
        <w:cr/>
      </w:r>
    </w:p>
    <w:p>
      <w:pPr>
        <w:numPr>
          <w:numId w:val="1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USE OF KEMESS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Regarding the second condition, an agreement was not reached on these rates. However, Golden Hill did not use much Kemess equipment during the performance of the Work so this has not been an issue between the parties.</w:t>
      </w:r>
      <w:r>
        <w:rPr>
          <w:rFonts w:ascii="arial" w:eastAsia="arial" w:hAnsi="arial" w:cs="arial"/>
          <w:sz w:val="20"/>
          <w:lang w:val="en-US" w:eastAsia="en-US" w:bidi="ar-SA"/>
        </w:rPr>
        <w:cr/>
      </w:r>
    </w:p>
    <w:p>
      <w:pPr>
        <w:numPr>
          <w:numId w:val="1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NOTICE TO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"notice to proceed" referred to in the Letter of Intent was never sent by Kemess to Golden Hill. Kemess may well have concluded that a "notice to proceed" was not needed as mobilization had already commenced prior to the Letter of Intent being forwarded.</w:t>
      </w:r>
      <w:r>
        <w:rPr>
          <w:rFonts w:ascii="arial" w:eastAsia="arial" w:hAnsi="arial" w:cs="arial"/>
          <w:sz w:val="20"/>
          <w:lang w:val="en-US" w:eastAsia="en-US" w:bidi="ar-SA"/>
        </w:rPr>
        <w:cr/>
      </w:r>
    </w:p>
    <w:p>
      <w:pPr>
        <w:numPr>
          <w:numId w:val="1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WAS THE CONTRACT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A formal contract was subsequently prepared and was forwarded to Golden Hill around August 27. The contract was not signed by Golden Hill as it was the evidence of Mr. Rudolph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at the time I received these, I didn't feel very comfortable in signing that contract. I felt the, with the changes that were, were happening on the site, that basically the contract was substantially changed from what was in the bound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There was no follow-up by either Kemess or Kilborn to request a signed copy of the formal contract. In cross-examination, Mr. Rudolph agreed that the contract documents he received were consistent with the contract in the Tender Documents as amended by the amendments made at the Post Tender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 am satisfied that the June 20 letter dealing with equipment does form part of the Contract. Despite the fact that the two June 20 letters are not listed as "attachments" to the Letter of Intent, these letters are from Golden Hill and must be taken to have set out the position taken by Golden Hill regarding the matters that were set out in the letters. As well, they are listed as being attached to the Minutes and the Letter of Intent clearly states that the Minutes are to be part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Kemess prepared the Letter of Intent and thereby expressed its intention of what would be included as part of the Contract between the parties. However, I am satisfied that the June 20 letter which dealt with the mobilization and demobilization of equipment became incorporated into the Contract between the parties. As well, I am satisfied that the parties acted consistently with what was set out in that letter in due course.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I reject the submission of Golden Hill that the Letter of Intent did not form part of the Contract as the Letter of Intent itself does not list the Letter of Intent as one of the documents upon which the contract will be based. However, the Further Amended Statement of Claim of Golden Hill states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Contract expressly or impliedly contained as terms the Tender Representations, the Site Visit Representations, the Post Tender Meeting Terms, the discussions at the Post Tender Meeting, and the terms of the Letter of Intent.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As well, the Agreed Statement of Facts states: "Golden Hill accepted the Letter of Intent, and therefore entered into a contract with Kemess for the Work." On the bases of this admission and the Further Amended Statement of Claim, I find that the Letter of Intent did form part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Golden Hill submits that the discussions between the parties form part of the Contract but that the Minutes do not. The phrase used in the Letter of Intent is that the Contract will be based on a number of things including "...the discussions held at the Post Tender Meeting on June 21, 1996, the Minutes of which are attached to, and form part of, this letter ..." It could not be that it is the "discussions" which are "attached" and which form part of the Letter of Intent. Accordingly, the only interpretation that can be given to the phrase used is that it is the Minutes which are attached and which "form part of" the Letter of Intent.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As well, paragraphs 30 and 31 of the Agreed Statement of Facts between the parties makes it clear that the Minutes form part of the Contract. The agreement set out in the April 13, 2000 Agreed Statement of Facts states that both "the discussions at the post tender meetings" and the "Minutes of the Post Tender Meeting" were incorporated "into the contract for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I am satisfied that Golden Hill should not be allowed to resile from that formal admission. Even if I ordered that the admission could be withdrawn, I find that the Minutes accurately reflect the "discussions held". That being the case, even if Golden Hill is correct that only the discussions form part of the Contract, the discussions are as recorded in the Minutes. Accordingly, I hold that the discussions as well as the Minutes form part of the Contract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I find that the Contract between the parties consists of the Tender Documents, the two June 20, 1996 letters, the Letter of Intent and the documents referred to in the Letter of Intent, the discussions at the Post Tender Meeting, the Minutes, the amendments which were made from time to time by the parties when what was found at the Site required the parties to undertake "on-site" amendments, certain representations made by Kemess to induce Golden Hill to enter into the Contract, terms which must be implied into the Contract, and implied 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Before dealing with the conditions encountered by the parties at the Site, it is necessary to review the weather that was experienced as it had very negative effects on the progress of the completion of the C101 Contract.</w:t>
      </w:r>
      <w:r>
        <w:rPr>
          <w:rFonts w:ascii="arial" w:eastAsia="arial" w:hAnsi="arial" w:cs="arial"/>
          <w:sz w:val="20"/>
          <w:lang w:val="en-US" w:eastAsia="en-US" w:bidi="ar-SA"/>
        </w:rPr>
        <w:cr/>
      </w:r>
    </w:p>
    <w:p>
      <w:pPr>
        <w:numPr>
          <w:numId w:val="1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There was no information or data in the Tender Documents relating to anticipated or previous weather conditions. The following statement under the "examination of site" provision within the Instructions to Tenderers, sets out one of the primary purposes of the Site Visit: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Contractor will be considered as having taken into account possible site working conditions, abnormal conditions, such as effects on labour productivity, </w:t>
      </w:r>
      <w:r>
        <w:rPr>
          <w:rFonts w:ascii="arial" w:eastAsia="arial" w:hAnsi="arial" w:cs="arial"/>
          <w:color w:val="000000"/>
          <w:sz w:val="20"/>
          <w:u w:val="single"/>
          <w:lang w:val="en-US" w:eastAsia="en-US" w:bidi="ar-SA"/>
        </w:rPr>
        <w:t>weather</w:t>
      </w:r>
      <w:r>
        <w:rPr>
          <w:rFonts w:ascii="arial" w:eastAsia="arial" w:hAnsi="arial" w:cs="arial"/>
          <w:color w:val="000000"/>
          <w:sz w:val="20"/>
          <w:lang w:val="en-US" w:eastAsia="en-US" w:bidi="ar-SA"/>
        </w:rPr>
        <w:t>, access, soil conditions, lay down areas, congestion, permits, environmental needs etc., that may arise during the course of construction. No additional reimbursements will be considered by the Owner to cover extra costs arising from these or similar conditions, other than those specifically provided for.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There is no evidence before me which would allow me to conclude that Mr. Rudolph made any inquiries about anticipated weather conditions. Mr. Rudolph thought that the weather would not be a factor if there was good granular material throughout the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All of the witnesses who had any experience with the Project agreed that the summer and early fall of 1996 was extremely wet including frequent heavy rainfall. The following table is a comparison between the actual amount of rainfall at the Project in 1996 and the average amount of precipitation for the eight Environment Canada weather stations that were identified by Mr. Butler, an expert called on behalf of Kemess, as relevant to the Kemess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9"/>
        <w:gridCol w:w="2091"/>
        <w:gridCol w:w="1464"/>
        <w:gridCol w:w="1778"/>
        <w:gridCol w:w="3659"/>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4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Kemess</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Environment</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Over</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4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Precipitation</w:t>
            </w:r>
          </w:p>
        </w:tc>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Records</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Canada</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Average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4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(mm)</w:t>
            </w:r>
          </w:p>
        </w:tc>
        <w:tc>
          <w:tcPr>
            <w:tcW w:w="174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(mm)</w:t>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8"/>
        <w:gridCol w:w="2091"/>
        <w:gridCol w:w="1255"/>
        <w:gridCol w:w="941"/>
        <w:gridCol w:w="1882"/>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4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July</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206.5</w:t>
            </w:r>
          </w:p>
        </w:tc>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54.7</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277.5%</w:t>
            </w:r>
          </w:p>
        </w:tc>
        <w:tc>
          <w:tcPr>
            <w:tcW w:w="3789"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4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August</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201.168</w:t>
            </w:r>
          </w:p>
        </w:tc>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54.8</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267.2%</w:t>
            </w:r>
          </w:p>
        </w:tc>
        <w:tc>
          <w:tcPr>
            <w:tcW w:w="3789"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4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September</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158.496</w:t>
            </w:r>
          </w:p>
        </w:tc>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52.2</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203.6%</w:t>
            </w:r>
          </w:p>
        </w:tc>
        <w:tc>
          <w:tcPr>
            <w:tcW w:w="3789"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4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October</w:t>
            </w:r>
          </w:p>
        </w:tc>
        <w:tc>
          <w:tcPr>
            <w:tcW w:w="122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102.87</w:t>
            </w:r>
          </w:p>
        </w:tc>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50.0</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105.8%</w:t>
            </w:r>
          </w:p>
        </w:tc>
        <w:tc>
          <w:tcPr>
            <w:tcW w:w="3789"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4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November</w:t>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112.776*</w:t>
            </w:r>
          </w:p>
        </w:tc>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50.7</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122.5%</w:t>
            </w:r>
          </w:p>
        </w:tc>
        <w:tc>
          <w:tcPr>
            <w:tcW w:w="3789"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numPr>
          <w:numId w:val="1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November Project Record is incomplete (ends at November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If Kemess had the ability to produce comparable figures for the years 1997 through 2001, it chose not to produce those figures. It would have been of assistance to the Court if those figures had been produced as they would have shed some light on the question of whether the precipitation experienced during the summer and early fall of 1996 was extraordinary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The C105 Contract dealt with the creation of the Tailings Dam for the Project. Golden Hill also bid on that contract. In the C105 tender documents, Knight Piésold included a spreadsheet entitled "Monthly Distribution of Rainfall, Snowmelt and Evaporation". The notes to this spreadsheet indicated that the rainfall data in the spreadsheet was the average of 1991 through 1993 data from the "Kemess Meteorological Station".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The precipitation that was experienced in July and August, 1996 was dramatically higher than what had been experienced by what was described in the C105 Tender Package as the "Kemess Meteorological Station". The following table summarizes the comparison: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660"/>
        <w:gridCol w:w="51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Recorded by Kemess</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Kemess Station Data</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During 1996</w:t>
            </w:r>
          </w:p>
        </w:tc>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(1991-93 Average)</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287"/>
        <w:gridCol w:w="1464"/>
        <w:gridCol w:w="2091"/>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98"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Historical</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Over Average</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568"/>
        <w:gridCol w:w="2091"/>
        <w:gridCol w:w="1778"/>
        <w:gridCol w:w="334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4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Precipita-</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Volume</w:t>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Month</w:t>
            </w:r>
          </w:p>
        </w:tc>
        <w:tc>
          <w:tcPr>
            <w:tcW w:w="204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tion (mm)</w:t>
            </w:r>
          </w:p>
        </w:tc>
        <w:tc>
          <w:tcPr>
            <w:tcW w:w="174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(mm)</w:t>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From Historical</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464"/>
        <w:gridCol w:w="941"/>
        <w:gridCol w:w="1778"/>
        <w:gridCol w:w="2405"/>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July</w:t>
            </w:r>
          </w:p>
        </w:tc>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206.5</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47.2</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337.5%</w:t>
            </w:r>
          </w:p>
        </w:tc>
        <w:tc>
          <w:tcPr>
            <w:tcW w:w="317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August</w:t>
            </w:r>
          </w:p>
        </w:tc>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201.2</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46.6</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331.8%</w:t>
            </w:r>
          </w:p>
        </w:tc>
        <w:tc>
          <w:tcPr>
            <w:tcW w:w="317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September</w:t>
            </w:r>
          </w:p>
        </w:tc>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158.5</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88.3</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79.5%</w:t>
            </w:r>
          </w:p>
        </w:tc>
        <w:tc>
          <w:tcPr>
            <w:tcW w:w="317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October</w:t>
            </w:r>
          </w:p>
        </w:tc>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102.9</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89.7</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14.7%</w:t>
            </w:r>
          </w:p>
        </w:tc>
        <w:tc>
          <w:tcPr>
            <w:tcW w:w="317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November</w:t>
            </w:r>
          </w:p>
        </w:tc>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112.8</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90.6</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24.5%</w:t>
            </w:r>
          </w:p>
        </w:tc>
        <w:tc>
          <w:tcPr>
            <w:tcW w:w="317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Kemess did not disclose this weather data to the bidders on the C101 Contract although there was no evidence as to whether this weather data was available when the Tender Documents were issued or when the data became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From all of the information available about the weather at the Site, I find that the actual precipitation during July and August was approximately 3 to 4 times what had been previously experienced and what should have been expected and that the precipitation in September through November was higher than normal but not appreciably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If Golden Hill or Kemess had inquired into the question of what weather to expect it could not have been contemplated that the rain during July and August would have been approximately 3 to 4 times what had previously been experienced.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I am also satisfied that the "examination of site" provision within the Instruction to Tenders does not have the effect of excluding a claim by Golden Hill for productivity problems arising as a result of weather. First, I find the provision to be virtually incomprehensible. It is not clear that it relates to "abnormal [weather] conditions" or whether the contractor must take into account "site working conditions" as a result of weather. Second, it cannot be that a contractor would be required to take into account anything other than anticipated "weather ...that may arise during the course of construction". It is an impossibility for any contractor to take into account "abnormal [weather] conditions". Third, the prohibition against "additional reimbursements" relates to "extra costs arising from these [presumably abnormal weather conditions] or similar conditions". In the context of the anticipated weather, it is impossible to know what the phrase "these or similar conditions" refers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Accordingly, I find that the "examination of site" provision within the Instruction to Tenderers is so vague that it cannot be interpreted as requiring Golden Hill to take into account abnormal weather conditions or excluding the ability of Golden Hill to look for compensation to Kemess if abnormal weather conditions produced or contributed to lesser productivity than what was originally contemplated by Golden Hill when it prepared its bid.</w:t>
      </w:r>
      <w:r>
        <w:rPr>
          <w:rFonts w:ascii="arial" w:eastAsia="arial" w:hAnsi="arial" w:cs="arial"/>
          <w:sz w:val="20"/>
          <w:lang w:val="en-US" w:eastAsia="en-US" w:bidi="ar-SA"/>
        </w:rPr>
        <w:cr/>
      </w:r>
    </w:p>
    <w:p>
      <w:pPr>
        <w:numPr>
          <w:numId w:val="1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WEATHER ENCOUNTERED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Despite the Letter of Intent and the discussion of Post Tender Meeting, Golden Hill commenced its Work at the Project. Golden Hill submits that its plans for the Work were thwarted by a combination of the acceleration of the Work by Kemess, the soil and weather conditions encountered, the directions received from Kemess to change the way Golden Hill intended to undertake the Work, the delays relating to permits and to the designs for various areas of the Work, and the failure of Kemess to designate adequate Topsoil and Waste dumps. Before outlining the effect that the unprecedented weather had on the Amended Schedule, I will outline in more detail the weather that was experienced.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JULY WEATHER: There were 14 days of rain and 17 cloudy and sunny days. The report for the week of July 14 from Golden Hill to Kemess stated in part: "extremely wet weather 5 days of rain &amp; snow prevent access and grading." The monthly report for July noted in part: "Winter snow is still encountered in shaded wooded areas of the plant site." During July, Golden Hill estimated that it lost between 7 to 10 days off its Amended Schedule due to the weather and due to the delay in obtaining permits.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AUGUST WEATHER: The Kemess records indicate 25 days of precipitation with 8 days with slight amounts, 12 days with scattered showers and 4 days as heavy rain. Kemess records indicate that 7.92 inches of rain fell in August. On August 30, Golden Hill wrote to Kemess providing notice that 13.5 shifts were cancelled due to rain. Accordingly, by the end of August, the total delays estimated by Golden Hill (including weather and permit delays) was somewhere between 13.5 and 16.5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SEPTEMBER WEATHER: Kemess records indicate 22 days of precipitation totalling 6.24 inches with 14 of those days described as "scattered showers".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OCTOBER WEATHER: Kemess records indicate 22 days of precipitation (including 14 days of snow) and 4.05 inches of rain. The entire month was described as "overcast", "scattered clouds", or "clear". There were no rainouts until October 9. The October 31 Kemess monthly report stated in part: "During the milder temperatures earthworks virtually came to a halt." There appears to have been only two days when Golden Hill was shut down as a result of rain or snow.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NOVEMBER WEATHER: Kemess records indicate 15 days and 4.44 inches of precipitation. The November 30 Kemess monthly report stated in part: "The extreme cold weather caused mechanical breakdown(s) in all areas and directly impacted daily production." DECEMBER WEATHER: December began clear and cold (minus 26 degrees).</w:t>
      </w:r>
      <w:r>
        <w:rPr>
          <w:rFonts w:ascii="arial" w:eastAsia="arial" w:hAnsi="arial" w:cs="arial"/>
          <w:sz w:val="20"/>
          <w:lang w:val="en-US" w:eastAsia="en-US" w:bidi="ar-SA"/>
        </w:rPr>
        <w:cr/>
      </w:r>
    </w:p>
    <w:p>
      <w:pPr>
        <w:numPr>
          <w:numId w:val="1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EFFECT OF WEATHER CONDITIONS, UNANTICIPATED SOIL CONDITIONS, PROJECT CHANGES, AND PROJECT DELAYS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There were three main work areas involved in the C101 Contract-the Mancamp, the Millsite, and the Airstrip. My findings regarding the progress that was made at these three main work areas between July and December and some of the reasons for the lack of progress are set out as follows.</w:t>
      </w:r>
      <w:r>
        <w:rPr>
          <w:rFonts w:ascii="arial" w:eastAsia="arial" w:hAnsi="arial" w:cs="arial"/>
          <w:sz w:val="20"/>
          <w:lang w:val="en-US" w:eastAsia="en-US" w:bidi="ar-SA"/>
        </w:rPr>
        <w:cr/>
      </w:r>
    </w:p>
    <w:p>
      <w:pPr>
        <w:numPr>
          <w:numId w:val="1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MANCAMP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The Mancamp was the smallest area (roughly four hectares). In July, Golden Hill commenced clearing and stripping the Airstrip and the Mancamp areas. It was first necessary to burn the slash which was left after the logging operations at the Mancamp. The burning of slash was delayed due to wet conditions. The 14 days of rain caused the Topsoil and the soils underneath to become saturated when exposed to the rain. This created greater Waste at both the Airstrip and the Mancamp.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The wet weather also caused Golden Hill to strip more material because the machines running back and forth over the stripped areas caused ruts and puddles and further saturated the underlying soils. Mr. Lyons testified that, if there had been good granular material underneath the Topsoil, there would be little or no Waste and that stripping could continue even in bad weather but that, if there was not good granular material underneath, stripping should not continue as it would cause deep ruts and you would just be "making more of a mess". I accept his evidence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On July 23, Golden Hill notified Kemess that there would be delays to the Mancamp earthworks as no design for that area had been received. This failure of Kemess to produce designs for the Mancamp caused Golden Hill delay and productivity. In late July, burning of the slash was further delayed because of the weather conditions. However, stripping and stockpiling of Topsoil was in progress with the material being stockpiled near the north and south edges of the Mancamp.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In early August, earthworks were continuing at the Mancamp although a change in grade requiring the surveyors to restake the area resulted in the material that had already been placed having to be moved. This created additional costs and lost productivity for Golden Hill. As well, Kemess added a services pad at the west side of the Mancamp which also caused extra cost as a stripping pile had to be moved to make way for the new services pad. I find that this was a change in the Scope of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By the beginning of August, the shortage of good granular material at the Mancamp area was having an effect on the operations of Golden Hill. Kemess lowered the total site design grade by 1 metre to minimize Fill requirements when it became apparent that there was a shortage of good granular material in the Mancamp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The minutes of an August 14 site meeting indicate that Kemess told Golden Hill that they wanted Golden Hill to install the Granular A material at the Mancamp after Western Versatile finished installing underground services pursuant to a different contract that had been awarded to Western Versatile. This was contrary to the Amended Schedule which showed the work of other contractors not starting until early September,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After finishing its work, Western Versatile left the Mancamp area without compacting the material that it had excavated when it installed the underground services. This resulted in Golden Hill having to dry the disturbed material before it was able to place Granular A at the Mancamp.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Golden Hill experienced a problem with the location of the tank pad at the Mancamp. The problem was caused by ground water which had perculated underneath the tank pad from an adjacent ditch. Golden Hill solved the problem when it deepened the design ditch at the east end of the tank pad. I find that this was also a change in the Scope of the Work. Surfacing was ongoing at the Mancamp during early to mid-September. There was some improvement in the weather with the September 11 meeting minutes indicating some improvement in production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The Granular B material necessary for the Mancamp was found at a borrow pit near the Omineca Access Road as no source for Granular B material could be found at the Millsite or around the Mancamp. The work of Golden Hill was further delayed on two of the pads at the Mancamp area as Kemess had camp buildings installed prior to the Golden Hill Mancamp work being completed. All work at the Mancamp appears to have been completed in early October.</w:t>
      </w:r>
      <w:r>
        <w:rPr>
          <w:rFonts w:ascii="arial" w:eastAsia="arial" w:hAnsi="arial" w:cs="arial"/>
          <w:sz w:val="20"/>
          <w:lang w:val="en-US" w:eastAsia="en-US" w:bidi="ar-SA"/>
        </w:rPr>
        <w:cr/>
      </w:r>
    </w:p>
    <w:p>
      <w:pPr>
        <w:numPr>
          <w:numId w:val="1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MILLSITE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Duz Cho Logging ("Duz Cho") was hired to log the merchantable timber at the Millsite and remove it at no cost to either Golden Hill or Kemess. That work was not completed until the first week of August. This resulted in a delay to Golden Hill as Golden Hill was unable to perform any significant work at the Millsite apart from some ditching to drain surface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Grubbing and stripping at the Millsite began in August which was behind the Amended Schedule. On August 7, Mr. Quaile wrote to Mr. Rempel to propose a method to speed up the work at the Millsite by conducting a survey of the original ground before starting Topsoil removal. Golden Hill would then deduct the Topsoil volume (based on a 150 millimetre depth) from the total volume of cut material from the end cut volume, so that delays associated with surveying between Topsoil removal and earthworks could be avoided. That recommendation was subsequently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By August 9, an access road had been constructed to the centre of the Millsite, perimeter ditches had been established and grubbing and stripping had commenced. Duz Cho had built its haul road on the Millsite on top of a series of small gravel ridges and it was necessary for Golden Hill to upgrade and extensively rebuild that road for its own use during its earthworks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Golden Hill could not conduct its ground survey until after Duz Cho had completed its work. Golden Hill had to do some additional clearing to remove some trees left by Duz Cho. By August 13, Golden Hill had constructed a main drainage ditch across the top of the Millsite and a second drainage ditch above the service complex at the Millsite. The plan of Golden Hill was to clear the whole of the Millsite area before moving into the earthworks stage of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The stripping and grubbing operation of the Millsite continued during the rain. Golden Hill subsequently used excavators to top-load the Topsoil into scrapers and 6-Wheel drive rock trucks to haul the material to the Topsoil storage areas. Golden Hill used scrapers, graders and packers to place Fill at the Millsite and used bulldozers to push-load the scrapers.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On August 14, Kemess communicated to Golden Hill that the "excavation priorities" were ditching in the settlement pond and then the concentrator building area of the Millsite. Witnesses on behalf of Golden Hill testified that it was their plan to work on the settlement pond last because it was in the lowest and wettest area of the Millsite. I am satisfied that this change in priorities directed by Kemess resulted in Golden Hill not being able to undertake their work in accordance with their original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Kemess submits that, once the stripping of the Topsoil and the removal of overburden as Waste had been completed in September in areas of Millsite, the Golden Hill productivity improved greatly. In cross-examination, Mr. Lyons stated that productivity had improved because they had completed the removal of the overburden of Topsoil and Waste and were now starting to do earthworks.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On August 25, Kemess hired Golden Hill on an "extra work basis" to dig test holes to search for granular material to be used for road surfacing. On August 31, Golden Hill was hired on the same basis to dig test holes to search for granular material at the Millsite. The test holes did not allow Golden Hill to locate any aggregate source areas. The fact that Kemess hired Golden Hill to search for granular material at the Millsite allows me to conclude that both parties felt as late as the end of August that there should be granular material at the Millsite as that is what was anticipated. Unfortunately, their expectations proved not to be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On September 7, Kemess directed Golden Hill to discontinue Airstrip operations so that it could concentrate on the earthworks operations at the Millsite. This was other than in accordance with the original plan of Golden Hill. At the September 11 meeting of all contractors, Mr. Rempel stated that Golden Hill operators "...are doing an excellent job, having good weather and into better grade material. Have a good plan of action." By September 15, portions of the concentrator area at the Millsite were turned over to Western Versatile.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The Golden Hill operations at the Millsite were ongoing with all of the Topsoil at the Millsite stockpiled, the settlement pond completed, the concentrator bins completed and all Granular A material crushed for the Millsite. The settlement pond was operational by October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The service area was turned over to Western Versatile in early November and, at the same time, Golden Hill started the crusher area excavation. Mr. Miller of Golden Hill testified that the first four to five metres of soil at the crusher site consisted of very wet silty, sandy gravel material that was "basically waste", that a layer of "blue gumbo" was encountered under that layer and that, one or two metres below the blue gumbo, Golden Hill encountered a dry hard pan material that was easier to excavate. The dry hard pan material was hauled to an unsuitable dump north west of the crusher site. The Kemess month end report indicated that the excavation of the crusher area had proceeded and had been handed over to Western Versatile, and that the sediment control pond was in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In freezing conditions in December, 1996, Golden Hill encountered a groundwater spring in the crusher excavation and attempted to deal with that by diverting the groundwater using washed gravel and perforated pipe. By mid-December, 1996, the unfinished work at the Millsite consisted of placing Granular A material in areas that were occupied by other contractors and general clean up work. By that time, Golden Hill had not finished the Millsite Access Road from the Omenica Road.</w:t>
      </w:r>
      <w:r>
        <w:rPr>
          <w:rFonts w:ascii="arial" w:eastAsia="arial" w:hAnsi="arial" w:cs="arial"/>
          <w:sz w:val="20"/>
          <w:lang w:val="en-US" w:eastAsia="en-US" w:bidi="ar-SA"/>
        </w:rPr>
        <w:cr/>
      </w:r>
    </w:p>
    <w:p>
      <w:pPr>
        <w:numPr>
          <w:numId w:val="1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AIRSTRIP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Ditching of the Airstrip started on July 14 and grubbing started on July 19 even though it was snowing. Golden Hill commenced clearing and stripping the Airstrip but 14 days of rain caused the Topsoil and the soils underneath to become saturated when exposed to the rain and, like the Mancamp, this created greater Waste. There was also the problem of starting and maintaining the fires to burn the trees and branches that resulted from the clearing operation. Operations apart from ditching were shut down due to rain in the third week of July. Other than the last 500 metres which were held up due to an ongoing Archaeological Survey, the Airstrip was cleared by July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Clearing of the Airstrip was proceeding on the basis of instructions received from Mr. Rempel as no design for the Airstrip was available. On July 23, Golden Hill notified Kemess of the impact of three design changes on the operations of Golden Hill at the Airstrip. Mr. Rempel was also advised that the Archaeological Survey had impeded the progress of the clearing operations at the Airstrip.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By August 1, grubbing and staking had been completed at the north end of the Airstrip, no design had been received and clearing was ongoing in the south one third of the Airstrip. Stripping at the Airstrip was 45% complete and Golden Hill embarked upon digging out and removing unsuitable soils at the first swamp at the north end of the Airstrip.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As good granular material could not be found to back fill the three swamps at the Airstrip, Golden Hill used wet silty material. On August 14, Golden Hill began placing Fill into the swamp at the north end of the Airstrip but was shut down until later that month because of rain. Stripping started again between August 24 and 29 when there was a window of good weather but stripping was shut down after that as well. The presence of the three swamps was not anticipated by either Golden Hill or Kemess. The lack of good granular material was also not anticipated by Golden Hill and Kemess.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The Fill operation started at the Airstrip in mid-August. The operations which were usual and which were contemplated by Golden Hill could not be undertaken as it was necessary to open up smaller areas because of the rainy weather, ground water and the materials encountered. As well, when Golden Hill placed cut material into fill areas, the Fill often became saturated so that it was necessary to remove material from the fill surfaces before it could resume operations. Golden Hill was not paid for material that it removed from a saturated Fill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Mr. Rempel testified that granular material can be suitable fill material in rainy weather and that, if Golden Hill had been working in relatively clean granular material, the rain experienced in the summer of 1996 would have been much less of a problem. He also stated that "haul roads were deteriorating rapidly" as a result of the heavy rains. He also stated that the conditions wouldn't allow Golden Hill to haul material so that they were limited to clearing and stripping.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Mr. Miller of Golden Hill testified that, under his plan to operate in good granular material at the Airstrip, Golden Hill could have worked 75% to 80% of the time during the month of August, and that the movement of the required 300,000 cubic metres of material at the Airstrip could be done "quite comfortably within the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Because of the wet, silty soil conditions at the Airstrip, Golden Hill had to top load rather than to push load its fleet of scrapers during earthwork operations and, whereas it usually took less than one minute to push load a scraper, it took three to four minutes for an excavator to top load wet, silty material into a scraper.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As well, Golden Hill had difficulty obtaining full loads when top loading wet material as some of the load would run out the sides of the vehicles. Golden Hill found it necessary to take material out of fill areas in order to create a road to the source of cut material. Golden Hill was not paid for the movement of this material because the material was cut out of an area that was below the design grade for the Airstrip.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A number of drainage ditches were built during August in an attempt to drain the swamp areas and to lower the ground water table. Mr. Miller testified that Golden Hill hit the water table when it excavated its cut areas down to approximately one or two metres above the design grade of the Airstrip.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Mr. Stuart was the resident engineer on Site and an employee of Knight Piésold. In early September, he suggested that Golden Hill retain a geotechnical engineer to provide advice on how to proceed.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Golden Hill did not do much work at the Airstrip after September 7. Golden Hill received instructions from Kemess to move its equipment and to concentrate its efforts at the Millsite. I am satisfied that this interference in the plan of Work of Golden Hill added costs and reduced productivity. On September 13, Golden Hill was provided with a hand-drawn design for a 2,000 foot temporary runway at the Airstrip. On Setember 24, a gravel source approximately 4 kilometres south east of the Airstrip was identified by Messrs. Rempel, Lyons and Miller.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Golden Hill returned its earthworks operations to the Airstrip on October 17. The production of Golden Hill began to improve as the ground had started to solidify in the freezing weather that was then encountered.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The temporary runway was completed on October 31. On November 1, Kemess instructed Golden Hill to lengthen the temporary runway through one of the three swamps. This had the effect of dividing the swamp into two separate sections and this resulted in considerable delay and lack of production relating to the addition sought by Kemess. As well, Golden Hill could not haul material over the temporary runway once it was completed. It was necessary to haul the material around the outside of the temporary runway which caused further lack of productivity.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The direction to change the work to a temporary runway from the Airstrip originally planned resulted in decreased productivity for Golden Hill. The instructions to Golden Hill to lengthen the temporary Airstrip also reduced the productivity of Golden Hill. I find that these directions received from Kemess had an adverse effect on Golden Hill and were other than in accordance with the plan for the Project which had been put in place by Golden Hill. As well, planes started to land on the temporary Airstrip so that it was necessary to shut down production for approximately 15 minutes for each landing or take-off.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I find that Mr. Rempel told Golden Hill on November 22 that its earthworks equipment was to be moved to the crusher site at the Millsite so that the crusher area could be completed. That was done under protest by Golden Hill. Mr. Miller testified that, when the scrapers were moved, 3 or 4 unfinished cut areas "froze quite solid" so that, when Golden Hill returned to the Airstrip, it was necessary for it to perform extensive ripping operations to break up the frozen material. Mr. Miller testified that this also slowed down production. I find that this was the case and I also find that the direction to move the earthworks equipment to the Millsite crusher site resulted in further costs and reduced production.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On November 27, Kemess advised Golden Hill that it did not want it to finish placing Granular A material at the Airstrip in December. Mr. Miller of Golden Hill testified that they wanted to complete all of the granular surfacing in December as they had already mobilized all of the necessary equipment to do so and had performed an extensive amount of work to survey and stake the final grade of the Airstrip. He testified that Golden Hill "basically didn't put [the Airstrip] to grade because they wouldn't let us, so we just - all the surveying we done actually was useless...." I find that this direction from Kemess also resulted in reduced productivity to Golden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When Golden Hill temporarily left the Site in December, it had not finished placing the Granular A material on the runway and did not finish the clean up of its waste piles on the west side of the Airstrip and the unsuitable dumps on the east side of the Airstrip. Further work on the Airstrip was undertaken in the Spring of 1997.</w:t>
      </w:r>
      <w:r>
        <w:rPr>
          <w:rFonts w:ascii="arial" w:eastAsia="arial" w:hAnsi="arial" w:cs="arial"/>
          <w:sz w:val="20"/>
          <w:lang w:val="en-US" w:eastAsia="en-US" w:bidi="ar-SA"/>
        </w:rPr>
        <w:cr/>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ASSESSMENT BY KEMESS OF THE WORK OF GOLDEN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The assessment of Mr. Rempel was that Messrs. Lyons and Miller did an "excellent job" as supervisory personnel and that, given the difficult conditions, he was generally happy with the quality of the construction and the efforts that Golden Hill made to cooperate with Kemess. Mr. Koski testified that, as far as he could recall, Kemess did not have a problem with the quality of the work of Golden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The problems were most severe at the Airstrip and Millsite because of the weather during July and August. However, the material that was found, the directions received from Kemess and the problems associated with working in the rain on material that was not good granular material was experienced by Golden Hill on all portions of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Instead of moving 613,000 cubic metres of material at the Millsite and the Millsite Access Road, Golden Hill moved 956,900 cubic metres. Instead of the anticipated 40,000 cubic metres of "cut to stockpile unsuitable" at the Millsite, Golden Hill encountered 445,085 cubic metres of cut to stockpile unsuitable. Instead of moving 322,000 cubic metres at the Airstrip, the total amount moved was 455,526 cubic metres.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Kemess submits that the conditions beyond the control of Golden Hill required it to grant extensions of the time to complete the Work and that those extensions of time were granted. While agreeing that some but not all extensions of the Amended Schedule were granted, Golden Hill submits that Kemess then accelerated the extended Amended Schedule thereby requiring Golden Hill to complete some of the Work prior to the Amended Schedule as extended. Golden Hill also submits that various other tortious acts or breaches of the actual or implied terms of the Contract resulted in damages to Golden Hill for which Golden Hill should receive compensation. Before reviewing those matters, I will first review the question of whether any of the terms of the Form of Agreement contained in the Tender Documents or in the Contract between the parties excluded the claims made by Golden Hill.</w:t>
      </w:r>
      <w:r>
        <w:rPr>
          <w:rFonts w:ascii="arial" w:eastAsia="arial" w:hAnsi="arial" w:cs="arial"/>
          <w:sz w:val="20"/>
          <w:lang w:val="en-US" w:eastAsia="en-US" w:bidi="ar-SA"/>
        </w:rPr>
        <w:cr/>
      </w:r>
    </w:p>
    <w:p>
      <w:pPr>
        <w:numPr>
          <w:numId w:val="1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CLAIMS OF GOLDEN HILL 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xml:space="preserve">  The doctrine of concurrent liability provides that, where a given wrong supports an action in contract and in tort, a party may sue in either or both. The questions whether there can be concurrent liability in contract and in tort was restated in Central Trust Co. v. Rafuse </w:t>
      </w:r>
      <w:hyperlink r:id="rId810" w:history="1">
        <w:r>
          <w:rPr>
            <w:rFonts w:ascii="arial" w:eastAsia="arial" w:hAnsi="arial" w:cs="arial"/>
            <w:i/>
            <w:color w:val="0077CC"/>
            <w:sz w:val="20"/>
            <w:u w:val="single"/>
            <w:shd w:val="clear" w:color="auto" w:fill="FFFFFF"/>
            <w:lang w:val="en-US" w:eastAsia="en-US" w:bidi="ar-SA"/>
          </w:rPr>
          <w:t>(1986), 31 D.L.R. (4th) 481</w:t>
        </w:r>
      </w:hyperlink>
      <w:r>
        <w:rPr>
          <w:rFonts w:ascii="arial" w:eastAsia="arial" w:hAnsi="arial" w:cs="arial"/>
          <w:color w:val="000000"/>
          <w:sz w:val="20"/>
          <w:lang w:val="en-US" w:eastAsia="en-US" w:bidi="ar-SA"/>
        </w:rPr>
        <w:t xml:space="preserve"> (S.C.C.) where Le Dain,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is undertaken by the contract will indicate the nature of the relationship that gives rise to the common law duty of care, but the nature and scope of the duty of care that is asserted as the foundation of the tortious liability must not depend on specific obligations or duties created by the express terms of the contract. It is in that sense that the common law duty of care must be independent of the contract. The distinction, in so far as the terms of the contract are concerned, between what is to be done and how it is to be done. A claim cannot be said to be in tort if it depends for the nature and scope of the asserted duty of care on the manner in which an obligation or duty has been expressly and specifically defined by a contract. Where the common law duty of care is co-extensive with that which arises as an implied term of the contract it does not depend on the terms of the contract, and there is nothing flowing from contractual intention which should preclude reliance on a concurrent or alternative liability in tort. The same is also true on a common law duty of care that falls short of a specific obligation or duty imposed by the express terms of a contract.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concurrent or alternative liability in tort will not be admitted if its effect would be to permit the plaintiff to circumvent or escape a contractual exclusion or limitation of liability for the act or omission that would constitute the tort. Subject to this qualification, where concurrent liability in tort and contract exists that plaintiff has the right to assert the cause of action that appears to be most advantageous to him in respect of any particular legal consequence. (at p. 482)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xml:space="preserve">  The right to sue in either contract or tort or both can be limited where the contract indicates that the parties intended to waive, limit or negate the right to sue. This waiver, limitation, or negation may be express or implied: Central Trust Co. v. Rafuse </w:t>
      </w:r>
      <w:hyperlink r:id="rId810" w:history="1">
        <w:r>
          <w:rPr>
            <w:rFonts w:ascii="arial" w:eastAsia="arial" w:hAnsi="arial" w:cs="arial"/>
            <w:i/>
            <w:color w:val="0077CC"/>
            <w:sz w:val="20"/>
            <w:u w:val="single"/>
            <w:shd w:val="clear" w:color="auto" w:fill="FFFFFF"/>
            <w:lang w:val="en-US" w:eastAsia="en-US" w:bidi="ar-SA"/>
          </w:rPr>
          <w:t>(1986), 31 D.L.R. (4th) 481</w:t>
        </w:r>
      </w:hyperlink>
      <w:r>
        <w:rPr>
          <w:rFonts w:ascii="arial" w:eastAsia="arial" w:hAnsi="arial" w:cs="arial"/>
          <w:color w:val="000000"/>
          <w:sz w:val="20"/>
          <w:lang w:val="en-US" w:eastAsia="en-US" w:bidi="ar-SA"/>
        </w:rPr>
        <w:t xml:space="preserve"> (S.C.C.) and B.G. Checo International Limited v. British Columbia Hydro and Power Authority </w:t>
      </w:r>
      <w:hyperlink r:id="rId811" w:history="1">
        <w:r>
          <w:rPr>
            <w:rFonts w:ascii="arial" w:eastAsia="arial" w:hAnsi="arial" w:cs="arial"/>
            <w:i/>
            <w:color w:val="0077CC"/>
            <w:sz w:val="20"/>
            <w:u w:val="single"/>
            <w:shd w:val="clear" w:color="auto" w:fill="FFFFFF"/>
            <w:lang w:val="en-US" w:eastAsia="en-US" w:bidi="ar-SA"/>
          </w:rPr>
          <w:t>(1993), 75 B.C.L.R. (2d) 145</w:t>
        </w:r>
      </w:hyperlink>
      <w:r>
        <w:rPr>
          <w:rFonts w:ascii="arial" w:eastAsia="arial" w:hAnsi="arial" w:cs="arial"/>
          <w:color w:val="000000"/>
          <w:sz w:val="20"/>
          <w:lang w:val="en-US" w:eastAsia="en-US" w:bidi="ar-SA"/>
        </w:rPr>
        <w:t xml:space="preserve">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Kemess submits that various parts of the Contract between the parties expressly waived, limited or negated Golden Hill's right to sue. It is therefore necessary to review the "exclusion", the "full investigation", the "non-reliance", the "entire agreement", the "extension of time instead of damages", and the Over/Under provisions which were incorporated into the Contract.</w:t>
      </w:r>
      <w:r>
        <w:rPr>
          <w:rFonts w:ascii="arial" w:eastAsia="arial" w:hAnsi="arial" w:cs="arial"/>
          <w:sz w:val="20"/>
          <w:lang w:val="en-US" w:eastAsia="en-US" w:bidi="ar-SA"/>
        </w:rPr>
        <w:cr/>
      </w:r>
    </w:p>
    <w:p>
      <w:pPr>
        <w:numPr>
          <w:numId w:val="1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EXCLUSION CLAUSE (ARTICLE VI)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Article VI of the Form of Agreement in the Tender Documents states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implied obligations of any kind on, or on behalf of, the Owner shall arise or be implied from anything contained in the Contract Documents, nor from any position or situation of the parties at any time. The express covenants and agreements contained herein made by the Owner shall be the only covenants and agreements upon which any rights against the Owner may be founded.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Golden Hill relies on specific representations as well as implied representations to sustain its claims for damages for alleged negligent misrepresentations. Golden Hill also relies on a number of specific or implied contractual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xml:space="preserve">  Exclusion clauses must be drafted with complete clarity and the principle of contra proferentum should be applied. In Bauer v. Bank of Montreal </w:t>
      </w:r>
      <w:hyperlink r:id="rId812" w:history="1">
        <w:r>
          <w:rPr>
            <w:rFonts w:ascii="arial" w:eastAsia="arial" w:hAnsi="arial" w:cs="arial"/>
            <w:i/>
            <w:color w:val="0077CC"/>
            <w:sz w:val="20"/>
            <w:u w:val="single"/>
            <w:shd w:val="clear" w:color="auto" w:fill="FFFFFF"/>
            <w:lang w:val="en-US" w:eastAsia="en-US" w:bidi="ar-SA"/>
          </w:rPr>
          <w:t>(1990), 110 D.L.R. (3d) 424</w:t>
        </w:r>
      </w:hyperlink>
      <w:r>
        <w:rPr>
          <w:rFonts w:ascii="arial" w:eastAsia="arial" w:hAnsi="arial" w:cs="arial"/>
          <w:color w:val="000000"/>
          <w:sz w:val="20"/>
          <w:lang w:val="en-US" w:eastAsia="en-US" w:bidi="ar-SA"/>
        </w:rPr>
        <w:t xml:space="preserve"> (S.C.C.) McIntyre, J. on behalf of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construing such a clause, the Court will see that the clause is expressed clearly and that it is limited in its effect to the narrow meaning of the words employed and it must clearly cover the exact circumstances which have arisen in order to afford protection to the party claiming benefit. It is generally construed against the party benefiting from the exemption and this is particularly true where the clause is found in a standard printed form of contract, frequently termed a contract of adhesion, which is presented by one party to the other as the basis of their transaction. (at p. 428).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xml:space="preserve">  When interpreting a contract with ambiguous terms, the Court should consider that the more reasonable construction of the terms represents the true intent of the parties. In Consolidated-Bathhurst Export Ltd. v. Mutual Boiler &amp; Machinery Insurance Co. </w:t>
      </w:r>
      <w:hyperlink r:id="rId738" w:history="1">
        <w:r>
          <w:rPr>
            <w:rFonts w:ascii="arial" w:eastAsia="arial" w:hAnsi="arial" w:cs="arial"/>
            <w:i/>
            <w:color w:val="0077CC"/>
            <w:sz w:val="20"/>
            <w:u w:val="single"/>
            <w:shd w:val="clear" w:color="auto" w:fill="FFFFFF"/>
            <w:lang w:val="en-US" w:eastAsia="en-US" w:bidi="ar-SA"/>
          </w:rPr>
          <w:t>(1979), 112 D.L.R. (3d) 49</w:t>
        </w:r>
      </w:hyperlink>
      <w:r>
        <w:rPr>
          <w:rFonts w:ascii="arial" w:eastAsia="arial" w:hAnsi="arial" w:cs="arial"/>
          <w:color w:val="000000"/>
          <w:sz w:val="20"/>
          <w:lang w:val="en-US" w:eastAsia="en-US" w:bidi="ar-SA"/>
        </w:rPr>
        <w:t xml:space="preserve"> (S.C.C.), Estey, J. on behalf of the majority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...literal meaning should not be applied where to do so would bring about an unrealistic result or a result which would not be contemplated in the commercial atmosphere..... Where words may bear two constructions, the more reasonable one, that which produces a fair result, must certainly be taken as the interpretation which would promote the intention of the parties. (at p. 58).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In reviewing Article VI, it must be first be noted that it is only "implied obligations" arising out of or to be implied from "anything contained in the Contract Documents" or "from any position or situation of the parties at any time" which are excluded. The term "Contract Documents" contained in the "Form of Agreement" lists a number of documents but does not include a number of documents which form part of the Contract. Not included are the Post Tender Meeting Minutes, the Letter of Intent, the June 20, 1996 correspondence, and the other documents that the parties agreed would form part of the Contract. Accordingly, I am satisfied that Article VI does not exclude an action against Kemess which may be founded on express or implied covenants and agreements which are not contained within the Form of Agreement but are contained within the other documents which comprise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While it may have been the intent of Article VI to exclude implied obligations, there is nothing in Article VI which excludes representations. I am satisfied that the ambiguity in this regard should be resolved against Kemess and in favour of a reasonable and fair interpretation. For instance, I am satisfied that representations made to induce Golden Hill to enter into the Contract are actionable as they are not contained in the "Contract Documents". I am also satisfied that representations contained within the Contract but not within the "Contract Documents" are actionable.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If an oral representation or a promise induced Golden Hill to enter into the Contract, the oral promise will prevail over a contradictory written term if to do otherwise would render the promise illusory. In Curtis v. Chemical Cleaning and Dyeing Co., [1951] 1 All E.R. 631 (C.A.) Denning, L.J.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false impression is created knowingly, it is a fraudulent misrepresentation; if it is created unwittingly, it is an innocent misrepresentation. But either is sufficient to disentitle the creator of it to the benefit of the exemption. (at p. 634).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xml:space="preserve">  This principle has been extended to situations where words or conduct are inconsistent with the extent of the exclusion clause: Vaughan Masonry v. Toronto Aged Men's and Women's Homes, </w:t>
      </w:r>
      <w:hyperlink r:id="rId813" w:history="1">
        <w:r>
          <w:rPr>
            <w:rFonts w:ascii="arial" w:eastAsia="arial" w:hAnsi="arial" w:cs="arial"/>
            <w:i/>
            <w:color w:val="0077CC"/>
            <w:sz w:val="20"/>
            <w:u w:val="single"/>
            <w:shd w:val="clear" w:color="auto" w:fill="FFFFFF"/>
            <w:lang w:val="en-US" w:eastAsia="en-US" w:bidi="ar-SA"/>
          </w:rPr>
          <w:t>[1994] O.J. No. 2430</w:t>
        </w:r>
      </w:hyperlink>
      <w:r>
        <w:rPr>
          <w:rFonts w:ascii="arial" w:eastAsia="arial" w:hAnsi="arial" w:cs="arial"/>
          <w:color w:val="000000"/>
          <w:sz w:val="20"/>
          <w:lang w:val="en-US" w:eastAsia="en-US" w:bidi="ar-SA"/>
        </w:rPr>
        <w:t xml:space="preserve"> (Ont. Gen. Div.). In Sperry Rand Canada Ltd. v. Thomas Equipment Ltd. </w:t>
      </w:r>
      <w:hyperlink r:id="rId814" w:history="1">
        <w:r>
          <w:rPr>
            <w:rFonts w:ascii="arial" w:eastAsia="arial" w:hAnsi="arial" w:cs="arial"/>
            <w:i/>
            <w:color w:val="0077CC"/>
            <w:sz w:val="20"/>
            <w:u w:val="single"/>
            <w:shd w:val="clear" w:color="auto" w:fill="FFFFFF"/>
            <w:lang w:val="en-US" w:eastAsia="en-US" w:bidi="ar-SA"/>
          </w:rPr>
          <w:t>(1982), 135 D.L.R. (3d) 197</w:t>
        </w:r>
      </w:hyperlink>
      <w:r>
        <w:rPr>
          <w:rFonts w:ascii="arial" w:eastAsia="arial" w:hAnsi="arial" w:cs="arial"/>
          <w:color w:val="000000"/>
          <w:sz w:val="20"/>
          <w:lang w:val="en-US" w:eastAsia="en-US" w:bidi="ar-SA"/>
        </w:rPr>
        <w:t xml:space="preserve"> (N.B.C.A.), the Court held that oral promises made between parties to a written contract can supersede the written terms despite the existence of an exclusion clause and despite the fact that the oral promises are contrary to the written terms where the terms of the written contract are "repugnant to" the oral promise and would cause the promise to be "illusory" (at pp. 215-6). This is especially so when the oral promise induced the relying party to enter into the final agreement: J. Evans &amp; Son (Portsmouth) Ltd. v. Andrea Merzario Ltd., [1976] 2 All E.R. 930 (C.A.) at p. 933.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xml:space="preserve">  This reasoning has been adopted by the British Columbia Court of Appeal. In Zippy Print Enterprises Ltd. v. Pawliuk </w:t>
      </w:r>
      <w:hyperlink r:id="rId815" w:history="1">
        <w:r>
          <w:rPr>
            <w:rFonts w:ascii="arial" w:eastAsia="arial" w:hAnsi="arial" w:cs="arial"/>
            <w:i/>
            <w:color w:val="0077CC"/>
            <w:sz w:val="20"/>
            <w:u w:val="single"/>
            <w:shd w:val="clear" w:color="auto" w:fill="FFFFFF"/>
            <w:lang w:val="en-US" w:eastAsia="en-US" w:bidi="ar-SA"/>
          </w:rPr>
          <w:t>(1994), 100 B.C.L.R. (2d) 55</w:t>
        </w:r>
      </w:hyperlink>
      <w:r>
        <w:rPr>
          <w:rFonts w:ascii="arial" w:eastAsia="arial" w:hAnsi="arial" w:cs="arial"/>
          <w:color w:val="000000"/>
          <w:sz w:val="20"/>
          <w:lang w:val="en-US" w:eastAsia="en-US" w:bidi="ar-SA"/>
        </w:rPr>
        <w:t xml:space="preserve"> (B.C.C.A.), Lambert, J.A., on behalf of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general exclusion clause will not override a specific representation on a point of substance which was intended to induce the making of the agreement unless the intended effect of the exclusion clause can be shown to have been brought home to the party to whom the representation was made by being specifically drawn to the attention of that party, or by being specifically acknowledged by that party, or in some other way. (at p. 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Regarding the alleged representations made by Kemess, I cannot make the finding that the intended effect of Article VI was specifically drawn to the attention of Golden Hill or specifically acknowledged by Golden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xml:space="preserve">  As well, I cannot find that the phrase "nor from any position or situation of the parties at any time" is clear enough to exclude representations made to induce Golden Hill to enter into the Contract or to exclude contract terms which must be implied. These words do not affect terms that are incidental or fundamental to all construction contracts because such implied terms have nothing to do with the intention of the parties as expressed in the words "of the contract": D.W. Matheson &amp; Sons Contracting Ltd. v. Canada (A.G.) </w:t>
      </w:r>
      <w:hyperlink r:id="rId816" w:history="1">
        <w:r>
          <w:rPr>
            <w:rFonts w:ascii="arial" w:eastAsia="arial" w:hAnsi="arial" w:cs="arial"/>
            <w:i/>
            <w:color w:val="0077CC"/>
            <w:sz w:val="20"/>
            <w:u w:val="single"/>
            <w:shd w:val="clear" w:color="auto" w:fill="FFFFFF"/>
            <w:lang w:val="en-US" w:eastAsia="en-US" w:bidi="ar-SA"/>
          </w:rPr>
          <w:t>(1999), 175 N.S.R. (2d) 201</w:t>
        </w:r>
      </w:hyperlink>
      <w:r>
        <w:rPr>
          <w:rFonts w:ascii="arial" w:eastAsia="arial" w:hAnsi="arial" w:cs="arial"/>
          <w:color w:val="000000"/>
          <w:sz w:val="20"/>
          <w:lang w:val="en-US" w:eastAsia="en-US" w:bidi="ar-SA"/>
        </w:rPr>
        <w:t xml:space="preserve"> (N.S.S.C.) affirmed </w:t>
      </w:r>
      <w:hyperlink r:id="rId817" w:history="1">
        <w:r>
          <w:rPr>
            <w:rFonts w:ascii="arial" w:eastAsia="arial" w:hAnsi="arial" w:cs="arial"/>
            <w:i/>
            <w:color w:val="0077CC"/>
            <w:sz w:val="20"/>
            <w:u w:val="single"/>
            <w:shd w:val="clear" w:color="auto" w:fill="FFFFFF"/>
            <w:lang w:val="en-US" w:eastAsia="en-US" w:bidi="ar-SA"/>
          </w:rPr>
          <w:t>(2000), 3 C.L.R. (3d) 22</w:t>
        </w:r>
      </w:hyperlink>
      <w:r>
        <w:rPr>
          <w:rFonts w:ascii="arial" w:eastAsia="arial" w:hAnsi="arial" w:cs="arial"/>
          <w:color w:val="000000"/>
          <w:sz w:val="20"/>
          <w:lang w:val="en-US" w:eastAsia="en-US" w:bidi="ar-SA"/>
        </w:rPr>
        <w:t xml:space="preserve"> (N.S.C.A.) and Walter Cabbott Construction Ltd. v. Canada </w:t>
      </w:r>
      <w:hyperlink r:id="rId818" w:history="1">
        <w:r>
          <w:rPr>
            <w:rFonts w:ascii="arial" w:eastAsia="arial" w:hAnsi="arial" w:cs="arial"/>
            <w:i/>
            <w:color w:val="0077CC"/>
            <w:sz w:val="20"/>
            <w:u w:val="single"/>
            <w:shd w:val="clear" w:color="auto" w:fill="FFFFFF"/>
            <w:lang w:val="en-US" w:eastAsia="en-US" w:bidi="ar-SA"/>
          </w:rPr>
          <w:t>(1975), 69 D.L.R. (3d) 542</w:t>
        </w:r>
      </w:hyperlink>
      <w:r>
        <w:rPr>
          <w:rFonts w:ascii="arial" w:eastAsia="arial" w:hAnsi="arial" w:cs="arial"/>
          <w:color w:val="000000"/>
          <w:sz w:val="20"/>
          <w:lang w:val="en-US" w:eastAsia="en-US" w:bidi="ar-SA"/>
        </w:rPr>
        <w:t xml:space="preserve"> (F.C.A.).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Similarly, Article VI does not exclude mutually implied terms as it purports only to exclude "implied obligations...on behalf of, the Owner...." In this regard, the court in D.W. Matheson, supra,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clause] works only one way, excluding implied promises by Her Majesty by permitting implied promises to Her Majesty. What about mutual implied terms, such as the promise to cooperate in the performance of some express terms? Did the parties mean to exclude all such promises, to make them enforceable only against one mutual promisee or to accept mutual implied terms from the exclusion? (at p. 247 in the N.S.S.C.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xml:space="preserve">  I am not satisfied that the words used in Article VI are so clear and susceptible to only one meaning that Article VI precludes the imposition of implied terms. A term can be implied into a contract based on any of the following grounds: (a) because of custom or usage in the industry; (b) because it is a legal incident of a particular class or kind of contract; or (c) because of the presumed intention of the parties where the implied term is necessary to give business efficacy to a contract or as otherwise meeting the "officious bystander" test as a term which the parties would say, if questioned, that they had obviously assumed: Canadian Pacific Hotels Ltd. v. Bank of Montreal </w:t>
      </w:r>
      <w:hyperlink r:id="rId214" w:history="1">
        <w:r>
          <w:rPr>
            <w:rFonts w:ascii="arial" w:eastAsia="arial" w:hAnsi="arial" w:cs="arial"/>
            <w:i/>
            <w:color w:val="0077CC"/>
            <w:sz w:val="20"/>
            <w:u w:val="single"/>
            <w:shd w:val="clear" w:color="auto" w:fill="FFFFFF"/>
            <w:lang w:val="en-US" w:eastAsia="en-US" w:bidi="ar-SA"/>
          </w:rPr>
          <w:t>(1987), 40 D.L.R. (4th) 385</w:t>
        </w:r>
      </w:hyperlink>
      <w:r>
        <w:rPr>
          <w:rFonts w:ascii="arial" w:eastAsia="arial" w:hAnsi="arial" w:cs="arial"/>
          <w:color w:val="000000"/>
          <w:sz w:val="20"/>
          <w:lang w:val="en-US" w:eastAsia="en-US" w:bidi="ar-SA"/>
        </w:rPr>
        <w:t xml:space="preserve"> (S.C.C.) (at pp. 429-31) and M.J.B. Enterprises Ltd. v. Defence Construction (1951) Ltd. </w:t>
      </w:r>
      <w:hyperlink r:id="rId819" w:history="1">
        <w:r>
          <w:rPr>
            <w:rFonts w:ascii="arial" w:eastAsia="arial" w:hAnsi="arial" w:cs="arial"/>
            <w:i/>
            <w:color w:val="0077CC"/>
            <w:sz w:val="20"/>
            <w:u w:val="single"/>
            <w:shd w:val="clear" w:color="auto" w:fill="FFFFFF"/>
            <w:lang w:val="en-US" w:eastAsia="en-US" w:bidi="ar-SA"/>
          </w:rPr>
          <w:t>(1999), 170 D.L.R. (4th) 577</w:t>
        </w:r>
      </w:hyperlink>
      <w:r>
        <w:rPr>
          <w:rFonts w:ascii="arial" w:eastAsia="arial" w:hAnsi="arial" w:cs="arial"/>
          <w:color w:val="000000"/>
          <w:sz w:val="20"/>
          <w:lang w:val="en-US" w:eastAsia="en-US" w:bidi="ar-SA"/>
        </w:rPr>
        <w:t xml:space="preserve"> (S.C.C.). (at pp. 587-9).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xml:space="preserve">  As to the first category, terms grounded in custom or usage in the industry can be implied on the basis that the usage is notorious, certain and reasonable so that the parties to the contract would have understood that the custom being relied upon was applicable: Guest, Chitty on Contracts, 27th ed., (London: Sweet &amp; Maxwell), (1994), at p. 628 and Machtinger v. HOJ Industries Ltd. </w:t>
      </w:r>
      <w:r>
        <w:rPr>
          <w:rFonts w:ascii="arial" w:eastAsia="arial" w:hAnsi="arial" w:cs="arial"/>
          <w:i/>
          <w:color w:val="000000"/>
          <w:sz w:val="20"/>
          <w:lang w:val="en-US" w:eastAsia="en-US" w:bidi="ar-SA"/>
        </w:rPr>
        <w:t>(1992), 91 D.L.R. (4th) 491</w:t>
      </w:r>
      <w:r>
        <w:rPr>
          <w:rFonts w:ascii="arial" w:eastAsia="arial" w:hAnsi="arial" w:cs="arial"/>
          <w:color w:val="000000"/>
          <w:sz w:val="20"/>
          <w:lang w:val="en-US" w:eastAsia="en-US" w:bidi="ar-SA"/>
        </w:rPr>
        <w:t xml:space="preserve"> (S.C.C.) at p. 495.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As to the second category, terms can be implied as a legal incident to a particular class or kind of contract as "necessary" for the very existence of the contract. This category is distinguishable from the third category because it disregards the intention of the parties. Terms implied on the second ground are those that would necessarily be implied in all such contracts of a particular category or class. Terms being implied at law under this second category are not dependent on the actual or presumed intentions of the particular parties. Accordingly, it is irrelevant that Golden Hill was aware of particular clauses in the Contract when it prepared its bid.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Despite the fact that the contract could continue if the term was not implied and the fact that the Contract does not expressly set out this requirement, if it is necessary, in a practical sense, to the fair functioning of a contract, it will be implied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On the question of whether it will be implied, regard must be had to the "inherent nature of a contract and of the relationship thereby established" to determine whether in the world in which we live today, it is a necessary condition to the contractual relationship: Liverpool City Counsel v. Irwin, [1977] A.C. 239 (H.L.) and Machtinger, supra, at pp. 495-7.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It is necessary to distinguish between implied terms which must be implied by fact as opposed to implied terms which must be implied by law. In Canadian Pacific Hotels, supra, the Court clarified the requirements of the implied terms which must be implied by law: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remains the question whether the duty contended for can and should be implied under the...category of implication, which does not depend on presumed intention - - the implication of terms as legal incidents of a particular class or kind of contract, the nature and content of which have to be largely determined by implication...Although what was said there was said with reference to implication on the basis of presumed intention under the business efficacy or "officious bystander" tests, I think it applies equally to implication under what I have referred to as the third category [the legal incident of a particular class or kind of contract]. I am, therefore, with great respect, in agreement with the view expressed by the majority in the House of Lords in Liverpool City Council that the test in such a case of implication should also be one of necessity. (at p. 431).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A term should also be implied if it is fundamental to the contract despite a clause precluding the implication of terms: Walter Cabott Construction, supra. In that decision, the contractor successfully sought to imply a term into a construction contract that it was entitled to have access to the site. The Court was called upon to deal with an exclusion clause very similar to Article VI. Pratte, J. expressed the view that access to the site was an obvious term and Urie, J. stated that the exclusion clause: "...has no application in the case at bar because it is fundamental to a building contract that work space can be provided unimpeded by others" (at p. 553).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Interpreting a similar clause, the Court in D.W. Matheson, supra, found an implied term that the engineer, even though employed by the owner, would act impartially: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Firstly, terms are implied only out of necessity to give business efficacy to a contract...Did the parties really mean to exclude this whole branch of contract law, which is so fundamental to the efficous [sic] functioning of contracts throughout the common law world?... Thirdly, [the clause] also speaks of implied terms arising "from anything in the contract". While it cannot be set up in contradiction of an express term, an implied term that arises upon all contracts of a type has little to do with the intention of the parties expressed by their words of contract. That kind of implied term results from "more general considerations", and is more truly "a general rule of law"...[The contract] is to be construed contra proferentum...I would conclude that [this clause] does not exclude terms generally implied in contracts of a type, but only terms implied ad hoc for this particular contract, and I would also conclude that [this clause] is inapplicable to implied promises that are mutual. (at p. 247 in the N.S.S.C.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A term may also be implied where the actions of a party seeking to rely on an exclusion clause are inconsistent with the clause. A party will not be entitled to rely on an exclusion clause if, either through words or conduct, something is done by that party before or at the time of entering into the contract which is contrary to, and therefore negates, the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Accordingly, I am satisfied that representations made to induce Golden Hill to enter into the Contract as well as implied obligations to give business efficacy to the Contract between the parties will not be excluded by Article VI. I am also satisfied that Article VI must be strictly construed and its literal meaning not applied where such an interpretation avoids commercial reality. Nor will it exclude mutual obligations.</w:t>
      </w:r>
      <w:r>
        <w:rPr>
          <w:rFonts w:ascii="arial" w:eastAsia="arial" w:hAnsi="arial" w:cs="arial"/>
          <w:sz w:val="20"/>
          <w:lang w:val="en-US" w:eastAsia="en-US" w:bidi="ar-SA"/>
        </w:rPr>
        <w:cr/>
      </w:r>
    </w:p>
    <w:p>
      <w:pPr>
        <w:numPr>
          <w:numId w:val="1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ENTIRE AGREEMENT CLAUSE (ARTICLE 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Article V of the Form of Agreement in the Tender Documents states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Contract constitutes the exclusive and entire agreement between the parties hereto relating to the subject matter hereof, and supersedes any previous agreements or understandings relating hereto.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oral agreements or conversations between any of the officers, agents or employees of either of the parties to the Contract, shall affect or modify any of the terms or obligations contained in the Contract.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 amendments, additions or deletions of this Contract shall be in writing, executed with the same formality as this Contract. No amendments or modifications of this Contract shall be effective until reduced to writing and executed by Contractor and Owner, or a person designated by him in writing.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Again, the reference to "This Contract" means that a number of documents which the parties have agreed form part of the Contract between the parties, including the Post Tender Meeting Minutes, the Letter of Intent and the June 20 correspondence are not affected by this Article. Accordingly, it is clear that Article V was not meant to limit the "entire agreement" between the parties to the "Contract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Similarly, I am satisfied that it was also not intended that representations made prior to Golden Hill entering into the Contract, agreements set out in the other documents comprising the Contract and amendments, additions or deletions not subsequently made in writing would not be binding on the parties generally and on Kemess specifically.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xml:space="preserve">  The wording of Article V is insufficient to preclude a cause of action for negligent misrepresentation or for other torts because Article V does not limit any duty of care or waive the right to sue in tort: Foundation Co. of Canada v. United Grain Growers Ltd. </w:t>
      </w:r>
      <w:hyperlink r:id="rId820" w:history="1">
        <w:r>
          <w:rPr>
            <w:rFonts w:ascii="arial" w:eastAsia="arial" w:hAnsi="arial" w:cs="arial"/>
            <w:i/>
            <w:color w:val="0077CC"/>
            <w:sz w:val="20"/>
            <w:u w:val="single"/>
            <w:shd w:val="clear" w:color="auto" w:fill="FFFFFF"/>
            <w:lang w:val="en-US" w:eastAsia="en-US" w:bidi="ar-SA"/>
          </w:rPr>
          <w:t>(1995), 25 C.L.R. (2d) 1</w:t>
        </w:r>
      </w:hyperlink>
      <w:r>
        <w:rPr>
          <w:rFonts w:ascii="arial" w:eastAsia="arial" w:hAnsi="arial" w:cs="arial"/>
          <w:color w:val="000000"/>
          <w:sz w:val="20"/>
          <w:lang w:val="en-US" w:eastAsia="en-US" w:bidi="ar-SA"/>
        </w:rPr>
        <w:t xml:space="preserve"> (B.C.S.C.) and </w:t>
      </w:r>
      <w:hyperlink r:id="rId821" w:history="1">
        <w:r>
          <w:rPr>
            <w:rFonts w:ascii="arial" w:eastAsia="arial" w:hAnsi="arial" w:cs="arial"/>
            <w:i/>
            <w:color w:val="0077CC"/>
            <w:sz w:val="20"/>
            <w:u w:val="single"/>
            <w:shd w:val="clear" w:color="auto" w:fill="FFFFFF"/>
            <w:lang w:val="en-US" w:eastAsia="en-US" w:bidi="ar-SA"/>
          </w:rPr>
          <w:t>(1997), 34 B.C.L.R. (3d) 92</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As well, I am satisfied that implied terms that do not fall within the strict language of the clause survive its application. Terms that are fundamental and terms that are based on conduct inconsistent with or repugnant to Article V may still be implied notwithstanding its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xml:space="preserve">  A strict reading of Article V does not expressly preclude oral agreements or conversations adding to or subtracting from the terms or obligations under the Contract. In Gallen v. Butterley, Nunweiler and Allstate Grain Company Ltd. </w:t>
      </w:r>
      <w:hyperlink r:id="rId822" w:history="1">
        <w:r>
          <w:rPr>
            <w:rFonts w:ascii="arial" w:eastAsia="arial" w:hAnsi="arial" w:cs="arial"/>
            <w:i/>
            <w:color w:val="0077CC"/>
            <w:sz w:val="20"/>
            <w:u w:val="single"/>
            <w:shd w:val="clear" w:color="auto" w:fill="FFFFFF"/>
            <w:lang w:val="en-US" w:eastAsia="en-US" w:bidi="ar-SA"/>
          </w:rPr>
          <w:t>(1984), 53 B.C.L.R. 38</w:t>
        </w:r>
      </w:hyperlink>
      <w:r>
        <w:rPr>
          <w:rFonts w:ascii="arial" w:eastAsia="arial" w:hAnsi="arial" w:cs="arial"/>
          <w:color w:val="000000"/>
          <w:sz w:val="20"/>
          <w:lang w:val="en-US" w:eastAsia="en-US" w:bidi="ar-SA"/>
        </w:rPr>
        <w:t xml:space="preserve"> (B.C.C.A.), the Court stated that the presumption that the agreement in question constitutes the entire agreement is weaker when an oral representation or term merely adds to, or subtracts from the contract, as opposed to when the oral term actually contradicts a special express term on that point: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it is correct to consider the principle only as a strong presumption, then the presumption would be less strong where the contradiction was between a specific oral representation, on the one hand, and a general exemption or exclusion clause that excludes liability for any oral representation, whatsoever, on the other hand, than it would be in a case where the specific oral representation was contradictory to an equally specific clause in the document. (at p. 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xml:space="preserve">  "Entire Agreement" clauses do not prevent claims in tort unless they use specific, clear language to that effect: Zippy Print Enterprises Ltd. v. Pawliuk </w:t>
      </w:r>
      <w:hyperlink r:id="rId815" w:history="1">
        <w:r>
          <w:rPr>
            <w:rFonts w:ascii="arial" w:eastAsia="arial" w:hAnsi="arial" w:cs="arial"/>
            <w:i/>
            <w:color w:val="0077CC"/>
            <w:sz w:val="20"/>
            <w:u w:val="single"/>
            <w:shd w:val="clear" w:color="auto" w:fill="FFFFFF"/>
            <w:lang w:val="en-US" w:eastAsia="en-US" w:bidi="ar-SA"/>
          </w:rPr>
          <w:t>(1994), 100 B.C.L.R. (2d) 55</w:t>
        </w:r>
      </w:hyperlink>
      <w:r>
        <w:rPr>
          <w:rFonts w:ascii="arial" w:eastAsia="arial" w:hAnsi="arial" w:cs="arial"/>
          <w:color w:val="000000"/>
          <w:sz w:val="20"/>
          <w:lang w:val="en-US" w:eastAsia="en-US" w:bidi="ar-SA"/>
        </w:rPr>
        <w:t xml:space="preserve"> (B.C.C.A.); Foundation Co. of Canada v. United Grain Growers Ltd., supra, and 411397 B.C. Ltd. v. Granmour Holdings Ltd., </w:t>
      </w:r>
      <w:hyperlink r:id="rId823" w:history="1">
        <w:r>
          <w:rPr>
            <w:rFonts w:ascii="arial" w:eastAsia="arial" w:hAnsi="arial" w:cs="arial"/>
            <w:i/>
            <w:color w:val="0077CC"/>
            <w:sz w:val="20"/>
            <w:u w:val="single"/>
            <w:shd w:val="clear" w:color="auto" w:fill="FFFFFF"/>
            <w:lang w:val="en-US" w:eastAsia="en-US" w:bidi="ar-SA"/>
          </w:rPr>
          <w:t>[1996] B.C.J. No. 1310</w:t>
        </w:r>
      </w:hyperlink>
      <w:r>
        <w:rPr>
          <w:rFonts w:ascii="arial" w:eastAsia="arial" w:hAnsi="arial" w:cs="arial"/>
          <w:color w:val="000000"/>
          <w:sz w:val="20"/>
          <w:lang w:val="en-US" w:eastAsia="en-US" w:bidi="ar-SA"/>
        </w:rPr>
        <w:t xml:space="preserve"> (B.C.S.C.). In 411397 B.C. Ltd., the equivalent clause to Article V referred to "representations" but did not specifically refer to "negligent misrepresentations" so that the Court held that the exclusion clause had no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I cannot find that "oral agreements or conversations" can include representations made on behalf of Kemess. It is clear that Article V does not have the specific and clear language required to exclude representations made to induce Golden Hill to enter into the Contract, negligent misrepresentations or other tortious 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The portion of Article V dealing with "amendments, additions or deletions" was ignored by the parties. Much of what Kemess seeks to have binding against Golden Hill and changes which are sought to be binding against Kemess were not put in writing. As well, no amendments to, additions to or deletions from the Form of Agreement were ever sought and that is all that was ever intended to be included within Article V. Accordingly, amendments to the Contract and additions, deletions and acceleration of the Work did not have to be in writing and were effective even though they were not reduced to writing and signed by Golden Hill and Kemess.</w:t>
      </w:r>
      <w:r>
        <w:rPr>
          <w:rFonts w:ascii="arial" w:eastAsia="arial" w:hAnsi="arial" w:cs="arial"/>
          <w:sz w:val="20"/>
          <w:lang w:val="en-US" w:eastAsia="en-US" w:bidi="ar-SA"/>
        </w:rPr>
        <w:cr/>
      </w:r>
    </w:p>
    <w:p>
      <w:pPr>
        <w:numPr>
          <w:numId w:val="1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FULL INVESTIGATION CLAUSE (GC 12.1 and GC 12.2)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General Condition 12 of the Form of Agreement deals with "Site Conditions" and purports to impose these responsibilities on Golden Hill: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12.1 It is understood and agreed that the Contractor has, by careful examination of the Site and the Contract Documents and by other means before the tendering on this Contract, satisfied himself as to the nature and location of the Work, the confirmation of the ground, the soil conditions, the character, quality and quantity of the materials to be encountered, the character, quality and quantity of equipment and facilities needed preliminary to and during the performance of the Work, the general and local conditions, and all other matters which can in any way affect the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12.2 Where the Owner or the Engineer has made investigations of the soils or other conditions in areas where Work is to be performed under the Contract, such investigations are made only for the purpose of study and design. The records of such investigations are not a part of the Contract and are furnished solely for the convenience of the Contractor. It is expressly understood and agreed that neither the Owner nor the Engineer assumes any responsibility whatsoever in respect to the sufficiency or accuracy of the investigations made by the Owner or the Engineer in their use thereof, and the same shall not relieve the Contractor from his obligations under this Article.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Claims of misrepresentation in relation to soil conditions are not precluded where such an article is found in a construction contract. The principle of contra proferentum should be applied and the words used in such a disclaimer clause must be carefully examined to determine if they are sufficiently precise to exclude a claim in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In Morrison-Knudsen International Company v. Commonwealth of Australia, [1972] 46 A.L.J.R. 265 (H.C.) where the court was called upon to consider a provision similar to GC 12.2, the court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it is impossible to hold that the statement set out in sub-par. (4) necessarily amounted to a disclaimer by the Commonwealth of responsibility for the accuracy of the information which it supplied. The question whether there was such a disclaimer must be considered in the light of all the circumstances and cannot be answered by regarding the statement set out in sub-par. (4) as if it had been made in vacuo. However, even if the statement is considered alone, it purports to disclaim responsibility for any interpretation or conclusion drawn by the tenderer in regard to site conditions based on the information supplied, but does not by itself amount to a disclaimer of responsibility for the information itself. (at pp. 270-1).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While the Court in Morrison-Knudsen, was dealing with a more limited disclaimer ("It shall be clearly understood by Tenderers that the Commonwealth will not be responsible for any interpretation or conclusion drawn by the Tenderer in relation to site conditions based on the information contained herein"), I am satisfied that the principle set out in that decision applies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xml:space="preserve">  As well, in order for a party issuing a tender in a construction context to rely on a full investigation clause, the party must give practical reality to the requirement of independent investigation and allow the time necessary for bidders to properly complete their investigations. As was pointed out in Cardinal Construction Ltd. v. Brockville (City), </w:t>
      </w:r>
      <w:hyperlink r:id="rId824" w:history="1">
        <w:r>
          <w:rPr>
            <w:rFonts w:ascii="arial" w:eastAsia="arial" w:hAnsi="arial" w:cs="arial"/>
            <w:i/>
            <w:color w:val="0077CC"/>
            <w:sz w:val="20"/>
            <w:u w:val="single"/>
            <w:shd w:val="clear" w:color="auto" w:fill="FFFFFF"/>
            <w:lang w:val="en-US" w:eastAsia="en-US" w:bidi="ar-SA"/>
          </w:rPr>
          <w:t>(1984) 4 C.L.R. 149</w:t>
        </w:r>
      </w:hyperlink>
      <w:r>
        <w:rPr>
          <w:rFonts w:ascii="arial" w:eastAsia="arial" w:hAnsi="arial" w:cs="arial"/>
          <w:color w:val="000000"/>
          <w:sz w:val="20"/>
          <w:lang w:val="en-US" w:eastAsia="en-US" w:bidi="ar-SA"/>
        </w:rPr>
        <w:t xml:space="preserve"> (Ont. H.C.J.), if it was otherwise this would mean that a tenderer could not rely on any information furnished by the engineer who prepared the documents for tender so that the tenderer would have to duplicate all the pre-engineering work even though there was usually insufficient time to do so. The court in Cardinal found that this was unrealistic.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xml:space="preserve">  In Begro Construction Ltd. v. St. Mary River Irrigation District </w:t>
      </w:r>
      <w:hyperlink r:id="rId825" w:history="1">
        <w:r>
          <w:rPr>
            <w:rFonts w:ascii="arial" w:eastAsia="arial" w:hAnsi="arial" w:cs="arial"/>
            <w:i/>
            <w:color w:val="0077CC"/>
            <w:sz w:val="20"/>
            <w:u w:val="single"/>
            <w:shd w:val="clear" w:color="auto" w:fill="FFFFFF"/>
            <w:lang w:val="en-US" w:eastAsia="en-US" w:bidi="ar-SA"/>
          </w:rPr>
          <w:t>(1994), 15 C.L.R. (2d) 150</w:t>
        </w:r>
      </w:hyperlink>
      <w:r>
        <w:rPr>
          <w:rFonts w:ascii="arial" w:eastAsia="arial" w:hAnsi="arial" w:cs="arial"/>
          <w:color w:val="000000"/>
          <w:sz w:val="20"/>
          <w:lang w:val="en-US" w:eastAsia="en-US" w:bidi="ar-SA"/>
        </w:rPr>
        <w:t xml:space="preserve"> (Alta. Q.B.),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typically short period allowed for the filing of tenders, in this case 10 days, the contractor would be obliged at the very least to conduct a thorough professional review of the accuracy of the information provided in the tender documents. This would be an impossible task imposed on the contractor. (at p. 193).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The owner's engineer typically has months and sometimes years to conduct geotechnical investigations while bidders have a matter of days or weeks. In this regard, it took Knight Piésold two months to conduct the investigations that they did for only the Millsite and the Mancamp.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Golden Hill and the other tenderers had no practical or economically feasible means of independently investigating or otherwise satisfying themselves about the soil conditions or the character, quality and quantity of the materials to be encountered on the Site. It was the view of Mr. Rudolph that bidders "have to rely on something". This view was supported by Mr. Naas who appeared as a witness for Golden Hill. Mr. Naas had approximately 30 years of estimating and doing tender site visits. He was of the view that it was not common practice in the industry for a competent contractor to conduct his own soils investigation during the tender period. I accept his evidence about the common practice in the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As well, PCL had removed its equipment from the Site so that it would not be available to conduct soil tests. It would have been necessary for Golden Hill to bring in equipment to undertake the necessary testing to verify what was provided by Knight Piésold and to undertake the necessary investigations in those areas not covered by the Soils Data.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From the evidence, I cannot be satisfied that the road to the Site was open so that the equipment necessary to undertake the investigation of the soil conditions could have been moved on the Site. Even assuming that the necessary equipment could have been brought to the Site and that a qualified person was available, I am satisfied that the cost of an independent site investigation would have been in the neighbourhood of $25,000.00 to $30,000.00. In addition to the costs already incurred in preparing a bid over an 18 day period and the cost of conducting the Site Visit, for a contractor like Golden Hill which prepares 20 to 30 bids per year, this level of investigation would require an expenditure of about $900,000.00 per year over and above all other tendering costs. This is a complete explanation as to why it is not a common practice for independent site investigations to be undertaken.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Numerous American cases have found that full investigation clauses in construction contracts do not have the effect of prohibiting claims for misrepresentation in tender documents or of negating the duty of care that an owner owes a contractor: Hollerbach v. United States (1914), 233 U.S. 165 (U.S.S.C.) and Public Constructors, Inc. v. New York (State), 390 N.Y.S. (2d) 481.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xml:space="preserve">  These American decisions were adopted in Opron Construction Co. v. Alberta </w:t>
      </w:r>
      <w:hyperlink r:id="rId826" w:history="1">
        <w:r>
          <w:rPr>
            <w:rFonts w:ascii="arial" w:eastAsia="arial" w:hAnsi="arial" w:cs="arial"/>
            <w:i/>
            <w:color w:val="0077CC"/>
            <w:sz w:val="20"/>
            <w:u w:val="single"/>
            <w:shd w:val="clear" w:color="auto" w:fill="FFFFFF"/>
            <w:lang w:val="en-US" w:eastAsia="en-US" w:bidi="ar-SA"/>
          </w:rPr>
          <w:t>(1994), 14 C.L.R. (2d) 97</w:t>
        </w:r>
      </w:hyperlink>
      <w:r>
        <w:rPr>
          <w:rFonts w:ascii="arial" w:eastAsia="arial" w:hAnsi="arial" w:cs="arial"/>
          <w:color w:val="000000"/>
          <w:sz w:val="20"/>
          <w:lang w:val="en-US" w:eastAsia="en-US" w:bidi="ar-SA"/>
        </w:rPr>
        <w:t xml:space="preserve"> (Alta. Q.B.), where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observe the following general principles...If the owner has not verified information in the tender documents, it has a legal duty to inform tenderers in clear terms that they should not rely on this information, putting the tenderers on notice to undertake their own investigations and inquiries: Carman Construction, </w:t>
      </w:r>
      <w:hyperlink r:id="rId827" w:history="1">
        <w:r>
          <w:rPr>
            <w:rFonts w:ascii="arial" w:eastAsia="arial" w:hAnsi="arial" w:cs="arial"/>
            <w:i/>
            <w:color w:val="0077CC"/>
            <w:sz w:val="20"/>
            <w:u w:val="single"/>
            <w:shd w:val="clear" w:color="auto" w:fill="FFFFFF"/>
            <w:lang w:val="en-US" w:eastAsia="en-US" w:bidi="ar-SA"/>
          </w:rPr>
          <w:t>[1982] 1 S.C.R. 958</w:t>
        </w:r>
      </w:hyperlink>
      <w:r>
        <w:rPr>
          <w:rFonts w:ascii="arial" w:eastAsia="arial" w:hAnsi="arial" w:cs="arial"/>
          <w:color w:val="000000"/>
          <w:sz w:val="20"/>
          <w:lang w:val="en-US" w:eastAsia="en-US" w:bidi="ar-SA"/>
        </w:rPr>
        <w:t>. For this to be practical, adequate time for independent investigations is required. (at pp. 241-2).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xml:space="preserve">  Courts should be reluctant to allow these types of clauses to protect owners from the consequences of actual misrepresentations: Dilcon Constructors Ltd. v. British Columbia Hydro &amp; Power Authority </w:t>
      </w:r>
      <w:hyperlink r:id="rId828" w:history="1">
        <w:r>
          <w:rPr>
            <w:rFonts w:ascii="arial" w:eastAsia="arial" w:hAnsi="arial" w:cs="arial"/>
            <w:i/>
            <w:color w:val="0077CC"/>
            <w:sz w:val="20"/>
            <w:u w:val="single"/>
            <w:shd w:val="clear" w:color="auto" w:fill="FFFFFF"/>
            <w:lang w:val="en-US" w:eastAsia="en-US" w:bidi="ar-SA"/>
          </w:rPr>
          <w:t>(1992), 7 C.L.R. (2d) 22</w:t>
        </w:r>
      </w:hyperlink>
      <w:r>
        <w:rPr>
          <w:rFonts w:ascii="arial" w:eastAsia="arial" w:hAnsi="arial" w:cs="arial"/>
          <w:color w:val="000000"/>
          <w:sz w:val="20"/>
          <w:lang w:val="en-US" w:eastAsia="en-US" w:bidi="ar-SA"/>
        </w:rPr>
        <w:t xml:space="preserve"> (B.C.S.C.). The same approach was adopted in Edgeworth Construction Ltd. v. N.D. Lea &amp; Associates </w:t>
      </w:r>
      <w:hyperlink r:id="rId829" w:history="1">
        <w:r>
          <w:rPr>
            <w:rFonts w:ascii="arial" w:eastAsia="arial" w:hAnsi="arial" w:cs="arial"/>
            <w:i/>
            <w:color w:val="0077CC"/>
            <w:sz w:val="20"/>
            <w:u w:val="single"/>
            <w:shd w:val="clear" w:color="auto" w:fill="FFFFFF"/>
            <w:lang w:val="en-US" w:eastAsia="en-US" w:bidi="ar-SA"/>
          </w:rPr>
          <w:t>(1993), 83 B.C.L.R. (2d) 145</w:t>
        </w:r>
      </w:hyperlink>
      <w:r>
        <w:rPr>
          <w:rFonts w:ascii="arial" w:eastAsia="arial" w:hAnsi="arial" w:cs="arial"/>
          <w:color w:val="000000"/>
          <w:sz w:val="20"/>
          <w:lang w:val="en-US" w:eastAsia="en-US" w:bidi="ar-SA"/>
        </w:rPr>
        <w:t xml:space="preserve"> (S.C.C.) where the Court stated that to require each bidder to incur the time and expense of completing the same investigations is both impractical and inefficient: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From an economic point of view, it makes more sense for one engineering firm to do the engineering work, which the contractors in turn are entitled to rely on, absent disclaimers or limitations on the part of the firm. In fact, the short tender period suggests that in reality this is the way the process works; contractors who wish to bid have no choice but to rely on the design documents prepared by the engineering firm. It is on this basis that they submit their bids and on this basis that the successful bidder enters into the contract. (at p. 153).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xml:space="preserve">  From Foundation Co. of Canada v. United Grain Growers Ltd. </w:t>
      </w:r>
      <w:hyperlink r:id="rId820" w:history="1">
        <w:r>
          <w:rPr>
            <w:rFonts w:ascii="arial" w:eastAsia="arial" w:hAnsi="arial" w:cs="arial"/>
            <w:i/>
            <w:color w:val="0077CC"/>
            <w:sz w:val="20"/>
            <w:u w:val="single"/>
            <w:shd w:val="clear" w:color="auto" w:fill="FFFFFF"/>
            <w:lang w:val="en-US" w:eastAsia="en-US" w:bidi="ar-SA"/>
          </w:rPr>
          <w:t>(1995), 25 C.L.R. (2d) 1</w:t>
        </w:r>
      </w:hyperlink>
      <w:r>
        <w:rPr>
          <w:rFonts w:ascii="arial" w:eastAsia="arial" w:hAnsi="arial" w:cs="arial"/>
          <w:color w:val="000000"/>
          <w:sz w:val="20"/>
          <w:lang w:val="en-US" w:eastAsia="en-US" w:bidi="ar-SA"/>
        </w:rPr>
        <w:t xml:space="preserve"> (B.C.S.C.) and </w:t>
      </w:r>
      <w:hyperlink r:id="rId821" w:history="1">
        <w:r>
          <w:rPr>
            <w:rFonts w:ascii="arial" w:eastAsia="arial" w:hAnsi="arial" w:cs="arial"/>
            <w:i/>
            <w:color w:val="0077CC"/>
            <w:sz w:val="20"/>
            <w:u w:val="single"/>
            <w:shd w:val="clear" w:color="auto" w:fill="FFFFFF"/>
            <w:lang w:val="en-US" w:eastAsia="en-US" w:bidi="ar-SA"/>
          </w:rPr>
          <w:t>(1997), 34 B.C.L.R. (3d) 92</w:t>
        </w:r>
      </w:hyperlink>
      <w:r>
        <w:rPr>
          <w:rFonts w:ascii="arial" w:eastAsia="arial" w:hAnsi="arial" w:cs="arial"/>
          <w:color w:val="000000"/>
          <w:sz w:val="20"/>
          <w:lang w:val="en-US" w:eastAsia="en-US" w:bidi="ar-SA"/>
        </w:rPr>
        <w:t xml:space="preserve"> (B.C.C.A.), it is clear that, where tender documents are incorporated into a contract, "the parties must be taken to have attached considerable importance to the accuracy of the tender documents" such that the owner "must reasonably have expected the contractor to rely on the accuracy of the statements contained in the tender documents" (at p. 103).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General Condition 12.2 only relates to information from the "Contract Documents" relating to materials "in areas where the Work is to be performed". Because that is the case, GC 12.2 cannot relate to the Airstrip, the Millsite Access Road or the Airstrip Access Road as none of the information in the Soils Data related to those areas of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General Condition 12.0 only relates to information or investigation and not to "misrepresentations" so that information given or statements made about matters outside GC 12.0 are not excluded by it. As this is the case, GC 12.0 does not apply to any misrepresentations that Mr. Rempel may have made regarding the nature of the soils or to the statement in the Contract that the "currently available soils data" had been provided to tenderers.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As well, I cannot conclude that GC 12.0 was meant to apply where Kemess withheld relevant information. I am satisfied that Kemess must be found liable to Golden Hill regardless of the existence of the site investigation clause if there was information known to Kemess or which later came to the attention of Kemess that constituted a "hidden risk" but which was not disclosed to Golden Hill: Dilcon Constructors Ltd., supra, at p. 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I also find that the attempt by Kemess to rely on GC 12 is inconsistent with another express term of the Contract. Clause 4 ("Examination of Site") of the "Instructions to Tenderers" sets out the purpose of the Site Visit: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any event, the Contractors are motivated to make themselves fully familiar with access to the site, and the physical conditions of the site. The purpose of the meeting is to clarify any questions regarding the Scope of Work and to examine the site. All tenderers are encouraged to attend this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By arranging for and attending at the Site Visit, Golden Hill was following the instructions set out in Clause 4. First, it familiarized itself with access to the Site. Second, it familiarized itself with the "physical conditions" of the Site. However, that general phrase cannot be interpreted to also mean all of what might be expected to be found at the Site once the earthworks started. Rather, that phrase must be limited to the general topography of the Site. Third, the Site Visit met one of the purposes of the meeting as Golden Hill was able to clarify any questions that it had regarding the Scope of Work. Fourth, Golden Hill was able to "examine the site". However, this general phrase cannot be extended to an instruction to tenderers to fully explore the "character, quality and quantity of the materials to be encountered". Such an assessment was clearly unrealistic. The only realistic assessment of the character, quality and quantity of the materials that could be undertaken by Golden Hill was its examination of information provided in the Tender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xml:space="preserve">  As well, because Golden Hill was denied access to the Airstrip and the Mancamp during the Site Visit, Kemess waived its ability to rely on Article 12.0 since Golden Hill was denied the ability to "make itself fully familiar with the physical conditions of the site" or to "satisfy itself, by careful examination of the site". This conclusion flows from a reading of the exclusion clauses and from the principle of contra proferentum as the parts of the clauses placing the risk on the contractor are tied to and are contingent upon the parts of the clauses obligating and entitling the contractor to examine the entire site: Opron Construction Co. v. Alberta </w:t>
      </w:r>
      <w:hyperlink r:id="rId826" w:history="1">
        <w:r>
          <w:rPr>
            <w:rFonts w:ascii="arial" w:eastAsia="arial" w:hAnsi="arial" w:cs="arial"/>
            <w:i/>
            <w:color w:val="0077CC"/>
            <w:sz w:val="20"/>
            <w:u w:val="single"/>
            <w:shd w:val="clear" w:color="auto" w:fill="FFFFFF"/>
            <w:lang w:val="en-US" w:eastAsia="en-US" w:bidi="ar-SA"/>
          </w:rPr>
          <w:t>(1994), 14 C.L.R. (2d) 97</w:t>
        </w:r>
      </w:hyperlink>
      <w:r>
        <w:rPr>
          <w:rFonts w:ascii="arial" w:eastAsia="arial" w:hAnsi="arial" w:cs="arial"/>
          <w:color w:val="000000"/>
          <w:sz w:val="20"/>
          <w:lang w:val="en-US" w:eastAsia="en-US" w:bidi="ar-SA"/>
        </w:rPr>
        <w:t xml:space="preserve"> (Alta. Q.B.), and Alden Contracting Ltd. v. Newman Bros. Ltd. </w:t>
      </w:r>
      <w:hyperlink r:id="rId830" w:history="1">
        <w:r>
          <w:rPr>
            <w:rFonts w:ascii="arial" w:eastAsia="arial" w:hAnsi="arial" w:cs="arial"/>
            <w:i/>
            <w:color w:val="0077CC"/>
            <w:sz w:val="20"/>
            <w:u w:val="single"/>
            <w:shd w:val="clear" w:color="auto" w:fill="FFFFFF"/>
            <w:lang w:val="en-US" w:eastAsia="en-US" w:bidi="ar-SA"/>
          </w:rPr>
          <w:t>(1997), 38 C.L.R. (2d) 1</w:t>
        </w:r>
      </w:hyperlink>
      <w:r>
        <w:rPr>
          <w:rFonts w:ascii="arial" w:eastAsia="arial" w:hAnsi="arial" w:cs="arial"/>
          <w:color w:val="000000"/>
          <w:sz w:val="20"/>
          <w:lang w:val="en-US" w:eastAsia="en-US" w:bidi="ar-SA"/>
        </w:rPr>
        <w:t xml:space="preserve"> (Ont. G.D.).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Golden Hill was entitled to rely on the information set out in the Soils Data. General Conditions 12.1 and 12.2 do not protect Kemess from the consequences of any misrepresentations made and do not exclude a warranty regarding the accuracy of the information supplied in the Soils Data. This full site investigation clause does not relate to the Airstrip, the Millsite Access Road or to the Airstrip Access Road. As well, any hidden risks known at the time of the Tender or taken to be within the knowledge of Kemess subsequently are not excluded by GC 12.0.</w:t>
      </w:r>
      <w:r>
        <w:rPr>
          <w:rFonts w:ascii="arial" w:eastAsia="arial" w:hAnsi="arial" w:cs="arial"/>
          <w:sz w:val="20"/>
          <w:lang w:val="en-US" w:eastAsia="en-US" w:bidi="ar-SA"/>
        </w:rPr>
        <w:cr/>
      </w:r>
    </w:p>
    <w:p>
      <w:pPr>
        <w:numPr>
          <w:numId w:val="1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NON-RELIANCE CLAUSE (GC 12.3)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General Condition 12.3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Contractor acknowledges that he has not relied upon any information given or statements made to him by the Owner or the Engineer in connection with, and shall not claim at any time after tendering that there was any misunderstanding in regard to, the matters referred to in this Article.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It must first be observed that the "matters referred to in this Article" refer only to information contained in the "Contract Documents" as defined in the Form of Agreement and do not include all of the documents which I have found were part of the Contract. Second, GC 12.2 makes it clear that the Soils Data: "... are not part of the Contract and are furnished solely for the convenience of the Contractor. Accordingly, when GC 12.3 refers to the "matters referred to in this Article", GC 12.3 does not exclude any "information given or statements made" by Kemess or Kilborn in connection with matters that are not referred to in GC 12.0 like the information contained in the Soils Data. Third, I am satisfied that GC 12.3 does not prohibit Golden Hill from making a claim of negligent misrepresentation as Golden Hill is not alleging that there was any "misunderstanding" as to the matters dealt with by GC 12.0.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In Hudson's Building and Engineering Contracts (London Sweet &amp; Maxwell, 1995, 11th edition), the learned author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many construction contracts words will be used...to the effect that the contractor "is deemed to have inspected the site", or to have "satisfied himself as to the state of the site and sub-soil and all physical conditions affecting the work" or that he "acknowledges and agrees" various matters [sic]. Such wording may be of considerable importance in helping to indicate the comprehensive extent of the work and the various obligations in respect of which the contractor's prices are to be inclusive, but in the context of misrepresentation, or of the owner's obligations in relation to the site, may at best amount to an estoppel of perhaps quite limited effect, and without more explicit wording may not be interpreted as imposing obligations on the owner on one hand or as excluding liability for owner misrepresentations on the other. [at pp. 88-89].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I am not satisfied that GC 12.3 is so clearly and unambiguously stated that it precludes the existence of the duty of care of Kemess.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In reviewing the testimony of Mr. Rudolph, it is apparent that, while Mr. Rudolph acknowledged that he probably read GC 12.3 before the tender was submitted and perhaps before the Site Visit, he did not agree that, before the bid was submitted, it was his understanding that he was not entitled to rely upon what was being represented by the owner or the engineer. Under cross-examination he merely confirmed: "... that's what this article says, 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General Condition 12.3 refers to "information given or statements made" by Kemess. As there appears to be nothing in GC 12.1 which would fall under the phrase "information given or made", the scope of GC 12.3 is restricted to matters referred to in GC 12.2, i.e., "investigations of the soils or other conditions in areas where Work is to be performed under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xml:space="preserve">  Despite GC 12.3, I am satisfied that there can be reliance on what was stated. There are numerous decisions where the court has found reliance despite the presence of a "full investigation" clause and a "non-reliance" clause. For instance, see: Cardinal Construction Ltd. v. Brockville (City) </w:t>
      </w:r>
      <w:hyperlink r:id="rId824" w:history="1">
        <w:r>
          <w:rPr>
            <w:rFonts w:ascii="arial" w:eastAsia="arial" w:hAnsi="arial" w:cs="arial"/>
            <w:i/>
            <w:color w:val="0077CC"/>
            <w:sz w:val="20"/>
            <w:u w:val="single"/>
            <w:shd w:val="clear" w:color="auto" w:fill="FFFFFF"/>
            <w:lang w:val="en-US" w:eastAsia="en-US" w:bidi="ar-SA"/>
          </w:rPr>
          <w:t>(1984), 4 C.L.R. 149</w:t>
        </w:r>
      </w:hyperlink>
      <w:r>
        <w:rPr>
          <w:rFonts w:ascii="arial" w:eastAsia="arial" w:hAnsi="arial" w:cs="arial"/>
          <w:color w:val="000000"/>
          <w:sz w:val="20"/>
          <w:lang w:val="en-US" w:eastAsia="en-US" w:bidi="ar-SA"/>
        </w:rPr>
        <w:t xml:space="preserve"> (Ont. H.C.J.), Begro Construction Ltd. v. St. Mary River Irrigation District </w:t>
      </w:r>
      <w:hyperlink r:id="rId825" w:history="1">
        <w:r>
          <w:rPr>
            <w:rFonts w:ascii="arial" w:eastAsia="arial" w:hAnsi="arial" w:cs="arial"/>
            <w:i/>
            <w:color w:val="0077CC"/>
            <w:sz w:val="20"/>
            <w:u w:val="single"/>
            <w:shd w:val="clear" w:color="auto" w:fill="FFFFFF"/>
            <w:lang w:val="en-US" w:eastAsia="en-US" w:bidi="ar-SA"/>
          </w:rPr>
          <w:t>(1994), 15 C.L.R. (2d) 150</w:t>
        </w:r>
      </w:hyperlink>
      <w:r>
        <w:rPr>
          <w:rFonts w:ascii="arial" w:eastAsia="arial" w:hAnsi="arial" w:cs="arial"/>
          <w:color w:val="000000"/>
          <w:sz w:val="20"/>
          <w:lang w:val="en-US" w:eastAsia="en-US" w:bidi="ar-SA"/>
        </w:rPr>
        <w:t xml:space="preserve"> (Alta. Q.B.), Alden Contracting Ltd. v. Newman Bros. Ltd. </w:t>
      </w:r>
      <w:hyperlink r:id="rId830" w:history="1">
        <w:r>
          <w:rPr>
            <w:rFonts w:ascii="arial" w:eastAsia="arial" w:hAnsi="arial" w:cs="arial"/>
            <w:i/>
            <w:color w:val="0077CC"/>
            <w:sz w:val="20"/>
            <w:u w:val="single"/>
            <w:shd w:val="clear" w:color="auto" w:fill="FFFFFF"/>
            <w:lang w:val="en-US" w:eastAsia="en-US" w:bidi="ar-SA"/>
          </w:rPr>
          <w:t>(1997), 38 C.L.R. (2d) 1</w:t>
        </w:r>
      </w:hyperlink>
      <w:r>
        <w:rPr>
          <w:rFonts w:ascii="arial" w:eastAsia="arial" w:hAnsi="arial" w:cs="arial"/>
          <w:color w:val="000000"/>
          <w:sz w:val="20"/>
          <w:lang w:val="en-US" w:eastAsia="en-US" w:bidi="ar-SA"/>
        </w:rPr>
        <w:t xml:space="preserve"> (Ont. G.D.), Advice Pipelines Ltd. v. Mississauga Golf &amp; Country Club Ltd. </w:t>
      </w:r>
      <w:hyperlink r:id="rId831" w:history="1">
        <w:r>
          <w:rPr>
            <w:rFonts w:ascii="arial" w:eastAsia="arial" w:hAnsi="arial" w:cs="arial"/>
            <w:i/>
            <w:color w:val="0077CC"/>
            <w:sz w:val="20"/>
            <w:u w:val="single"/>
            <w:shd w:val="clear" w:color="auto" w:fill="FFFFFF"/>
            <w:lang w:val="en-US" w:eastAsia="en-US" w:bidi="ar-SA"/>
          </w:rPr>
          <w:t>(1989), 33 C.L.R. 280</w:t>
        </w:r>
      </w:hyperlink>
      <w:r>
        <w:rPr>
          <w:rFonts w:ascii="arial" w:eastAsia="arial" w:hAnsi="arial" w:cs="arial"/>
          <w:color w:val="000000"/>
          <w:sz w:val="20"/>
          <w:lang w:val="en-US" w:eastAsia="en-US" w:bidi="ar-SA"/>
        </w:rPr>
        <w:t xml:space="preserve"> (Ont. H.C.J.), Public Constructors, Inc. v. New York (State), 390 N.Y.S. (2d) 481, Dilcon Constructors Ltd. v. British Columbia Hydro &amp; Power Authority </w:t>
      </w:r>
      <w:hyperlink r:id="rId828" w:history="1">
        <w:r>
          <w:rPr>
            <w:rFonts w:ascii="arial" w:eastAsia="arial" w:hAnsi="arial" w:cs="arial"/>
            <w:i/>
            <w:color w:val="0077CC"/>
            <w:sz w:val="20"/>
            <w:u w:val="single"/>
            <w:shd w:val="clear" w:color="auto" w:fill="FFFFFF"/>
            <w:lang w:val="en-US" w:eastAsia="en-US" w:bidi="ar-SA"/>
          </w:rPr>
          <w:t>(1992), 7 C.L.R. (2d) 22</w:t>
        </w:r>
      </w:hyperlink>
      <w:r>
        <w:rPr>
          <w:rFonts w:ascii="arial" w:eastAsia="arial" w:hAnsi="arial" w:cs="arial"/>
          <w:color w:val="000000"/>
          <w:sz w:val="20"/>
          <w:lang w:val="en-US" w:eastAsia="en-US" w:bidi="ar-SA"/>
        </w:rPr>
        <w:t xml:space="preserve"> (B.C.S.C.), and Warden Construction Co. v. Grimsby (Town) </w:t>
      </w:r>
      <w:hyperlink r:id="rId832" w:history="1">
        <w:r>
          <w:rPr>
            <w:rFonts w:ascii="arial" w:eastAsia="arial" w:hAnsi="arial" w:cs="arial"/>
            <w:i/>
            <w:color w:val="0077CC"/>
            <w:sz w:val="20"/>
            <w:u w:val="single"/>
            <w:shd w:val="clear" w:color="auto" w:fill="FFFFFF"/>
            <w:lang w:val="en-US" w:eastAsia="en-US" w:bidi="ar-SA"/>
          </w:rPr>
          <w:t>(1983), 2 C.L.R. 69</w:t>
        </w:r>
      </w:hyperlink>
      <w:r>
        <w:rPr>
          <w:rFonts w:ascii="arial" w:eastAsia="arial" w:hAnsi="arial" w:cs="arial"/>
          <w:color w:val="000000"/>
          <w:sz w:val="20"/>
          <w:lang w:val="en-US" w:eastAsia="en-US" w:bidi="ar-SA"/>
        </w:rPr>
        <w:t xml:space="preserve"> (Ont.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xml:space="preserve">  Where it is reasonably foreseeable that a tenderer would rely on information and there is no practical alternative source for that information, I am satisfied that reliance is not excluded by provisions such as GC 12.3. I am satisfied that the following passage from Micron Construction Ltd. v. Hongkong Bank of Canada </w:t>
      </w:r>
      <w:hyperlink r:id="rId833" w:history="1">
        <w:r>
          <w:rPr>
            <w:rFonts w:ascii="arial" w:eastAsia="arial" w:hAnsi="arial" w:cs="arial"/>
            <w:i/>
            <w:color w:val="0077CC"/>
            <w:sz w:val="20"/>
            <w:u w:val="single"/>
            <w:shd w:val="clear" w:color="auto" w:fill="FFFFFF"/>
            <w:lang w:val="en-US" w:eastAsia="en-US" w:bidi="ar-SA"/>
          </w:rPr>
          <w:t>(2000), 75 B.C.L.R. (3d) 186</w:t>
        </w:r>
      </w:hyperlink>
      <w:r>
        <w:rPr>
          <w:rFonts w:ascii="arial" w:eastAsia="arial" w:hAnsi="arial" w:cs="arial"/>
          <w:color w:val="000000"/>
          <w:sz w:val="20"/>
          <w:lang w:val="en-US" w:eastAsia="en-US" w:bidi="ar-SA"/>
        </w:rPr>
        <w:t xml:space="preserve"> (B.C.C.A.) [leave to appeal dismissed </w:t>
      </w:r>
      <w:hyperlink r:id="rId834" w:history="1">
        <w:r>
          <w:rPr>
            <w:rFonts w:ascii="arial" w:eastAsia="arial" w:hAnsi="arial" w:cs="arial"/>
            <w:i/>
            <w:color w:val="0077CC"/>
            <w:sz w:val="20"/>
            <w:u w:val="single"/>
            <w:shd w:val="clear" w:color="auto" w:fill="FFFFFF"/>
            <w:lang w:val="en-US" w:eastAsia="en-US" w:bidi="ar-SA"/>
          </w:rPr>
          <w:t>[2000] S.C.C.A. 193</w:t>
        </w:r>
      </w:hyperlink>
      <w:r>
        <w:rPr>
          <w:rFonts w:ascii="arial" w:eastAsia="arial" w:hAnsi="arial" w:cs="arial"/>
          <w:color w:val="000000"/>
          <w:sz w:val="20"/>
          <w:lang w:val="en-US" w:eastAsia="en-US" w:bidi="ar-SA"/>
        </w:rPr>
        <w:t>], applies: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view, it was reasonable in these circumstances, even with knowledge of the disclaimer, for the Plaintiff to rely on the Bank's assurance and it was reasonably foreseeable to the Bank that the Plaintiff would rely. The fact that the Plaintiff, to the knowledge of the Bank, had no alternative source of information available to it is critical to its conclusion. (at para. 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Accordingly, I find that this non-reliance clause does not exclude the ability of Golden Hill to rely on the information contained in the Soils Data or in any of the other Tender Documents. As well, GC 12.3 does not exclude the ability of Golden Hill to obtain damages for any negligent misrepresentations regarding the information provided or for any tortious acts of not providing information which was available and which would have impacted on the bid prepared by Golden Hill. There can be no "misunderstanding" regarding that which was not provided or representations that induced Golden Hill to enter into the Contract.</w:t>
      </w:r>
      <w:r>
        <w:rPr>
          <w:rFonts w:ascii="arial" w:eastAsia="arial" w:hAnsi="arial" w:cs="arial"/>
          <w:sz w:val="20"/>
          <w:lang w:val="en-US" w:eastAsia="en-US" w:bidi="ar-SA"/>
        </w:rPr>
        <w:cr/>
      </w:r>
    </w:p>
    <w:p>
      <w:pPr>
        <w:numPr>
          <w:numId w:val="1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REPRESENTATIONS OF FUTURE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xml:space="preserve">  Kemess also submits that the following representations are not actionable as they "refer to a future fact": the ability of Golden Hill to mobilize in accordance with the Contract Schedule; the timely designation of adequate Topsoil and Waste Dumps and Borrow Pits; the timely provision of permits; the timely provision of design information; the ability of Golden Hill to control the Work, the obligation of Kemess to administer the Contract and to negotiate disputes in good faith; and the ability of Golden Hill to suspend the Work if unsuitable conditions arise. Kemess relies on the decision in Datile Financial Corp. v. Royal Trust Corp. of Canada </w:t>
      </w:r>
      <w:hyperlink r:id="rId835" w:history="1">
        <w:r>
          <w:rPr>
            <w:rFonts w:ascii="arial" w:eastAsia="arial" w:hAnsi="arial" w:cs="arial"/>
            <w:i/>
            <w:color w:val="0077CC"/>
            <w:sz w:val="20"/>
            <w:u w:val="single"/>
            <w:shd w:val="clear" w:color="auto" w:fill="FFFFFF"/>
            <w:lang w:val="en-US" w:eastAsia="en-US" w:bidi="ar-SA"/>
          </w:rPr>
          <w:t>(1991), 5 O.R. (3d) 358</w:t>
        </w:r>
      </w:hyperlink>
      <w:r>
        <w:rPr>
          <w:rFonts w:ascii="arial" w:eastAsia="arial" w:hAnsi="arial" w:cs="arial"/>
          <w:color w:val="000000"/>
          <w:sz w:val="20"/>
          <w:lang w:val="en-US" w:eastAsia="en-US" w:bidi="ar-SA"/>
        </w:rPr>
        <w:t xml:space="preserve"> (Ont. G.D.) in support of its submission.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In Datile, Hollingworth, J. cites with approval the following statement of law in Halsbury's Laws of England, (4th) Volume 33 (London: Butterworths, (1980), to support the proposition that representations about the future are not actionable: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statement of intention is not a representation as to the matter said to be intended, because that belongs to the future and is not a matter of present or past fact. On the other hand, a statement of intention involves a representation as to the existence of the intention which is itself a present fact. However, the difficulty of proving the non-existence of the intention diminishes the value of such representations. The mere circumstance of the expressed intention is not fulfilled does not by itself establish the non-existence of the intention at the time when it was expressed, although the non-fulfilment of the intention may be some evidence, strong or weak according to the circumstances of the individual case, that the intention never existed at 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promise that something will or will not be done or occur in the future is in itself not a statement of a matter of present or past fact and therefore not a representation. However, it may happen that language which contains promissory expressions can be shown, nevertheless, to have been intended as a statement of an existing intention. Conversely, although a party used words expressive of intention, it may be apparent from other expressions or the surrounding circumstances, that what he really meant, and the other party understood to be conveyed, was a promise to offer and nothing else.</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(footnotes omitted) (at p. 379).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Hollingworth, J. then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is clear that no action will lie for misrepresentation unless it is a statement of an existing fact. Put another way, only representations of fact can give rise to actionable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On the other hand, representations as to future occurrences do not form a ground for legal relief as negligent misrepresentation unless they import by implication a misstatement of an existing fact. (at p. 379).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Hollingworth, J. concluded that various statements made could be actionable if the plaintiffs could show that (a) the defendants were not ready to process the documentation when they had already confirmed that they had all of the material together to process the anticipated documentation from investors; or (b) Royal Trust would finance investor financing if, on a particular date, it could be shown that Royal Trust did not have a commitment to finance investor financing. On the basis that the two statements might well be actionable as negligent misrepresentations if they represented statements of present fact, Hollingworth, J. concluded that Datile Financial Corp. should be allowed to amend its Statement of Claim to show the potential mis-statements of existing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The decision in Datile does not address and Kemess has cited no cases involving a tendering situation where an owner holds out a particular contractual scheme as the basis on which the owner seeks bids and then endeavours to take advantage of the prices contained in those bids while asserting that parts or all of the scheme on which the prices were based are not binding on it. The principle in Datile, has not been relied on in any construction cases and therefore its direct applicability to this kind of commercial contract is questionable.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Datile and the cases that follow that decision predominantly involve instances of representations of future intent within the financial industry, being representations about future financing or about the future profitability of a particular venture. In the context of the tendering and completion of constructions contracts, I am satisfied that there can be a finding of liability against Kemess on the basis of representations made about future happenings.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First, the Form of Agreement set out in the Tender Documents becomes part of the Contract between the parties. Accordingly, representations contained within the Form of Agreement are not only representations of what will happen in the future but are also representations made as to how the contract between the parties will operate. Second, I am satisfied that the representations complained of constitute continuing representations rather than merely representations about future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When determining whether or not a representation about the future is actionable, both the nature of the contractual obligation and that of the negligent misrepresentation must be analyzed. I am satisfied that Canadian Courts have found negligent misrepresentation when future statements can be characterized as misstatements relating to existing facts or where the duty of care between the parties has been considered paramount.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xml:space="preserve">  The Court in Foundation Co. of Canada v. United Grain Growers Ltd. </w:t>
      </w:r>
      <w:hyperlink r:id="rId820" w:history="1">
        <w:r>
          <w:rPr>
            <w:rFonts w:ascii="arial" w:eastAsia="arial" w:hAnsi="arial" w:cs="arial"/>
            <w:i/>
            <w:color w:val="0077CC"/>
            <w:sz w:val="20"/>
            <w:u w:val="single"/>
            <w:shd w:val="clear" w:color="auto" w:fill="FFFFFF"/>
            <w:lang w:val="en-US" w:eastAsia="en-US" w:bidi="ar-SA"/>
          </w:rPr>
          <w:t>(1995), 25 C.L.R. (2d) 1</w:t>
        </w:r>
      </w:hyperlink>
      <w:r>
        <w:rPr>
          <w:rFonts w:ascii="arial" w:eastAsia="arial" w:hAnsi="arial" w:cs="arial"/>
          <w:color w:val="000000"/>
          <w:sz w:val="20"/>
          <w:lang w:val="en-US" w:eastAsia="en-US" w:bidi="ar-SA"/>
        </w:rPr>
        <w:t xml:space="preserve"> (B.C.S.C.) and </w:t>
      </w:r>
      <w:hyperlink r:id="rId821" w:history="1">
        <w:r>
          <w:rPr>
            <w:rFonts w:ascii="arial" w:eastAsia="arial" w:hAnsi="arial" w:cs="arial"/>
            <w:i/>
            <w:color w:val="0077CC"/>
            <w:sz w:val="20"/>
            <w:u w:val="single"/>
            <w:shd w:val="clear" w:color="auto" w:fill="FFFFFF"/>
            <w:lang w:val="en-US" w:eastAsia="en-US" w:bidi="ar-SA"/>
          </w:rPr>
          <w:t>(1997), 34 B.C.L.R. (3d) 92</w:t>
        </w:r>
      </w:hyperlink>
      <w:r>
        <w:rPr>
          <w:rFonts w:ascii="arial" w:eastAsia="arial" w:hAnsi="arial" w:cs="arial"/>
          <w:color w:val="000000"/>
          <w:sz w:val="20"/>
          <w:lang w:val="en-US" w:eastAsia="en-US" w:bidi="ar-SA"/>
        </w:rPr>
        <w:t xml:space="preserve"> (B.C.C.A.) found liability on the basis of misrepresentations about the dates that particular equipment would be delivered and about the status of the completion of the drawings where the defendants were found to have known or were found ought to have known that the representations were not true. The owner had stated in a Letter of Intent that equipment and drawings would be delivered by a certain date. They were not and that resulted in financial loss to the general contractor. The judgment on appeal was delivered by McEachern, C.J.B.C. who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Letters of Intent issued by [the firm of engineers representing the owner]... to the pre-selected equipment manufacturers were incorporated into the contract and constituted a continuing representation that these critical pieces of equipment would be available in a timely way. I see no answer to the conclusion of the trial judge regarding reliance which is, after all, a question of fact. (at para. 27 of Court of Appeal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xml:space="preserve">  In Queen v. Cognos Inc. </w:t>
      </w:r>
      <w:hyperlink r:id="rId337" w:history="1">
        <w:r>
          <w:rPr>
            <w:rFonts w:ascii="arial" w:eastAsia="arial" w:hAnsi="arial" w:cs="arial"/>
            <w:i/>
            <w:color w:val="0077CC"/>
            <w:sz w:val="20"/>
            <w:u w:val="single"/>
            <w:shd w:val="clear" w:color="auto" w:fill="FFFFFF"/>
            <w:lang w:val="en-US" w:eastAsia="en-US" w:bidi="ar-SA"/>
          </w:rPr>
          <w:t>(1993), 99 D.L.R. (4th) 626</w:t>
        </w:r>
      </w:hyperlink>
      <w:r>
        <w:rPr>
          <w:rFonts w:ascii="arial" w:eastAsia="arial" w:hAnsi="arial" w:cs="arial"/>
          <w:color w:val="000000"/>
          <w:sz w:val="20"/>
          <w:lang w:val="en-US" w:eastAsia="en-US" w:bidi="ar-SA"/>
        </w:rPr>
        <w:t xml:space="preserve"> (S.C.C.), the court dealt with an employer who did not tell a prospective employee that the new position was subject to budget approval. The employee took the job relying on promises of job security but was soon after terminated because of lack of funding. Negligent misrepresentation was found. The representations in question were found to relate not solely to future events or expectations but to an "existing fact" that related to the "very existence of the job for which he had applied". (at p. 657).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xml:space="preserve">  In Moin v. Blue Mountain (Town) </w:t>
      </w:r>
      <w:hyperlink r:id="rId836" w:history="1">
        <w:r>
          <w:rPr>
            <w:rFonts w:ascii="arial" w:eastAsia="arial" w:hAnsi="arial" w:cs="arial"/>
            <w:i/>
            <w:color w:val="0077CC"/>
            <w:sz w:val="20"/>
            <w:u w:val="single"/>
            <w:shd w:val="clear" w:color="auto" w:fill="FFFFFF"/>
            <w:lang w:val="en-US" w:eastAsia="en-US" w:bidi="ar-SA"/>
          </w:rPr>
          <w:t>(2000), 135 O.A.C. 278</w:t>
        </w:r>
      </w:hyperlink>
      <w:r>
        <w:rPr>
          <w:rFonts w:ascii="arial" w:eastAsia="arial" w:hAnsi="arial" w:cs="arial"/>
          <w:color w:val="000000"/>
          <w:sz w:val="20"/>
          <w:lang w:val="en-US" w:eastAsia="en-US" w:bidi="ar-SA"/>
        </w:rPr>
        <w:t xml:space="preserve"> (Ont. C.A.), the plaintiff contracted with the municipality to build a road to service five lots. This could not be done unless the municipality upgraded the road leading to the area which it assured the plaintiff it would undertake. The statements about the future were held to be implied representations. The court recognized the difficulty in distinguishing between a promise of future conduct and a representation of existing fact but held that the future statements were not those of "intention" or of "future occurrences" but were of "existing facts" because the municipality had made an "existing commitment" to the plaintiff: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statements made by the Reeve that, "there is going to be a road this summer [1989]" and that there would be a builder's road by the end of 1990 implicitly represented that there was an existing commitment and ability to upgrade the Blind Line at those times. (at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In the context of a tendering scenario, many of the representations made by an owner in a tender document or in the documents which later constitute the contract between the parties amount to representations of future behaviour or intent. It would be inappropriate for an owner to invite tenderers to submit their tenders on certain assumptions and representations of future happenings, to obtain the benefit of the tender and the work flowing from the contract and then claim that the representations of future behaviour are not binding because they were merely representations of future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In the context of this construction contract, it would be ludicrous to suggest that these representations relating to "future facts" would not be actionable:</w:t>
      </w:r>
      <w:r>
        <w:rPr>
          <w:rFonts w:ascii="arial" w:eastAsia="arial" w:hAnsi="arial" w:cs="arial"/>
          <w:sz w:val="20"/>
          <w:lang w:val="en-US" w:eastAsia="en-US" w:bidi="ar-SA"/>
        </w:rPr>
        <w:cr/>
      </w:r>
    </w:p>
    <w:p>
      <w:pPr>
        <w:numPr>
          <w:numId w:val="1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Golden Hill would be permitted to mobilize its equipment as the ability to mobilize equipment is the very essence of the work to be done;</w:t>
      </w:r>
    </w:p>
    <w:p>
      <w:pPr>
        <w:numPr>
          <w:numId w:val="1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adequate Topsoil and Waste Dumps and Borrow Pits would be designated in a timely manner when the Tender Documents contemplated that Topsoil for reclamation purposes would have to be stored, material not suitable for Fill would have to be wasted, and material suitable for Fill might have to be borrowed from pits off of the work area for the Project;</w:t>
      </w:r>
    </w:p>
    <w:p>
      <w:pPr>
        <w:numPr>
          <w:numId w:val="1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permits would be provided in a timely manner when all work was predicated on obtaining the appropriate permits;</w:t>
      </w:r>
    </w:p>
    <w:p>
      <w:pPr>
        <w:numPr>
          <w:numId w:val="1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design information would be provided in a timely manner when what needed to be accomplished by Golden Hill could only be known once the design information was available;</w:t>
      </w:r>
    </w:p>
    <w:p>
      <w:pPr>
        <w:numPr>
          <w:numId w:val="1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Golden Hill would have control over the Work when the ability of Golden Hill to control the Work is the very essence of the calculation of the productivity upon which the bid was made;</w:t>
      </w:r>
    </w:p>
    <w:p>
      <w:pPr>
        <w:numPr>
          <w:numId w:val="1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Kemess would administer the Contract and negotiate disputes in good faith when that obligation is imposed at law as well as under the Contract;</w:t>
      </w:r>
    </w:p>
    <w:p>
      <w:pPr>
        <w:numPr>
          <w:numId w:val="1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Golden Hill would have the ability to suspend work if unsuitable conditions arose when the very productivity upon which the unit price bid was made by Golden Hill assumed that 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In the case at bar, I have no hesitation in finding that there was a reasonable reliance by Golden Hill on these representations relating to future events. There was reliance not only on the existing commitments that were being made by Kemess to Golden Hill but also on the continuing representations made by Kemess that they would continue to honour those commitments.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Accordingly, even if I am incorrect in concluding that representations made about future happenings are actionable in the context of the tendering of and the undertaking of construction contracts, I am satisfied that there were existing and continuing representations made which preclude Kemess from relying on the principles set out in Datile.</w:t>
      </w:r>
      <w:r>
        <w:rPr>
          <w:rFonts w:ascii="arial" w:eastAsia="arial" w:hAnsi="arial" w:cs="arial"/>
          <w:sz w:val="20"/>
          <w:lang w:val="en-US" w:eastAsia="en-US" w:bidi="ar-SA"/>
        </w:rPr>
        <w:cr/>
      </w:r>
    </w:p>
    <w:p>
      <w:pPr>
        <w:numPr>
          <w:numId w:val="1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EFFECT OF GENERAL CONDITION 36.0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Kemess relies on GC 36.0 to submit that Golden Hill is not entitled to damages under the Contract because any "delays or failure of performance" by Kemess merely resulted in Golden Hill having more time to perform the Work and because Kemess always granted more time. General Condition 36.0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36.0 DELAYS AND EXTENSION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36.1</w:t>
            </w:r>
          </w:p>
        </w:tc>
        <w:tc>
          <w:tcPr>
            <w:tcW w:w="307"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Delays or failure of performance by either party to the Contract shall not constitute default hereunder and shall not give rise to any claim for loss, damage or expenses if and to the extent caused by occurrences beyond the control of the party.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36.2</w:t>
            </w:r>
          </w:p>
        </w:tc>
        <w:tc>
          <w:tcPr>
            <w:tcW w:w="307"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The Contractor shall, within three (3) calendar days of the commencement of any delay beyond the control of the Contractor, give to the Owner written notice of the delay together with details of its cause and the anticipated results of the delay. Within fourteen (14) calendar days of the termination of the delay, the Contractor shall give to the Owner written notice setting out the actual duration of the delay and its effect upon the Contract Schedule and the various items of the Work shown on the Contract Schedule. The Contractor shall also include a request to the Owner for an extension of time within which to complete the Work or any portions of it. If the Owner determines that the delay was beyond the control and without the fault or </w:t>
            </w:r>
            <w:r>
              <w:rPr>
                <w:rFonts w:ascii="arial" w:eastAsia="arial" w:hAnsi="arial" w:cs="arial"/>
                <w:b/>
                <w:i/>
                <w:color w:val="000000"/>
                <w:sz w:val="18"/>
                <w:u w:val="single"/>
                <w:lang w:val="en-US" w:eastAsia="en-US" w:bidi="ar-SA"/>
              </w:rPr>
              <w:t>negligence</w:t>
            </w:r>
            <w:r>
              <w:rPr>
                <w:rFonts w:ascii="arial" w:eastAsia="arial" w:hAnsi="arial" w:cs="arial"/>
                <w:color w:val="000000"/>
                <w:sz w:val="18"/>
                <w:lang w:val="en-US" w:eastAsia="en-US" w:bidi="ar-SA"/>
              </w:rPr>
              <w:t xml:space="preserve"> of the Contractor or his sub-contractors and not foreseeable by the Contractor at the time the Contract was entered into, the Owner shall determine the duration of the delay and shall extend the time for Completion of the affected portion of the Work accordingly. Such notices and request shall not prejudice the Owner's rights or in any manner affect the validity of the Contract. No extension of time shall be considered unless the written notices and request for extension have been given within the time periods set out herein.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36.3</w:t>
            </w:r>
          </w:p>
        </w:tc>
        <w:tc>
          <w:tcPr>
            <w:tcW w:w="307"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Contractor shall not have any further recourse or claim against the Owner nor shall the Contractor have the right to action against the Owner for loss, damage or expenses suffered by reason of such delay.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36.4</w:t>
            </w:r>
          </w:p>
        </w:tc>
        <w:tc>
          <w:tcPr>
            <w:tcW w:w="307"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Both the Owner and the Contractor shall be prompt and diligent to remove all causes of interruption or delay in the Work, insofar as each is able so to do.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36.5</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pursuant to Article 36.2 hereof the Owner extends the time for completion, the Owner will be entitled nevertheless to require the Contractor to reduce or eliminate, as far as possible, such time by accelerating progress on the Work by all means acceptable to the Owner and available to the Contractor. The Contractor shall accelerate progress accordingly and the Contract price will be increased by the difference, as proved in detail by the Contractor to the Owner, between the costs properly and necessarily incurred by the Contractor for the accelerated parts of the Work and the costs which the Contractor would have incurred for those same parts to complete them by the extended time had the acceleration not been required.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I am satisfied that the primary purpose of GC 36.1 was to attempt to preclude Golden Hill from claiming that there had been a fundamental breach of the Contract so that Golden Hill was in a position to treat the Contract as being at an end so that Golden Hill could look to Kemess for damages. It must also be noted that the reference to "Contract" in GC 36 is a reference to the Form of Agreement in the Tender Documents and is not a reference to what I have found to be the Contract between the parties. Accordingly, I am satisfied that the attempt by GC 36.1 to limit claims for loss, damage or expenses relates only to delays or failures of performance under matters which are dealt with under the Form of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It must also be noted that GC 36.1 refers to claims for "loss, damage or expenses" for delays or failure of performance: "... if and to the extent caused by occurrences beyond the control of the party." To the extent that Kemess relies upon GC 36.1 to exclude the possibility of damages being claimed by Golden Hill, I am satisfied that it is not specific enough to do so and that GC 36.1 contemplates that claims for loss, damage or expenses can be claimed by Golden Hill for delays or failures of Kemess to perform its obligations under the Contract where such were within the control of Kemess.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I am satisfied that Golden Hill retains a claim for loss, damage or expenses for delays or failures of performance which are within the control of Kemess. While problems caused by the weather or the unanticipated soil conditions may be beyond the control of Kemess, it is clear that any failure to allow Golden Hill to control the Work, any delay in allowing Golden Hill to mobilize by July 8, any failure to obtain permits in a timely manner, any failure to provide appropriate, timely and sufficiently complete information to Golden Hill, any failure to disclose all material soils information, any failure to provide subsequently ascertained information, any failure to designate adequate Topsoil, Waste Dumps and Borrow sources in a timely manner, any failure to allow Golden Hill to suspend the Work, and any breach of duty of good faith and fair treatment are matters which are within the control of Kemess so that "loss, damage or expenses" would be available to Golden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General Condition 36.2 is not worded specifically enough to exclude the possibility of damages being claimed for delays which are within the control of Kemess even though those delays are beyond the control of Golden Hill. The first part of that General Condition does not read that written notice must be given within three calendar days of: "... the commencement of any delay beyond the control of either the Owner or the Contractor...". Such words may well have produced the intended effect but such words were not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xml:space="preserve">  I am satisfied that it is appropriate to interpret this attempt to exclude the right to sue for damages by limiting its effect to the narrow meaning of the words employed and I am satisfied that the words employed do not: "... clearly cover the exact circumstances which have arisen in order to afford protection to the party claiming benefit": Bauer v. Bank of Montreal </w:t>
      </w:r>
      <w:hyperlink r:id="rId812" w:history="1">
        <w:r>
          <w:rPr>
            <w:rFonts w:ascii="arial" w:eastAsia="arial" w:hAnsi="arial" w:cs="arial"/>
            <w:i/>
            <w:color w:val="0077CC"/>
            <w:sz w:val="20"/>
            <w:u w:val="single"/>
            <w:shd w:val="clear" w:color="auto" w:fill="FFFFFF"/>
            <w:lang w:val="en-US" w:eastAsia="en-US" w:bidi="ar-SA"/>
          </w:rPr>
          <w:t>(1990), 110 D.L.R. (3d) 424</w:t>
        </w:r>
      </w:hyperlink>
      <w:r>
        <w:rPr>
          <w:rFonts w:ascii="arial" w:eastAsia="arial" w:hAnsi="arial" w:cs="arial"/>
          <w:color w:val="000000"/>
          <w:sz w:val="20"/>
          <w:lang w:val="en-US" w:eastAsia="en-US" w:bidi="ar-SA"/>
        </w:rPr>
        <w:t xml:space="preserve"> (S.C.C.) at p. 428.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I am not prepared to find that Golden Hill would have entered into the Contract if it had been advised that, no matter what Kemess did or did not do, Golden Hill would only be granted more time to perform the Work and would not be in a position to look to Kemess for damages for breaches of specific or implied terms in the Contract or for tortious 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As well, I cannot make the finding that the intended effect of GC 36.0 was specifically drawn to the attention of Golden Hill or specifically acknowledged by Golden Hill. In accordance with the finding that I have made regarding the effect of Article VI, I cannot find that the words used in GC 36.0 are so clear and susceptible of only one meaning that GC 36.0 precludes the imposition of the implied terms or the specific terms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The terms which I imply into this Contract because they are legal incidents of construction contracts and because of the presumed intention of the parties to give business efficacy or to otherwise meet the "officious bystander" test are implied despite GC 36.0.</w:t>
      </w:r>
      <w:r>
        <w:rPr>
          <w:rFonts w:ascii="arial" w:eastAsia="arial" w:hAnsi="arial" w:cs="arial"/>
          <w:sz w:val="20"/>
          <w:lang w:val="en-US" w:eastAsia="en-US" w:bidi="ar-SA"/>
        </w:rPr>
        <w:cr/>
      </w:r>
    </w:p>
    <w:p>
      <w:pPr>
        <w:numPr>
          <w:numId w:val="1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EFFECT OF THE OVER/UNDER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It is submitted on behalf of Kemess that the Over/Under Clause applies so that any claim by Golden Hill for moving additional material on the Site is restricted to a claim of $416,543.06 as this amount is the balance which would be owing to Golden Hill if the provisions of the Over/Under Clause applied and no other damages were available. I am satisfied that Golden Hill is entitled to compensation other than in accordance with the Over/Under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First, the rationale for non-compensation of Golden Hill would only apply if Golden Hill had been allowed by Kemess to retain control over the Work, if Golden Hill had been allowed to suspend the Work when unanticipated soil conditions were encountered so that it could deal with those anticipated conditions at a time that was most suitable, if Kemess had disclosed all material soils information in its possession, if there had been adequate Topsoil and Waste Dumps and Borrow sources, and if all subsequently produced engineering and design had been made available in a timely manner. Kemess assumed control over the sequencing and timing of the Work of Golden Hill and Golden Hill was not allowed to suspend its operations when satisfactory results could not be obtained as a result of the effects of weather on the unanticipated soil conditions. In those circumstances, the Over/Under Clause would not limit the amount available to Golden Hill to the additional compensation contemplated by that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Second, the Schedule was subject to the terms of the Post Tender Meeting which were conditional upon the soil conditions being as Golden Hill anticipated. When Kemess later accelerated the extended Schedule, it was required to pay Golden Hill in accordance with GC 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Third, it would be unreasonable to suggest that Golden Hill agreed to be compensated for unanticipated changes to the Work through mobilization costs alone as mobilization costs bear no relation to the costs of actually performing the Work. While the Over/Under Clause pays for additional quantities, it in no way protects Golden Hill from the damages flowing from the breaches of contract and tortious acts of Kemess.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I am satisfied that it could not have been contemplated by the parties that the Over/Under Clause would prevail to limit the claim for damages to that which would be available under the Clause relating only to quantities. The Clause does not compensate Golden Hill for an unexpected change in the nature of the operations not purely related to a change in quantities. Those changes included: (a) a change in the location of the expected source of material and the expected Dumps which would result in greater haul distances such that it would be more efficient for Golden Hill to employ a different configuration of hauling equipment and which would result in different haul gradients thereby impacting on the speed and appropriate equipment for the operations; (b) a change in the nature of the soils within a particular pay unit such as where the Cut to Fill material is damp and silty rather than moist and granular or where the Waste has a higher silt and clay component and is wetter than expected; or (c) a change in design which had a significant impact on the relative quantities of Cut and Fill such as occurred at the Millsite.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Under GC 36.5, the unit price should be increased by the difference between the cost properly and necessarily incurred by Golden Hill and the price that Golden Hill would have received if there had not been a change. This cost is in addition to the Over/Under Clause. General Condition 28 deals with the valuation of changes and, where the changes are on a cost plus basis, provides that the price would include the cost of labour and foremen based on the rates in the Contract, the cost of materials plus the percentage set out in the Contract, rentals of construction equipment at the rates set out in the Contract, cost of transportation of equipment to the Site, and the amount of payments to sub-contractors plus the percentage set out in the Contract. If the entire work under the C101 Contract was valued on the basis of GC 28, then the price of the Work would be in the neighbourhood of $12,300,000.00. The cost under GC 28 is also in addition to the Over/Under Clause. I am satisfied that it was not intended between the parties that only the Over/Under Clause would apply, that damages would not be available for breaches of contract or tortious acts or that compensation would not be available if there was acceleration or changes.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The price for the Work was to be negotiated if there were acceleration orders or changes in scope. I am satisfied that the changes in the soil conditions in the circumstances of this Project amounted to a change in the Scope of Work of the Project. In reliance on this term of the Contract, Golden Hill performed work in furtherance of acceleration orders and in view of changed soils conditions. I am satisfied that Golden Hill expected and should have expected that it would be compensated for the acceleration orders and the changes in soil conditions which amounted to the change in the Scope of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xml:space="preserve">  The parties never did negotiate a price for this changed Work and, accordingly, the Court must make a finding of what price likely would have been negotiated or, alternatively, that a term should be implied that a reasonable price would be paid: Constable Hart &amp; Co. Ltd. v. Peter Lind &amp; Co. Ltd. (1978), 9 Build. L.R. 4 (Eng. C.A.) and Tercon Contractors Ltd. v. British Columbia (Ministry of Transportation &amp; Highways), </w:t>
      </w:r>
      <w:hyperlink r:id="rId837" w:history="1">
        <w:r>
          <w:rPr>
            <w:rFonts w:ascii="arial" w:eastAsia="arial" w:hAnsi="arial" w:cs="arial"/>
            <w:i/>
            <w:color w:val="0077CC"/>
            <w:sz w:val="20"/>
            <w:u w:val="single"/>
            <w:shd w:val="clear" w:color="auto" w:fill="FFFFFF"/>
            <w:lang w:val="en-US" w:eastAsia="en-US" w:bidi="ar-SA"/>
          </w:rPr>
          <w:t>[1994] B.C.J. No. 1636</w:t>
        </w:r>
      </w:hyperlink>
      <w:r>
        <w:rPr>
          <w:rFonts w:ascii="arial" w:eastAsia="arial" w:hAnsi="arial" w:cs="arial"/>
          <w:color w:val="000000"/>
          <w:sz w:val="20"/>
          <w:lang w:val="en-US" w:eastAsia="en-US" w:bidi="ar-SA"/>
        </w:rPr>
        <w:t xml:space="preserve"> (B.C.S.C.).</w:t>
      </w:r>
      <w:r>
        <w:rPr>
          <w:rFonts w:ascii="arial" w:eastAsia="arial" w:hAnsi="arial" w:cs="arial"/>
          <w:sz w:val="20"/>
          <w:lang w:val="en-US" w:eastAsia="en-US" w:bidi="ar-SA"/>
        </w:rPr>
        <w:cr/>
      </w:r>
    </w:p>
    <w:p>
      <w:pPr>
        <w:numPr>
          <w:numId w:val="1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ALLEGED BREACHES OF CONTRACT AND TORTIOUS 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Golden Hill claims damages as a result of breaches of the actual and implied terms of the Contract as well as for misrepresentations and other tortious acts relating to: (a) the nature of the Work; (b) the suitability and adequacy of the soils sources; (c) the negligent misrepresentations of Mr. Rempel regarding the soil conditions; (d) the ability to mobilize by July 8; (e) the direction and control of the Work; (f) the failure to obtain permits in a timely manner; (g) the provision of appropriate, timely and sufficiently complete information both pre tender and post tender; (h) the timely designation of adequate Topsoil stockpiles, borrow pits and waste dumps; (i) the ability to suspend Work By Golden Hill; and (j) the duty of good faith and fair treatment.</w:t>
      </w:r>
      <w:r>
        <w:rPr>
          <w:rFonts w:ascii="arial" w:eastAsia="arial" w:hAnsi="arial" w:cs="arial"/>
          <w:sz w:val="20"/>
          <w:lang w:val="en-US" w:eastAsia="en-US" w:bidi="ar-SA"/>
        </w:rPr>
        <w:cr/>
      </w:r>
    </w:p>
    <w:p>
      <w:pPr>
        <w:numPr>
          <w:numId w:val="1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WORK</w:t>
      </w:r>
    </w:p>
    <w:p>
      <w:pPr>
        <w:numPr>
          <w:numId w:val="1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DUTY IS 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xml:space="preserve">  There was an implied duty on Kemess to ensure that the Tender Documents accurately reflected the nature of the Work and a duty of care imposed upon Kemess to see that the Tender Documents accomplished that: JJM Construction Ltd. v. Sandspit Harbour Society </w:t>
      </w:r>
      <w:hyperlink r:id="rId838" w:history="1">
        <w:r>
          <w:rPr>
            <w:rFonts w:ascii="arial" w:eastAsia="arial" w:hAnsi="arial" w:cs="arial"/>
            <w:i/>
            <w:color w:val="0077CC"/>
            <w:sz w:val="20"/>
            <w:u w:val="single"/>
            <w:shd w:val="clear" w:color="auto" w:fill="FFFFFF"/>
            <w:lang w:val="en-US" w:eastAsia="en-US" w:bidi="ar-SA"/>
          </w:rPr>
          <w:t>(1999), 71 B.C.L.R. (3d) 166</w:t>
        </w:r>
      </w:hyperlink>
      <w:r>
        <w:rPr>
          <w:rFonts w:ascii="arial" w:eastAsia="arial" w:hAnsi="arial" w:cs="arial"/>
          <w:color w:val="000000"/>
          <w:sz w:val="20"/>
          <w:lang w:val="en-US" w:eastAsia="en-US" w:bidi="ar-SA"/>
        </w:rPr>
        <w:t xml:space="preserve"> (B.C.C.A.). In that decision, Southin, J.A. stated on behalf of the Court: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Generally, the duty owed to bidders in the preparation of tender documents is to exercise reasonable care that the information presented reflects with reasonable accuracy the nature of the work and its factual components so as to enable the contractor to prepare a proper bid: Cardinal Construction Ltd. v. Brockville (City) </w:t>
      </w:r>
      <w:hyperlink r:id="rId824" w:history="1">
        <w:r>
          <w:rPr>
            <w:rFonts w:ascii="arial" w:eastAsia="arial" w:hAnsi="arial" w:cs="arial"/>
            <w:i/>
            <w:color w:val="0077CC"/>
            <w:sz w:val="20"/>
            <w:u w:val="single"/>
            <w:shd w:val="clear" w:color="auto" w:fill="FFFFFF"/>
            <w:lang w:val="en-US" w:eastAsia="en-US" w:bidi="ar-SA"/>
          </w:rPr>
          <w:t>(1984), 4 C.L.R. 149</w:t>
        </w:r>
      </w:hyperlink>
      <w:r>
        <w:rPr>
          <w:rFonts w:ascii="arial" w:eastAsia="arial" w:hAnsi="arial" w:cs="arial"/>
          <w:color w:val="000000"/>
          <w:sz w:val="20"/>
          <w:lang w:val="en-US" w:eastAsia="en-US" w:bidi="ar-SA"/>
        </w:rPr>
        <w:t xml:space="preserve"> at 162 (Ont. H.C.J.). (at para. 58).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I find that Kemess was negligent in failing to ensure that the nature of the Work was accurately described in the Tender Documents and that it was a negligent misrepresentation that the nature of the Work was accurately described in the Tender Documents. The Tender Documents did not accurately reflect the nature of the Work. Golden Hill relied on the information regarding the nature of the Work when determining its bid prices as there was no independent means of verifying the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Golden Hill had to accommodate completely unexpected soil conditions by changing its plan for the Work, the equipment required to handle the soils, and the order of the Work. As a result, the Work was substantially different than what was expected at the time of the Tender.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xml:space="preserve">  As evidence of a failure of Kemess to meet its duty of care to Golden Hill, I note that Mr. Koski of Kemess reviewed neither the Tender Documents before Kilborn issued them to bidders nor the Soils Data within the Tender Documents. Kemess must be taken to have had possession of the Site M Reports but did not take steps to make them available to bidders including Golden Hill. Kemess would also be vicariously liable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Kilborn as Mr. Collins was aware of the Site M Reports but did not include those Reports in the Tender Documents when Kilborn prepared them. Kemess did not exercise reasonable care to assure itself that the information contained in the Tender Documents reflected with reasonable accuracy the nature of the Work as it failed to review the Tender Documents and it failed to require the inclusion of all information that would be required by a reasonable contractor in the preparation of a proper bid.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As well, I am satisfied that the Tender Documents taken as a whole described a project which was primarily a Cut/Fill operation. The expectation of the quality of the materials in the design areas of the Site was such that a reasonably competent contractor would conclude that the material would be comprised of sufficiently granular material to build grade and to produce an excess of granular material to be stockpiled for other purposes. There was no indication that it would be a large Waste removal operation followed by an extensive "borrow to fill" or "borrow to stockpile granular"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340</w:t>
      </w:r>
      <w:r>
        <w:rPr>
          <w:rFonts w:ascii="arial" w:eastAsia="arial" w:hAnsi="arial" w:cs="arial"/>
          <w:color w:val="000000"/>
          <w:sz w:val="20"/>
          <w:lang w:val="en-US" w:eastAsia="en-US" w:bidi="ar-SA"/>
        </w:rPr>
        <w:t>  The provisions in the Tender Documents which define the scope of Work (including clause 2.2.4 which provides that cut to stockpile granular material was to be "from cut portions of the work") are inconsistent with anything other than a relatively balanced Cut/Fill operation. For instance, there is no pay item for "borrow to stockpile granular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341</w:t>
      </w:r>
      <w:r>
        <w:rPr>
          <w:rFonts w:ascii="arial" w:eastAsia="arial" w:hAnsi="arial" w:cs="arial"/>
          <w:color w:val="000000"/>
          <w:sz w:val="20"/>
          <w:lang w:val="en-US" w:eastAsia="en-US" w:bidi="ar-SA"/>
        </w:rPr>
        <w:t>  Kemess had to accept full responsibility for the cost of mobilizing Nuway personnel to the Site when Golden Hill could not locate a suitable source of aggregate for the Airstrip and the cost of searching for granular material both inside and outside the design limits. It paid Golden Hill for this cost without reservation. Mr. Rempel testified that work paid for on a "force account basis" was agreed to be outside the scope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342</w:t>
      </w:r>
      <w:r>
        <w:rPr>
          <w:rFonts w:ascii="arial" w:eastAsia="arial" w:hAnsi="arial" w:cs="arial"/>
          <w:color w:val="000000"/>
          <w:sz w:val="20"/>
          <w:lang w:val="en-US" w:eastAsia="en-US" w:bidi="ar-SA"/>
        </w:rPr>
        <w:t>  Mr. Lyons testified that Kemess paid Golden Hill to dig test pits at the Millsite because: "they were supposed to know where the gravel sources were and they weren't where they were supposed to be." That evidence was accepted without cross-examination and without calling contradictory evidence from Messrs. Rempel or Koski.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343</w:t>
      </w:r>
      <w:r>
        <w:rPr>
          <w:rFonts w:ascii="arial" w:eastAsia="arial" w:hAnsi="arial" w:cs="arial"/>
          <w:color w:val="000000"/>
          <w:sz w:val="20"/>
          <w:lang w:val="en-US" w:eastAsia="en-US" w:bidi="ar-SA"/>
        </w:rPr>
        <w:t>  I reject the argument of Kemess that Article VI excludes the implication of any representation that the Tender Documents would reasonably accurately reflect the nature of the Work. First, it cannot be said that the implied obligation to exercise reasonable care is something that arises from or can be implied from "...anything contained in the Contract Documents". Rather, the implied duty arises outside of the "Contract Documents". Second, Article VI purports to exclude the implied duty by the following phrase: "The express covenants and agreements contained herein made by the Owner shall be the only covenants and agreements upon which any rights against the Owner may be founded." I am satisfied that the use of the phrase "covenants and agreements" cannot be taken to include implied duties such as the implied duty to see that the Tender Documents accurately reflect the nature of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344</w:t>
      </w:r>
      <w:r>
        <w:rPr>
          <w:rFonts w:ascii="arial" w:eastAsia="arial" w:hAnsi="arial" w:cs="arial"/>
          <w:color w:val="000000"/>
          <w:sz w:val="20"/>
          <w:lang w:val="en-US" w:eastAsia="en-US" w:bidi="ar-SA"/>
        </w:rPr>
        <w:t>  The implied representation that the Tender Documents accurately reflect the nature of the Work is so fundamental to any bid that I am satisfied that Article VI does not contain the very specific language which would be required to exclude the duty of care which must by the very nature of the bid process be implied.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345</w:t>
      </w:r>
      <w:r>
        <w:rPr>
          <w:rFonts w:ascii="arial" w:eastAsia="arial" w:hAnsi="arial" w:cs="arial"/>
          <w:color w:val="000000"/>
          <w:sz w:val="20"/>
          <w:lang w:val="en-US" w:eastAsia="en-US" w:bidi="ar-SA"/>
        </w:rPr>
        <w:t>  The implied representation that the Tender Documents accurately reflected the nature of the Work was untrue and I find that Golden Hill reasonably relied on the representation to its detriment when it submitted its bid on the assumption that the Work would involve a relatively balanced Cut/Fill operation and that the Work was accurately described in the Tender Documents.</w:t>
      </w:r>
      <w:r>
        <w:rPr>
          <w:rFonts w:ascii="arial" w:eastAsia="arial" w:hAnsi="arial" w:cs="arial"/>
          <w:sz w:val="20"/>
          <w:lang w:val="en-US" w:eastAsia="en-US" w:bidi="ar-SA"/>
        </w:rPr>
        <w:cr/>
      </w:r>
    </w:p>
    <w:p>
      <w:pPr>
        <w:numPr>
          <w:numId w:val="1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SUITABILITY AND ADEQUACY OF THE SOILS SOURCES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346</w:t>
      </w:r>
      <w:r>
        <w:rPr>
          <w:rFonts w:ascii="arial" w:eastAsia="arial" w:hAnsi="arial" w:cs="arial"/>
          <w:color w:val="000000"/>
          <w:sz w:val="20"/>
          <w:lang w:val="en-US" w:eastAsia="en-US" w:bidi="ar-SA"/>
        </w:rPr>
        <w:t>  There was an implied term in the Contract that Kemess had taken the necessary steps to ensure that there were adequate sources of appropriate soils materials on the Site in appropriate locations to allow the Work to be completed generally in accordance with the terms of the Tender Documents. It was a further implied term that there would be suitable sources of appropriate soils materials to complete a balanced Cut/Fill design. There was also an implied representation that, unless specified otherwise, there would be adequate sources of soils that would be suitable for earthworks on the Site so that the Project would be based on a balanced Cut/Fill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347</w:t>
      </w:r>
      <w:r>
        <w:rPr>
          <w:rFonts w:ascii="arial" w:eastAsia="arial" w:hAnsi="arial" w:cs="arial"/>
          <w:color w:val="000000"/>
          <w:sz w:val="20"/>
          <w:lang w:val="en-US" w:eastAsia="en-US" w:bidi="ar-SA"/>
        </w:rPr>
        <w:t>  If the soils in the work areas were not suitable for earthworks and it was necessary to borrow alternative soils from other locations, the nature of the Work was changed fundamentally and Golden Hill was denied an unimpeded run at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348</w:t>
      </w:r>
      <w:r>
        <w:rPr>
          <w:rFonts w:ascii="arial" w:eastAsia="arial" w:hAnsi="arial" w:cs="arial"/>
          <w:color w:val="000000"/>
          <w:sz w:val="20"/>
          <w:lang w:val="en-US" w:eastAsia="en-US" w:bidi="ar-SA"/>
        </w:rPr>
        <w:t>  There are a number of terms of the Contract which implied that the C 101 Work would be a balanced Cut/Fill operation: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General Requirements, 2.2.4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Selectively excavate suitable material from the cut portions of the work and stockpile for granular fill and aggregate production.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General Requirements, 2.1.2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Contractor shall supply all material, equipment, supervision and labour for the production of crushed, screened and washed (as appropriate) granular materials for his own use and the use of others, and concrete aggregate for use by the concrete contractor, using materials selectively borrowed from on-site excavations.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349</w:t>
      </w:r>
      <w:r>
        <w:rPr>
          <w:rFonts w:ascii="arial" w:eastAsia="arial" w:hAnsi="arial" w:cs="arial"/>
          <w:color w:val="000000"/>
          <w:sz w:val="20"/>
          <w:lang w:val="en-US" w:eastAsia="en-US" w:bidi="ar-SA"/>
        </w:rPr>
        <w:t>  Clause 2.1.2 indicated to Mr. Rudolph that Golden Hill would be excavating appropriate granular material from the Site out of a Cut area and would be able to produce the necessary Granular A, Granular B and concrete aggregate materials from these excavations. Clause 2.2.4 indicated that Golden Hill would be able to take the suitable materials out of the excavation so that the material would be available to cut, stockpile and process into Granular A, Granular B or concrete aggregate and fill. The Kilborn and Vilholth Jensen's designs for the Millsite, the Mancamp, and Airstrip also show that a balanced Cut/Fill operation was expected.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350</w:t>
      </w:r>
      <w:r>
        <w:rPr>
          <w:rFonts w:ascii="arial" w:eastAsia="arial" w:hAnsi="arial" w:cs="arial"/>
          <w:color w:val="000000"/>
          <w:sz w:val="20"/>
          <w:lang w:val="en-US" w:eastAsia="en-US" w:bidi="ar-SA"/>
        </w:rPr>
        <w:t>  Mr. Rempel emphasized in his Examination for Discovery that the Project was designed to be a Cut/Fill operation as is shown in the following questions and answers:</w:t>
      </w:r>
      <w:r>
        <w:rPr>
          <w:rFonts w:ascii="arial" w:eastAsia="arial" w:hAnsi="arial" w:cs="arial"/>
          <w:sz w:val="20"/>
          <w:lang w:val="en-US" w:eastAsia="en-US" w:bidi="ar-SA"/>
        </w:rPr>
        <w:cr/>
      </w:r>
    </w:p>
    <w:p>
      <w:pPr>
        <w:numPr>
          <w:numId w:val="1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 when the project was designed or when the construction started, as part of the design was there a designation as to where all the various materials would come from for the earthworks?</w:t>
      </w:r>
    </w:p>
    <w:p>
      <w:pPr>
        <w:numPr>
          <w:numId w:val="1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numPr>
          <w:numId w:val="1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 where does that show up in the contract documents or the design? Is it on drawings?</w:t>
      </w:r>
    </w:p>
    <w:p>
      <w:pPr>
        <w:numPr>
          <w:numId w:val="1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material - it was a cut and fill situation.</w:t>
      </w:r>
    </w:p>
    <w:p>
      <w:pPr>
        <w:numPr>
          <w:numId w:val="1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Okay.</w:t>
      </w:r>
    </w:p>
    <w:p>
      <w:pPr>
        <w:numPr>
          <w:numId w:val="1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 naturally you would put your fill in the lower areas and -</w:t>
      </w:r>
    </w:p>
    <w:p>
      <w:pPr>
        <w:numPr>
          <w:numId w:val="1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Take it from the cut area?</w:t>
      </w:r>
    </w:p>
    <w:p>
      <w:pPr>
        <w:numPr>
          <w:numId w:val="1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take it from the cut area.</w:t>
      </w:r>
    </w:p>
    <w:p>
      <w:pPr>
        <w:numPr>
          <w:numId w:val="1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there particular borrow sources identified on the drawings?</w:t>
      </w:r>
    </w:p>
    <w:p>
      <w:pPr>
        <w:numPr>
          <w:numId w:val="1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designed at the Millsite that they were supposed to equal out.</w:t>
      </w:r>
    </w:p>
    <w:p>
      <w:pPr>
        <w:numPr>
          <w:numId w:val="1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Okay.</w:t>
      </w:r>
    </w:p>
    <w:p>
      <w:pPr>
        <w:numPr>
          <w:numId w:val="1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You would cut and fill.</w:t>
      </w:r>
    </w:p>
    <w:p>
      <w:pPr>
        <w:numPr>
          <w:numId w:val="1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 similarly for the airport?</w:t>
      </w:r>
    </w:p>
    <w:p>
      <w:pPr>
        <w:numPr>
          <w:numId w:val="1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Yes. As you see on those drawings.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351</w:t>
      </w:r>
      <w:r>
        <w:rPr>
          <w:rFonts w:ascii="arial" w:eastAsia="arial" w:hAnsi="arial" w:cs="arial"/>
          <w:color w:val="000000"/>
          <w:sz w:val="20"/>
          <w:lang w:val="en-US" w:eastAsia="en-US" w:bidi="ar-SA"/>
        </w:rPr>
        <w:t>  Mr. Quaile testified that it is customary in the industry to balance the cuts and fills in a project and this testimony was confirmed by the testimony of Messrs. Bilan, Nakai and Miller. As well, the "mass-haul" diagram prepared by PCL for the Airstrip included in the Tender Documents contained an express term that the operation would be very close to a balanced Cut/Fill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352</w:t>
      </w:r>
      <w:r>
        <w:rPr>
          <w:rFonts w:ascii="arial" w:eastAsia="arial" w:hAnsi="arial" w:cs="arial"/>
          <w:color w:val="000000"/>
          <w:sz w:val="20"/>
          <w:lang w:val="en-US" w:eastAsia="en-US" w:bidi="ar-SA"/>
        </w:rPr>
        <w:t>  The Vilholth Jensen design for the Airstrip was clearly a balanced design. The July 31 letter from Vilholth Jensen to Kemess (Mr. Koski) makes this clear: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our cut/fill estimate, only topsoil removal in the paved area is included in the equation with about 15,000 m3. If 40 cm of topsoil is to be removed and stroraged [sic] from the entire area, the volume would be substantially bigger, 60,000 to 70,000 m3, and the final elevation of the landing strip would have to be lowered to avoid requirements for imported fill.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353</w:t>
      </w:r>
      <w:r>
        <w:rPr>
          <w:rFonts w:ascii="arial" w:eastAsia="arial" w:hAnsi="arial" w:cs="arial"/>
          <w:color w:val="000000"/>
          <w:sz w:val="20"/>
          <w:lang w:val="en-US" w:eastAsia="en-US" w:bidi="ar-SA"/>
        </w:rPr>
        <w:t>  I find that it is fundamental to earthwork contracts that, in the absence of a project being designed as a borrow operation with designated borrow pits, a Cut/Fill operation will be used because it is customary in the industry for an owner to seek to use the most cost-effective method of building and a balanced cut/fill operation is that most cost-effective method. This method should be implied in the absence of provisions to the contrary.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354</w:t>
      </w:r>
      <w:r>
        <w:rPr>
          <w:rFonts w:ascii="arial" w:eastAsia="arial" w:hAnsi="arial" w:cs="arial"/>
          <w:color w:val="000000"/>
          <w:sz w:val="20"/>
          <w:lang w:val="en-US" w:eastAsia="en-US" w:bidi="ar-SA"/>
        </w:rPr>
        <w:t>  A balanced design does not require that there be exact balances of quantities, merely that the quantities of Fill and Cut be similar enough that the earthworks can be carried out in any particular area without the need of extensive importation from or exportation to locations of the particular project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355</w:t>
      </w:r>
      <w:r>
        <w:rPr>
          <w:rFonts w:ascii="arial" w:eastAsia="arial" w:hAnsi="arial" w:cs="arial"/>
          <w:color w:val="000000"/>
          <w:sz w:val="20"/>
          <w:lang w:val="en-US" w:eastAsia="en-US" w:bidi="ar-SA"/>
        </w:rPr>
        <w:t>  The obligation of a contractor to inform itself regarding site conditions does not preclude a claim in relation to un-anticipated conditions where the owner failed to provide the contractor with a true and practical opportunity to satisfy this obligation or where the owner failed to make full disclosure of all available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356</w:t>
      </w:r>
      <w:r>
        <w:rPr>
          <w:rFonts w:ascii="arial" w:eastAsia="arial" w:hAnsi="arial" w:cs="arial"/>
          <w:color w:val="000000"/>
          <w:sz w:val="20"/>
          <w:lang w:val="en-US" w:eastAsia="en-US" w:bidi="ar-SA"/>
        </w:rPr>
        <w:t xml:space="preserve">  Kemess submits that, where a contract places responsibility for ascertaining soil conditions on a contractor and even where it does not stipulate the quantities of material to be removed and replaced, the contractor assumes the risk that the amounts are more or less than forecast: Bruce Butler (1974) Ltd. v. Bonavista Peninsula Interfaith Senior Citizens' Foundation </w:t>
      </w:r>
      <w:hyperlink r:id="rId839" w:history="1">
        <w:r>
          <w:rPr>
            <w:rFonts w:ascii="arial" w:eastAsia="arial" w:hAnsi="arial" w:cs="arial"/>
            <w:i/>
            <w:color w:val="0077CC"/>
            <w:sz w:val="20"/>
            <w:u w:val="single"/>
            <w:shd w:val="clear" w:color="auto" w:fill="FFFFFF"/>
            <w:lang w:val="en-US" w:eastAsia="en-US" w:bidi="ar-SA"/>
          </w:rPr>
          <w:t>(1989), 37 C.L.R. 205</w:t>
        </w:r>
      </w:hyperlink>
      <w:r>
        <w:rPr>
          <w:rFonts w:ascii="arial" w:eastAsia="arial" w:hAnsi="arial" w:cs="arial"/>
          <w:color w:val="000000"/>
          <w:sz w:val="20"/>
          <w:lang w:val="en-US" w:eastAsia="en-US" w:bidi="ar-SA"/>
        </w:rPr>
        <w:t xml:space="preserve"> (Nfld. S.C.) In that case, the court held that, in light of the contract terms placing the risk of adverse soil conditions on the contractor, the contractor took the risk even though "it was virtually impossible to accurately forecast the quantity of materials to be removed or placed" and that any forecast "was likely to be too high or too low" (at p. 208).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357</w:t>
      </w:r>
      <w:r>
        <w:rPr>
          <w:rFonts w:ascii="arial" w:eastAsia="arial" w:hAnsi="arial" w:cs="arial"/>
          <w:color w:val="000000"/>
          <w:sz w:val="20"/>
          <w:lang w:val="en-US" w:eastAsia="en-US" w:bidi="ar-SA"/>
        </w:rPr>
        <w:t>  I am satisfied that the Bruce Butler decision must be distinguished. The claim of Golden Hill does not relate merely to the fact that the quantities varied from what it had estimated but primarily to the fact that, as a result of misrepresentations, breaches of contract, and other tortious acts, the quantities were significantly different than what was anticipated by Golden Hill and those quantities had to be moved under much more difficult and costly conditions. As well, a site familiarization clause such as GC 12.0 does not protect an owner where it fails to give a true and practical opportunity to fulfill the clause or where it withholds information from the contractor.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358</w:t>
      </w:r>
      <w:r>
        <w:rPr>
          <w:rFonts w:ascii="arial" w:eastAsia="arial" w:hAnsi="arial" w:cs="arial"/>
          <w:color w:val="000000"/>
          <w:sz w:val="20"/>
          <w:lang w:val="en-US" w:eastAsia="en-US" w:bidi="ar-SA"/>
        </w:rPr>
        <w:t xml:space="preserve">  Kemess also relies on the decision in Dexter Construction Co. v. Canada (Minister of Public Works) </w:t>
      </w:r>
      <w:hyperlink r:id="rId840" w:history="1">
        <w:r>
          <w:rPr>
            <w:rFonts w:ascii="arial" w:eastAsia="arial" w:hAnsi="arial" w:cs="arial"/>
            <w:i/>
            <w:color w:val="0077CC"/>
            <w:sz w:val="20"/>
            <w:u w:val="single"/>
            <w:shd w:val="clear" w:color="auto" w:fill="FFFFFF"/>
            <w:lang w:val="en-US" w:eastAsia="en-US" w:bidi="ar-SA"/>
          </w:rPr>
          <w:t>(1987), 29 C.L.R. 124</w:t>
        </w:r>
      </w:hyperlink>
      <w:r>
        <w:rPr>
          <w:rFonts w:ascii="arial" w:eastAsia="arial" w:hAnsi="arial" w:cs="arial"/>
          <w:color w:val="000000"/>
          <w:sz w:val="20"/>
          <w:lang w:val="en-US" w:eastAsia="en-US" w:bidi="ar-SA"/>
        </w:rPr>
        <w:t xml:space="preserve"> (F.C.T.D.), where the tender for a unit price contract for the reconstruction of road contained estimates of overall quantities. There was a provision that the contractor would be entitled to a new unit price after a certain excess quantity had been achieved. The estimated quantity for borrow also noted that the quantity estimated depended on the suitability of what was cut. The court refused the claim of the plaintiff that it relied upon the quantity set out in the tender when it prepared its tender prices with the court concluding;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one hand the Defendant specified that if the excavated materials were suitable they would have to be used as fill and thus hold from the front end to the back end of the project. On the other hand, the Defendant warned that if the excavation materials were not suitable for road building purposes they would have to be wasted and replaced by borrow and furthermore that borrow replacement might involve significant amounts.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case there was no representation in the documents which the Plaintiff was given by the Defendant, prior to tendering on the contract, that all or any specified percentage of the excavated material could be used as fill. True, the estimated quantities of borrow contained in the document which the Plaintiff did have indicated only 77,000 cubic metres were required when in fact 177,000 cubic metres were required for the project, but the Plaintiff had been specifically warned that significant quantities of excavated material might have to be replaced by a borrow if the excavated material proved to be unsatisfactory for fill. (p. 136).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359</w:t>
      </w:r>
      <w:r>
        <w:rPr>
          <w:rFonts w:ascii="arial" w:eastAsia="arial" w:hAnsi="arial" w:cs="arial"/>
          <w:color w:val="000000"/>
          <w:sz w:val="20"/>
          <w:lang w:val="en-US" w:eastAsia="en-US" w:bidi="ar-SA"/>
        </w:rPr>
        <w:t>  It must be noted that there could be no implied term with respect to the suitability of materials in that case because there was an express warning in the contract that, depending on the suitability of excavated material at the time of construction, "it may be necessary to replace a significant amount of unsuitable excavation material with a borrow". As well, Borrow sources had been identified and were available for viewing on the site visit. Neither was present in this tender.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360</w:t>
      </w:r>
      <w:r>
        <w:rPr>
          <w:rFonts w:ascii="arial" w:eastAsia="arial" w:hAnsi="arial" w:cs="arial"/>
          <w:color w:val="000000"/>
          <w:sz w:val="20"/>
          <w:lang w:val="en-US" w:eastAsia="en-US" w:bidi="ar-SA"/>
        </w:rPr>
        <w:t xml:space="preserve">  Kemess also relies on the decision in JJM Construction Ltd. v. Sandspit Harbour Society </w:t>
      </w:r>
      <w:hyperlink r:id="rId841" w:history="1">
        <w:r>
          <w:rPr>
            <w:rFonts w:ascii="arial" w:eastAsia="arial" w:hAnsi="arial" w:cs="arial"/>
            <w:i/>
            <w:color w:val="0077CC"/>
            <w:sz w:val="20"/>
            <w:u w:val="single"/>
            <w:shd w:val="clear" w:color="auto" w:fill="FFFFFF"/>
            <w:lang w:val="en-US" w:eastAsia="en-US" w:bidi="ar-SA"/>
          </w:rPr>
          <w:t>(1998), 38 C.L.R. (2d) 179</w:t>
        </w:r>
      </w:hyperlink>
      <w:r>
        <w:rPr>
          <w:rFonts w:ascii="arial" w:eastAsia="arial" w:hAnsi="arial" w:cs="arial"/>
          <w:color w:val="000000"/>
          <w:sz w:val="20"/>
          <w:lang w:val="en-US" w:eastAsia="en-US" w:bidi="ar-SA"/>
        </w:rPr>
        <w:t xml:space="preserve"> (B.C.S.C.), which dealt with the construction of a breakwater. The tender package referred to two potential rock sources close to the construction site although there was also a clause requiring potential bidders to inform themselves with respect to the materials they would be required to supply. After commencing the project, the plaintiff discovered that the local quarry was not able to provide most of the required stone so it was necessary to use replacement stone from Alaska at a significant premium.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361</w:t>
      </w:r>
      <w:r>
        <w:rPr>
          <w:rFonts w:ascii="arial" w:eastAsia="arial" w:hAnsi="arial" w:cs="arial"/>
          <w:color w:val="000000"/>
          <w:sz w:val="20"/>
          <w:lang w:val="en-US" w:eastAsia="en-US" w:bidi="ar-SA"/>
        </w:rPr>
        <w:t>  The trial judge rejected the plaintiff's claim that, by inviting bids on tender documents, the defendant represented that the rock required to build the breakwater was available: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supply of materials, like labour and equipment, must, as a general proposition, be the exclusive purview of the contractor...In the normal course, the contractor makes a determination of the source or sources from which, if any, the material for a project, in this case the rock, can be obtained to meet the specifications, and what it will cost. (p. 195)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362</w:t>
      </w:r>
      <w:r>
        <w:rPr>
          <w:rFonts w:ascii="arial" w:eastAsia="arial" w:hAnsi="arial" w:cs="arial"/>
          <w:color w:val="000000"/>
          <w:sz w:val="20"/>
          <w:lang w:val="en-US" w:eastAsia="en-US" w:bidi="ar-SA"/>
        </w:rPr>
        <w:t>  On appeal, Southin, J.A. declined to comment on the conclusions of the trial judge that, in inviting bids, an owner does not assume responsibility for the availability of the materials required for the projects.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363</w:t>
      </w:r>
      <w:r>
        <w:rPr>
          <w:rFonts w:ascii="arial" w:eastAsia="arial" w:hAnsi="arial" w:cs="arial"/>
          <w:color w:val="000000"/>
          <w:sz w:val="20"/>
          <w:lang w:val="en-US" w:eastAsia="en-US" w:bidi="ar-SA"/>
        </w:rPr>
        <w:t>  I am satisfied that this decision is also distinguishable. First, the materials to be used in the breakwater were available for viewing at the quarry. Second, the construction of a breakwater is clearly not a Cut/Fill operation but is strictly a borrow operation. Third, it was not intended by any of the bidders or by Kemess that this Project would be a waste and borrow operation as the expected large deposits of granular material indicated otherwise. It should also be noted that the court did recognize a duty by the owner to ensure that the information presented in the Tender Documents reflected with reasonable accuracy the nature of the work and its factual components so as to enable the contractor to prepare a proper bid.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364</w:t>
      </w:r>
      <w:r>
        <w:rPr>
          <w:rFonts w:ascii="arial" w:eastAsia="arial" w:hAnsi="arial" w:cs="arial"/>
          <w:color w:val="000000"/>
          <w:sz w:val="20"/>
          <w:lang w:val="en-US" w:eastAsia="en-US" w:bidi="ar-SA"/>
        </w:rPr>
        <w:t>  I find that there were implied terms that there would be adequate sources of soils on the Site that would be suitable for earthworks and that there would be a balanced Cut/Fill design. One of the reasons that these terms must be implied is that the Mancamp and Airstrip were inaccessible and Golden Hill was not provided with adequate time to complete a full soils investigation on the Site generally. Golden Hill had to rely on the express representation in the mass-haul diagram in the Tender Documents that Kemess would use a balanced Cut/Fill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365</w:t>
      </w:r>
      <w:r>
        <w:rPr>
          <w:rFonts w:ascii="arial" w:eastAsia="arial" w:hAnsi="arial" w:cs="arial"/>
          <w:color w:val="000000"/>
          <w:sz w:val="20"/>
          <w:lang w:val="en-US" w:eastAsia="en-US" w:bidi="ar-SA"/>
        </w:rPr>
        <w:t>  In fact, the Work did not proceed as a balanced Cut/Fill design as it was necessary to do extensive borrowing from areas that were a significant distance from the areas being worked upon because the soils at the Airstrip and parts of the Millsite were completely inappropriate for earthworks.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366</w:t>
      </w:r>
      <w:r>
        <w:rPr>
          <w:rFonts w:ascii="arial" w:eastAsia="arial" w:hAnsi="arial" w:cs="arial"/>
          <w:color w:val="000000"/>
          <w:sz w:val="20"/>
          <w:lang w:val="en-US" w:eastAsia="en-US" w:bidi="ar-SA"/>
        </w:rPr>
        <w:t xml:space="preserve">  If it had known that the Project would not be a balanced Cut/Fill operation, I find that Golden Hill would have bid the Project differently so that it has suffered damages as a result of relying on the implied representation and because of the breach of the implied term. A similar situation was faced in Opron Construction Co. v. Alberta </w:t>
      </w:r>
      <w:hyperlink r:id="rId826" w:history="1">
        <w:r>
          <w:rPr>
            <w:rFonts w:ascii="arial" w:eastAsia="arial" w:hAnsi="arial" w:cs="arial"/>
            <w:i/>
            <w:color w:val="0077CC"/>
            <w:sz w:val="20"/>
            <w:u w:val="single"/>
            <w:shd w:val="clear" w:color="auto" w:fill="FFFFFF"/>
            <w:lang w:val="en-US" w:eastAsia="en-US" w:bidi="ar-SA"/>
          </w:rPr>
          <w:t>(1994), 14 C.L.R. (2d) 97</w:t>
        </w:r>
      </w:hyperlink>
      <w:r>
        <w:rPr>
          <w:rFonts w:ascii="arial" w:eastAsia="arial" w:hAnsi="arial" w:cs="arial"/>
          <w:color w:val="000000"/>
          <w:sz w:val="20"/>
          <w:lang w:val="en-US" w:eastAsia="en-US" w:bidi="ar-SA"/>
        </w:rPr>
        <w:t xml:space="preserve"> (Alta. Q.B.) where the soil conditions were also not suitable for the contractor's operation. The soils materials encountered were such that the method of construction had to be altered from a conventional scraper operation to a more expensive and slower backhoe/scraper/truck operation so that production was substantially disrupted and delayed. In that case, it was also necessary for backup equipment to be brought onto the site to deal with the poorer materials. In those circumstances, damages were available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367</w:t>
      </w:r>
      <w:r>
        <w:rPr>
          <w:rFonts w:ascii="arial" w:eastAsia="arial" w:hAnsi="arial" w:cs="arial"/>
          <w:color w:val="000000"/>
          <w:sz w:val="20"/>
          <w:lang w:val="en-US" w:eastAsia="en-US" w:bidi="ar-SA"/>
        </w:rPr>
        <w:t>  The Airstrip changed from the more or less balanced Cut/Fill operation set out in the PCL design quantities in the mass-haul diagram to an importation of material job. Golden Hill was paid on a "force account basis" for many days in September to search the Site for a source of good granular material from which the Airstrip could be built. Ultimately a source for that material was found several kilometres away from the Airstrip.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368</w:t>
      </w:r>
      <w:r>
        <w:rPr>
          <w:rFonts w:ascii="arial" w:eastAsia="arial" w:hAnsi="arial" w:cs="arial"/>
          <w:color w:val="000000"/>
          <w:sz w:val="20"/>
          <w:lang w:val="en-US" w:eastAsia="en-US" w:bidi="ar-SA"/>
        </w:rPr>
        <w:t>  At the Millsite, a large amount of Waste had to be hauled away to dumps. As a result, the Work became unbalanced which required more unsuitable soils to be disposed of in very small dumps causing productivity problems and also required a large source of suitable materials.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369</w:t>
      </w:r>
      <w:r>
        <w:rPr>
          <w:rFonts w:ascii="arial" w:eastAsia="arial" w:hAnsi="arial" w:cs="arial"/>
          <w:color w:val="000000"/>
          <w:sz w:val="20"/>
          <w:lang w:val="en-US" w:eastAsia="en-US" w:bidi="ar-SA"/>
        </w:rPr>
        <w:t>  Kemess breached the implied term that there would be adequate sources of appropriate soils for a relatively balanced Cut/Fill operation. I am satisfied that the term must be implied as it is a necessary condition to the contractual relationship between an owner and a contractor where the operation is clearly not described as a large Waste or a large Borrow operation. I am satisfied that such an implied representation could not be excluded by the provisions of Article VI or by GC 12.0.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370</w:t>
      </w:r>
      <w:r>
        <w:rPr>
          <w:rFonts w:ascii="arial" w:eastAsia="arial" w:hAnsi="arial" w:cs="arial"/>
          <w:color w:val="000000"/>
          <w:sz w:val="20"/>
          <w:lang w:val="en-US" w:eastAsia="en-US" w:bidi="ar-SA"/>
        </w:rPr>
        <w:t>  Golden Hill was entitled to rely and did rely on the implied representation that the soils would be appropriate for earthworks and that there would be adequate sources of appropriate soils despite any exclusion clauses as they were not provided access to the Mancamp, large areas of the Millsite, and the Airstrip nor were they provided with adequate time to complete a full soils investigation.</w:t>
      </w:r>
      <w:r>
        <w:rPr>
          <w:rFonts w:ascii="arial" w:eastAsia="arial" w:hAnsi="arial" w:cs="arial"/>
          <w:sz w:val="20"/>
          <w:lang w:val="en-US" w:eastAsia="en-US" w:bidi="ar-SA"/>
        </w:rPr>
        <w:cr/>
      </w:r>
    </w:p>
    <w:p>
      <w:pPr>
        <w:numPr>
          <w:numId w:val="1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NEGLIGENT MISREPRESENTATIONS OF MR. REMPEL REGARDING THE SOIL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371</w:t>
      </w:r>
      <w:r>
        <w:rPr>
          <w:rFonts w:ascii="arial" w:eastAsia="arial" w:hAnsi="arial" w:cs="arial"/>
          <w:color w:val="000000"/>
          <w:sz w:val="20"/>
          <w:lang w:val="en-US" w:eastAsia="en-US" w:bidi="ar-SA"/>
        </w:rPr>
        <w:t>  A number of issues are raised regarding the representation made by Mr. Rempel regarding the anticipated soil at the Millsite, the Mancamp, and the Airstrip.</w:t>
      </w:r>
      <w:r>
        <w:rPr>
          <w:rFonts w:ascii="arial" w:eastAsia="arial" w:hAnsi="arial" w:cs="arial"/>
          <w:sz w:val="20"/>
          <w:lang w:val="en-US" w:eastAsia="en-US" w:bidi="ar-SA"/>
        </w:rPr>
        <w:cr/>
      </w:r>
    </w:p>
    <w:p>
      <w:pPr>
        <w:numPr>
          <w:numId w:val="1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OPINION CANNOT PRODUCE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372</w:t>
      </w:r>
      <w:r>
        <w:rPr>
          <w:rFonts w:ascii="arial" w:eastAsia="arial" w:hAnsi="arial" w:cs="arial"/>
          <w:color w:val="000000"/>
          <w:sz w:val="20"/>
          <w:lang w:val="en-US" w:eastAsia="en-US" w:bidi="ar-SA"/>
        </w:rPr>
        <w:t>  Kemess submits that the statements of Mr. Rempel that there were good granular soils at the Millsite, the Mancamp and the Airstrip cannot found liability for misrepresentation as what was said was merely a statement of opinion. In this regard, Kemess relies on the following statements of law:</w:t>
      </w:r>
      <w:r>
        <w:rPr>
          <w:rFonts w:ascii="arial" w:eastAsia="arial" w:hAnsi="arial" w:cs="arial"/>
          <w:sz w:val="20"/>
          <w:lang w:val="en-US" w:eastAsia="en-US" w:bidi="ar-SA"/>
        </w:rPr>
        <w:cr/>
      </w:r>
    </w:p>
    <w:p>
      <w:pPr>
        <w:numPr>
          <w:numId w:val="1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what is expressed is simply an opinion, the words expressed must be incorporated into a contract before it can be actionable: Andronyk v. Williams </w:t>
      </w:r>
      <w:hyperlink r:id="rId842" w:history="1">
        <w:r>
          <w:rPr>
            <w:rFonts w:ascii="arial" w:eastAsia="arial" w:hAnsi="arial" w:cs="arial"/>
            <w:i/>
            <w:color w:val="0077CC"/>
            <w:sz w:val="20"/>
            <w:u w:val="single"/>
            <w:shd w:val="clear" w:color="auto" w:fill="FFFFFF"/>
            <w:lang w:val="en-US" w:eastAsia="en-US" w:bidi="ar-SA"/>
          </w:rPr>
          <w:t>(1985), 21 D.L.R. (4th) 557</w:t>
        </w:r>
      </w:hyperlink>
      <w:r>
        <w:rPr>
          <w:rFonts w:ascii="arial" w:eastAsia="arial" w:hAnsi="arial" w:cs="arial"/>
          <w:color w:val="000000"/>
          <w:sz w:val="20"/>
          <w:lang w:val="en-US" w:eastAsia="en-US" w:bidi="ar-SA"/>
        </w:rPr>
        <w:t xml:space="preserve"> (Man. C.A.) at p. 567;</w:t>
      </w:r>
    </w:p>
    <w:p>
      <w:pPr>
        <w:numPr>
          <w:numId w:val="1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not negligent merely to hold one reasonable opinion simply because that opinion proves to be wrong: Power Contracting Inc. v. Falby </w:t>
      </w:r>
      <w:hyperlink r:id="rId843" w:history="1">
        <w:r>
          <w:rPr>
            <w:rFonts w:ascii="arial" w:eastAsia="arial" w:hAnsi="arial" w:cs="arial"/>
            <w:i/>
            <w:color w:val="0077CC"/>
            <w:sz w:val="20"/>
            <w:u w:val="single"/>
            <w:shd w:val="clear" w:color="auto" w:fill="FFFFFF"/>
            <w:lang w:val="en-US" w:eastAsia="en-US" w:bidi="ar-SA"/>
          </w:rPr>
          <w:t>(1995), 20 C.L.R. (2d) 100</w:t>
        </w:r>
      </w:hyperlink>
      <w:r>
        <w:rPr>
          <w:rFonts w:ascii="arial" w:eastAsia="arial" w:hAnsi="arial" w:cs="arial"/>
          <w:color w:val="000000"/>
          <w:sz w:val="20"/>
          <w:lang w:val="en-US" w:eastAsia="en-US" w:bidi="ar-SA"/>
        </w:rPr>
        <w:t xml:space="preserve"> (Ont. C.J.) at p. 108.</w:t>
      </w:r>
    </w:p>
    <w:p>
      <w:pPr>
        <w:numPr>
          <w:numId w:val="1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representation which is vague and indefinite in its nature and terms was merely a conjectural or exaggerated statement and cannot be relied on: Hinchey v. Gonda, </w:t>
      </w:r>
      <w:hyperlink r:id="rId844" w:history="1">
        <w:r>
          <w:rPr>
            <w:rFonts w:ascii="arial" w:eastAsia="arial" w:hAnsi="arial" w:cs="arial"/>
            <w:i/>
            <w:color w:val="0077CC"/>
            <w:sz w:val="20"/>
            <w:u w:val="single"/>
            <w:shd w:val="clear" w:color="auto" w:fill="FFFFFF"/>
            <w:lang w:val="en-US" w:eastAsia="en-US" w:bidi="ar-SA"/>
          </w:rPr>
          <w:t>[1955] O.W.N. 125</w:t>
        </w:r>
      </w:hyperlink>
      <w:r>
        <w:rPr>
          <w:rFonts w:ascii="arial" w:eastAsia="arial" w:hAnsi="arial" w:cs="arial"/>
          <w:color w:val="000000"/>
          <w:sz w:val="20"/>
          <w:lang w:val="en-US" w:eastAsia="en-US" w:bidi="ar-SA"/>
        </w:rPr>
        <w:t xml:space="preserve"> (Ont. H.C.J.) at p. 128;</w:t>
      </w:r>
    </w:p>
    <w:p>
      <w:pPr>
        <w:numPr>
          <w:numId w:val="1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person makes a statement of opinion or belief it is simply a representation that he has such an opinion or belief. In order for such a statement to be actionable, it is necessary to prove the non-existence of the opinion or belief rather than merely its incorrectness: Halsbury's Laws of England (4th) Vol. 31 "Misrepresentations" at para. 709";</w:t>
      </w:r>
    </w:p>
    <w:p>
      <w:pPr>
        <w:numPr>
          <w:numId w:val="1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facts were equally known to both parties, false opinion, expressed by the representator does not give a cause for complaint to the other as the parties are assumed to be competent to draw their own conclusions: Fleming, The Law of Torts, 7th ed. (The Law Book Company Limited, 1987) at p. 600.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373</w:t>
      </w:r>
      <w:r>
        <w:rPr>
          <w:rFonts w:ascii="arial" w:eastAsia="arial" w:hAnsi="arial" w:cs="arial"/>
          <w:color w:val="000000"/>
          <w:sz w:val="20"/>
          <w:lang w:val="en-US" w:eastAsia="en-US" w:bidi="ar-SA"/>
        </w:rPr>
        <w:t>  Kemess submits that Mr. Rempel did not present himself as having any special knowledge or skill and, in particular, he did not tell Golden Hill that he was privy to any information other than what Golden Hill had been given. He did not present himself as a geotechnical engineer or as having any special training in soils. Kemess submits that Mr. Rempel made it known that he did not have any special knowledge or skill as he told Mr. Rudolph that he had only been recently hired and, as to the Airstrip, he indicated that as far as he was aware there was no soils information relating to the Airstrip.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374</w:t>
      </w:r>
      <w:r>
        <w:rPr>
          <w:rFonts w:ascii="arial" w:eastAsia="arial" w:hAnsi="arial" w:cs="arial"/>
          <w:color w:val="000000"/>
          <w:sz w:val="20"/>
          <w:lang w:val="en-US" w:eastAsia="en-US" w:bidi="ar-SA"/>
        </w:rPr>
        <w:t xml:space="preserve">  I cannot accede to this submission of Kemess. If the facts are not equally known to both sides, a statement of opinion by a person who is in a better position to know the facts or has a greater means of knowledge can constitute a misrepresentation: Rasch v. Horne, </w:t>
      </w:r>
      <w:hyperlink r:id="rId845" w:history="1">
        <w:r>
          <w:rPr>
            <w:rFonts w:ascii="arial" w:eastAsia="arial" w:hAnsi="arial" w:cs="arial"/>
            <w:i/>
            <w:color w:val="0077CC"/>
            <w:sz w:val="20"/>
            <w:u w:val="single"/>
            <w:shd w:val="clear" w:color="auto" w:fill="FFFFFF"/>
            <w:lang w:val="en-US" w:eastAsia="en-US" w:bidi="ar-SA"/>
          </w:rPr>
          <w:t>[1930] 1 W.W.R. 816</w:t>
        </w:r>
      </w:hyperlink>
      <w:r>
        <w:rPr>
          <w:rFonts w:ascii="arial" w:eastAsia="arial" w:hAnsi="arial" w:cs="arial"/>
          <w:color w:val="000000"/>
          <w:sz w:val="20"/>
          <w:lang w:val="en-US" w:eastAsia="en-US" w:bidi="ar-SA"/>
        </w:rPr>
        <w:t xml:space="preserve"> (Man. C.A.) as approved in Miller v. Edelweiss International Franchise Corp., </w:t>
      </w:r>
      <w:hyperlink r:id="rId846" w:history="1">
        <w:r>
          <w:rPr>
            <w:rFonts w:ascii="arial" w:eastAsia="arial" w:hAnsi="arial" w:cs="arial"/>
            <w:i/>
            <w:color w:val="0077CC"/>
            <w:sz w:val="20"/>
            <w:u w:val="single"/>
            <w:shd w:val="clear" w:color="auto" w:fill="FFFFFF"/>
            <w:lang w:val="en-US" w:eastAsia="en-US" w:bidi="ar-SA"/>
          </w:rPr>
          <w:t>[1996] B.C.J. No. 1224</w:t>
        </w:r>
      </w:hyperlink>
      <w:r>
        <w:rPr>
          <w:rFonts w:ascii="arial" w:eastAsia="arial" w:hAnsi="arial" w:cs="arial"/>
          <w:color w:val="000000"/>
          <w:sz w:val="20"/>
          <w:lang w:val="en-US" w:eastAsia="en-US" w:bidi="ar-SA"/>
        </w:rPr>
        <w:t xml:space="preserve"> (B.C.S.C.). In Rasch,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element to be considered in ascertaining whether any unfounded representation is open to redress in any form is the means of knowledge of the parties involved. If it is on a subject peculiarly within the knowledge of the party making the representation and be relied on by the other party, it may well be held to be legally cognizable, but where the facts are available to the other party and not only so but he applies or might apply unrestricted means of inquiry, and is not induced to withhold inquiry, the alleged representation is probably no more than dealers' talk in which each party from his own standpoint of buyer or seller usually indulges. (at. p. 820)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375</w:t>
      </w:r>
      <w:r>
        <w:rPr>
          <w:rFonts w:ascii="arial" w:eastAsia="arial" w:hAnsi="arial" w:cs="arial"/>
          <w:color w:val="000000"/>
          <w:sz w:val="20"/>
          <w:lang w:val="en-US" w:eastAsia="en-US" w:bidi="ar-SA"/>
        </w:rPr>
        <w:t>  Similarly, in Smith v. Land and House Property Corporation (1884), 28 Ch.D.7 (C.A.) a statement of opinion that the tenant of a property to be sold was "a most desirable tenant" was found to be a misrepresentation of fact even though it was clearly a statement of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material to observe that it is often fallaciously assumed that a statement of opinion cannot involve the statement of a fact. In a case where the facts are equally well known to both parties, what one of them say to the other is frequently nothing but an expression of opinion. The statement of such opinion is in a sense a statement of a fact, about the condition of the man's own mind, but only of an irrelevant fact, for it is of no consequence what the opinion is. But if the facts are not equally known to both sides, then a statement of opinion by the one who knows the facts best involves very often a statement of a material fact, for he impliedly states that he knows facts which justify his opinion. (at p.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376</w:t>
      </w:r>
      <w:r>
        <w:rPr>
          <w:rFonts w:ascii="arial" w:eastAsia="arial" w:hAnsi="arial" w:cs="arial"/>
          <w:color w:val="000000"/>
          <w:sz w:val="20"/>
          <w:lang w:val="en-US" w:eastAsia="en-US" w:bidi="ar-SA"/>
        </w:rPr>
        <w:t>  Similarly, Lord Denning in Esso Petroleum Co. Ltd. v. Mardon, [1976] 2 All. E.R. 5 (C.A.) stated that a representation made by a party possessing knowledge of facts should be held as a warranty: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They know the facts. They knew the traffic in the town. They knew of the throughput of comparable stations. They had must experience and expertise at their disposal. They were in a much better position than Mr. Mardon to make a forecast. It seems to me that if such a person makes a forecast - intending that the other should act on it and he does act on it - it can well be interpreted as a warranty that the forecast is sound and reliable in this sense that they made it with reasonable care and skill. (at p.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377</w:t>
      </w:r>
      <w:r>
        <w:rPr>
          <w:rFonts w:ascii="arial" w:eastAsia="arial" w:hAnsi="arial" w:cs="arial"/>
          <w:color w:val="000000"/>
          <w:sz w:val="20"/>
          <w:lang w:val="en-US" w:eastAsia="en-US" w:bidi="ar-SA"/>
        </w:rPr>
        <w:t>  The Site Visit was suggested, bidders were directed to ask questions of the representative of Kemess, Mr. Rempel was at the Site for that purpose and, even if Mr. Rempel's statements were meant to be only an opinion, he was much more familiar with the Site and what would be found at the Site than were any of the Golden Hill visitors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378</w:t>
      </w:r>
      <w:r>
        <w:rPr>
          <w:rFonts w:ascii="arial" w:eastAsia="arial" w:hAnsi="arial" w:cs="arial"/>
          <w:color w:val="000000"/>
          <w:sz w:val="20"/>
          <w:lang w:val="en-US" w:eastAsia="en-US" w:bidi="ar-SA"/>
        </w:rPr>
        <w:t>  The following matters allow me to conclude that Mr. Rempel was privy to further or specific information that Golden Hill did not have. First, Mr. Rempel was aware that he would be on Site as the senior site representative of Kemess for the purpose of answering questions. Second, in preparation for the visits, Mr. Rempel reviewed the Soils Data Package and/or the Knight Piésold geotechnical report during his visit with Kilborn in May of 1996 and spent approximately 4-5 days reviewing documents about the Project. Third, Mr. Rempel reviewed documents at the Knight Piésold office and flew over the Site several times in order to get a superior knowledge of the Site. Fourth, Mr. Rempel had discussions with engineers at Kilborn regarding the soils conditions and what could be expected at the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379</w:t>
      </w:r>
      <w:r>
        <w:rPr>
          <w:rFonts w:ascii="arial" w:eastAsia="arial" w:hAnsi="arial" w:cs="arial"/>
          <w:color w:val="000000"/>
          <w:sz w:val="20"/>
          <w:lang w:val="en-US" w:eastAsia="en-US" w:bidi="ar-SA"/>
        </w:rPr>
        <w:t>  Even if the statements made by Mr. Rempel can be characterized as opinions, they constitute actionable misrepresentations.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380</w:t>
      </w:r>
      <w:r>
        <w:rPr>
          <w:rFonts w:ascii="arial" w:eastAsia="arial" w:hAnsi="arial" w:cs="arial"/>
          <w:color w:val="000000"/>
          <w:sz w:val="20"/>
          <w:lang w:val="en-US" w:eastAsia="en-US" w:bidi="ar-SA"/>
        </w:rPr>
        <w:t>  The principles set out in the decision in Andronyk, supra, have been qualified in a number of subsequent decisions on the bases that either the representor had a factual foundation for making the statement or the representor possessed some level of skill which put the representor in a position of authority such that the representation could be characterized as representations of fact. As well, the passage from Andronyk, cited by Kemess acknowledges that, if an opinion contains an implied statement of fact, it is actionable. I am satisfied that the true basis for the decision in Andronyk was that the term sought to be relied upon was too vague such that the parties did not understand it to mean the same thing. This is consistent with the decision in Hinchey,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381</w:t>
      </w:r>
      <w:r>
        <w:rPr>
          <w:rFonts w:ascii="arial" w:eastAsia="arial" w:hAnsi="arial" w:cs="arial"/>
          <w:color w:val="000000"/>
          <w:sz w:val="20"/>
          <w:lang w:val="en-US" w:eastAsia="en-US" w:bidi="ar-SA"/>
        </w:rPr>
        <w:t xml:space="preserve">  The decision in Moojelsky v. Rexnord Canada Ltd. </w:t>
      </w:r>
      <w:hyperlink r:id="rId847" w:history="1">
        <w:r>
          <w:rPr>
            <w:rFonts w:ascii="arial" w:eastAsia="arial" w:hAnsi="arial" w:cs="arial"/>
            <w:i/>
            <w:color w:val="0077CC"/>
            <w:sz w:val="20"/>
            <w:u w:val="single"/>
            <w:shd w:val="clear" w:color="auto" w:fill="FFFFFF"/>
            <w:lang w:val="en-US" w:eastAsia="en-US" w:bidi="ar-SA"/>
          </w:rPr>
          <w:t>(1989), 96 A.R. 91</w:t>
        </w:r>
      </w:hyperlink>
      <w:r>
        <w:rPr>
          <w:rFonts w:ascii="arial" w:eastAsia="arial" w:hAnsi="arial" w:cs="arial"/>
          <w:color w:val="000000"/>
          <w:sz w:val="20"/>
          <w:lang w:val="en-US" w:eastAsia="en-US" w:bidi="ar-SA"/>
        </w:rPr>
        <w:t xml:space="preserve"> (Alta. Q.B.) is to the same effect: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these cases [including Andronyk], the statements of opinion made were found not to form the basis of liability for negligent misrepresentation.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in all these cases, Esso v. Mardon, supra, [Esso Petroleum Co. Ltd. v. Mardon, [1976] 2 All. E.R. 5 (C.A.)], is referred to and not disapproved of. In this case, Esso inaccurately forecasted the future annual consumption of gas at a station they sought to lease to the Defendants. Esso was found liable for negligent misrepresentation as they had special knowledge and skill about that which they forecasted and knew the facts on which they based their forecast. It appears the statements of opinion based on existing facts about which the representor has or professes to have special skill or knowledge can form the basis of an action for negligent misrepresentation. An explanation of the difference between mere statements of opinion and actionable representations is provided in 31 Hals. (4th) 621, para. 1012: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If a person who has only an opinion or information as to a matter chooses to state it as a fact, the statement is a representation of the matter stated and the falsity of the representation is established by proof that the matter is not as stated, even though the representator may have genuinely held the opinion or believed the information. Sometimes a statement which is apparently in the form of an opinion, or uses words tending to suggest that it is only an opinion, may be held to contain or imply a statement of fact, and even from an expression of opinion there may be an implication that the speaker knows facts which justify the opinion or at least knows no facts showing it to be unjustified. (at pp. 97-8 in Moojelsky).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382</w:t>
      </w:r>
      <w:r>
        <w:rPr>
          <w:rFonts w:ascii="arial" w:eastAsia="arial" w:hAnsi="arial" w:cs="arial"/>
          <w:color w:val="000000"/>
          <w:sz w:val="20"/>
          <w:lang w:val="en-US" w:eastAsia="en-US" w:bidi="ar-SA"/>
        </w:rPr>
        <w:t>  I am satisfied that the decision in Power Contracting Inc., supra, is distinguishable as the allegation in that case was that an engineer was negligent in putting forward a design that turned out to be unbuildable whereas I find that the statements of Mr. Rempel were not reasonable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383</w:t>
      </w:r>
      <w:r>
        <w:rPr>
          <w:rFonts w:ascii="arial" w:eastAsia="arial" w:hAnsi="arial" w:cs="arial"/>
          <w:color w:val="000000"/>
          <w:sz w:val="20"/>
          <w:lang w:val="en-US" w:eastAsia="en-US" w:bidi="ar-SA"/>
        </w:rPr>
        <w:t>  The fact that Mr. Rempel had only recently been hired did not negate his duty to properly inform himself as to the site conditions if he was going to make statements of fact about them. Mr. Rempel was on Site specifically to answer bidder's questions with respect to the C101 Contract. If he had insufficient knowledge about the soils, he should have declined to comment about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384</w:t>
      </w:r>
      <w:r>
        <w:rPr>
          <w:rFonts w:ascii="arial" w:eastAsia="arial" w:hAnsi="arial" w:cs="arial"/>
          <w:color w:val="000000"/>
          <w:sz w:val="20"/>
          <w:lang w:val="en-US" w:eastAsia="en-US" w:bidi="ar-SA"/>
        </w:rPr>
        <w:t>  The representations of Mr. Rempel fell squarely within his expertise and job function and he was fully qualified to comment on the conditions of the Site as he was a very experienced earthworks supervisor. As well, it cannot be said that Mr. Rempel "did his best to acquaint himself with all relevant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385</w:t>
      </w:r>
      <w:r>
        <w:rPr>
          <w:rFonts w:ascii="arial" w:eastAsia="arial" w:hAnsi="arial" w:cs="arial"/>
          <w:color w:val="000000"/>
          <w:sz w:val="20"/>
          <w:lang w:val="en-US" w:eastAsia="en-US" w:bidi="ar-SA"/>
        </w:rPr>
        <w:t>  Golden Hill was not given unrestricted access and means of inquiry. In fact, the short tender period and the inability to go into the areas that would be the Mancamp and the Airstrip and into much of the area that would be the Millsite acted as inducements to Golden Hill to withhold inquiry. I find that it was clearly the case that Mr. Rempel did and could be expected to know the facts best and, in the circumstances, he was representing facts even though it might be said that he was expressing an opinion.</w:t>
      </w:r>
      <w:r>
        <w:rPr>
          <w:rFonts w:ascii="arial" w:eastAsia="arial" w:hAnsi="arial" w:cs="arial"/>
          <w:sz w:val="20"/>
          <w:lang w:val="en-US" w:eastAsia="en-US" w:bidi="ar-SA"/>
        </w:rPr>
        <w:cr/>
      </w:r>
    </w:p>
    <w:p>
      <w:pPr>
        <w:numPr>
          <w:numId w:val="1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 REPRESENTATION MADE NEGLIGENTLY?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386</w:t>
      </w:r>
      <w:r>
        <w:rPr>
          <w:rFonts w:ascii="arial" w:eastAsia="arial" w:hAnsi="arial" w:cs="arial"/>
          <w:color w:val="000000"/>
          <w:sz w:val="20"/>
          <w:lang w:val="en-US" w:eastAsia="en-US" w:bidi="ar-SA"/>
        </w:rPr>
        <w:t xml:space="preserve">  It is not enough for a representation to be wrong, it must have been made negligently: Inland Feeders v. Virdi et al. </w:t>
      </w:r>
      <w:hyperlink r:id="rId848" w:history="1">
        <w:r>
          <w:rPr>
            <w:rFonts w:ascii="arial" w:eastAsia="arial" w:hAnsi="arial" w:cs="arial"/>
            <w:i/>
            <w:color w:val="0077CC"/>
            <w:sz w:val="20"/>
            <w:u w:val="single"/>
            <w:shd w:val="clear" w:color="auto" w:fill="FFFFFF"/>
            <w:lang w:val="en-US" w:eastAsia="en-US" w:bidi="ar-SA"/>
          </w:rPr>
          <w:t>(1981), 129 D.L.R. (3d) 685</w:t>
        </w:r>
      </w:hyperlink>
      <w:r>
        <w:rPr>
          <w:rFonts w:ascii="arial" w:eastAsia="arial" w:hAnsi="arial" w:cs="arial"/>
          <w:color w:val="000000"/>
          <w:sz w:val="20"/>
          <w:lang w:val="en-US" w:eastAsia="en-US" w:bidi="ar-SA"/>
        </w:rPr>
        <w:t xml:space="preserve"> (B.C.C.A.). The duty of a representor is to exercise reasonable care: Fleming, The Law of Torts, supra, at p. 614.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387</w:t>
      </w:r>
      <w:r>
        <w:rPr>
          <w:rFonts w:ascii="arial" w:eastAsia="arial" w:hAnsi="arial" w:cs="arial"/>
          <w:color w:val="000000"/>
          <w:sz w:val="20"/>
          <w:lang w:val="en-US" w:eastAsia="en-US" w:bidi="ar-SA"/>
        </w:rPr>
        <w:t xml:space="preserve">  The standard of care to be exercised by a representator is the same standard as is applied in other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cases, that of a reasonable person. In Queen v. Cognos Inc. </w:t>
      </w:r>
      <w:hyperlink r:id="rId337" w:history="1">
        <w:r>
          <w:rPr>
            <w:rFonts w:ascii="arial" w:eastAsia="arial" w:hAnsi="arial" w:cs="arial"/>
            <w:i/>
            <w:color w:val="0077CC"/>
            <w:sz w:val="20"/>
            <w:u w:val="single"/>
            <w:shd w:val="clear" w:color="auto" w:fill="FFFFFF"/>
            <w:lang w:val="en-US" w:eastAsia="en-US" w:bidi="ar-SA"/>
          </w:rPr>
          <w:t>(1993), 99 D.L.R. (4th) 626</w:t>
        </w:r>
      </w:hyperlink>
      <w:r>
        <w:rPr>
          <w:rFonts w:ascii="arial" w:eastAsia="arial" w:hAnsi="arial" w:cs="arial"/>
          <w:color w:val="000000"/>
          <w:sz w:val="20"/>
          <w:lang w:val="en-US" w:eastAsia="en-US" w:bidi="ar-SA"/>
        </w:rPr>
        <w:t xml:space="preserve"> (S.C.C.),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advisor does not guarantee the accuracy of the statements made, but is only required to exercise reasonable care with respect to it. As with the issue of standard of care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general, this is a question of fact which must be determined in the circumstances of the case. Taking into account the nature of the occasion, the purpose for which the statement was made, the foreseeable use of the statement, the probable damage which will result from an inaccurate statement, the status of the advisor and the level of competence generally observed by others similarly placed, the trier of fact will determine whether the advisor was negligent. (p. 160).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388</w:t>
      </w:r>
      <w:r>
        <w:rPr>
          <w:rFonts w:ascii="arial" w:eastAsia="arial" w:hAnsi="arial" w:cs="arial"/>
          <w:color w:val="000000"/>
          <w:sz w:val="20"/>
          <w:lang w:val="en-US" w:eastAsia="en-US" w:bidi="ar-SA"/>
        </w:rPr>
        <w:t>  I find that the representation made by Mr. Rempel was made negligently. He was there to answer the questions of Golden Hill and there could be no other purpose of the statement than to provide assurances to Golden Hill that it would find good granular material throughout the Site. I find that Mr. Rempel did not exercise the standard of care imposed upon the site representative of an owner who is representing the owner at a site visit.</w:t>
      </w:r>
      <w:r>
        <w:rPr>
          <w:rFonts w:ascii="arial" w:eastAsia="arial" w:hAnsi="arial" w:cs="arial"/>
          <w:sz w:val="20"/>
          <w:lang w:val="en-US" w:eastAsia="en-US" w:bidi="ar-SA"/>
        </w:rPr>
        <w:cr/>
      </w:r>
    </w:p>
    <w:p>
      <w:pPr>
        <w:numPr>
          <w:numId w:val="1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 REPRESENTATIONS MADE BY MR. REMPEL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389</w:t>
      </w:r>
      <w:r>
        <w:rPr>
          <w:rFonts w:ascii="arial" w:eastAsia="arial" w:hAnsi="arial" w:cs="arial"/>
          <w:color w:val="000000"/>
          <w:sz w:val="20"/>
          <w:lang w:val="en-US" w:eastAsia="en-US" w:bidi="ar-SA"/>
        </w:rPr>
        <w:t>  Kemess submits that Mr. Rempel was only discussing the granular material below the organics in certain areas of the Millsite. Kemess submits that Golden Hill did encounter good granular material at lower elevations in certain areas of the Millsite and the Mancamp, in particular at the service complex area and at some parts of the concentrator building area. Kemess submits that the main problem that Golden Hill had at the Millsite was the removal of the Topsoil and overburden and Kemess says that Mr. Rempel's representations did not relate to these soils.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390</w:t>
      </w:r>
      <w:r>
        <w:rPr>
          <w:rFonts w:ascii="arial" w:eastAsia="arial" w:hAnsi="arial" w:cs="arial"/>
          <w:color w:val="000000"/>
          <w:sz w:val="20"/>
          <w:lang w:val="en-US" w:eastAsia="en-US" w:bidi="ar-SA"/>
        </w:rPr>
        <w:t>  I cannot conclude that the representations made by Mr. Rempel were true. First, he was not referring to "certain areas" of the Millsite. He was referring to all of the Millsite, the Mancamp and the Airstrip when he made the statements that good granular material would be found throughout the Site. Second, I am not satisfied that it can be said that Mr. Rempel was only referring to the area below the Topsoil/Organics when he made the broad statements regarding the good granular material that would be found throughout the Site. At that point, it was anticipated that the Topsoil level would only be 150 mm. Even if Mr. Rempel was only referring to the top 150 mm, it was clear that all of the material below 150 mm was not good granular material. Third, it could not be said that Golden Hill encountered granular material at lower elevations throughout the Millsite and the Mancamp. Fourth, I am satisfied that it is not the case that the problems that Golden Hill had at the Millsite were related only to the removal of Topsoil. In the circumstances, I have no hesitation in holding that the representations that Mr. Rempel made were not true.</w:t>
      </w:r>
      <w:r>
        <w:rPr>
          <w:rFonts w:ascii="arial" w:eastAsia="arial" w:hAnsi="arial" w:cs="arial"/>
          <w:sz w:val="20"/>
          <w:lang w:val="en-US" w:eastAsia="en-US" w:bidi="ar-SA"/>
        </w:rPr>
        <w:cr/>
      </w:r>
    </w:p>
    <w:p>
      <w:pPr>
        <w:numPr>
          <w:numId w:val="1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THERE RELIANCE?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391</w:t>
      </w:r>
      <w:r>
        <w:rPr>
          <w:rFonts w:ascii="arial" w:eastAsia="arial" w:hAnsi="arial" w:cs="arial"/>
          <w:color w:val="000000"/>
          <w:sz w:val="20"/>
          <w:lang w:val="en-US" w:eastAsia="en-US" w:bidi="ar-SA"/>
        </w:rPr>
        <w:t>  I find that there was reliance. Mr. Rudolph testified that the representation made by Mr. Rempel was a "very major component in his decision" about what soils to expect at the Site. Mr. Rudolph testified that Mr. Rempel's comments that the Millsite, Mancamp and Airstrip contained good granular material helped determine his equipment and production rates which, in turn, had an impact on his unit prices.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392</w:t>
      </w:r>
      <w:r>
        <w:rPr>
          <w:rFonts w:ascii="arial" w:eastAsia="arial" w:hAnsi="arial" w:cs="arial"/>
          <w:color w:val="000000"/>
          <w:sz w:val="20"/>
          <w:lang w:val="en-US" w:eastAsia="en-US" w:bidi="ar-SA"/>
        </w:rPr>
        <w:t>  I find that Mr. Rudolph relied on the statements made by Mr. Rempel and did not rely solely on his own observations to draw his conclusions about the soil conditions that would be encountered. While Kemess submits that Mr. Rudolph would have come to the same conclusions about the soil materials that would be encountered if Mr. Rempel had not made the statement that he did, this theory was not put to Mr. Rudolph on cross-examination. I find that this would not have been the case. Mr. Rudolph testified that his unit prices would have been impacted if he had known the common materials on the Site were going to be wet silty materials: "presumably your production would be less, so consequently you would move less per hour than if it was, you know, good hard surface to run on or good gravel."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393</w:t>
      </w:r>
      <w:r>
        <w:rPr>
          <w:rFonts w:ascii="arial" w:eastAsia="arial" w:hAnsi="arial" w:cs="arial"/>
          <w:color w:val="000000"/>
          <w:sz w:val="20"/>
          <w:lang w:val="en-US" w:eastAsia="en-US" w:bidi="ar-SA"/>
        </w:rPr>
        <w:t>  Kemess also submits that there is no evidence that Mr. Rudolph discussed the representations made by Mr. Rempel with Mr. Quaile prior to Mr. Quaile undertaking his calculations of quantities. In this regard, it was never suggested in cross-examination to either Mr. Quaile or Mr. Rudolph that they had not discussed these representations. As well, Mr. Rudolph had the knowledge of the representations made by Mr. Rempel when he reviewed the estimates of Mr. Quaile regarding the quantities to be moved. The fact that he accepted the low estimates of Waste that were included within the quantity estimates of Mr. Quaile allows me to conclude that he relied on the statements made by Mr. Rempel that good granular material would be found throughout the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394</w:t>
      </w:r>
      <w:r>
        <w:rPr>
          <w:rFonts w:ascii="arial" w:eastAsia="arial" w:hAnsi="arial" w:cs="arial"/>
          <w:color w:val="000000"/>
          <w:sz w:val="20"/>
          <w:lang w:val="en-US" w:eastAsia="en-US" w:bidi="ar-SA"/>
        </w:rPr>
        <w:t xml:space="preserve">  I am also satisfied that specific evidence of reliance is unnecessary and that negligent misrepresentation is proven if it can be shown that the misrepresentation was at least one factor which induced Golden Hill to act to its detriment. In J.P. Metal Masters Inc. v. David Mitchell Co. </w:t>
      </w:r>
      <w:hyperlink r:id="rId849" w:history="1">
        <w:r>
          <w:rPr>
            <w:rFonts w:ascii="arial" w:eastAsia="arial" w:hAnsi="arial" w:cs="arial"/>
            <w:i/>
            <w:color w:val="0077CC"/>
            <w:sz w:val="20"/>
            <w:u w:val="single"/>
            <w:shd w:val="clear" w:color="auto" w:fill="FFFFFF"/>
            <w:lang w:val="en-US" w:eastAsia="en-US" w:bidi="ar-SA"/>
          </w:rPr>
          <w:t>(1998), 49 B.C.L.R. (3d) 88</w:t>
        </w:r>
      </w:hyperlink>
      <w:r>
        <w:rPr>
          <w:rFonts w:ascii="arial" w:eastAsia="arial" w:hAnsi="arial" w:cs="arial"/>
          <w:color w:val="000000"/>
          <w:sz w:val="20"/>
          <w:lang w:val="en-US" w:eastAsia="en-US" w:bidi="ar-SA"/>
        </w:rPr>
        <w:t xml:space="preserve"> (B.C.C.A.), Hollinrake, J.A. on behalf of the Court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Once a Plaintiff establishes a material misrepresentation that was acted upon to the detriment of the Plaintiff, the element of reliance may be inferred. The onus shifts to the Defendant to rebut the inference. (at para. 43).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395</w:t>
      </w:r>
      <w:r>
        <w:rPr>
          <w:rFonts w:ascii="arial" w:eastAsia="arial" w:hAnsi="arial" w:cs="arial"/>
          <w:color w:val="000000"/>
          <w:sz w:val="20"/>
          <w:lang w:val="en-US" w:eastAsia="en-US" w:bidi="ar-SA"/>
        </w:rPr>
        <w:t xml:space="preserve">  Hollinrake, J.A. referred to the decisions in Sidhu Estate v. Bains </w:t>
      </w:r>
      <w:hyperlink r:id="rId850" w:history="1">
        <w:r>
          <w:rPr>
            <w:rFonts w:ascii="arial" w:eastAsia="arial" w:hAnsi="arial" w:cs="arial"/>
            <w:i/>
            <w:color w:val="0077CC"/>
            <w:sz w:val="20"/>
            <w:u w:val="single"/>
            <w:shd w:val="clear" w:color="auto" w:fill="FFFFFF"/>
            <w:lang w:val="en-US" w:eastAsia="en-US" w:bidi="ar-SA"/>
          </w:rPr>
          <w:t>(1996), 25 B.C.L.R. (3d) 41</w:t>
        </w:r>
      </w:hyperlink>
      <w:r>
        <w:rPr>
          <w:rFonts w:ascii="arial" w:eastAsia="arial" w:hAnsi="arial" w:cs="arial"/>
          <w:color w:val="000000"/>
          <w:sz w:val="20"/>
          <w:lang w:val="en-US" w:eastAsia="en-US" w:bidi="ar-SA"/>
        </w:rPr>
        <w:t xml:space="preserve"> (B.C.C.A.) and Kripps v. Touche Ross Co. </w:t>
      </w:r>
      <w:hyperlink r:id="rId851" w:history="1">
        <w:r>
          <w:rPr>
            <w:rFonts w:ascii="arial" w:eastAsia="arial" w:hAnsi="arial" w:cs="arial"/>
            <w:i/>
            <w:color w:val="0077CC"/>
            <w:sz w:val="20"/>
            <w:u w:val="single"/>
            <w:shd w:val="clear" w:color="auto" w:fill="FFFFFF"/>
            <w:lang w:val="en-US" w:eastAsia="en-US" w:bidi="ar-SA"/>
          </w:rPr>
          <w:t>(1997), 33 B.C.L.R. (3d) 254</w:t>
        </w:r>
      </w:hyperlink>
      <w:r>
        <w:rPr>
          <w:rFonts w:ascii="arial" w:eastAsia="arial" w:hAnsi="arial" w:cs="arial"/>
          <w:color w:val="000000"/>
          <w:sz w:val="20"/>
          <w:lang w:val="en-US" w:eastAsia="en-US" w:bidi="ar-SA"/>
        </w:rPr>
        <w:t xml:space="preserve"> (B.C.C.A.) before concluding: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held that even if the misrepresentation was only one of several factors contributing to the plaintiff's decision to act, it was a material inducement. (at para.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396</w:t>
      </w:r>
      <w:r>
        <w:rPr>
          <w:rFonts w:ascii="arial" w:eastAsia="arial" w:hAnsi="arial" w:cs="arial"/>
          <w:color w:val="000000"/>
          <w:sz w:val="20"/>
          <w:lang w:val="en-US" w:eastAsia="en-US" w:bidi="ar-SA"/>
        </w:rPr>
        <w:t>  Hollinrake, J.A. also cited with approval the statement of Finch, J.A., as he then was, in Kripps, supra: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sufficient, therefore, for the plaintiff in an action for negligent misrepresentation to prove that the misrepresentation was at least one factor which induced the plaintiff to act to his or her detriment. I am also of the view that where the misrepresentation in question is one which was calculated or which would naturally tend to induce the plaintiff to act upon it, the plaintiff's reliance may be inferred. The inference of reliance is one which may be rebutted but the onus of doing so rests on the representator. (at para. 103)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397</w:t>
      </w:r>
      <w:r>
        <w:rPr>
          <w:rFonts w:ascii="arial" w:eastAsia="arial" w:hAnsi="arial" w:cs="arial"/>
          <w:color w:val="000000"/>
          <w:sz w:val="20"/>
          <w:lang w:val="en-US" w:eastAsia="en-US" w:bidi="ar-SA"/>
        </w:rPr>
        <w:t>  While Mr. Rudolph did make observations during the Site Visit, I find that these observations were secondary to the information provided by Kemess and to the representations made by Mr. Rempel. Vast areas of the Millsite were not accessible so that the observations of Mr. Rudolph related only to the area surrounding the centre line of the Millsite and only approximately 50% of the centre line. Access to the Mancamp and the Airstrip was not available. While Mr. Rudolph might have preferred to have other information, Mr. Rudolph could only rely and I find that he did rely on the information provided by Kemess and the statement made by Mr. Rempel. I also find that this was a material misrepresentation and that Kemess has not rebutted the inference that there was reliance.</w:t>
      </w:r>
      <w:r>
        <w:rPr>
          <w:rFonts w:ascii="arial" w:eastAsia="arial" w:hAnsi="arial" w:cs="arial"/>
          <w:sz w:val="20"/>
          <w:lang w:val="en-US" w:eastAsia="en-US" w:bidi="ar-SA"/>
        </w:rPr>
        <w:cr/>
      </w:r>
    </w:p>
    <w:p>
      <w:pPr>
        <w:numPr>
          <w:numId w:val="1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RELIANCE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398</w:t>
      </w:r>
      <w:r>
        <w:rPr>
          <w:rFonts w:ascii="arial" w:eastAsia="arial" w:hAnsi="arial" w:cs="arial"/>
          <w:color w:val="000000"/>
          <w:sz w:val="20"/>
          <w:lang w:val="en-US" w:eastAsia="en-US" w:bidi="ar-SA"/>
        </w:rPr>
        <w:t>  Kemess argues in the alternative that it was not reasonable for Mr. Rudolph to have relied on the statements of Mr. Rempel in light of the following clauses included in the C101 Tender: (a) Instructions to Tenderers: "Oral interpretation shall not be effective to modify the provisions of the Documents or any part or parts thereof"; (b) Articles V and VI of the Form of Agreement; and (c) General Condition 12 (Site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399</w:t>
      </w:r>
      <w:r>
        <w:rPr>
          <w:rFonts w:ascii="arial" w:eastAsia="arial" w:hAnsi="arial" w:cs="arial"/>
          <w:color w:val="000000"/>
          <w:sz w:val="20"/>
          <w:lang w:val="en-US" w:eastAsia="en-US" w:bidi="ar-SA"/>
        </w:rPr>
        <w:t>  I am satisfied that Articles V and VI do not have the effect of excluding the negligent misrepresentations that induced Golden Hill to enter into the Contract and induced Golden Hill to submit the unit prices that it did. As well, I am satisfied that GC 12 did not exclude the warranty provided by Kemess that the information supplied was accurate. Nor did GC 12 in any way deal with the Airstrip, the Millsite Access Road or the Airstrip Access Road as no information about those areas was included in the Soils Data. As well, GC 12 only referred to what was contained within the "Contract Documents" so that it was not intended to exclude the negligent misrepresentation made by Mr. Rempel.</w:t>
      </w:r>
      <w:r>
        <w:rPr>
          <w:rFonts w:ascii="arial" w:eastAsia="arial" w:hAnsi="arial" w:cs="arial"/>
          <w:sz w:val="20"/>
          <w:lang w:val="en-US" w:eastAsia="en-US" w:bidi="ar-SA"/>
        </w:rPr>
        <w:cr/>
      </w:r>
    </w:p>
    <w:p>
      <w:pPr>
        <w:numPr>
          <w:numId w:val="1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DAMAGES FLOW FROM THE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400</w:t>
      </w:r>
      <w:r>
        <w:rPr>
          <w:rFonts w:ascii="arial" w:eastAsia="arial" w:hAnsi="arial" w:cs="arial"/>
          <w:color w:val="000000"/>
          <w:sz w:val="20"/>
          <w:lang w:val="en-US" w:eastAsia="en-US" w:bidi="ar-SA"/>
        </w:rPr>
        <w:t xml:space="preserve">  A plaintiff who seeks damages for negligent misrepresentation is entitled to be put in the position in which he or she would have been had the statement not been made not in the position he or she would have been had the statement been true: Rainbow Industrial Caterers v. Canadian National Railway Co. </w:t>
      </w:r>
      <w:hyperlink r:id="rId852" w:history="1">
        <w:r>
          <w:rPr>
            <w:rFonts w:ascii="arial" w:eastAsia="arial" w:hAnsi="arial" w:cs="arial"/>
            <w:i/>
            <w:color w:val="0077CC"/>
            <w:sz w:val="20"/>
            <w:u w:val="single"/>
            <w:shd w:val="clear" w:color="auto" w:fill="FFFFFF"/>
            <w:lang w:val="en-US" w:eastAsia="en-US" w:bidi="ar-SA"/>
          </w:rPr>
          <w:t>(1991), 84 D.L.R. (4th) 291</w:t>
        </w:r>
      </w:hyperlink>
      <w:r>
        <w:rPr>
          <w:rFonts w:ascii="arial" w:eastAsia="arial" w:hAnsi="arial" w:cs="arial"/>
          <w:color w:val="000000"/>
          <w:sz w:val="20"/>
          <w:lang w:val="en-US" w:eastAsia="en-US" w:bidi="ar-SA"/>
        </w:rPr>
        <w:t xml:space="preserve"> (S.C.C.) at pp. 296-7.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401</w:t>
      </w:r>
      <w:r>
        <w:rPr>
          <w:rFonts w:ascii="arial" w:eastAsia="arial" w:hAnsi="arial" w:cs="arial"/>
          <w:color w:val="000000"/>
          <w:sz w:val="20"/>
          <w:lang w:val="en-US" w:eastAsia="en-US" w:bidi="ar-SA"/>
        </w:rPr>
        <w:t>  Accordingly, Kemess submits that Golden Hill must establish the difference between the effect of its reliance on the misrepresentation and what Golden Hill would have done had the misrepresentation not been made in order to determine its damages. Kemess submits that Mr. Rudolph did not give any evidence on how he would have bid had Mr. Rempel not made this representation. Rather, Mr. Rudolph only testified about how he would have bid had he been told to expect "wet silty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402</w:t>
      </w:r>
      <w:r>
        <w:rPr>
          <w:rFonts w:ascii="arial" w:eastAsia="arial" w:hAnsi="arial" w:cs="arial"/>
          <w:color w:val="000000"/>
          <w:sz w:val="20"/>
          <w:lang w:val="en-US" w:eastAsia="en-US" w:bidi="ar-SA"/>
        </w:rPr>
        <w:t xml:space="preserve">  The damages which are available to Golden Hill flow not only from the misrepresentation made by Mr. Rempel but also from the breaches of contract relating to the sufficiency of investigation and engineering, the provision of all material soils information, the failure to provide the Site M Reports, and to the suitability and adequacy of the soils sources as well as from the misrepresentations relating to the nature of the work, and the suitability and adequacy of soils sources, as well as from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relating to whether the Tender Documents accurately reflected the Work and the failure to disclose all material soils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403</w:t>
      </w:r>
      <w:r>
        <w:rPr>
          <w:rFonts w:ascii="arial" w:eastAsia="arial" w:hAnsi="arial" w:cs="arial"/>
          <w:color w:val="000000"/>
          <w:sz w:val="20"/>
          <w:lang w:val="en-US" w:eastAsia="en-US" w:bidi="ar-SA"/>
        </w:rPr>
        <w:t>  On the basis of all of that, I find that Mr. Rudolph would have expected the common materials would be good granular materials. I also find that, but for the breaches of contract, negligent misrepresentation by Mr. Rempel, and the other tortious acts, Mr. Rudolph would have expected the common materials were going to be wet, silty materials. As a result, I find that the unit prices would have reflected decreased productivity caused by a difference in the materials, longer hauling distances, and inadequate storage and dump areas. This is the case even though the price of Golden Hill for dealing with Waste material was the same as the price for dealing with common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404</w:t>
      </w:r>
      <w:r>
        <w:rPr>
          <w:rFonts w:ascii="arial" w:eastAsia="arial" w:hAnsi="arial" w:cs="arial"/>
          <w:color w:val="000000"/>
          <w:sz w:val="20"/>
          <w:lang w:val="en-US" w:eastAsia="en-US" w:bidi="ar-SA"/>
        </w:rPr>
        <w:t>  Accordingly, I hold that the representations made by Mr. Rempel were untrue, inaccurate and misleading, that Mr. Mr. Rempel on behalf of Kemess acted negligently in making the misrepresentations, and that Golden Hill reasonably relied on the negligent misrepresentations to its detriment.</w:t>
      </w:r>
      <w:r>
        <w:rPr>
          <w:rFonts w:ascii="arial" w:eastAsia="arial" w:hAnsi="arial" w:cs="arial"/>
          <w:sz w:val="20"/>
          <w:lang w:val="en-US" w:eastAsia="en-US" w:bidi="ar-SA"/>
        </w:rPr>
        <w:cr/>
      </w:r>
    </w:p>
    <w:p>
      <w:pPr>
        <w:numPr>
          <w:numId w:val="1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ABILITY TO COMMENCE EARTHWORKS BY JULY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405</w:t>
      </w:r>
      <w:r>
        <w:rPr>
          <w:rFonts w:ascii="arial" w:eastAsia="arial" w:hAnsi="arial" w:cs="arial"/>
          <w:color w:val="000000"/>
          <w:sz w:val="20"/>
          <w:lang w:val="en-US" w:eastAsia="en-US" w:bidi="ar-SA"/>
        </w:rPr>
        <w:t>  Clause 4.0 of the General Requirements in the Tender Documents stated that the successful tenderer would be permitted to commence earthworks on the Site by July 8. However, GC 4.0 states that no Work was to be done until official notice of the acceptance of the tender and instructions to commence work had been given by Kemess or Kilborn. General Condition 4.4 made it clear that the substantial completion date under the Contract could be changed by variations of time allowed under the terms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406</w:t>
      </w:r>
      <w:r>
        <w:rPr>
          <w:rFonts w:ascii="arial" w:eastAsia="arial" w:hAnsi="arial" w:cs="arial"/>
          <w:color w:val="000000"/>
          <w:sz w:val="20"/>
          <w:lang w:val="en-US" w:eastAsia="en-US" w:bidi="ar-SA"/>
        </w:rPr>
        <w:t>  At the Post Tender Meeting in response to a request by Kemess, Golden Hill provided the Amended Schedule that contemplated the formal award of the Contract on June 21 with equipment mobilization beginning the following day. Golden Hill did not mobilize until July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407</w:t>
      </w:r>
      <w:r>
        <w:rPr>
          <w:rFonts w:ascii="arial" w:eastAsia="arial" w:hAnsi="arial" w:cs="arial"/>
          <w:color w:val="000000"/>
          <w:sz w:val="20"/>
          <w:lang w:val="en-US" w:eastAsia="en-US" w:bidi="ar-SA"/>
        </w:rPr>
        <w:t>  Golden Hill was already faced with a short time line for the Project. Golden Hill submits that it was induced to enter into the Contract based on the dates on which it was represented that they could begin the Work. Golden Hill submits that the representation was not true because it was prevented from beginning earthworks on July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408</w:t>
      </w:r>
      <w:r>
        <w:rPr>
          <w:rFonts w:ascii="arial" w:eastAsia="arial" w:hAnsi="arial" w:cs="arial"/>
          <w:color w:val="000000"/>
          <w:sz w:val="20"/>
          <w:lang w:val="en-US" w:eastAsia="en-US" w:bidi="ar-SA"/>
        </w:rPr>
        <w:t>  I am satisfied that Kemess did not breach the Contract when equipment mobilization began on July 5 rather than June 21 and earthworks started in mid-July rather than on July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409</w:t>
      </w:r>
      <w:r>
        <w:rPr>
          <w:rFonts w:ascii="arial" w:eastAsia="arial" w:hAnsi="arial" w:cs="arial"/>
          <w:color w:val="000000"/>
          <w:sz w:val="20"/>
          <w:lang w:val="en-US" w:eastAsia="en-US" w:bidi="ar-SA"/>
        </w:rPr>
        <w:t>  Golden Hill accepted the Letter of Intent by signing and returning it. It is bound by the provision that Work could not commence until all permits were in place. While Golden Hill may well be entitled to damages for other breaches of the Contract, it is not entitled to damages for the breach of any obligation to allow earthworks to start by July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410</w:t>
      </w:r>
      <w:r>
        <w:rPr>
          <w:rFonts w:ascii="arial" w:eastAsia="arial" w:hAnsi="arial" w:cs="arial"/>
          <w:color w:val="000000"/>
          <w:sz w:val="20"/>
          <w:lang w:val="en-US" w:eastAsia="en-US" w:bidi="ar-SA"/>
        </w:rPr>
        <w:t>  In any event, there is nothing in evidence dealing with the weather for July 1 through 4 and there is evidence indicating that it was raining between July 5 and 9. Accordingly, it cannot be said that Golden Hill missed an opportunity to work in "good weather" in early July as a result of the breach of this term.</w:t>
      </w:r>
      <w:r>
        <w:rPr>
          <w:rFonts w:ascii="arial" w:eastAsia="arial" w:hAnsi="arial" w:cs="arial"/>
          <w:sz w:val="20"/>
          <w:lang w:val="en-US" w:eastAsia="en-US" w:bidi="ar-SA"/>
        </w:rPr>
        <w:cr/>
      </w:r>
    </w:p>
    <w:p>
      <w:pPr>
        <w:numPr>
          <w:numId w:val="1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DIRECTION AND CONTROL OF THE WORK</w:t>
      </w:r>
    </w:p>
    <w:p>
      <w:pPr>
        <w:numPr>
          <w:numId w:val="1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CONTRACT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411</w:t>
      </w:r>
      <w:r>
        <w:rPr>
          <w:rFonts w:ascii="arial" w:eastAsia="arial" w:hAnsi="arial" w:cs="arial"/>
          <w:color w:val="000000"/>
          <w:sz w:val="20"/>
          <w:lang w:val="en-US" w:eastAsia="en-US" w:bidi="ar-SA"/>
        </w:rPr>
        <w:t>  Golden Hill claims damages as a result of breach of an actual term of the contract as well as for negligent misrepresentation. Under the general heading "Time and Order of Construction", GC 5.0 of the Tender Documents expressly provided Golden Hill with the right to control the Work: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the intent and meaning of the Contract that the Contractor shall have complete responsibility for the Work and shall be allowed to perform the Work at such times, in such order of procedure and in such manner as shall be most conducive to economy of construction, provided that:</w:t>
      </w:r>
    </w:p>
    <w:p>
      <w:pPr>
        <w:numPr>
          <w:numId w:val="1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Work is constructed in accordance with the requirements of the Contract Documents;</w:t>
      </w:r>
    </w:p>
    <w:p>
      <w:pPr>
        <w:numPr>
          <w:numId w:val="1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Work progresses efficiently, safely and in conformity with the Contract Schedule; and</w:t>
      </w:r>
    </w:p>
    <w:p>
      <w:pPr>
        <w:numPr>
          <w:numId w:val="1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Work is completed by the required Substantial Completion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412</w:t>
      </w:r>
      <w:r>
        <w:rPr>
          <w:rFonts w:ascii="arial" w:eastAsia="arial" w:hAnsi="arial" w:cs="arial"/>
          <w:color w:val="000000"/>
          <w:sz w:val="20"/>
          <w:lang w:val="en-US" w:eastAsia="en-US" w:bidi="ar-SA"/>
        </w:rPr>
        <w:t>  Under the general heading "Supervision by Contractor", GC 14.1 and GC 14.2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14.1</w:t>
            </w:r>
          </w:p>
        </w:tc>
        <w:tc>
          <w:tcPr>
            <w:tcW w:w="307"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Supervision of the Work shall be the responsibility of the Contractor.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14.2</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Subject to the specific provisions otherwise in the Contract Documents, the Contractor shall have complete control of his organization and shall exercise his control to ensure compliance with the Contract.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413</w:t>
      </w:r>
      <w:r>
        <w:rPr>
          <w:rFonts w:ascii="arial" w:eastAsia="arial" w:hAnsi="arial" w:cs="arial"/>
          <w:color w:val="000000"/>
          <w:sz w:val="20"/>
          <w:lang w:val="en-US" w:eastAsia="en-US" w:bidi="ar-SA"/>
        </w:rPr>
        <w:t>  I find that Golden Hill was induced into entering into the Contract based on the representation that it would be entitled to control the Work and its own schedule and would be allowed to perform the Work at such times, in such order, and in such manner as was most conducive to economy of construction. In breach of the Contract and despite the representation, Kemess repeatedly interfered with the right to control the Work in the name of meeting the overall schedule for the development of the mine. As a result of the actions of Kemess, the bid price of Golden Hill did not reflect the cost of not being able to work in a manner that was conducive to the economy of construction so that damages resulted from this breach and misrepresentation.</w:t>
      </w:r>
      <w:r>
        <w:rPr>
          <w:rFonts w:ascii="arial" w:eastAsia="arial" w:hAnsi="arial" w:cs="arial"/>
          <w:sz w:val="20"/>
          <w:lang w:val="en-US" w:eastAsia="en-US" w:bidi="ar-SA"/>
        </w:rPr>
        <w:cr/>
      </w:r>
    </w:p>
    <w:p>
      <w:pPr>
        <w:numPr>
          <w:numId w:val="1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INDICIA OF CONTROL BEING TAKEN AWAY FROM GOLDEN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414</w:t>
      </w:r>
      <w:r>
        <w:rPr>
          <w:rFonts w:ascii="arial" w:eastAsia="arial" w:hAnsi="arial" w:cs="arial"/>
          <w:color w:val="000000"/>
          <w:sz w:val="20"/>
          <w:lang w:val="en-US" w:eastAsia="en-US" w:bidi="ar-SA"/>
        </w:rPr>
        <w:t>  Kemess took control of the order of the Work indirectly by failing to provide the entire Site and the design for the Work in a timely manner and did so directly by issuing directions backed up by threats and inducements. As a cost saving mechanism and so as to not lose control, Kemess adopted a "construction management" approach to the Project. Mr. Koski admitted at Trial that Royal Oak decided to do the construction management themselves to save costs and as part of a "control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415</w:t>
      </w:r>
      <w:r>
        <w:rPr>
          <w:rFonts w:ascii="arial" w:eastAsia="arial" w:hAnsi="arial" w:cs="arial"/>
          <w:color w:val="000000"/>
          <w:sz w:val="20"/>
          <w:lang w:val="en-US" w:eastAsia="en-US" w:bidi="ar-SA"/>
        </w:rPr>
        <w:t>  I find that each of these events constitutes Kemess taking control of the order of the Work: (a) at the first construction meeting on July 7, Kemess identified three priority areas that had to be worked on simultaneously and this was other than in accordance with the plan of Golden Hill. Mr. Koski admitted that this was "unusual" and that an owner normally defines only one priority at the beginning of the job but that Kemess needed to start on different areas simultaneously so that "the overall project schedule" was not compromised; (b) the priorities of Kemess representatives were often contradictory and were constantly changing. As a result, Golden Hill had to change its plan for the Work to take into account the changing priorities of Kemess rather than implementing its own priorities for the Work; (c) at the July 18 construction meeting, the direction was given about the location where granular material would be crushed; (d) at the July 30 construction meeting, Golden Hill was directed to restrict its grading work to the Mancamp even though the previous directed priority was the Airstrip first and the Mancamp second; (e) at a site review meeting on August 3, the following directives were received: mobilize all of your equipment on site, place additional equipment at the Millsite and immediately establish work at the Airstrip, Mancamp and Millsite, and submit a schedule and plan to bring in "the work back to an acceptable level". At Trial, Mr. Rempel admitted that the tone of this August 3 directive was "more in the nature of an order". I reject the submission of Kemess that Golden Hill was obliged to mobilize its tender fleet on Site and had not done so by that date. There was no obligation to mobilize all of the fleet at the beginning and the order and timing of mobilization was up to Golden Hill; (f) Golden Hill was required to work in the three main areas of the Project at the same time and to mobilize more equipment although this was not consistent with Mr. Rudolph's plan for the Work which was to work only in two areas at once; and (g) various directives were received almost on a daily basis after the August 3 site review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416</w:t>
      </w:r>
      <w:r>
        <w:rPr>
          <w:rFonts w:ascii="arial" w:eastAsia="arial" w:hAnsi="arial" w:cs="arial"/>
          <w:color w:val="000000"/>
          <w:sz w:val="20"/>
          <w:lang w:val="en-US" w:eastAsia="en-US" w:bidi="ar-SA"/>
        </w:rPr>
        <w:t>  I also find that the following are indicative of the directions (not suggestions) given by Kemess: (a) clean up activities at the Mancamp approximately two months earlier than anticipated (August 4); (b) building a haul road using "unsuitable material" causing additional time and expense to maintain the road (mid-August); (c) providing a new order for the work to be undertaken (in the September 5 Weekly Progress Report of Kemess); (d) movement of the scrapers from the Airstrip to the Millsite (September 8); (e) as a result of "pressure from corporate" to get it done, the setting of a new priority for a 2,000 foot temporary Airstrip (September 8 Daily Progress Meeting Minutes); (f) an indication that Mr. Rempel would control the movement of equipment to the Airstrip once he returned from turnaround (September 14 Kemess internal memo from Mr. Rempel); and (g) confirmation that the Head Office of Kemess wanted the Airstrip done as a priority (September 29 Daily Progress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417</w:t>
      </w:r>
      <w:r>
        <w:rPr>
          <w:rFonts w:ascii="arial" w:eastAsia="arial" w:hAnsi="arial" w:cs="arial"/>
          <w:color w:val="000000"/>
          <w:sz w:val="20"/>
          <w:lang w:val="en-US" w:eastAsia="en-US" w:bidi="ar-SA"/>
        </w:rPr>
        <w:t>  As well, Kemess insisted that Golden Hill come up with the plan to work through inclement weather; directed Golden Hill to move equipment from the Millsite to the Airstrip in late August; directed Golden Hill to move its equipment from the Airstrip back to the Millsite; determined that the work of Western Versatile would take priority over the Work of Golden Hill so that work at the Mancamp was interrupted and made less efficient; determined that the settlement pond should be the new priority at the Millsite even though Golden Hill had intended to do this last; and required Golden Hill to focus on the crusher area at the Millsite in the late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418</w:t>
      </w:r>
      <w:r>
        <w:rPr>
          <w:rFonts w:ascii="arial" w:eastAsia="arial" w:hAnsi="arial" w:cs="arial"/>
          <w:color w:val="000000"/>
          <w:sz w:val="20"/>
          <w:lang w:val="en-US" w:eastAsia="en-US" w:bidi="ar-SA"/>
        </w:rPr>
        <w:t>  I reject the submission of Kemess that Golden Hill did not follow the directions received from Kemess when it took control of the Work away from Golden Hill. While it was sometimes not possible to follow the directions received, it is clear that Golden Hill was attempting to follow those directions and felt that it was bound to attempt to do so.</w:t>
      </w:r>
      <w:r>
        <w:rPr>
          <w:rFonts w:ascii="arial" w:eastAsia="arial" w:hAnsi="arial" w:cs="arial"/>
          <w:sz w:val="20"/>
          <w:lang w:val="en-US" w:eastAsia="en-US" w:bidi="ar-SA"/>
        </w:rPr>
        <w:cr/>
      </w:r>
    </w:p>
    <w:p>
      <w:pPr>
        <w:numPr>
          <w:numId w:val="1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COMMON LAW RIGHT OF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419</w:t>
      </w:r>
      <w:r>
        <w:rPr>
          <w:rFonts w:ascii="arial" w:eastAsia="arial" w:hAnsi="arial" w:cs="arial"/>
          <w:color w:val="000000"/>
          <w:sz w:val="20"/>
          <w:lang w:val="en-US" w:eastAsia="en-US" w:bidi="ar-SA"/>
        </w:rPr>
        <w:t xml:space="preserve">  It is crucial and fundamental to a unit price contract that the contractor be given complete control of the Work as it is the plan for the Work upon which the bid is based. As contractors establish their unit rates on the basis of their own work plan, it is essential that they be given complete control of the work during a project to implement their plan. At common law, a contractor is prima facie entitled to carry out his work without interference from the owner, whether or not the contract has that express provision: Smith and Montgomery v. Johnson Bros. Co., </w:t>
      </w:r>
      <w:hyperlink r:id="rId853" w:history="1">
        <w:r>
          <w:rPr>
            <w:rFonts w:ascii="arial" w:eastAsia="arial" w:hAnsi="arial" w:cs="arial"/>
            <w:i/>
            <w:color w:val="0077CC"/>
            <w:sz w:val="20"/>
            <w:u w:val="single"/>
            <w:shd w:val="clear" w:color="auto" w:fill="FFFFFF"/>
            <w:lang w:val="en-US" w:eastAsia="en-US" w:bidi="ar-SA"/>
          </w:rPr>
          <w:t>[1954] 1 D.L.R. 392</w:t>
        </w:r>
      </w:hyperlink>
      <w:r>
        <w:rPr>
          <w:rFonts w:ascii="arial" w:eastAsia="arial" w:hAnsi="arial" w:cs="arial"/>
          <w:color w:val="000000"/>
          <w:sz w:val="20"/>
          <w:lang w:val="en-US" w:eastAsia="en-US" w:bidi="ar-SA"/>
        </w:rPr>
        <w:t xml:space="preserve"> (Ont. H.C.). General Conditions 5.1 and 14.2 merely embody the common law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420</w:t>
      </w:r>
      <w:r>
        <w:rPr>
          <w:rFonts w:ascii="arial" w:eastAsia="arial" w:hAnsi="arial" w:cs="arial"/>
          <w:color w:val="000000"/>
          <w:sz w:val="20"/>
          <w:lang w:val="en-US" w:eastAsia="en-US" w:bidi="ar-SA"/>
        </w:rPr>
        <w:t>  Interference by the owner constitutes a breach of contract by the owner if the interference affects the contractor's method of carrying out the work plan contemplated: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contractor is not a servant of the owner, and although the latter is entitled to tell him what to do, he is not entitled to tell him how to do it. Accordingly, an interference with the contractor's method of carrying out his work which is not authorized by the contract constitutes a breach of contract by the owner. (Monett et al v. All Seasons Siding &amp; Carpentry Ltd. </w:t>
      </w:r>
      <w:hyperlink r:id="rId854" w:history="1">
        <w:r>
          <w:rPr>
            <w:rFonts w:ascii="arial" w:eastAsia="arial" w:hAnsi="arial" w:cs="arial"/>
            <w:i/>
            <w:color w:val="0077CC"/>
            <w:sz w:val="20"/>
            <w:u w:val="single"/>
            <w:shd w:val="clear" w:color="auto" w:fill="FFFFFF"/>
            <w:lang w:val="en-US" w:eastAsia="en-US" w:bidi="ar-SA"/>
          </w:rPr>
          <w:t>(1991), 43 C.L.R. 185</w:t>
        </w:r>
      </w:hyperlink>
      <w:r>
        <w:rPr>
          <w:rFonts w:ascii="arial" w:eastAsia="arial" w:hAnsi="arial" w:cs="arial"/>
          <w:color w:val="000000"/>
          <w:sz w:val="20"/>
          <w:lang w:val="en-US" w:eastAsia="en-US" w:bidi="ar-SA"/>
        </w:rPr>
        <w:t xml:space="preserve"> (N.S. Co. Ct.) at p. 190 quoting Goldsmith on Canadian Building Contracts, 4th ed, (Toronto: Carswell 1989) at pp. 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421</w:t>
      </w:r>
      <w:r>
        <w:rPr>
          <w:rFonts w:ascii="arial" w:eastAsia="arial" w:hAnsi="arial" w:cs="arial"/>
          <w:color w:val="000000"/>
          <w:sz w:val="20"/>
          <w:lang w:val="en-US" w:eastAsia="en-US" w:bidi="ar-SA"/>
        </w:rPr>
        <w:t xml:space="preserve">  In Smith and Montgomery v. Johnson Bros. Co., </w:t>
      </w:r>
      <w:hyperlink r:id="rId853" w:history="1">
        <w:r>
          <w:rPr>
            <w:rFonts w:ascii="arial" w:eastAsia="arial" w:hAnsi="arial" w:cs="arial"/>
            <w:i/>
            <w:color w:val="0077CC"/>
            <w:sz w:val="20"/>
            <w:u w:val="single"/>
            <w:shd w:val="clear" w:color="auto" w:fill="FFFFFF"/>
            <w:lang w:val="en-US" w:eastAsia="en-US" w:bidi="ar-SA"/>
          </w:rPr>
          <w:t>[1954] 1 D.L.R. 392</w:t>
        </w:r>
      </w:hyperlink>
      <w:r>
        <w:rPr>
          <w:rFonts w:ascii="arial" w:eastAsia="arial" w:hAnsi="arial" w:cs="arial"/>
          <w:color w:val="000000"/>
          <w:sz w:val="20"/>
          <w:lang w:val="en-US" w:eastAsia="en-US" w:bidi="ar-SA"/>
        </w:rPr>
        <w:t xml:space="preserve"> (Ont. H.C.), there was no express term in the contract binding the owner to permit the plaintiffs to execute the work to be performed by them in accordance with their own plan. However, the Court found an implied term and stated: "If such an implication were not made, the contract would not have that efficacy which the parties must have intended it to have and there would be such a failure of consideration as cannot have been the contemplation of the contracting parties." (at p. 398).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422</w:t>
      </w:r>
      <w:r>
        <w:rPr>
          <w:rFonts w:ascii="arial" w:eastAsia="arial" w:hAnsi="arial" w:cs="arial"/>
          <w:color w:val="000000"/>
          <w:sz w:val="20"/>
          <w:lang w:val="en-US" w:eastAsia="en-US" w:bidi="ar-SA"/>
        </w:rPr>
        <w:t>  At common law, an owner assumes control where the owner exercises supervision of, or directs, the contractor such that the contractor is not entirely free to do the work in his own way. Golden Hill points out that Mr. Rempel agreed that, at least as of July 23, Golden Hill did not have "full access to the site" and that restrictions had been placed on the order in which Golden Hill could do the Work because of the lack of permits and the lack of design availability. I find that this was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423</w:t>
      </w:r>
      <w:r>
        <w:rPr>
          <w:rFonts w:ascii="arial" w:eastAsia="arial" w:hAnsi="arial" w:cs="arial"/>
          <w:color w:val="000000"/>
          <w:sz w:val="20"/>
          <w:lang w:val="en-US" w:eastAsia="en-US" w:bidi="ar-SA"/>
        </w:rPr>
        <w:t>  Under cross-examination, Mr. Koski agreed that, under a unit price contract, the contractor determines the order of the work providing the contractor respects the priorities of the owner as set out in the Contract or as established in the pre-award meeting. In this regard, Kemess never gave any indication that the Schedule or the Amended Schedule were not consistent with the priorities of Kemess. The problem was that the priorities of Kemess changed.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424</w:t>
      </w:r>
      <w:r>
        <w:rPr>
          <w:rFonts w:ascii="arial" w:eastAsia="arial" w:hAnsi="arial" w:cs="arial"/>
          <w:color w:val="000000"/>
          <w:sz w:val="20"/>
          <w:lang w:val="en-US" w:eastAsia="en-US" w:bidi="ar-SA"/>
        </w:rPr>
        <w:t>  In addition to the directions being contrary to the right of Golden Hill to control the Work, some of the directions of Kemess were contrary to Article 1.5 of Technical Specification 02220 which provided that the contractor was entitled and required to: "suspend construction operation at times when satisfactory results cannot be obtained on account of rain, snow, freezing weather or other unsatisfactory conditions".</w:t>
      </w:r>
      <w:r>
        <w:rPr>
          <w:rFonts w:ascii="arial" w:eastAsia="arial" w:hAnsi="arial" w:cs="arial"/>
          <w:sz w:val="20"/>
          <w:lang w:val="en-US" w:eastAsia="en-US" w:bidi="ar-SA"/>
        </w:rPr>
        <w:cr/>
      </w:r>
    </w:p>
    <w:p>
      <w:pPr>
        <w:numPr>
          <w:numId w:val="1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EFFECT OF GC 5.2 AND GC 5.3 AND S. 1500 OF THE GENERAL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425</w:t>
      </w:r>
      <w:r>
        <w:rPr>
          <w:rFonts w:ascii="arial" w:eastAsia="arial" w:hAnsi="arial" w:cs="arial"/>
          <w:color w:val="000000"/>
          <w:sz w:val="20"/>
          <w:lang w:val="en-US" w:eastAsia="en-US" w:bidi="ar-SA"/>
        </w:rPr>
        <w:t>  Kemess submits that the effect of GC 5.1 is expressly limited by other provisions in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7"/>
        <w:gridCol w:w="515"/>
        <w:gridCol w:w="237"/>
        <w:gridCol w:w="1132"/>
        <w:gridCol w:w="237"/>
        <w:gridCol w:w="6689"/>
        <w:gridCol w:w="102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GC 5.2</w:t>
            </w:r>
          </w:p>
        </w:tc>
        <w:tc>
          <w:tcPr>
            <w:tcW w:w="102"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Provided also that when the Owner is having other Work done under separate contractor by his own forces, the Owner may direct the time and manner of performing the Work to the extent the conflict will be minimized, the various Works harmonized and the overall project or affected contracts are expeditiously brought to completion.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GC 5.3</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in the opinion of the Owner there is undue delay in commencing Work or any phases of the Work are not progressing in accordance with the Contract Schedule or any scheduled Completion Dates are jeopardized in any other way, then the Owner may order the Contractor to employ additional personnel and construction plant or to work additional hours or by other means speed up the Work, as the Owner deems necessary, without additional payment to the Contractor. The provisions of this paragraph shall in no way relieve the Contractor of his responsibility for completing the Work in accordance with the Contract Schedule and by the required substantial Completion Date.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 1500 of the General Requirements: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4.1 Work Areas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Work areas within the site will be assigned by the owner. Such assignments may be for specific periods.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owner may, at his discretion, assign other areas for work during specific periods.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Work areas may be restricted or work rescheduled to avoid interference with other work on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426</w:t>
      </w:r>
      <w:r>
        <w:rPr>
          <w:rFonts w:ascii="arial" w:eastAsia="arial" w:hAnsi="arial" w:cs="arial"/>
          <w:color w:val="000000"/>
          <w:sz w:val="20"/>
          <w:lang w:val="en-US" w:eastAsia="en-US" w:bidi="ar-SA"/>
        </w:rPr>
        <w:t>  General Condition 5.3 only applies if, in the opinion of Kemess, any phases of the Work were not progressing in accordance with the Contract Schedule. In giving directions, Kemess never invoked GC 5.3. From this, I can conclude that Kemess was not of the view that Golden Hill was responsible for the delays that it encountered or that the Work was not progressing in accordance with the Amended Schedule as extended from time to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427</w:t>
      </w:r>
      <w:r>
        <w:rPr>
          <w:rFonts w:ascii="arial" w:eastAsia="arial" w:hAnsi="arial" w:cs="arial"/>
          <w:color w:val="000000"/>
          <w:sz w:val="20"/>
          <w:lang w:val="en-US" w:eastAsia="en-US" w:bidi="ar-SA"/>
        </w:rPr>
        <w:t>  I find that Kemess was not in a position to invoke GC 5.3 as it could not be said that there was an undue delay in commencing the Work or that any phases of the Work were not progressing in accordance with the Amended Schedule as it was extended by agreement between the parties. General Conditions 5.1 and 5.3 provide that Golden Hill is entitled to control of the Work "provided that... the work progresses... in conformity with the Contract Schedule" and this should be taken to mean as actually extended or where it should have been extended.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428</w:t>
      </w:r>
      <w:r>
        <w:rPr>
          <w:rFonts w:ascii="arial" w:eastAsia="arial" w:hAnsi="arial" w:cs="arial"/>
          <w:color w:val="000000"/>
          <w:sz w:val="20"/>
          <w:lang w:val="en-US" w:eastAsia="en-US" w:bidi="ar-SA"/>
        </w:rPr>
        <w:t>  Regarding GC 5.2, it should be noted that, unlike GC 5.3 and GC 36.3, GC 5.2 does not prohibit extra payment for compliance with the owner's directions. From that, I can conclude that it was contemplated that any directions from Kemess regarding the coordination of the work of Golden Hill with other contractors would result in Kemess having to compensate Golden Hill for any additional costs flowing from such directions being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429</w:t>
      </w:r>
      <w:r>
        <w:rPr>
          <w:rFonts w:ascii="arial" w:eastAsia="arial" w:hAnsi="arial" w:cs="arial"/>
          <w:color w:val="000000"/>
          <w:sz w:val="20"/>
          <w:lang w:val="en-US" w:eastAsia="en-US" w:bidi="ar-SA"/>
        </w:rPr>
        <w:t>  As well, none of the directions that Golden Hill received in relation to the Airstrip related to the minimization of conflict with other contractors and the directions in relation to the work at the Millsite and the Mancamp did not fall within the limited wording of GC 5.2. The directions by Kemess were only required because the Work of Golden Hill was delayed through no fault of its own or because the schedules of other contractors were changed so that the work of those contractors on particular areas within the Site came into conflict with the work that Golden Hill was performing.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430</w:t>
      </w:r>
      <w:r>
        <w:rPr>
          <w:rFonts w:ascii="arial" w:eastAsia="arial" w:hAnsi="arial" w:cs="arial"/>
          <w:color w:val="000000"/>
          <w:sz w:val="20"/>
          <w:lang w:val="en-US" w:eastAsia="en-US" w:bidi="ar-SA"/>
        </w:rPr>
        <w:t>  Regarding Article 4.1 of Section 1500 of the General Requirements in the Tender Documents, this provision does not prohibit compensation in the event of the occurrences listed in that Article. As well, there is no evidence to indicate that Kemess invoked Article 4.1 in order to "avoid interference with other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431</w:t>
      </w:r>
      <w:r>
        <w:rPr>
          <w:rFonts w:ascii="arial" w:eastAsia="arial" w:hAnsi="arial" w:cs="arial"/>
          <w:color w:val="000000"/>
          <w:sz w:val="20"/>
          <w:lang w:val="en-US" w:eastAsia="en-US" w:bidi="ar-SA"/>
        </w:rPr>
        <w:t>  In construing GC 5.2 and Article 4.1, it is critical to remember that they are not only inconsistent with the fundamental nature of a unit price contract and the common law rights of Golden Hill but also purport to limit the express rights of Golden Hill to control the Work which are provided by GC 5.1 and GC 14.2.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432</w:t>
      </w:r>
      <w:r>
        <w:rPr>
          <w:rFonts w:ascii="arial" w:eastAsia="arial" w:hAnsi="arial" w:cs="arial"/>
          <w:color w:val="000000"/>
          <w:sz w:val="20"/>
          <w:lang w:val="en-US" w:eastAsia="en-US" w:bidi="ar-SA"/>
        </w:rPr>
        <w:t>  I am satisfied that the fundamental right to control the Work must prevail over the right to issue directions in relation to the Work in order to minimize conflict with other contractors. I am satisfied that the concept of control over the Work is so fundamental to the unit price contract that any effect of GC 5.2, GC 5.3 and Article 4.1 of s. 1500 of the General Requirements must be severely 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433</w:t>
      </w:r>
      <w:r>
        <w:rPr>
          <w:rFonts w:ascii="arial" w:eastAsia="arial" w:hAnsi="arial" w:cs="arial"/>
          <w:color w:val="000000"/>
          <w:sz w:val="20"/>
          <w:lang w:val="en-US" w:eastAsia="en-US" w:bidi="ar-SA"/>
        </w:rPr>
        <w:t xml:space="preserve">  An owner who employs several contractors in connection with a particular construction project is obliged to schedule the work such that one contractor does not interfere with the work of another. Any interference on the part of anyone acting either as an employee or agent of the owner constitutes a breach of contract: Foundation Co. of Canada v. United Grain Growers Ltd. </w:t>
      </w:r>
      <w:hyperlink r:id="rId820" w:history="1">
        <w:r>
          <w:rPr>
            <w:rFonts w:ascii="arial" w:eastAsia="arial" w:hAnsi="arial" w:cs="arial"/>
            <w:i/>
            <w:color w:val="0077CC"/>
            <w:sz w:val="20"/>
            <w:u w:val="single"/>
            <w:shd w:val="clear" w:color="auto" w:fill="FFFFFF"/>
            <w:lang w:val="en-US" w:eastAsia="en-US" w:bidi="ar-SA"/>
          </w:rPr>
          <w:t>(1995), 25 C.L.R. (2d) 1</w:t>
        </w:r>
      </w:hyperlink>
      <w:r>
        <w:rPr>
          <w:rFonts w:ascii="arial" w:eastAsia="arial" w:hAnsi="arial" w:cs="arial"/>
          <w:color w:val="000000"/>
          <w:sz w:val="20"/>
          <w:lang w:val="en-US" w:eastAsia="en-US" w:bidi="ar-SA"/>
        </w:rPr>
        <w:t xml:space="preserve"> (B.C.S.C.) and </w:t>
      </w:r>
      <w:hyperlink r:id="rId821" w:history="1">
        <w:r>
          <w:rPr>
            <w:rFonts w:ascii="arial" w:eastAsia="arial" w:hAnsi="arial" w:cs="arial"/>
            <w:i/>
            <w:color w:val="0077CC"/>
            <w:sz w:val="20"/>
            <w:u w:val="single"/>
            <w:shd w:val="clear" w:color="auto" w:fill="FFFFFF"/>
            <w:lang w:val="en-US" w:eastAsia="en-US" w:bidi="ar-SA"/>
          </w:rPr>
          <w:t>(1997), 34 B.C.L.R. (3d) 92</w:t>
        </w:r>
      </w:hyperlink>
      <w:r>
        <w:rPr>
          <w:rFonts w:ascii="arial" w:eastAsia="arial" w:hAnsi="arial" w:cs="arial"/>
          <w:color w:val="000000"/>
          <w:sz w:val="20"/>
          <w:lang w:val="en-US" w:eastAsia="en-US" w:bidi="ar-SA"/>
        </w:rPr>
        <w:t xml:space="preserve"> (B.C.C.A.) at p. 109; Penvidic Contracting Co. v. International Nickel Co. of Canada </w:t>
      </w:r>
      <w:hyperlink r:id="rId855" w:history="1">
        <w:r>
          <w:rPr>
            <w:rFonts w:ascii="arial" w:eastAsia="arial" w:hAnsi="arial" w:cs="arial"/>
            <w:i/>
            <w:color w:val="0077CC"/>
            <w:sz w:val="20"/>
            <w:u w:val="single"/>
            <w:shd w:val="clear" w:color="auto" w:fill="FFFFFF"/>
            <w:lang w:val="en-US" w:eastAsia="en-US" w:bidi="ar-SA"/>
          </w:rPr>
          <w:t>(1975), 53 D.L.R. (3d) 748</w:t>
        </w:r>
      </w:hyperlink>
      <w:r>
        <w:rPr>
          <w:rFonts w:ascii="arial" w:eastAsia="arial" w:hAnsi="arial" w:cs="arial"/>
          <w:color w:val="000000"/>
          <w:sz w:val="20"/>
          <w:lang w:val="en-US" w:eastAsia="en-US" w:bidi="ar-SA"/>
        </w:rPr>
        <w:t xml:space="preserve"> (S.C.C.); and Conmac Western Industries v. Budd Bros. Ltd. </w:t>
      </w:r>
      <w:hyperlink r:id="rId856" w:history="1">
        <w:r>
          <w:rPr>
            <w:rFonts w:ascii="arial" w:eastAsia="arial" w:hAnsi="arial" w:cs="arial"/>
            <w:i/>
            <w:color w:val="0077CC"/>
            <w:sz w:val="20"/>
            <w:u w:val="single"/>
            <w:shd w:val="clear" w:color="auto" w:fill="FFFFFF"/>
            <w:lang w:val="en-US" w:eastAsia="en-US" w:bidi="ar-SA"/>
          </w:rPr>
          <w:t>(1990), 41 C.L.R. 161</w:t>
        </w:r>
      </w:hyperlink>
      <w:r>
        <w:rPr>
          <w:rFonts w:ascii="arial" w:eastAsia="arial" w:hAnsi="arial" w:cs="arial"/>
          <w:color w:val="000000"/>
          <w:sz w:val="20"/>
          <w:lang w:val="en-US" w:eastAsia="en-US" w:bidi="ar-SA"/>
        </w:rPr>
        <w:t xml:space="preserve"> (Alta. Q.B.).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434</w:t>
      </w:r>
      <w:r>
        <w:rPr>
          <w:rFonts w:ascii="arial" w:eastAsia="arial" w:hAnsi="arial" w:cs="arial"/>
          <w:color w:val="000000"/>
          <w:sz w:val="20"/>
          <w:lang w:val="en-US" w:eastAsia="en-US" w:bidi="ar-SA"/>
        </w:rPr>
        <w:t>  The courts in Conmac and Penvidic, both adopted the following passage from Hudson's Building &amp; Engineering Contracts, 10th ed. (London: Sweet &amp; Maxwell, 1970) at pp. 317-8: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degree of possession or access which must be afforded by an employer must obviously vary with the nature of the work (which might, for instance, in an extreme case be for repairs or reinstatement of existing premises while still occupied) or other circumstances (as in subcontracts, when the work often must take place alongside and subject to interference by other trades or the main contractor's own work). But in the case of a new project the main contractor will normally be entitled to exclusive possession of the entire site in the absence of express stipulation to the contrary.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Since a sufficient degree of possession of the site is clearly a necessary pre-condition of the contractor's performance of his obligations, there must be an implied term that the site will be handed over to the contractor within a reasonable time of signing the contract, (See, e.g. Roberts v. Bury Commissioners (1870) L.R. 5 C.P. 310 at pp. 320 and 325) and, in most case, it is submitted, a sufficient degree of uninterrupted and exclusive possession to permit the contractor to carry out his work unimpeded and in the manner of his choice. This must particularly be so when a date for completion is specified in the contract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435</w:t>
      </w:r>
      <w:r>
        <w:rPr>
          <w:rFonts w:ascii="arial" w:eastAsia="arial" w:hAnsi="arial" w:cs="arial"/>
          <w:color w:val="000000"/>
          <w:sz w:val="20"/>
          <w:lang w:val="en-US" w:eastAsia="en-US" w:bidi="ar-SA"/>
        </w:rPr>
        <w:t xml:space="preserve">  A clause notifying the contractor that other contractors may be on site and that it is obligated to cooperate with them and to allow harmonious continuation of the work is not sufficient notice that the contractor would not have uninterrupted possession of the site: W.A. Stevenson Construction (Western) Limited v. Metro Canada Limited </w:t>
      </w:r>
      <w:hyperlink r:id="rId857" w:history="1">
        <w:r>
          <w:rPr>
            <w:rFonts w:ascii="arial" w:eastAsia="arial" w:hAnsi="arial" w:cs="arial"/>
            <w:i/>
            <w:color w:val="0077CC"/>
            <w:sz w:val="20"/>
            <w:u w:val="single"/>
            <w:shd w:val="clear" w:color="auto" w:fill="FFFFFF"/>
            <w:lang w:val="en-US" w:eastAsia="en-US" w:bidi="ar-SA"/>
          </w:rPr>
          <w:t>(1987), 27 C.L.R. 113</w:t>
        </w:r>
      </w:hyperlink>
      <w:r>
        <w:rPr>
          <w:rFonts w:ascii="arial" w:eastAsia="arial" w:hAnsi="arial" w:cs="arial"/>
          <w:color w:val="000000"/>
          <w:sz w:val="20"/>
          <w:lang w:val="en-US" w:eastAsia="en-US" w:bidi="ar-SA"/>
        </w:rPr>
        <w:t xml:space="preserve"> (B.C.S.C.) at p. 132 and Walter Cabott Construction Ltd. v. Canada </w:t>
      </w:r>
      <w:hyperlink r:id="rId818" w:history="1">
        <w:r>
          <w:rPr>
            <w:rFonts w:ascii="arial" w:eastAsia="arial" w:hAnsi="arial" w:cs="arial"/>
            <w:i/>
            <w:color w:val="0077CC"/>
            <w:sz w:val="20"/>
            <w:u w:val="single"/>
            <w:shd w:val="clear" w:color="auto" w:fill="FFFFFF"/>
            <w:lang w:val="en-US" w:eastAsia="en-US" w:bidi="ar-SA"/>
          </w:rPr>
          <w:t>(1975), 69 D.L.R. (3d) 542</w:t>
        </w:r>
      </w:hyperlink>
      <w:r>
        <w:rPr>
          <w:rFonts w:ascii="arial" w:eastAsia="arial" w:hAnsi="arial" w:cs="arial"/>
          <w:color w:val="000000"/>
          <w:sz w:val="20"/>
          <w:lang w:val="en-US" w:eastAsia="en-US" w:bidi="ar-SA"/>
        </w:rPr>
        <w:t xml:space="preserve"> (F.C.A.) at pp. 551-3.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436</w:t>
      </w:r>
      <w:r>
        <w:rPr>
          <w:rFonts w:ascii="arial" w:eastAsia="arial" w:hAnsi="arial" w:cs="arial"/>
          <w:color w:val="000000"/>
          <w:sz w:val="20"/>
          <w:lang w:val="en-US" w:eastAsia="en-US" w:bidi="ar-SA"/>
        </w:rPr>
        <w:t>  Even if Kemess is in a position to invoke GC 5.2 in defence of its directions relating to some parts of the work at the Millsite and the Mancamp, it is certainly not entitled to do so where the delays leading to the conflict between the needs of the two contractors were of its own making. The decision of Kemess to require Golden Hill to focus on the Airstrip resulted in Golden Hill being unable to concentrate on the Millsite as it had planned so that, when it was finally allowed to concentrate on the Millsite, it was forced to work around Western Versatile.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437</w:t>
      </w:r>
      <w:r>
        <w:rPr>
          <w:rFonts w:ascii="arial" w:eastAsia="arial" w:hAnsi="arial" w:cs="arial"/>
          <w:color w:val="000000"/>
          <w:sz w:val="20"/>
          <w:lang w:val="en-US" w:eastAsia="en-US" w:bidi="ar-SA"/>
        </w:rPr>
        <w:t>  As well, Kemess was not entitled to assume complete control where there existed a potential conflict with another contractor under GC 5.2. It was only entitled to issue directions to minimize conflict. Any broader interpretation of the rights of Kemess under GC 5.2 would render meaningless the fundamental right of Golden Hill to control the Work. In this case, the directions to Golden Hill were to enable Western Versatile to work unimpeded by the work of Golden Hill not to allow a co-ordination of the work of the two contractors.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438</w:t>
      </w:r>
      <w:r>
        <w:rPr>
          <w:rFonts w:ascii="arial" w:eastAsia="arial" w:hAnsi="arial" w:cs="arial"/>
          <w:color w:val="000000"/>
          <w:sz w:val="20"/>
          <w:lang w:val="en-US" w:eastAsia="en-US" w:bidi="ar-SA"/>
        </w:rPr>
        <w:t>  I find that Golden Hill is entitled to extra payment for having to comply with the directions of Kemess that Golden Hill work in the same areas that Western Versatile was working when that coordination was originally not contemplated under the Amended Schedule. I also find that Kemess was not in a position to provide the directions contemplated by GC 5.3. I find that the fundamental right to control the Work which is granted at common law and which was provided under General Conditions 5.0, 14.1 and 14.2 was violated by Kemess so as to constitute a breach of contract, a breach of an implied term and a 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439</w:t>
      </w:r>
      <w:r>
        <w:rPr>
          <w:rFonts w:ascii="arial" w:eastAsia="arial" w:hAnsi="arial" w:cs="arial"/>
          <w:color w:val="000000"/>
          <w:sz w:val="20"/>
          <w:lang w:val="en-US" w:eastAsia="en-US" w:bidi="ar-SA"/>
        </w:rPr>
        <w:t>  I am satisfied that Article VI did not exclude the implied obligation on Kemess. In addition to the contractual provisions, it must be implied at law that Golden Hill would have control over the Work as this is a necessary condition to the contractual relationship between the parties in order to give business efficacy to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440</w:t>
      </w:r>
      <w:r>
        <w:rPr>
          <w:rFonts w:ascii="arial" w:eastAsia="arial" w:hAnsi="arial" w:cs="arial"/>
          <w:color w:val="000000"/>
          <w:sz w:val="20"/>
          <w:lang w:val="en-US" w:eastAsia="en-US" w:bidi="ar-SA"/>
        </w:rPr>
        <w:t>  Whether or not Golden Hill was given control over the Work was entirely within the control of Kemess. The refusal to give complete control resulted in damages and, despite the provisions of GC 36.0, Golden Hill is in a position to claim those damages against Kemess.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441</w:t>
      </w:r>
      <w:r>
        <w:rPr>
          <w:rFonts w:ascii="arial" w:eastAsia="arial" w:hAnsi="arial" w:cs="arial"/>
          <w:color w:val="000000"/>
          <w:sz w:val="20"/>
          <w:lang w:val="en-US" w:eastAsia="en-US" w:bidi="ar-SA"/>
        </w:rPr>
        <w:t>  I find that Kemess breached the specific term in the Contract so that Golden Hill is entitled to damages for that breach. I also find that there was an implied representation that Golden Hill would be granted complete control over the Work subject only to the ability of Kemess to give directions in order that there could be a co-ordination of work between contractors. I am satisfied that this representation was untrue, inaccurate and misleading, that Kemess acted negligently in making the representation, and that Golden Hill reasonably relied on the misrepresentation to its detriment as damages resulted to Golden Hill as a result of its reliance.</w:t>
      </w:r>
      <w:r>
        <w:rPr>
          <w:rFonts w:ascii="arial" w:eastAsia="arial" w:hAnsi="arial" w:cs="arial"/>
          <w:sz w:val="20"/>
          <w:lang w:val="en-US" w:eastAsia="en-US" w:bidi="ar-SA"/>
        </w:rPr>
        <w:cr/>
      </w:r>
    </w:p>
    <w:p>
      <w:pPr>
        <w:numPr>
          <w:numId w:val="1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MEASURE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442</w:t>
      </w:r>
      <w:r>
        <w:rPr>
          <w:rFonts w:ascii="arial" w:eastAsia="arial" w:hAnsi="arial" w:cs="arial"/>
          <w:color w:val="000000"/>
          <w:sz w:val="20"/>
          <w:lang w:val="en-US" w:eastAsia="en-US" w:bidi="ar-SA"/>
        </w:rPr>
        <w:t>  If an owner fails to provide or continue to provide the contractor control of the work and if this failure deprives the contractor of the ability to achieve its expected production rates, the appropriate measure of damages would include: (a) the additional cost the contractor incurred as a result of the owner's failure to give it control of the work; and (b) the profit the contractor would have made had it controlled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443</w:t>
      </w:r>
      <w:r>
        <w:rPr>
          <w:rFonts w:ascii="arial" w:eastAsia="arial" w:hAnsi="arial" w:cs="arial"/>
          <w:color w:val="000000"/>
          <w:sz w:val="20"/>
          <w:lang w:val="en-US" w:eastAsia="en-US" w:bidi="ar-SA"/>
        </w:rPr>
        <w:t>  If GC 5.0 had not been breached, Golden Hill would have been paid for its costs of the Work and would have made a profit of approximately 5%. However, Golden Hill was required to perform the Work in a different sequence than it planned and so incurred the cost of doing the Work in a less than productive order and manner, including losses associated with poor productivity and the double handling of soils.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444</w:t>
      </w:r>
      <w:r>
        <w:rPr>
          <w:rFonts w:ascii="arial" w:eastAsia="arial" w:hAnsi="arial" w:cs="arial"/>
          <w:color w:val="000000"/>
          <w:sz w:val="20"/>
          <w:lang w:val="en-US" w:eastAsia="en-US" w:bidi="ar-SA"/>
        </w:rPr>
        <w:t xml:space="preserve">  Kemess relies on the decision in Award Industries (Mechanical) Ltd. v. Canada, </w:t>
      </w:r>
      <w:hyperlink r:id="rId858" w:history="1">
        <w:r>
          <w:rPr>
            <w:rFonts w:ascii="arial" w:eastAsia="arial" w:hAnsi="arial" w:cs="arial"/>
            <w:i/>
            <w:color w:val="0077CC"/>
            <w:sz w:val="20"/>
            <w:u w:val="single"/>
            <w:shd w:val="clear" w:color="auto" w:fill="FFFFFF"/>
            <w:lang w:val="en-US" w:eastAsia="en-US" w:bidi="ar-SA"/>
          </w:rPr>
          <w:t>[1983] F.C.J. No. 133</w:t>
        </w:r>
      </w:hyperlink>
      <w:r>
        <w:rPr>
          <w:rFonts w:ascii="arial" w:eastAsia="arial" w:hAnsi="arial" w:cs="arial"/>
          <w:color w:val="000000"/>
          <w:sz w:val="20"/>
          <w:lang w:val="en-US" w:eastAsia="en-US" w:bidi="ar-SA"/>
        </w:rPr>
        <w:t xml:space="preserve"> (T.D.) for the proposition that, if a plaintiff can adduce evidence to establish losses arising from loss of control of the Work, then it must do so if it wishes to recover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Award was, at times required to execute work out of sequence. This undoubtedly added to the cost. The amount, however, cannot be determined as there is a lack of evidence as to the precise nature, extent or number of all these occurrences. Evidence could have been adduced to establish this element of the claim. (at p.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445</w:t>
      </w:r>
      <w:r>
        <w:rPr>
          <w:rFonts w:ascii="arial" w:eastAsia="arial" w:hAnsi="arial" w:cs="arial"/>
          <w:color w:val="000000"/>
          <w:sz w:val="20"/>
          <w:lang w:val="en-US" w:eastAsia="en-US" w:bidi="ar-SA"/>
        </w:rPr>
        <w:t>  I am satisfied that the decision in Award can be distinguished on the basis that it involved an interpretation of a contractual provision which imposed on the contractor the obligation to "maintain full records of his estimates and actual costs". With respect to such a term,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there exists a contractual obligation to maintain proper records, that obligation is not absolute nor of the essence of the contract in the sense that any default whatsoever in complying with it will constitute an absolute bar to all recovery under the contract. Effect, however, must be given to such a contractual obligation and where it has not been complied with, the party in default would normally be barred by reason of his breach from establishing by means of others' evidence matters regarding which he was contractually obliged to maintain proper records. (at p.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446</w:t>
      </w:r>
      <w:r>
        <w:rPr>
          <w:rFonts w:ascii="arial" w:eastAsia="arial" w:hAnsi="arial" w:cs="arial"/>
          <w:color w:val="000000"/>
          <w:sz w:val="20"/>
          <w:lang w:val="en-US" w:eastAsia="en-US" w:bidi="ar-SA"/>
        </w:rPr>
        <w:t>  I am satisfied that it is not necessary for Golden Hill to prove those damages which were attributable only to this breach of contract and this tortious act when Kemess took control of the Work away from Golden Hill. As developed in more detail in the sections of this judgment dealing with the "total cost" approach of Golden Hill and "loss of productivity", I reject this submission by Kemess.</w:t>
      </w:r>
      <w:r>
        <w:rPr>
          <w:rFonts w:ascii="arial" w:eastAsia="arial" w:hAnsi="arial" w:cs="arial"/>
          <w:sz w:val="20"/>
          <w:lang w:val="en-US" w:eastAsia="en-US" w:bidi="ar-SA"/>
        </w:rPr>
        <w:cr/>
      </w:r>
    </w:p>
    <w:p>
      <w:pPr>
        <w:numPr>
          <w:numId w:val="1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OBTAIN PERMITS IN A TIMELY MANNER</w:t>
      </w:r>
    </w:p>
    <w:p>
      <w:pPr>
        <w:numPr>
          <w:numId w:val="1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OBLIGATION TO OBTAIN PERMITS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447</w:t>
      </w:r>
      <w:r>
        <w:rPr>
          <w:rFonts w:ascii="arial" w:eastAsia="arial" w:hAnsi="arial" w:cs="arial"/>
          <w:color w:val="000000"/>
          <w:sz w:val="20"/>
          <w:lang w:val="en-US" w:eastAsia="en-US" w:bidi="ar-SA"/>
        </w:rPr>
        <w:t>  There was an implied representation in the Tender Documents that Kemess undertook to obtain any of the required approvals or permits in a timely manner and that Kemess would not allow the permitting to delay the commencement or the continuation of the Work. Golden Hill reasonably relied on that representation as this would be in accordance with the right of Golden Hill to conduct the Work in a manner conducive with the economy of construction. The Work was delayed as the approvals and permits were not obtained on a timely basis and that it has suffered damages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448</w:t>
      </w:r>
      <w:r>
        <w:rPr>
          <w:rFonts w:ascii="arial" w:eastAsia="arial" w:hAnsi="arial" w:cs="arial"/>
          <w:color w:val="000000"/>
          <w:sz w:val="20"/>
          <w:lang w:val="en-US" w:eastAsia="en-US" w:bidi="ar-SA"/>
        </w:rPr>
        <w:t>  The failure to obtain all permits, licences and certificates in a timely manner was also a breach of contract as GC 25.2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Contractor shall obtain all permits, licences and certificates required in the performance of the Work, and pay all fees in connection therewith, excepting only...approvals of Departments or Ministries of Government in connection with the use and occupancy of the permanent Work....</w:t>
      </w:r>
    </w:p>
    <w:p>
      <w:pPr>
        <w:numPr>
          <w:numId w:val="1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PERMITS TO CONSTRUCT AND LOG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449</w:t>
      </w:r>
      <w:r>
        <w:rPr>
          <w:rFonts w:ascii="arial" w:eastAsia="arial" w:hAnsi="arial" w:cs="arial"/>
          <w:color w:val="000000"/>
          <w:sz w:val="20"/>
          <w:lang w:val="en-US" w:eastAsia="en-US" w:bidi="ar-SA"/>
        </w:rPr>
        <w:t xml:space="preserve">  Provincial legislation required Kemess to obtain two basic land use permits before work could start on the Project. Kemess was required to apply under the Mines Act, </w:t>
      </w:r>
      <w:r>
        <w:rPr>
          <w:rFonts w:ascii="arial" w:eastAsia="arial" w:hAnsi="arial" w:cs="arial"/>
          <w:i/>
          <w:color w:val="000000"/>
          <w:sz w:val="20"/>
          <w:lang w:val="en-US" w:eastAsia="en-US" w:bidi="ar-SA"/>
        </w:rPr>
        <w:t>R.S.B.C. 1996, c. 293</w:t>
      </w:r>
      <w:r>
        <w:rPr>
          <w:rFonts w:ascii="arial" w:eastAsia="arial" w:hAnsi="arial" w:cs="arial"/>
          <w:color w:val="000000"/>
          <w:sz w:val="20"/>
          <w:lang w:val="en-US" w:eastAsia="en-US" w:bidi="ar-SA"/>
        </w:rPr>
        <w:t xml:space="preserve"> for a permit approving a mine plan and reclamation program and to apply under the Forest Act, </w:t>
      </w:r>
      <w:r>
        <w:rPr>
          <w:rFonts w:ascii="arial" w:eastAsia="arial" w:hAnsi="arial" w:cs="arial"/>
          <w:i/>
          <w:color w:val="000000"/>
          <w:sz w:val="20"/>
          <w:lang w:val="en-US" w:eastAsia="en-US" w:bidi="ar-SA"/>
        </w:rPr>
        <w:t>R.S.B.C. 1996, c. 157</w:t>
      </w:r>
      <w:r>
        <w:rPr>
          <w:rFonts w:ascii="arial" w:eastAsia="arial" w:hAnsi="arial" w:cs="arial"/>
          <w:color w:val="000000"/>
          <w:sz w:val="20"/>
          <w:lang w:val="en-US" w:eastAsia="en-US" w:bidi="ar-SA"/>
        </w:rPr>
        <w:t xml:space="preserve"> for a "licence to cut" before it could start clearing the Site of timber.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450</w:t>
      </w:r>
      <w:r>
        <w:rPr>
          <w:rFonts w:ascii="arial" w:eastAsia="arial" w:hAnsi="arial" w:cs="arial"/>
          <w:color w:val="000000"/>
          <w:sz w:val="20"/>
          <w:lang w:val="en-US" w:eastAsia="en-US" w:bidi="ar-SA"/>
        </w:rPr>
        <w:t>  Kemess did not apply for a Licence to Cut until some time after May 17. By June 29, Royal Oak was not expecting to receive a permit approving the Mine Plan and Reclamation Program for the pre-production phase of the Project until July 12 or 15, approximately 6 weeks later than the original expected construction start-up date of June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451</w:t>
      </w:r>
      <w:r>
        <w:rPr>
          <w:rFonts w:ascii="arial" w:eastAsia="arial" w:hAnsi="arial" w:cs="arial"/>
          <w:color w:val="000000"/>
          <w:sz w:val="20"/>
          <w:lang w:val="en-US" w:eastAsia="en-US" w:bidi="ar-SA"/>
        </w:rPr>
        <w:t>  I find that Kemess did not tell Golden Hill that it did not expect to be able to disturb the ground at the Site until mid-July despite the fact that Golden Hill had delivered the Amended Schedule indicating construction start-up in the third week of June. In fact, at the Post Tender Meeting, Mr. Rudolph was advised that all permits would be available within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452</w:t>
      </w:r>
      <w:r>
        <w:rPr>
          <w:rFonts w:ascii="arial" w:eastAsia="arial" w:hAnsi="arial" w:cs="arial"/>
          <w:color w:val="000000"/>
          <w:sz w:val="20"/>
          <w:lang w:val="en-US" w:eastAsia="en-US" w:bidi="ar-SA"/>
        </w:rPr>
        <w:t>  While Golden Hill was in a position to start line clearing on the Millsite for survey purposes without a clearing permit, other work at the Millsite was considerably delayed when the Mine Plan and Licence to Cut was not available until July 12. In the Site Review Minutes of August 3, Messrs. Koski and Rempel acknowledged that Kemess accepted responsibility for delays caused by not getting the appropriate permits in a timely fashion.</w:t>
      </w:r>
      <w:r>
        <w:rPr>
          <w:rFonts w:ascii="arial" w:eastAsia="arial" w:hAnsi="arial" w:cs="arial"/>
          <w:sz w:val="20"/>
          <w:lang w:val="en-US" w:eastAsia="en-US" w:bidi="ar-SA"/>
        </w:rPr>
        <w:cr/>
      </w:r>
    </w:p>
    <w:p>
      <w:pPr>
        <w:numPr>
          <w:numId w:val="1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ARCHAEOLOGICAL ASSESSMENT AND WORK AT THE AIRSTRIP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453</w:t>
      </w:r>
      <w:r>
        <w:rPr>
          <w:rFonts w:ascii="arial" w:eastAsia="arial" w:hAnsi="arial" w:cs="arial"/>
          <w:color w:val="000000"/>
          <w:sz w:val="20"/>
          <w:lang w:val="en-US" w:eastAsia="en-US" w:bidi="ar-SA"/>
        </w:rPr>
        <w:t>  While Mr. Koski knew as early as February, 1996 that an archaeological assessment was required at the Airstrip, Kemess did not immediately advise Golden Hill that it was not in a position to disturb the 500 metre long archaeological area at the south end of the Airstrip until such a survey was complete. Kemess did not receive a permit for conducting that archaeological assessment until July 11 and the assessment did not start until the week of July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454</w:t>
      </w:r>
      <w:r>
        <w:rPr>
          <w:rFonts w:ascii="arial" w:eastAsia="arial" w:hAnsi="arial" w:cs="arial"/>
          <w:color w:val="000000"/>
          <w:sz w:val="20"/>
          <w:lang w:val="en-US" w:eastAsia="en-US" w:bidi="ar-SA"/>
        </w:rPr>
        <w:t>  In a July 12 letter from Kemess, Golden Hill was advised that it could not disturb any of the soil on the Airstrip until Kemess obtained an excavation permit and, although it would be allowed to clear and pile the trees on the north end of the Airstrip, Golden Hill would not be allowed to grub the roots and stumps. On that date, Golden Hill had one Cat D7 and two Cat D8 bulldozers on Site available to start clearing operations. The order of the Work contemplated by Golden Hill was significantly disrupted as a result of the failure to complete the archaeological assessment and obtain the necessary excavation permit.</w:t>
      </w:r>
      <w:r>
        <w:rPr>
          <w:rFonts w:ascii="arial" w:eastAsia="arial" w:hAnsi="arial" w:cs="arial"/>
          <w:sz w:val="20"/>
          <w:lang w:val="en-US" w:eastAsia="en-US" w:bidi="ar-SA"/>
        </w:rPr>
        <w:cr/>
      </w:r>
    </w:p>
    <w:p>
      <w:pPr>
        <w:numPr>
          <w:numId w:val="1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DELAYS ALLEGED AND INCONVENIENCE CAUSED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455</w:t>
      </w:r>
      <w:r>
        <w:rPr>
          <w:rFonts w:ascii="arial" w:eastAsia="arial" w:hAnsi="arial" w:cs="arial"/>
          <w:color w:val="000000"/>
          <w:sz w:val="20"/>
          <w:lang w:val="en-US" w:eastAsia="en-US" w:bidi="ar-SA"/>
        </w:rPr>
        <w:t>  On July 23, Golden Hill notified Kemess in writing that delays relating to permits and archaeological studies had impeded the progress of the clearing operations at the Airstrip and had delayed the Amended Schedule. While clearing operations were ongoing at the Millsite, while clearing, grubbing, and stripping operations were ongoing at the Airstrip, and while grubbing operations were ongoing at the Mancamp, Golden Hill had not started earthworks on any part of the Site by July 30 even though earthworks was originally scheduled to start at the Airstrip on July 21 and at the Millsite and Mancamp on July 23 and rough grading was originally scheduled to start at the Mancamp on July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456</w:t>
      </w:r>
      <w:r>
        <w:rPr>
          <w:rFonts w:ascii="arial" w:eastAsia="arial" w:hAnsi="arial" w:cs="arial"/>
          <w:color w:val="000000"/>
          <w:sz w:val="20"/>
          <w:lang w:val="en-US" w:eastAsia="en-US" w:bidi="ar-SA"/>
        </w:rPr>
        <w:t>  The schedule for the Work as specified in the Tender Documents indicated that Kemess wanted the successful bidder to start earthworks on the Site no longer than July 8 and to complete rough grading for the Mancamp no later than July 15.</w:t>
      </w:r>
      <w:r>
        <w:rPr>
          <w:rFonts w:ascii="arial" w:eastAsia="arial" w:hAnsi="arial" w:cs="arial"/>
          <w:sz w:val="20"/>
          <w:lang w:val="en-US" w:eastAsia="en-US" w:bidi="ar-SA"/>
        </w:rPr>
        <w:cr/>
      </w:r>
    </w:p>
    <w:p>
      <w:pPr>
        <w:numPr>
          <w:numId w:val="1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IT AN IMPLIED TERM THAT PERMITS WILL BE AVAILABLE IN A TIMELY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457</w:t>
      </w:r>
      <w:r>
        <w:rPr>
          <w:rFonts w:ascii="arial" w:eastAsia="arial" w:hAnsi="arial" w:cs="arial"/>
          <w:color w:val="000000"/>
          <w:sz w:val="20"/>
          <w:lang w:val="en-US" w:eastAsia="en-US" w:bidi="ar-SA"/>
        </w:rPr>
        <w:t>  I find that it was an implied term of the Contract that Kemess would obtain all approvals from Departments or Ministries of Government. The question which then arises is whether it is an implied term that Kemess would complete all steps including permits and approvals so that Golden Hill could complete its tasks in the most cost-efficient and time-efficient manner possible. I am satisfied that such an obligation must be an implied term in the Contract between the parties. Just as with the provision of design information, it is a legal incident to construction contracts that all necessary permits be in place in a timely manner so contractors who are subject to fixed schedules and fixed completion dates will have the ability to control the Work. If some permits are not available, then the order of the Work must be changed and this leads to inefficiencies in the operation. If permits are not in place so that the Work cannot start, then the requirement that a contractor work within the fixed schedule and work towards a fixed completion date amounts to an acceleration of the Work and an inability of the contractor to control the Work in accordance with the originally contemplated plan for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458</w:t>
      </w:r>
      <w:r>
        <w:rPr>
          <w:rFonts w:ascii="arial" w:eastAsia="arial" w:hAnsi="arial" w:cs="arial"/>
          <w:color w:val="000000"/>
          <w:sz w:val="20"/>
          <w:lang w:val="en-US" w:eastAsia="en-US" w:bidi="ar-SA"/>
        </w:rPr>
        <w:t xml:space="preserve">  The Court in Ellis-Don Ltd. v. Parking Authority of Toronto </w:t>
      </w:r>
      <w:hyperlink r:id="rId859" w:history="1">
        <w:r>
          <w:rPr>
            <w:rFonts w:ascii="arial" w:eastAsia="arial" w:hAnsi="arial" w:cs="arial"/>
            <w:i/>
            <w:color w:val="0077CC"/>
            <w:sz w:val="20"/>
            <w:u w:val="single"/>
            <w:shd w:val="clear" w:color="auto" w:fill="FFFFFF"/>
            <w:lang w:val="en-US" w:eastAsia="en-US" w:bidi="ar-SA"/>
          </w:rPr>
          <w:t>(1978), 7 C.L.R. 82</w:t>
        </w:r>
      </w:hyperlink>
      <w:r>
        <w:rPr>
          <w:rFonts w:ascii="arial" w:eastAsia="arial" w:hAnsi="arial" w:cs="arial"/>
          <w:color w:val="000000"/>
          <w:sz w:val="20"/>
          <w:lang w:val="en-US" w:eastAsia="en-US" w:bidi="ar-SA"/>
        </w:rPr>
        <w:t xml:space="preserve"> (Ont. H.C.) confirmed that it was an implied term that a permit would be provided prior to the date of the work beginning: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also my view that it is implicit in the wording of the contract that the Parking Authority was to have obtained the excavation permit and any other needed building permits at least as soon after the signing of the contract as the plaintiff could be ready to commence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say that the Parking Authority was obligated to have obtained the excavation permit and any other required building permits by April 9, 1973 at the latest for several reasons which I list as follows:</w:t>
      </w:r>
    </w:p>
    <w:p>
      <w:pPr>
        <w:numPr>
          <w:numId w:val="1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contract imposed on the plaintiff the obligation to have the project completed within 52 weeks from the date the contract was signed. If the plaintiff was aware the excavation permit would not be available for eight weeks then it would have agreed to complete the work in 60 weeks rather than 52 weeks, knowing no work would be done in the first eight weeks after the contract was signed. (at paras. 14-15).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459</w:t>
      </w:r>
      <w:r>
        <w:rPr>
          <w:rFonts w:ascii="arial" w:eastAsia="arial" w:hAnsi="arial" w:cs="arial"/>
          <w:color w:val="000000"/>
          <w:sz w:val="20"/>
          <w:lang w:val="en-US" w:eastAsia="en-US" w:bidi="ar-SA"/>
        </w:rPr>
        <w:t>  Kemess breached the implied term that it would obtain the required approvals and permits in a timely manner. Kemess also breached the Contract provision in GC 25.2. The archaeological assessment, the mine plan permit and the licence to cut were received many days after Golden Hill arrived on Site and was expected to start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460</w:t>
      </w:r>
      <w:r>
        <w:rPr>
          <w:rFonts w:ascii="arial" w:eastAsia="arial" w:hAnsi="arial" w:cs="arial"/>
          <w:color w:val="000000"/>
          <w:sz w:val="20"/>
          <w:lang w:val="en-US" w:eastAsia="en-US" w:bidi="ar-SA"/>
        </w:rPr>
        <w:t>  Kemess relies on Article VI to exclude the implication of this representation and submits that Golden Hill did not rely on the representations as it chose to mobilize before the Contract was awarded and chose to mobilize and arrive on the Site before receiving notice to proceed knowing that the permits were not in place. Kemess submits that it is at the risk of Golden Hill if it decided to start the Work before receiving a Notice to Proceed and with the knowledge that Kemess did not have all of its permits in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461</w:t>
      </w:r>
      <w:r>
        <w:rPr>
          <w:rFonts w:ascii="arial" w:eastAsia="arial" w:hAnsi="arial" w:cs="arial"/>
          <w:color w:val="000000"/>
          <w:sz w:val="20"/>
          <w:lang w:val="en-US" w:eastAsia="en-US" w:bidi="ar-SA"/>
        </w:rPr>
        <w:t>  Both Kemess and Golden Hill ignored the stipulation that Work should not commence until a Notice to Proceed was received. In fact, such a Notice was never given. As well, Kemess took no steps to stop the Work even though the permits were not in place. Accordingly, Kemess also placed no reliance on the term and implied term that the Work could only start after a Notice to Proceed had been forwarded and after all the permits were in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462</w:t>
      </w:r>
      <w:r>
        <w:rPr>
          <w:rFonts w:ascii="arial" w:eastAsia="arial" w:hAnsi="arial" w:cs="arial"/>
          <w:color w:val="000000"/>
          <w:sz w:val="20"/>
          <w:lang w:val="en-US" w:eastAsia="en-US" w:bidi="ar-SA"/>
        </w:rPr>
        <w:t>  Kemess relies on GC 36.0 to submit that Golden Hill is only entitled to an extension of the time to undertake the Work and is not entitled to damages. However, the question of when and whether Kemess applied for the necessary permits was completely within the control of Kemess. Accordingly, I am satisfied that the failure of Kemess to arrange for the permits in a timely manner, to have all necessary permits in place before mobilization to the Site occurred and to have all necessary permits in place so that the Work in any particular area was not impeded was a failure of performance which was within the control of Kemess so that GC 36.0 does not prohibit a claim by Golden Hill for damages arising out of these failures by Kemess.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463</w:t>
      </w:r>
      <w:r>
        <w:rPr>
          <w:rFonts w:ascii="arial" w:eastAsia="arial" w:hAnsi="arial" w:cs="arial"/>
          <w:color w:val="000000"/>
          <w:sz w:val="20"/>
          <w:lang w:val="en-US" w:eastAsia="en-US" w:bidi="ar-SA"/>
        </w:rPr>
        <w:t>  Golden Hill is in a position to look to Kemess for any damages associated with its inability to start the clearing at the Millsite as planned, to grub the roots and stumps over all of the Airstrip, and to start earthworks on any part of the Site as planned. I find that Kemess breached the specific term in the Contract as well as the implied representation that it would obtain permits in a timely manner. As to the implied representation, Golden Hill reasonably relied on the representation to its detriment.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464</w:t>
      </w:r>
      <w:r>
        <w:rPr>
          <w:rFonts w:ascii="arial" w:eastAsia="arial" w:hAnsi="arial" w:cs="arial"/>
          <w:color w:val="000000"/>
          <w:sz w:val="20"/>
          <w:lang w:val="en-US" w:eastAsia="en-US" w:bidi="ar-SA"/>
        </w:rPr>
        <w:t>  I am satisfied that Article VI did not exclude the implied term that all permits would be in place prior to the Work commencing or that the necessary permits would be in place prior to when it was contemplated that particular work on the Site would be commenced as this implied term is a necessary condition to the contractual relationship in order to give business efficacy to the Contract.</w:t>
      </w:r>
      <w:r>
        <w:rPr>
          <w:rFonts w:ascii="arial" w:eastAsia="arial" w:hAnsi="arial" w:cs="arial"/>
          <w:sz w:val="20"/>
          <w:lang w:val="en-US" w:eastAsia="en-US" w:bidi="ar-SA"/>
        </w:rPr>
        <w:cr/>
      </w:r>
    </w:p>
    <w:p>
      <w:pPr>
        <w:numPr>
          <w:numId w:val="1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PROVISION OF APPROPRIATE, TIMELY AND SUFFICIENTLY COMPLETE INFORMATION PRE TENDER AND POST TENDER</w:t>
      </w:r>
    </w:p>
    <w:p>
      <w:pPr>
        <w:numPr>
          <w:numId w:val="1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OBLIGATIONS OF KEMESS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465</w:t>
      </w:r>
      <w:r>
        <w:rPr>
          <w:rFonts w:ascii="arial" w:eastAsia="arial" w:hAnsi="arial" w:cs="arial"/>
          <w:color w:val="000000"/>
          <w:sz w:val="20"/>
          <w:lang w:val="en-US" w:eastAsia="en-US" w:bidi="ar-SA"/>
        </w:rPr>
        <w:t xml:space="preserve">  An owner in a tender situation is obliged to disclose the best information that it can provide regarding a project: Opron Construction Co. v. Alberta </w:t>
      </w:r>
      <w:hyperlink r:id="rId826" w:history="1">
        <w:r>
          <w:rPr>
            <w:rFonts w:ascii="arial" w:eastAsia="arial" w:hAnsi="arial" w:cs="arial"/>
            <w:i/>
            <w:color w:val="0077CC"/>
            <w:sz w:val="20"/>
            <w:u w:val="single"/>
            <w:shd w:val="clear" w:color="auto" w:fill="FFFFFF"/>
            <w:lang w:val="en-US" w:eastAsia="en-US" w:bidi="ar-SA"/>
          </w:rPr>
          <w:t>(1994), 14 C.L.R. (2d) 97</w:t>
        </w:r>
      </w:hyperlink>
      <w:r>
        <w:rPr>
          <w:rFonts w:ascii="arial" w:eastAsia="arial" w:hAnsi="arial" w:cs="arial"/>
          <w:color w:val="000000"/>
          <w:sz w:val="20"/>
          <w:lang w:val="en-US" w:eastAsia="en-US" w:bidi="ar-SA"/>
        </w:rPr>
        <w:t xml:space="preserve"> (Alta. Q.B.) at pp. 122-5 and 208-12; Foundation Co. of Canada v. United Grain Growers Ltd. </w:t>
      </w:r>
      <w:hyperlink r:id="rId820" w:history="1">
        <w:r>
          <w:rPr>
            <w:rFonts w:ascii="arial" w:eastAsia="arial" w:hAnsi="arial" w:cs="arial"/>
            <w:i/>
            <w:color w:val="0077CC"/>
            <w:sz w:val="20"/>
            <w:u w:val="single"/>
            <w:shd w:val="clear" w:color="auto" w:fill="FFFFFF"/>
            <w:lang w:val="en-US" w:eastAsia="en-US" w:bidi="ar-SA"/>
          </w:rPr>
          <w:t>(1995), 25 C.L.R. (2d) 1</w:t>
        </w:r>
      </w:hyperlink>
      <w:r>
        <w:rPr>
          <w:rFonts w:ascii="arial" w:eastAsia="arial" w:hAnsi="arial" w:cs="arial"/>
          <w:color w:val="000000"/>
          <w:sz w:val="20"/>
          <w:lang w:val="en-US" w:eastAsia="en-US" w:bidi="ar-SA"/>
        </w:rPr>
        <w:t xml:space="preserve"> (B.C.S.C.) and </w:t>
      </w:r>
      <w:hyperlink r:id="rId821" w:history="1">
        <w:r>
          <w:rPr>
            <w:rFonts w:ascii="arial" w:eastAsia="arial" w:hAnsi="arial" w:cs="arial"/>
            <w:i/>
            <w:color w:val="0077CC"/>
            <w:sz w:val="20"/>
            <w:u w:val="single"/>
            <w:shd w:val="clear" w:color="auto" w:fill="FFFFFF"/>
            <w:lang w:val="en-US" w:eastAsia="en-US" w:bidi="ar-SA"/>
          </w:rPr>
          <w:t>(1997), 34 B.C.L.R. (3d) 92</w:t>
        </w:r>
      </w:hyperlink>
      <w:r>
        <w:rPr>
          <w:rFonts w:ascii="arial" w:eastAsia="arial" w:hAnsi="arial" w:cs="arial"/>
          <w:color w:val="000000"/>
          <w:sz w:val="20"/>
          <w:lang w:val="en-US" w:eastAsia="en-US" w:bidi="ar-SA"/>
        </w:rPr>
        <w:t xml:space="preserve"> (B.C.C.A.) at pp. 27-8, 103, and 105-7; JJM Construction Ltd. v. Sandspit Harbour Society </w:t>
      </w:r>
      <w:hyperlink r:id="rId838" w:history="1">
        <w:r>
          <w:rPr>
            <w:rFonts w:ascii="arial" w:eastAsia="arial" w:hAnsi="arial" w:cs="arial"/>
            <w:i/>
            <w:color w:val="0077CC"/>
            <w:sz w:val="20"/>
            <w:u w:val="single"/>
            <w:shd w:val="clear" w:color="auto" w:fill="FFFFFF"/>
            <w:lang w:val="en-US" w:eastAsia="en-US" w:bidi="ar-SA"/>
          </w:rPr>
          <w:t>(1999), 71 B.C.L.R. (3d) 166</w:t>
        </w:r>
      </w:hyperlink>
      <w:r>
        <w:rPr>
          <w:rFonts w:ascii="arial" w:eastAsia="arial" w:hAnsi="arial" w:cs="arial"/>
          <w:color w:val="000000"/>
          <w:sz w:val="20"/>
          <w:lang w:val="en-US" w:eastAsia="en-US" w:bidi="ar-SA"/>
        </w:rPr>
        <w:t xml:space="preserve"> (B.C.C.A.) at pp. 172-3 and Begro Construction Ltd. v. St. Mary River Irrigation District </w:t>
      </w:r>
      <w:hyperlink r:id="rId825" w:history="1">
        <w:r>
          <w:rPr>
            <w:rFonts w:ascii="arial" w:eastAsia="arial" w:hAnsi="arial" w:cs="arial"/>
            <w:i/>
            <w:color w:val="0077CC"/>
            <w:sz w:val="20"/>
            <w:u w:val="single"/>
            <w:shd w:val="clear" w:color="auto" w:fill="FFFFFF"/>
            <w:lang w:val="en-US" w:eastAsia="en-US" w:bidi="ar-SA"/>
          </w:rPr>
          <w:t>(1994), 15 C.L.R. (2d) 150</w:t>
        </w:r>
      </w:hyperlink>
      <w:r>
        <w:rPr>
          <w:rFonts w:ascii="arial" w:eastAsia="arial" w:hAnsi="arial" w:cs="arial"/>
          <w:color w:val="000000"/>
          <w:sz w:val="20"/>
          <w:lang w:val="en-US" w:eastAsia="en-US" w:bidi="ar-SA"/>
        </w:rPr>
        <w:t xml:space="preserve"> (Alta. Q.B.) at pp. 153, 185-192.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466</w:t>
      </w:r>
      <w:r>
        <w:rPr>
          <w:rFonts w:ascii="arial" w:eastAsia="arial" w:hAnsi="arial" w:cs="arial"/>
          <w:color w:val="000000"/>
          <w:sz w:val="20"/>
          <w:lang w:val="en-US" w:eastAsia="en-US" w:bidi="ar-SA"/>
        </w:rPr>
        <w:t>  I find that it is an implied term of the Contract and an implied representation that Kemess would provide sufficient investigation as well as consistent, completed and/or sufficiently completed design information, drawings and instructions in order to allow bidders to prepare reasonable unit prices in their bids.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467</w:t>
      </w:r>
      <w:r>
        <w:rPr>
          <w:rFonts w:ascii="arial" w:eastAsia="arial" w:hAnsi="arial" w:cs="arial"/>
          <w:color w:val="000000"/>
          <w:sz w:val="20"/>
          <w:lang w:val="en-US" w:eastAsia="en-US" w:bidi="ar-SA"/>
        </w:rPr>
        <w:t xml:space="preserve">  Those who prepare tender documents have a duty to exercise reasonable care to ensure that the information presented in tender documents reflects with reasonable accuracy the nature of the work and its factual components so that bidders can prepare a proper bid: Cardinal Construction Ltd. v. Brockville (City) </w:t>
      </w:r>
      <w:hyperlink r:id="rId824" w:history="1">
        <w:r>
          <w:rPr>
            <w:rFonts w:ascii="arial" w:eastAsia="arial" w:hAnsi="arial" w:cs="arial"/>
            <w:i/>
            <w:color w:val="0077CC"/>
            <w:sz w:val="20"/>
            <w:u w:val="single"/>
            <w:shd w:val="clear" w:color="auto" w:fill="FFFFFF"/>
            <w:lang w:val="en-US" w:eastAsia="en-US" w:bidi="ar-SA"/>
          </w:rPr>
          <w:t>(1984), 4 C.L.R. 149</w:t>
        </w:r>
      </w:hyperlink>
      <w:r>
        <w:rPr>
          <w:rFonts w:ascii="arial" w:eastAsia="arial" w:hAnsi="arial" w:cs="arial"/>
          <w:color w:val="000000"/>
          <w:sz w:val="20"/>
          <w:lang w:val="en-US" w:eastAsia="en-US" w:bidi="ar-SA"/>
        </w:rPr>
        <w:t xml:space="preserve"> (Ont. H.C.J.) at p. 162.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468</w:t>
      </w:r>
      <w:r>
        <w:rPr>
          <w:rFonts w:ascii="arial" w:eastAsia="arial" w:hAnsi="arial" w:cs="arial"/>
          <w:color w:val="000000"/>
          <w:sz w:val="20"/>
          <w:lang w:val="en-US" w:eastAsia="en-US" w:bidi="ar-SA"/>
        </w:rPr>
        <w:t>  This fundamental term was emphasized in JJM Construction Ltd., supra, where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an owner owes a duty to a builder to take reasonable care in the preparation of bid documents. The bidder is entitled to an accurate and full description of the nature of the work and its factual components. (at p. 173).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469</w:t>
      </w:r>
      <w:r>
        <w:rPr>
          <w:rFonts w:ascii="arial" w:eastAsia="arial" w:hAnsi="arial" w:cs="arial"/>
          <w:color w:val="000000"/>
          <w:sz w:val="20"/>
          <w:lang w:val="en-US" w:eastAsia="en-US" w:bidi="ar-SA"/>
        </w:rPr>
        <w:t>  While it is not fundamental that the design or investigation be complete where the tenders are sought on a "design/build" or a "cost/plus/hourly" contract basis, it is fundamental that this information be available on unit price contracts as the tenderer is relying on the best information possible in setting its unit prices. As stated in Cardinal Construction, supra: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the general principle that a bidder is entitled and expected to rely on the tender documents as conveying the best information the engineer can give, it is not good enough in my opinion to provide information that is misleading, incomplete or inaccurate, with the intention that the more experienced or knowledgeable bidder will ferret out the problems from 'clues'. The information should be clear and intelligible to all bidders... (at p. 170).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470</w:t>
      </w:r>
      <w:r>
        <w:rPr>
          <w:rFonts w:ascii="arial" w:eastAsia="arial" w:hAnsi="arial" w:cs="arial"/>
          <w:color w:val="000000"/>
          <w:sz w:val="20"/>
          <w:lang w:val="en-US" w:eastAsia="en-US" w:bidi="ar-SA"/>
        </w:rPr>
        <w:t xml:space="preserve">  Regarding the implied representation, the duty is not a duty of full disclosure but rather a duty to take such reasonable care as the circumstances require: Queen v. Cognos Inc. </w:t>
      </w:r>
      <w:hyperlink r:id="rId337" w:history="1">
        <w:r>
          <w:rPr>
            <w:rFonts w:ascii="arial" w:eastAsia="arial" w:hAnsi="arial" w:cs="arial"/>
            <w:i/>
            <w:color w:val="0077CC"/>
            <w:sz w:val="20"/>
            <w:u w:val="single"/>
            <w:shd w:val="clear" w:color="auto" w:fill="FFFFFF"/>
            <w:lang w:val="en-US" w:eastAsia="en-US" w:bidi="ar-SA"/>
          </w:rPr>
          <w:t>(1993), 99 D.L.R. (4th) 626</w:t>
        </w:r>
      </w:hyperlink>
      <w:r>
        <w:rPr>
          <w:rFonts w:ascii="arial" w:eastAsia="arial" w:hAnsi="arial" w:cs="arial"/>
          <w:color w:val="000000"/>
          <w:sz w:val="20"/>
          <w:lang w:val="en-US" w:eastAsia="en-US" w:bidi="ar-SA"/>
        </w:rPr>
        <w:t xml:space="preserve"> (S.C.C.). In the circumstances, it was reasonable for Golden Hill to rely on this implied representation because Kemess had asked for unit prices and, in order to provide such prices, Golden Hill was required to make some basic assumptions about the feasibility of the construction of the Work and about the accuracy and completeness of the available engineering and design information in order to provide its unit prices.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471</w:t>
      </w:r>
      <w:r>
        <w:rPr>
          <w:rFonts w:ascii="arial" w:eastAsia="arial" w:hAnsi="arial" w:cs="arial"/>
          <w:color w:val="000000"/>
          <w:sz w:val="20"/>
          <w:lang w:val="en-US" w:eastAsia="en-US" w:bidi="ar-SA"/>
        </w:rPr>
        <w:t>  As well, the owner's duty to make full and complete disclosure is ongoing and continues throughout the course of construction: Foundation Co. of Canada, supra, at p. 106.</w:t>
      </w:r>
      <w:r>
        <w:rPr>
          <w:rFonts w:ascii="arial" w:eastAsia="arial" w:hAnsi="arial" w:cs="arial"/>
          <w:sz w:val="20"/>
          <w:lang w:val="en-US" w:eastAsia="en-US" w:bidi="ar-SA"/>
        </w:rPr>
        <w:cr/>
      </w:r>
    </w:p>
    <w:p>
      <w:pPr>
        <w:numPr>
          <w:numId w:val="1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AN IMPLIED TERM THAT THERE HAS BEEN SUFFICIENT ENGINEERING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472</w:t>
      </w:r>
      <w:r>
        <w:rPr>
          <w:rFonts w:ascii="arial" w:eastAsia="arial" w:hAnsi="arial" w:cs="arial"/>
          <w:color w:val="000000"/>
          <w:sz w:val="20"/>
          <w:lang w:val="en-US" w:eastAsia="en-US" w:bidi="ar-SA"/>
        </w:rPr>
        <w:t>  It is fundamental to a unit price construction contract that sufficient investigation and engineering analysis of the project be completed prior to the issuance of tender documents to ensure that the scope of the work described is sufficiently defined, is capable of being built and is based on sufficient investigation and engineering such that bidders are able to prepare reasonable unit prices based on an examination of the documents. As stated by Brenner, J., as he then was, in Foundation Co. of Canada, supra: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must be borne in mind that this was a complex refit project, that all parties understood this at the outset and that a certain number of drawing revisions were to be expected as work proceeded. However, that being said, the owner still had an obligation to ensure that the state of design was sufficiently finalized prior to tender on this lump sum project so that the progress of the contractors work would not be unreasonably impacted. ... A contractor on a lump sum project is entitled to expect that the project design has been substantially completed at the time of tender.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(at pp. 51 and 59).</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473</w:t>
      </w:r>
      <w:r>
        <w:rPr>
          <w:rFonts w:ascii="arial" w:eastAsia="arial" w:hAnsi="arial" w:cs="arial"/>
          <w:color w:val="000000"/>
          <w:sz w:val="20"/>
          <w:lang w:val="en-US" w:eastAsia="en-US" w:bidi="ar-SA"/>
        </w:rPr>
        <w:t xml:space="preserve">  I also find that there is an implied representation in construction contracts that the project which is out for tender is buildable. In J. P. Metal Masters Inc. v. David Mitchell Co. </w:t>
      </w:r>
      <w:hyperlink r:id="rId860" w:history="1">
        <w:r>
          <w:rPr>
            <w:rFonts w:ascii="arial" w:eastAsia="arial" w:hAnsi="arial" w:cs="arial"/>
            <w:i/>
            <w:color w:val="0077CC"/>
            <w:sz w:val="20"/>
            <w:u w:val="single"/>
            <w:shd w:val="clear" w:color="auto" w:fill="FFFFFF"/>
            <w:lang w:val="en-US" w:eastAsia="en-US" w:bidi="ar-SA"/>
          </w:rPr>
          <w:t>(1997), 34 C.L.R. (2d) 257</w:t>
        </w:r>
      </w:hyperlink>
      <w:r>
        <w:rPr>
          <w:rFonts w:ascii="arial" w:eastAsia="arial" w:hAnsi="arial" w:cs="arial"/>
          <w:color w:val="000000"/>
          <w:sz w:val="20"/>
          <w:lang w:val="en-US" w:eastAsia="en-US" w:bidi="ar-SA"/>
        </w:rPr>
        <w:t xml:space="preserve"> (B.C.S.C.) affirmed </w:t>
      </w:r>
      <w:hyperlink r:id="rId849" w:history="1">
        <w:r>
          <w:rPr>
            <w:rFonts w:ascii="arial" w:eastAsia="arial" w:hAnsi="arial" w:cs="arial"/>
            <w:i/>
            <w:color w:val="0077CC"/>
            <w:sz w:val="20"/>
            <w:u w:val="single"/>
            <w:shd w:val="clear" w:color="auto" w:fill="FFFFFF"/>
            <w:lang w:val="en-US" w:eastAsia="en-US" w:bidi="ar-SA"/>
          </w:rPr>
          <w:t>(1998), 49 B.C.L.R. (3d) 88</w:t>
        </w:r>
      </w:hyperlink>
      <w:r>
        <w:rPr>
          <w:rFonts w:ascii="arial" w:eastAsia="arial" w:hAnsi="arial" w:cs="arial"/>
          <w:color w:val="000000"/>
          <w:sz w:val="20"/>
          <w:lang w:val="en-US" w:eastAsia="en-US" w:bidi="ar-SA"/>
        </w:rPr>
        <w:t xml:space="preserve"> (B.C.C.A.), Smith,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Even in the absence of finding an express representation that a structural engineer reviewed the drawings before they were put out for bid, I accept the submission that Mitchell Co. and J.P. Metal did rely on the implied representation that the design drawings were buildable for the purpose for which they were tendered. It is improbable that any contractor or sub-contractor would bid on a job if they thought that they design could not be built as represented. (at para. 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474</w:t>
      </w:r>
      <w:r>
        <w:rPr>
          <w:rFonts w:ascii="arial" w:eastAsia="arial" w:hAnsi="arial" w:cs="arial"/>
          <w:color w:val="000000"/>
          <w:sz w:val="20"/>
          <w:lang w:val="en-US" w:eastAsia="en-US" w:bidi="ar-SA"/>
        </w:rPr>
        <w:t>  Of similar effect are the comments of Southin, J.A. in JJM Construction Ltd., supra:</w:t>
      </w:r>
      <w:r>
        <w:rPr>
          <w:rFonts w:ascii="arial" w:eastAsia="arial" w:hAnsi="arial" w:cs="arial"/>
          <w:sz w:val="20"/>
          <w:lang w:val="en-US" w:eastAsia="en-US" w:bidi="ar-SA"/>
        </w:rPr>
        <w:cr/>
      </w:r>
    </w:p>
    <w:p>
      <w:pPr>
        <w:numPr>
          <w:numId w:val="1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an owner owes a duty to a builder to take reasonable care in the preparation of bid documents. The bidder is entitled to an accurate and full description of the nature of the work and its factual components. Failure by the owner to disclose that which it knows may be a breach of that duty.</w:t>
      </w:r>
    </w:p>
    <w:p>
      <w:pPr>
        <w:numPr>
          <w:numId w:val="1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owner and the engineer both impliedly, if not expressly, warrant in the case of the former and represent in the case of the latter that the proposed works are "buildable".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 far as the owner is concerned, these propositions are subject to whatever disclaimer clauses are in the contract. (at paras. 16-17).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475</w:t>
      </w:r>
      <w:r>
        <w:rPr>
          <w:rFonts w:ascii="arial" w:eastAsia="arial" w:hAnsi="arial" w:cs="arial"/>
          <w:color w:val="000000"/>
          <w:sz w:val="20"/>
          <w:lang w:val="en-US" w:eastAsia="en-US" w:bidi="ar-SA"/>
        </w:rPr>
        <w:t>  As there was no other reasonable option available to Golden Hill to ascertain whether or not all portions of the Project were "buildable", Golden Hill reasonably relied upon the implied representation that the Work was buildable. As there was no disclaimer that the Project was not buildable, Golden Hill could and reasonably did rely upon the implied representation that the Work was buildable.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476</w:t>
      </w:r>
      <w:r>
        <w:rPr>
          <w:rFonts w:ascii="arial" w:eastAsia="arial" w:hAnsi="arial" w:cs="arial"/>
          <w:color w:val="000000"/>
          <w:sz w:val="20"/>
          <w:lang w:val="en-US" w:eastAsia="en-US" w:bidi="ar-SA"/>
        </w:rPr>
        <w:t>  I find that there was an implied term that the work tendered would be buildable. Even if I could not make such a finding, I find that a claim for negligent misrepresentation relating to the tender is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477</w:t>
      </w:r>
      <w:r>
        <w:rPr>
          <w:rFonts w:ascii="arial" w:eastAsia="arial" w:hAnsi="arial" w:cs="arial"/>
          <w:color w:val="000000"/>
          <w:sz w:val="20"/>
          <w:lang w:val="en-US" w:eastAsia="en-US" w:bidi="ar-SA"/>
        </w:rPr>
        <w:t xml:space="preserve">  This is also the case if Kemess became aware of information that would be of concern to Golden Hill but did not reveal it. These propositions are confirmed in Opron Construction Co. v. Alberta </w:t>
      </w:r>
      <w:hyperlink r:id="rId826" w:history="1">
        <w:r>
          <w:rPr>
            <w:rFonts w:ascii="arial" w:eastAsia="arial" w:hAnsi="arial" w:cs="arial"/>
            <w:i/>
            <w:color w:val="0077CC"/>
            <w:sz w:val="20"/>
            <w:u w:val="single"/>
            <w:shd w:val="clear" w:color="auto" w:fill="FFFFFF"/>
            <w:lang w:val="en-US" w:eastAsia="en-US" w:bidi="ar-SA"/>
          </w:rPr>
          <w:t>(1994), 14 C.L.R. (2d) 97</w:t>
        </w:r>
      </w:hyperlink>
      <w:r>
        <w:rPr>
          <w:rFonts w:ascii="arial" w:eastAsia="arial" w:hAnsi="arial" w:cs="arial"/>
          <w:color w:val="000000"/>
          <w:sz w:val="20"/>
          <w:lang w:val="en-US" w:eastAsia="en-US" w:bidi="ar-SA"/>
        </w:rPr>
        <w:t xml:space="preserve"> (Alta. Q.B.), where the court found two implied terms of the contract: (a) that there were no facts within the knowledge of the defendant or its agent which had not been disclosed to the plaintiff which were inconsistent with or contradicted the contractual warranties and representations of fact made by the defendant and (b) in accordance with a covenant of good faith and fair dealing implied by law, the information provided by the defendants or its agents in the tender documents forming part of the contract had been furnished in good faith, in the honest and reasonable belief that the information was complete and accurate and that all material information bearing upon the performance of the contract within the possession of the defendant had been provided to the plaintiff. In this regard, the court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 argues that these implied terms are also necessary legal incident of this class of contract. To permit an owner such as the Government to disclose information which it knows is contradicted by other information in its possession is to subvert the contract itself. (at para. 585).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considering this argument, I note that these implied terms do not place upon the owner a general legal obligation to provide site information to prospective tenderers. Rather, they require an owner who has already embarked upon the exercise of supplying information to disclose all relevant information in its possession. (at para. 586).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Rather, the wording in these clauses in the contract in issue demonstrates that the defendant expected and intended bidders to rely upon the soil information it furnished for the purpose of preparing a tender. They are not inconsistent with the implied term that the owner did not possess any information which would assist the bidder in evaluating the operation. (at para. 588).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478</w:t>
      </w:r>
      <w:r>
        <w:rPr>
          <w:rFonts w:ascii="arial" w:eastAsia="arial" w:hAnsi="arial" w:cs="arial"/>
          <w:color w:val="000000"/>
          <w:sz w:val="20"/>
          <w:lang w:val="en-US" w:eastAsia="en-US" w:bidi="ar-SA"/>
        </w:rPr>
        <w:t xml:space="preserve">  In Opron, the Court adopted the finding in Walter Cabbott Construction Ltd. v. Canada </w:t>
      </w:r>
      <w:hyperlink r:id="rId818" w:history="1">
        <w:r>
          <w:rPr>
            <w:rFonts w:ascii="arial" w:eastAsia="arial" w:hAnsi="arial" w:cs="arial"/>
            <w:i/>
            <w:color w:val="0077CC"/>
            <w:sz w:val="20"/>
            <w:u w:val="single"/>
            <w:shd w:val="clear" w:color="auto" w:fill="FFFFFF"/>
            <w:lang w:val="en-US" w:eastAsia="en-US" w:bidi="ar-SA"/>
          </w:rPr>
          <w:t>(1975), 69 D.L.R. (3d) 542</w:t>
        </w:r>
      </w:hyperlink>
      <w:r>
        <w:rPr>
          <w:rFonts w:ascii="arial" w:eastAsia="arial" w:hAnsi="arial" w:cs="arial"/>
          <w:color w:val="000000"/>
          <w:sz w:val="20"/>
          <w:lang w:val="en-US" w:eastAsia="en-US" w:bidi="ar-SA"/>
        </w:rPr>
        <w:t xml:space="preserve"> (F.C.A.), and further held that a duty of care lies concurrently on an owner and its engineers in respect of representations included in a tender package: at pp. 212-3. In the case at bar, the information presented in the Tender Documents and the representations made by Mr. Rempel meet the criteria set out in Hercules Management Ltd., supra, as the Tender Documents contained information provided by Kilborn which was hired for the sole purpose of seeking bids, the information was provided by Kilborn and Mr. Rempel in a business context, and both met the specific enquiries of potential bidders.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479</w:t>
      </w:r>
      <w:r>
        <w:rPr>
          <w:rFonts w:ascii="arial" w:eastAsia="arial" w:hAnsi="arial" w:cs="arial"/>
          <w:color w:val="000000"/>
          <w:sz w:val="20"/>
          <w:lang w:val="en-US" w:eastAsia="en-US" w:bidi="ar-SA"/>
        </w:rPr>
        <w:t>  As was stated in Foundation Co. of Canada, supra, even though a bidder knows that the design and investigation are not complete, it is entitled to assume that they will be ongoing and that, by the time of construction, it will be sufficiently complete so as to allow the contractor a "clear and unimpeded run at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480</w:t>
      </w:r>
      <w:r>
        <w:rPr>
          <w:rFonts w:ascii="arial" w:eastAsia="arial" w:hAnsi="arial" w:cs="arial"/>
          <w:color w:val="000000"/>
          <w:sz w:val="20"/>
          <w:lang w:val="en-US" w:eastAsia="en-US" w:bidi="ar-SA"/>
        </w:rPr>
        <w:t>  I imply an obligation to provide the best information that is available, I imply a term and representation that sufficient information is contained within the Tender Documents to allow an accurate bid to be submitted, I imply an obligation on behalf of Kemess to use reasonable care to ensure that the information contained in the Tender Documents reflects with reasonable accuracy the Work that needs to be undertaken in order that an accurate bid can be prepared, I imply a term that sufficient engineering has been done or will be done in order that the Project can be built, and I imply a representation that the Project is buildable as I am satisfied that such understandings are fundamental to the creation of the bid on a unit price contract.</w:t>
      </w:r>
      <w:r>
        <w:rPr>
          <w:rFonts w:ascii="arial" w:eastAsia="arial" w:hAnsi="arial" w:cs="arial"/>
          <w:sz w:val="20"/>
          <w:lang w:val="en-US" w:eastAsia="en-US" w:bidi="ar-SA"/>
        </w:rPr>
        <w:cr/>
      </w:r>
    </w:p>
    <w:p>
      <w:pPr>
        <w:numPr>
          <w:numId w:val="1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EFFECT OF ARTICLE VI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481</w:t>
      </w:r>
      <w:r>
        <w:rPr>
          <w:rFonts w:ascii="arial" w:eastAsia="arial" w:hAnsi="arial" w:cs="arial"/>
          <w:color w:val="000000"/>
          <w:sz w:val="20"/>
          <w:lang w:val="en-US" w:eastAsia="en-US" w:bidi="ar-SA"/>
        </w:rPr>
        <w:t xml:space="preserve">  I am satisfied that Article VI does not insulate Kemess from liability in this case. In Warden Construction Co. v. Grimsby (Town) </w:t>
      </w:r>
      <w:hyperlink r:id="rId832" w:history="1">
        <w:r>
          <w:rPr>
            <w:rFonts w:ascii="arial" w:eastAsia="arial" w:hAnsi="arial" w:cs="arial"/>
            <w:i/>
            <w:color w:val="0077CC"/>
            <w:sz w:val="20"/>
            <w:u w:val="single"/>
            <w:shd w:val="clear" w:color="auto" w:fill="FFFFFF"/>
            <w:lang w:val="en-US" w:eastAsia="en-US" w:bidi="ar-SA"/>
          </w:rPr>
          <w:t>(1983), 2 C.L.R. 69</w:t>
        </w:r>
      </w:hyperlink>
      <w:r>
        <w:rPr>
          <w:rFonts w:ascii="arial" w:eastAsia="arial" w:hAnsi="arial" w:cs="arial"/>
          <w:color w:val="000000"/>
          <w:sz w:val="20"/>
          <w:lang w:val="en-US" w:eastAsia="en-US" w:bidi="ar-SA"/>
        </w:rPr>
        <w:t xml:space="preserve"> (Ont. C.A.), the Court dealt with a unit price contract. There was a finding that the work tendered was impossible but that the owner would be liable to the contractor for extra costs despite the existence of the clauses in the contract requiring the contractor to satisfy itself as to site conditions, to bear the costs of implementing the design methodology and/or to not rely on information furnished by the owner or its agents. A similar finding was made in Power Contracting Inc. v. Falby </w:t>
      </w:r>
      <w:hyperlink r:id="rId843" w:history="1">
        <w:r>
          <w:rPr>
            <w:rFonts w:ascii="arial" w:eastAsia="arial" w:hAnsi="arial" w:cs="arial"/>
            <w:i/>
            <w:color w:val="0077CC"/>
            <w:sz w:val="20"/>
            <w:u w:val="single"/>
            <w:shd w:val="clear" w:color="auto" w:fill="FFFFFF"/>
            <w:lang w:val="en-US" w:eastAsia="en-US" w:bidi="ar-SA"/>
          </w:rPr>
          <w:t>(1995), 20 C.L.R. (2d) 100</w:t>
        </w:r>
      </w:hyperlink>
      <w:r>
        <w:rPr>
          <w:rFonts w:ascii="arial" w:eastAsia="arial" w:hAnsi="arial" w:cs="arial"/>
          <w:color w:val="000000"/>
          <w:sz w:val="20"/>
          <w:lang w:val="en-US" w:eastAsia="en-US" w:bidi="ar-SA"/>
        </w:rPr>
        <w:t xml:space="preserve"> (Ont. C.J.) at paras. 64-65.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482</w:t>
      </w:r>
      <w:r>
        <w:rPr>
          <w:rFonts w:ascii="arial" w:eastAsia="arial" w:hAnsi="arial" w:cs="arial"/>
          <w:color w:val="000000"/>
          <w:sz w:val="20"/>
          <w:lang w:val="en-US" w:eastAsia="en-US" w:bidi="ar-SA"/>
        </w:rPr>
        <w:t>  As a result, Golden Hill had to make assumptions that Kemess had performed sufficient investigations to ascertain that it was possible to build the Airstrip and Millsite Access Road in accordance with usual earthworks practice at the designated locations. As a result of the breach by Kemess of this term of the Contract, Golden Hill suffered damages as the Tender was based on incomplete and inaccurate information so that it was unable to determine realistic unit prices for the Work.</w:t>
      </w:r>
      <w:r>
        <w:rPr>
          <w:rFonts w:ascii="arial" w:eastAsia="arial" w:hAnsi="arial" w:cs="arial"/>
          <w:sz w:val="20"/>
          <w:lang w:val="en-US" w:eastAsia="en-US" w:bidi="ar-SA"/>
        </w:rPr>
        <w:cr/>
      </w:r>
    </w:p>
    <w:p>
      <w:pPr>
        <w:numPr>
          <w:numId w:val="1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KEMESS MEET ITS OBLIGATIONS REGARDING SOILS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483</w:t>
      </w:r>
      <w:r>
        <w:rPr>
          <w:rFonts w:ascii="arial" w:eastAsia="arial" w:hAnsi="arial" w:cs="arial"/>
          <w:color w:val="000000"/>
          <w:sz w:val="20"/>
          <w:lang w:val="en-US" w:eastAsia="en-US" w:bidi="ar-SA"/>
        </w:rPr>
        <w:t>  Kemess submits that it was an express term of the contract that Kemess did not assume any responsibility whatsoever in respect of the sufficiency of the Soils Data (General Conditions 12.1, 12.2 and 12.3). Despite GC 12.1, 12.2 and 12.3, there remains an obligation on Kemess to provide the information that it has in its possession. As well, Golden Hill is in a position to rely on the information provided as there was insufficient time to allow any other information to be obtained.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484</w:t>
      </w:r>
      <w:r>
        <w:rPr>
          <w:rFonts w:ascii="arial" w:eastAsia="arial" w:hAnsi="arial" w:cs="arial"/>
          <w:color w:val="000000"/>
          <w:sz w:val="20"/>
          <w:lang w:val="en-US" w:eastAsia="en-US" w:bidi="ar-SA"/>
        </w:rPr>
        <w:t>  Article 1.5 of Specifications 02220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Existing Conditions</w:t>
      </w:r>
    </w:p>
    <w:p>
      <w:pPr>
        <w:numPr>
          <w:numId w:val="1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A soils investigation</w:t>
      </w:r>
      <w:r>
        <w:rPr>
          <w:rFonts w:ascii="arial" w:eastAsia="arial" w:hAnsi="arial" w:cs="arial"/>
          <w:color w:val="000000"/>
          <w:sz w:val="20"/>
          <w:lang w:val="en-US" w:eastAsia="en-US" w:bidi="ar-SA"/>
        </w:rPr>
        <w:t xml:space="preserve"> has been carried out by a series of bore holes and test pits in selected locations. It is the responsibility of the contractor to review the geotechnical report and any subsequent revisions or addendums, located at the offices of the owner and geotechnical engineer. (Emphasis added).</w:t>
      </w:r>
    </w:p>
    <w:p>
      <w:pPr>
        <w:numPr>
          <w:numId w:val="1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owner does not offer or imply any warranty as to fact other than that:</w:t>
      </w:r>
    </w:p>
    <w:p>
      <w:pPr>
        <w:numPr>
          <w:numId w:val="1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borings and test pits were located approximately as shown on the plan accompanying the soils report...</w:t>
      </w:r>
    </w:p>
    <w:p>
      <w:pPr>
        <w:numPr>
          <w:numId w:val="1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Use of above information is entirely at the risk of the contractor.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485</w:t>
      </w:r>
      <w:r>
        <w:rPr>
          <w:rFonts w:ascii="arial" w:eastAsia="arial" w:hAnsi="arial" w:cs="arial"/>
          <w:color w:val="000000"/>
          <w:sz w:val="20"/>
          <w:lang w:val="en-US" w:eastAsia="en-US" w:bidi="ar-SA"/>
        </w:rPr>
        <w:t>  In his May 22, 1996 letter to tenders, Mr. Collins of Kilborn on behalf of Kemess advised that the Tender Documents included the "currently available soils data". This statement was not true as Kemess had failed to include the Site M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486</w:t>
      </w:r>
      <w:r>
        <w:rPr>
          <w:rFonts w:ascii="arial" w:eastAsia="arial" w:hAnsi="arial" w:cs="arial"/>
          <w:color w:val="000000"/>
          <w:sz w:val="20"/>
          <w:lang w:val="en-US" w:eastAsia="en-US" w:bidi="ar-SA"/>
        </w:rPr>
        <w:t>  I find that it was an express representation and term of the Contract that Kemess had provided all bidders with all material soils information in its possession and control in relation to the Work. I find that Article 1.5 of Specification 02220 and the May 22 letter from Kilborn constitute express 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487</w:t>
      </w:r>
      <w:r>
        <w:rPr>
          <w:rFonts w:ascii="arial" w:eastAsia="arial" w:hAnsi="arial" w:cs="arial"/>
          <w:color w:val="000000"/>
          <w:sz w:val="20"/>
          <w:lang w:val="en-US" w:eastAsia="en-US" w:bidi="ar-SA"/>
        </w:rPr>
        <w:t>  Article 1.5 of Specifications 02220 relates only to "a" soils investigation and not to "all" soils investigations. The reference in that article to "the geotechnical report" is clearly not a reference to all soils data including the Site M Report as it is clear that the geotechnical report referred to is that which was included in the Tender Package.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488</w:t>
      </w:r>
      <w:r>
        <w:rPr>
          <w:rFonts w:ascii="arial" w:eastAsia="arial" w:hAnsi="arial" w:cs="arial"/>
          <w:color w:val="000000"/>
          <w:sz w:val="20"/>
          <w:lang w:val="en-US" w:eastAsia="en-US" w:bidi="ar-SA"/>
        </w:rPr>
        <w:t>  As well, the plans provided in the Tender Documents did not show any test pits had been dug in the area where the Airstrip was to be constructed. In fact, the Site M Reports showed otherwise. Accordingly, Kemess must be taken to have breached its warranty that the "borings and test pits were located approximately as shown on the plan accompanying the soils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489</w:t>
      </w:r>
      <w:r>
        <w:rPr>
          <w:rFonts w:ascii="arial" w:eastAsia="arial" w:hAnsi="arial" w:cs="arial"/>
          <w:color w:val="000000"/>
          <w:sz w:val="20"/>
          <w:lang w:val="en-US" w:eastAsia="en-US" w:bidi="ar-SA"/>
        </w:rPr>
        <w:t>  At the Post Tender Meeting, Mr. Rudolph was advised that the Knight Piésold draft report was not ready and that he would be provided with a copy once it was finalized. That was never done. I reject the submission made by Kemess that there was an obligation on Golden Hill to seek out the report as I am satisfied that the obligation was on Kemess to provide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490</w:t>
      </w:r>
      <w:r>
        <w:rPr>
          <w:rFonts w:ascii="arial" w:eastAsia="arial" w:hAnsi="arial" w:cs="arial"/>
          <w:color w:val="000000"/>
          <w:sz w:val="20"/>
          <w:lang w:val="en-US" w:eastAsia="en-US" w:bidi="ar-SA"/>
        </w:rPr>
        <w:t>  Similarly, I reject the submission of Kemess that the Site M Reports would have been provided by Knight Piésold if Golden Hill had only asked for them. There was nothing in the information that was provided to Golden Hill which would have allowed it to conclude that the Site M Reports existed.</w:t>
      </w:r>
      <w:r>
        <w:rPr>
          <w:rFonts w:ascii="arial" w:eastAsia="arial" w:hAnsi="arial" w:cs="arial"/>
          <w:sz w:val="20"/>
          <w:lang w:val="en-US" w:eastAsia="en-US" w:bidi="ar-SA"/>
        </w:rPr>
        <w:cr/>
      </w:r>
    </w:p>
    <w:p>
      <w:pPr>
        <w:numPr>
          <w:numId w:val="1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UNAVAILABILITY OF THE SITE M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491</w:t>
      </w:r>
      <w:r>
        <w:rPr>
          <w:rFonts w:ascii="arial" w:eastAsia="arial" w:hAnsi="arial" w:cs="arial"/>
          <w:color w:val="000000"/>
          <w:sz w:val="20"/>
          <w:lang w:val="en-US" w:eastAsia="en-US" w:bidi="ar-SA"/>
        </w:rPr>
        <w:t>  Kemess submits that there was no duty to provide the Site M Reports as the Contract made it clear that the responsibility for ascertaining soil conditions rested solely upon Golden Hill. Accordingly, Kemess submits that no duty of care can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492</w:t>
      </w:r>
      <w:r>
        <w:rPr>
          <w:rFonts w:ascii="arial" w:eastAsia="arial" w:hAnsi="arial" w:cs="arial"/>
          <w:color w:val="000000"/>
          <w:sz w:val="20"/>
          <w:lang w:val="en-US" w:eastAsia="en-US" w:bidi="ar-SA"/>
        </w:rPr>
        <w:t xml:space="preserve">  Kemess relies on the decision in Canadian National Railway Co. v. Volker Stevin Contracting Ltd. </w:t>
      </w:r>
      <w:hyperlink r:id="rId861" w:history="1">
        <w:r>
          <w:rPr>
            <w:rFonts w:ascii="arial" w:eastAsia="arial" w:hAnsi="arial" w:cs="arial"/>
            <w:i/>
            <w:color w:val="0077CC"/>
            <w:sz w:val="20"/>
            <w:u w:val="single"/>
            <w:shd w:val="clear" w:color="auto" w:fill="FFFFFF"/>
            <w:lang w:val="en-US" w:eastAsia="en-US" w:bidi="ar-SA"/>
          </w:rPr>
          <w:t>(1991), 48 C.L.R. 134</w:t>
        </w:r>
      </w:hyperlink>
      <w:r>
        <w:rPr>
          <w:rFonts w:ascii="arial" w:eastAsia="arial" w:hAnsi="arial" w:cs="arial"/>
          <w:color w:val="000000"/>
          <w:sz w:val="20"/>
          <w:lang w:val="en-US" w:eastAsia="en-US" w:bidi="ar-SA"/>
        </w:rPr>
        <w:t xml:space="preserve"> (Alta. C.A.) where the Court dealt with a provision that the builder was to make its own assessment of conditions, not rely on any information provided to it, and to bear all risks of difficulties or cost overruns for unforeseen conditions on the site. The Court held that it was contrary to common sense that the law of tort should impose upon contracting parties a duty the very opposite of that which had been imposed upon themselves by the contracts. In the circumstances, the owner was not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493</w:t>
      </w:r>
      <w:r>
        <w:rPr>
          <w:rFonts w:ascii="arial" w:eastAsia="arial" w:hAnsi="arial" w:cs="arial"/>
          <w:color w:val="000000"/>
          <w:sz w:val="20"/>
          <w:lang w:val="en-US" w:eastAsia="en-US" w:bidi="ar-SA"/>
        </w:rPr>
        <w:t xml:space="preserve">  I am satisfied that the decision in Canadian National Railway can be distinguished as the Court found there that the owner did not have any unusual or peculiar knowledge which "cried out to be revealed". I cannot reach the same conclusion here. As stated by Wilkinson, J. in Northern Rock Products Ltd. v. British Columbia </w:t>
      </w:r>
      <w:hyperlink r:id="rId862" w:history="1">
        <w:r>
          <w:rPr>
            <w:rFonts w:ascii="arial" w:eastAsia="arial" w:hAnsi="arial" w:cs="arial"/>
            <w:i/>
            <w:color w:val="0077CC"/>
            <w:sz w:val="20"/>
            <w:u w:val="single"/>
            <w:shd w:val="clear" w:color="auto" w:fill="FFFFFF"/>
            <w:lang w:val="en-US" w:eastAsia="en-US" w:bidi="ar-SA"/>
          </w:rPr>
          <w:t>(1994), 16 C.L.R. (2d) 44</w:t>
        </w:r>
      </w:hyperlink>
      <w:r>
        <w:rPr>
          <w:rFonts w:ascii="arial" w:eastAsia="arial" w:hAnsi="arial" w:cs="arial"/>
          <w:color w:val="000000"/>
          <w:sz w:val="20"/>
          <w:lang w:val="en-US" w:eastAsia="en-US" w:bidi="ar-SA"/>
        </w:rPr>
        <w:t xml:space="preserve"> (B.C.S.C.): "If an owner becomes aware of information which would be of concern to a contractor he ought to reveal the information and may not hide it." (at para. 68). The Site M Reports cried out to be revealed. They were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494</w:t>
      </w:r>
      <w:r>
        <w:rPr>
          <w:rFonts w:ascii="arial" w:eastAsia="arial" w:hAnsi="arial" w:cs="arial"/>
          <w:color w:val="000000"/>
          <w:sz w:val="20"/>
          <w:lang w:val="en-US" w:eastAsia="en-US" w:bidi="ar-SA"/>
        </w:rPr>
        <w:t xml:space="preserve">  I am satisfied that the Site M Reports constitute a "hidden risk". If there is a hidden risk known to the owner and unknown to the contractor, the hidden risk must be revealed despite the existence of a site inspection clause or any other contractual provisions: Northern Rock, supra, and Dilcon Constructors Inc. v. British Columbia Hydro &amp; Power Authority </w:t>
      </w:r>
      <w:hyperlink r:id="rId828" w:history="1">
        <w:r>
          <w:rPr>
            <w:rFonts w:ascii="arial" w:eastAsia="arial" w:hAnsi="arial" w:cs="arial"/>
            <w:i/>
            <w:color w:val="0077CC"/>
            <w:sz w:val="20"/>
            <w:u w:val="single"/>
            <w:shd w:val="clear" w:color="auto" w:fill="FFFFFF"/>
            <w:lang w:val="en-US" w:eastAsia="en-US" w:bidi="ar-SA"/>
          </w:rPr>
          <w:t>(1992), 7 C.L.R. (2d) 22</w:t>
        </w:r>
      </w:hyperlink>
      <w:r>
        <w:rPr>
          <w:rFonts w:ascii="arial" w:eastAsia="arial" w:hAnsi="arial" w:cs="arial"/>
          <w:color w:val="000000"/>
          <w:sz w:val="20"/>
          <w:lang w:val="en-US" w:eastAsia="en-US" w:bidi="ar-SA"/>
        </w:rPr>
        <w:t xml:space="preserve"> (B.C.S.C.) at p. 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495</w:t>
      </w:r>
      <w:r>
        <w:rPr>
          <w:rFonts w:ascii="arial" w:eastAsia="arial" w:hAnsi="arial" w:cs="arial"/>
          <w:color w:val="000000"/>
          <w:sz w:val="20"/>
          <w:lang w:val="en-US" w:eastAsia="en-US" w:bidi="ar-SA"/>
        </w:rPr>
        <w:t xml:space="preserve">  The information contained in the Site M Reports was relevant and it should have been provided by Kemess. It is not enough for Kemess to say that Golden Hill ought to have discovered the existence of the Site M Reports by going to Knight Piésold. Even if an indication had been given somewhere in the Tender Documents that the Site M Reports existed, owners do not comply with their duty of full and complete disclosure by providing incomplete information on the assumption that the bidders should "ferret out" the information "from clues": Cardinal Construction Ltd. v. Brockville (City) </w:t>
      </w:r>
      <w:hyperlink r:id="rId824" w:history="1">
        <w:r>
          <w:rPr>
            <w:rFonts w:ascii="arial" w:eastAsia="arial" w:hAnsi="arial" w:cs="arial"/>
            <w:i/>
            <w:color w:val="0077CC"/>
            <w:sz w:val="20"/>
            <w:u w:val="single"/>
            <w:shd w:val="clear" w:color="auto" w:fill="FFFFFF"/>
            <w:lang w:val="en-US" w:eastAsia="en-US" w:bidi="ar-SA"/>
          </w:rPr>
          <w:t>(1984), 4 C.L.R. 149</w:t>
        </w:r>
      </w:hyperlink>
      <w:r>
        <w:rPr>
          <w:rFonts w:ascii="arial" w:eastAsia="arial" w:hAnsi="arial" w:cs="arial"/>
          <w:color w:val="000000"/>
          <w:sz w:val="20"/>
          <w:lang w:val="en-US" w:eastAsia="en-US" w:bidi="ar-SA"/>
        </w:rPr>
        <w:t xml:space="preserve"> (Ont. H.C.J.) at p. 170.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496</w:t>
      </w:r>
      <w:r>
        <w:rPr>
          <w:rFonts w:ascii="arial" w:eastAsia="arial" w:hAnsi="arial" w:cs="arial"/>
          <w:color w:val="000000"/>
          <w:sz w:val="20"/>
          <w:lang w:val="en-US" w:eastAsia="en-US" w:bidi="ar-SA"/>
        </w:rPr>
        <w:t>  As well, Golden Hill was told by Kilborn that no geotechnical information on the Airstrip was available. Kilborn was the agent of Kemess to administer the tendering process and Kemess is bound by what its agent told Golden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497</w:t>
      </w:r>
      <w:r>
        <w:rPr>
          <w:rFonts w:ascii="arial" w:eastAsia="arial" w:hAnsi="arial" w:cs="arial"/>
          <w:color w:val="000000"/>
          <w:sz w:val="20"/>
          <w:lang w:val="en-US" w:eastAsia="en-US" w:bidi="ar-SA"/>
        </w:rPr>
        <w:t>  It is a fair summary of the evidence of the witnesses who appeared on behalf of both Golden Hill and Kemess that everyone who gave evidence about the Site M Reports agreed that the Site M Reports contain material information to an earthworks contractor and would therefore be relevant to tenderers on C101 and ought to have been disclosed.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498</w:t>
      </w:r>
      <w:r>
        <w:rPr>
          <w:rFonts w:ascii="arial" w:eastAsia="arial" w:hAnsi="arial" w:cs="arial"/>
          <w:color w:val="000000"/>
          <w:sz w:val="20"/>
          <w:lang w:val="en-US" w:eastAsia="en-US" w:bidi="ar-SA"/>
        </w:rPr>
        <w:t>  After reviewing the reports, I am satisfied that the Terrain Analysis Report would have provided a reasonably competent contractor with some information about the makeup of the soil, the Embankment Report would have indicated to a reasonably competent contractor that the anticipated soils near or within the Airstrip area would likely drain slowly and be moisture sensitive, that the Surficial Investigations Report would have provided a reasonably competent contractor with confirmation of the identity of the existence of swamps, the depth of swamps, the presence of "silty materials" not "good gravels" as well as laboratory results and sieve analysis for samples taken from the test pits in the area of the Airstrip, and that the Comparative Assessment Report would have notified a reasonably competent contractor that a geotechnical site investigation of the surficial geology had been undertaken by Knight Piésold in March,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499</w:t>
      </w:r>
      <w:r>
        <w:rPr>
          <w:rFonts w:ascii="arial" w:eastAsia="arial" w:hAnsi="arial" w:cs="arial"/>
          <w:color w:val="000000"/>
          <w:sz w:val="20"/>
          <w:lang w:val="en-US" w:eastAsia="en-US" w:bidi="ar-SA"/>
        </w:rPr>
        <w:t>  In the Amended Statement of Defence, Kemess denies that it had in its possession or control any material soils information on the Airstrip which it failed to disclose. However, there was a subsequent admission during the course of the Trial that Kemess had control of the Site M Reports by at least April 11, 1996 which was prior to the issuance of the C101 Tender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500</w:t>
      </w:r>
      <w:r>
        <w:rPr>
          <w:rFonts w:ascii="arial" w:eastAsia="arial" w:hAnsi="arial" w:cs="arial"/>
          <w:color w:val="000000"/>
          <w:sz w:val="20"/>
          <w:lang w:val="en-US" w:eastAsia="en-US" w:bidi="ar-SA"/>
        </w:rPr>
        <w:t>  Even if there had not been an admission during the course of the Trial, I am satisfied that Kemess must be taken to have had direct knowledge and possession of the Site M Reports and their contents. From his discussions with Mr. Collins of Kilborn in April, Mr. Koski knew that one of the potential locations which had been reviewed as a possible location for the Tailings Dams was Site M, that Site M was in the location where the Airstrip was ultimately built, and that there was documentation that reflected the analysis that resulted in the decision to reject Site M as the location of the Tailings Dams.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501</w:t>
      </w:r>
      <w:r>
        <w:rPr>
          <w:rFonts w:ascii="arial" w:eastAsia="arial" w:hAnsi="arial" w:cs="arial"/>
          <w:color w:val="000000"/>
          <w:sz w:val="20"/>
          <w:lang w:val="en-US" w:eastAsia="en-US" w:bidi="ar-SA"/>
        </w:rPr>
        <w:t xml:space="preserve">  While Mr. Koski gave evidence at Trial that he did not have actual knowledge of the Site M Reports prior to the issuance of the Tender Documents for Contract C101, I find that he must be deemed to have had knowledge as he had knowledge of facts which ought to have put them on inquiry so that, if he had acted with reasonable business prudence, he would have learned of the fact of which he must now be deemed to have knowledge: Lawlor v. Day </w:t>
      </w:r>
      <w:hyperlink r:id="rId863" w:history="1">
        <w:r>
          <w:rPr>
            <w:rFonts w:ascii="arial" w:eastAsia="arial" w:hAnsi="arial" w:cs="arial"/>
            <w:i/>
            <w:color w:val="0077CC"/>
            <w:sz w:val="20"/>
            <w:u w:val="single"/>
            <w:shd w:val="clear" w:color="auto" w:fill="FFFFFF"/>
            <w:lang w:val="en-US" w:eastAsia="en-US" w:bidi="ar-SA"/>
          </w:rPr>
          <w:t>(1899), 29 S.C.R. 441</w:t>
        </w:r>
      </w:hyperlink>
      <w:r>
        <w:rPr>
          <w:rFonts w:ascii="arial" w:eastAsia="arial" w:hAnsi="arial" w:cs="arial"/>
          <w:color w:val="000000"/>
          <w:sz w:val="20"/>
          <w:lang w:val="en-US" w:eastAsia="en-US" w:bidi="ar-SA"/>
        </w:rPr>
        <w:t xml:space="preserve"> at p. 442 and St. John &amp; Quebec Railway v. Bank of British North America (1921), 67 D.L.R. 650 (S.C.C.) at pp. 653-4.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502</w:t>
      </w:r>
      <w:r>
        <w:rPr>
          <w:rFonts w:ascii="arial" w:eastAsia="arial" w:hAnsi="arial" w:cs="arial"/>
          <w:color w:val="000000"/>
          <w:sz w:val="20"/>
          <w:lang w:val="en-US" w:eastAsia="en-US" w:bidi="ar-SA"/>
        </w:rPr>
        <w:t>  The fact that Mr. Koski failed to make any inquiries with respect to whether there was any soils information in the Site M Reports relevant to the C101 Contract or whether that information was being provided to tenderers on the C101 Contract cannot shield Kemess from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503</w:t>
      </w:r>
      <w:r>
        <w:rPr>
          <w:rFonts w:ascii="arial" w:eastAsia="arial" w:hAnsi="arial" w:cs="arial"/>
          <w:color w:val="000000"/>
          <w:sz w:val="20"/>
          <w:lang w:val="en-US" w:eastAsia="en-US" w:bidi="ar-SA"/>
        </w:rPr>
        <w:t>  I also find that Kemess must be found to have deemed knowledge of the Site M Reports through the imputation of the knowledge of Royal Oak and Kilborn. The documents were available in the El Condor office and Royal Oak was given access to them in order to complete its due diligence in relation to the acquisition of El Condor and St. Phillips. As well, El Condor instructed Knight Piésold to allow Royal Oak to review any documents that Knight Piésold had prepared for El Condor including the Site M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504</w:t>
      </w:r>
      <w:r>
        <w:rPr>
          <w:rFonts w:ascii="arial" w:eastAsia="arial" w:hAnsi="arial" w:cs="arial"/>
          <w:color w:val="000000"/>
          <w:sz w:val="20"/>
          <w:lang w:val="en-US" w:eastAsia="en-US" w:bidi="ar-SA"/>
        </w:rPr>
        <w:t>  Mr. Collins of Kilborn went to the offices of El Condor and reviewed all of the Site M Reports, he later wrote to Royal Oak referring to "soft spots" and "swampy areas" in the centre of Site M, the need for additional geotechnical work, and the fact that 20 test pits had been dug at Site M in October,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505</w:t>
      </w:r>
      <w:r>
        <w:rPr>
          <w:rFonts w:ascii="arial" w:eastAsia="arial" w:hAnsi="arial" w:cs="arial"/>
          <w:color w:val="000000"/>
          <w:sz w:val="20"/>
          <w:lang w:val="en-US" w:eastAsia="en-US" w:bidi="ar-SA"/>
        </w:rPr>
        <w:t xml:space="preserve">  Mr. Wilson Adams was the previous Project Manager for the Project and, while he was Project Manager, Mr. Adams reviewed the Embankment Report. Knowledge acquired by an employee or subordinate officer in the course of performing the duty of investigating and ascertaining particular facts is deemed to be knowledge of the employer company even if the information is not actually communicated to the employer or to the subordinate employee's superiors: Evans v. Employers Mutual Insurance Association, Ltd. (1936), 1 K.B. 505 (C.A.) at pp. 513,515-6 and Chemicals Inc. and Overseas Commodities Ltd. v. Shanahan's Ltd., </w:t>
      </w:r>
      <w:hyperlink r:id="rId864" w:history="1">
        <w:r>
          <w:rPr>
            <w:rFonts w:ascii="arial" w:eastAsia="arial" w:hAnsi="arial" w:cs="arial"/>
            <w:i/>
            <w:color w:val="0077CC"/>
            <w:sz w:val="20"/>
            <w:u w:val="single"/>
            <w:shd w:val="clear" w:color="auto" w:fill="FFFFFF"/>
            <w:lang w:val="en-US" w:eastAsia="en-US" w:bidi="ar-SA"/>
          </w:rPr>
          <w:t>[1950] 2 D.L.R. 427</w:t>
        </w:r>
      </w:hyperlink>
      <w:r>
        <w:rPr>
          <w:rFonts w:ascii="arial" w:eastAsia="arial" w:hAnsi="arial" w:cs="arial"/>
          <w:color w:val="000000"/>
          <w:sz w:val="20"/>
          <w:lang w:val="en-US" w:eastAsia="en-US" w:bidi="ar-SA"/>
        </w:rPr>
        <w:t xml:space="preserve"> (B.C.S.C.) at p. 439.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506</w:t>
      </w:r>
      <w:r>
        <w:rPr>
          <w:rFonts w:ascii="arial" w:eastAsia="arial" w:hAnsi="arial" w:cs="arial"/>
          <w:color w:val="000000"/>
          <w:sz w:val="20"/>
          <w:lang w:val="en-US" w:eastAsia="en-US" w:bidi="ar-SA"/>
        </w:rPr>
        <w:t>  Once the knowledge of Mr. Adams is treated as knowledge of Royal Oak, the knowledge is deemed to continue throughout the entire transaction even though the person is no longer an employee: El Ajou v. Dollar Holdings plc et al, [1994] 2 All E.R. 685 (C.A.) at pp. 697-8.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507</w:t>
      </w:r>
      <w:r>
        <w:rPr>
          <w:rFonts w:ascii="arial" w:eastAsia="arial" w:hAnsi="arial" w:cs="arial"/>
          <w:color w:val="000000"/>
          <w:sz w:val="20"/>
          <w:lang w:val="en-US" w:eastAsia="en-US" w:bidi="ar-SA"/>
        </w:rPr>
        <w:t>  Royal Oak also had knowledge of the Site M Reports through Mr. Patel who later became the Project Manager for the Project. Mr. Patel received an October 19, 1995 letter enclosing a summary of the findings of Kilborn with respect to alternative locations for the Millsite and Tailings Dams. With respect to the possibility of constructing the Tailings Dam at Site M, the letter indicated that "soft spots in center of pond will make liner placement difficult" and that there were swampy "areas in center of pond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508</w:t>
      </w:r>
      <w:r>
        <w:rPr>
          <w:rFonts w:ascii="arial" w:eastAsia="arial" w:hAnsi="arial" w:cs="arial"/>
          <w:color w:val="000000"/>
          <w:sz w:val="20"/>
          <w:lang w:val="en-US" w:eastAsia="en-US" w:bidi="ar-SA"/>
        </w:rPr>
        <w:t>  Kemess was a wholly-owned subsidiary of Royal Oak. The knowledge of the Site M Reports of Royal Oak is imputed to Kemess. Because of the parent-subsidiary corporate relationship, I should be even more willing to lift the corporate veil as it is just and equitable to do so. There can be no question that the activities of Kemess and the direction and control that Royal Oak exercised over the Kemess Project was extensive.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509</w:t>
      </w:r>
      <w:r>
        <w:rPr>
          <w:rFonts w:ascii="arial" w:eastAsia="arial" w:hAnsi="arial" w:cs="arial"/>
          <w:color w:val="000000"/>
          <w:sz w:val="20"/>
          <w:lang w:val="en-US" w:eastAsia="en-US" w:bidi="ar-SA"/>
        </w:rPr>
        <w:t>  I am satisfied that Royal Oak continued to be the directing mind of the Project throughout the construction phase and, while the Tender Package and the Letter of Intent may have been issued in the name of Kemess, there is no distinction to be made between Royal Oak and Kemess in this regard. I am satisfied that justice requires that Kemess not be allowed to invoke its separate corporate personality in order to disclaim knowledge of the Site M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510</w:t>
      </w:r>
      <w:r>
        <w:rPr>
          <w:rFonts w:ascii="arial" w:eastAsia="arial" w:hAnsi="arial" w:cs="arial"/>
          <w:color w:val="000000"/>
          <w:sz w:val="20"/>
          <w:lang w:val="en-US" w:eastAsia="en-US" w:bidi="ar-SA"/>
        </w:rPr>
        <w:t>  As well, I find that Royal Oak acted as agent for Kemess when it received the Site M Reports. Royal Oak co-ordinated all of the steps required to proceed with the investigation, design, construction and development of the mines such as obtaining the Mine Development Permit. Royal Oak retained Kilborn as the design engineers for the earthworks, structures and buildings for the Project. Reports prepared by outside consultants were provided to Royal Oak including reports prepared as late as May, 1997. As the knowledge of an agent is the knowledge of the agent's principal, I am satisfied that the knowledge of Royal Oak of the Site M Reports should be imputed to Kemess.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511</w:t>
      </w:r>
      <w:r>
        <w:rPr>
          <w:rFonts w:ascii="arial" w:eastAsia="arial" w:hAnsi="arial" w:cs="arial"/>
          <w:color w:val="000000"/>
          <w:sz w:val="20"/>
          <w:lang w:val="en-US" w:eastAsia="en-US" w:bidi="ar-SA"/>
        </w:rPr>
        <w:t>  In their Amended Statement of Defence, the Defendants deny that Kilborn was the agent of Kemess. However, in admitting that Kilborn acted on behalf of Kemess in issuing the Tender Documents, the Defendants must also be taken as admitting that Kilborn was acting as the agent of Kemess.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512</w:t>
      </w:r>
      <w:r>
        <w:rPr>
          <w:rFonts w:ascii="arial" w:eastAsia="arial" w:hAnsi="arial" w:cs="arial"/>
          <w:color w:val="000000"/>
          <w:sz w:val="20"/>
          <w:lang w:val="en-US" w:eastAsia="en-US" w:bidi="ar-SA"/>
        </w:rPr>
        <w:t xml:space="preserve">  In the context of construction contracts, it is a generally accepted principle that an engineer acts as the agent of the owner in preparing and issuing tender documents and supervising the tender process: Brown &amp; Huston Ltd. v. York </w:t>
      </w:r>
      <w:hyperlink r:id="rId865" w:history="1">
        <w:r>
          <w:rPr>
            <w:rFonts w:ascii="arial" w:eastAsia="arial" w:hAnsi="arial" w:cs="arial"/>
            <w:i/>
            <w:color w:val="0077CC"/>
            <w:sz w:val="20"/>
            <w:u w:val="single"/>
            <w:shd w:val="clear" w:color="auto" w:fill="FFFFFF"/>
            <w:lang w:val="en-US" w:eastAsia="en-US" w:bidi="ar-SA"/>
          </w:rPr>
          <w:t>(1985), 17 C.L.R. 192</w:t>
        </w:r>
      </w:hyperlink>
      <w:r>
        <w:rPr>
          <w:rFonts w:ascii="arial" w:eastAsia="arial" w:hAnsi="arial" w:cs="arial"/>
          <w:color w:val="000000"/>
          <w:sz w:val="20"/>
          <w:lang w:val="en-US" w:eastAsia="en-US" w:bidi="ar-SA"/>
        </w:rPr>
        <w:t xml:space="preserve"> (Ont. C.A.) at p. 196; Begro Construction Ltd. v. St. Mary River Irrigation District </w:t>
      </w:r>
      <w:hyperlink r:id="rId825" w:history="1">
        <w:r>
          <w:rPr>
            <w:rFonts w:ascii="arial" w:eastAsia="arial" w:hAnsi="arial" w:cs="arial"/>
            <w:i/>
            <w:color w:val="0077CC"/>
            <w:sz w:val="20"/>
            <w:u w:val="single"/>
            <w:shd w:val="clear" w:color="auto" w:fill="FFFFFF"/>
            <w:lang w:val="en-US" w:eastAsia="en-US" w:bidi="ar-SA"/>
          </w:rPr>
          <w:t>(1994), 15 C.L.R. (2d) 150</w:t>
        </w:r>
      </w:hyperlink>
      <w:r>
        <w:rPr>
          <w:rFonts w:ascii="arial" w:eastAsia="arial" w:hAnsi="arial" w:cs="arial"/>
          <w:color w:val="000000"/>
          <w:sz w:val="20"/>
          <w:lang w:val="en-US" w:eastAsia="en-US" w:bidi="ar-SA"/>
        </w:rPr>
        <w:t xml:space="preserve"> (Alta. Q.B.) at p. 197.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513</w:t>
      </w:r>
      <w:r>
        <w:rPr>
          <w:rFonts w:ascii="arial" w:eastAsia="arial" w:hAnsi="arial" w:cs="arial"/>
          <w:color w:val="000000"/>
          <w:sz w:val="20"/>
          <w:lang w:val="en-US" w:eastAsia="en-US" w:bidi="ar-SA"/>
        </w:rPr>
        <w:t>  There are two circumstances in which knowledge of an agent which predates the agency relationship will be imputed to the principal. First, where the agent is authorized to enter into a transaction on behalf of the principal in which the knowledge it possesses is material. In this regard, I find that Mr. Collins knew or ought to have known that his statement to bidders in the Invitation to Tender that the "currently available soils data" was being provided to the bidders was false.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514</w:t>
      </w:r>
      <w:r>
        <w:rPr>
          <w:rFonts w:ascii="arial" w:eastAsia="arial" w:hAnsi="arial" w:cs="arial"/>
          <w:color w:val="000000"/>
          <w:sz w:val="20"/>
          <w:lang w:val="en-US" w:eastAsia="en-US" w:bidi="ar-SA"/>
        </w:rPr>
        <w:t>  Second, where the principal is under a duty to make disclosure, it is necessary for that disclosure to be not only of facts of which the principal knows but also of material facts of which he could expect to have been told by his agent: El Ajou v. Dollarland Holdings plc et al, [1994] 2 All E.R. 685 (C.A.) at pp. 702-3.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515</w:t>
      </w:r>
      <w:r>
        <w:rPr>
          <w:rFonts w:ascii="arial" w:eastAsia="arial" w:hAnsi="arial" w:cs="arial"/>
          <w:color w:val="000000"/>
          <w:sz w:val="20"/>
          <w:lang w:val="en-US" w:eastAsia="en-US" w:bidi="ar-SA"/>
        </w:rPr>
        <w:t>  Kemess had a duty to provide complete and accurate information to the C101 bidders. Once it undertook to provide any information, Kemess was under a duty to provide all of the information in its possession including information which should have been provided to it by Kilborn.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516</w:t>
      </w:r>
      <w:r>
        <w:rPr>
          <w:rFonts w:ascii="arial" w:eastAsia="arial" w:hAnsi="arial" w:cs="arial"/>
          <w:color w:val="000000"/>
          <w:sz w:val="20"/>
          <w:lang w:val="en-US" w:eastAsia="en-US" w:bidi="ar-SA"/>
        </w:rPr>
        <w:t xml:space="preserve">  Finally, Mr. Patel of Royal Oak and Kemess ought to have been "put on inquiry" as a result of the information that Mr. Patel received from Kilborn. In the context of a construction contract, where a tender package is being prepared by an engineer on behalf of an owner, if the circumstances are such that the owner ought to have been put on inquiry, the owner will have a duty to make inquiries of its agent and, failing such inquiries, will be held responsible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its agent: Brown &amp; Huston Ltd. v. York </w:t>
      </w:r>
      <w:hyperlink r:id="rId865" w:history="1">
        <w:r>
          <w:rPr>
            <w:rFonts w:ascii="arial" w:eastAsia="arial" w:hAnsi="arial" w:cs="arial"/>
            <w:i/>
            <w:color w:val="0077CC"/>
            <w:sz w:val="20"/>
            <w:u w:val="single"/>
            <w:shd w:val="clear" w:color="auto" w:fill="FFFFFF"/>
            <w:lang w:val="en-US" w:eastAsia="en-US" w:bidi="ar-SA"/>
          </w:rPr>
          <w:t>(1985), 17 C.L.R. 192</w:t>
        </w:r>
      </w:hyperlink>
      <w:r>
        <w:rPr>
          <w:rFonts w:ascii="arial" w:eastAsia="arial" w:hAnsi="arial" w:cs="arial"/>
          <w:color w:val="000000"/>
          <w:sz w:val="20"/>
          <w:lang w:val="en-US" w:eastAsia="en-US" w:bidi="ar-SA"/>
        </w:rPr>
        <w:t xml:space="preserve"> (Ont.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517</w:t>
      </w:r>
      <w:r>
        <w:rPr>
          <w:rFonts w:ascii="arial" w:eastAsia="arial" w:hAnsi="arial" w:cs="arial"/>
          <w:color w:val="000000"/>
          <w:sz w:val="20"/>
          <w:lang w:val="en-US" w:eastAsia="en-US" w:bidi="ar-SA"/>
        </w:rPr>
        <w:t>  I find that Kemess failed to meet its obligation to provide all information in its possession which was relevant to the question of the soils that would be encountered at the Site. As this information was completely within the control of Kemess, the failure of Kemess to provide this information results in damages available to Golden Hill rather than merely an extension of time as is provided under GC 36.2.</w:t>
      </w:r>
      <w:r>
        <w:rPr>
          <w:rFonts w:ascii="arial" w:eastAsia="arial" w:hAnsi="arial" w:cs="arial"/>
          <w:sz w:val="20"/>
          <w:lang w:val="en-US" w:eastAsia="en-US" w:bidi="ar-SA"/>
        </w:rPr>
        <w:cr/>
      </w:r>
    </w:p>
    <w:p>
      <w:pPr>
        <w:numPr>
          <w:numId w:val="1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RESULTS FROM THE FAILURE TO DISCLOSE THE SITE M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518</w:t>
      </w:r>
      <w:r>
        <w:rPr>
          <w:rFonts w:ascii="arial" w:eastAsia="arial" w:hAnsi="arial" w:cs="arial"/>
          <w:color w:val="000000"/>
          <w:sz w:val="20"/>
          <w:lang w:val="en-US" w:eastAsia="en-US" w:bidi="ar-SA"/>
        </w:rPr>
        <w:t>  Mr. Quaile testified that, if he had received the Site M Reports, he would have reviewed the test pit logs that appeared to be at or near the Airstrip location, would have paid particular attention to test pits 7 through 11 as they were at the south end of the Airstrip where most of the cut areas were located, would have noted the high silt content contained in some of the test pits in the high water table areas and the high moisture contents and would have notified Mr. Rudolph that the Airstrip soils were not good granular but contained large silt content. In this regard, I find that Mr. Quaile would have at least estimated that there would be a greater amount of "cut to unsuitable" and more "borrow to fill" if he had been provided with the Site M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519</w:t>
      </w:r>
      <w:r>
        <w:rPr>
          <w:rFonts w:ascii="arial" w:eastAsia="arial" w:hAnsi="arial" w:cs="arial"/>
          <w:color w:val="000000"/>
          <w:sz w:val="20"/>
          <w:lang w:val="en-US" w:eastAsia="en-US" w:bidi="ar-SA"/>
        </w:rPr>
        <w:t>  When asked how the information contained in the Site M Reports would have affected the bid of Golden Hill, Mr. Rudolph testified that he would have seriously questioned why anybody would have built the Airstrip at that particular location. However, Mr. Rudolph did not testify that he would not have submitted a bid.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520</w:t>
      </w:r>
      <w:r>
        <w:rPr>
          <w:rFonts w:ascii="arial" w:eastAsia="arial" w:hAnsi="arial" w:cs="arial"/>
          <w:color w:val="000000"/>
          <w:sz w:val="20"/>
          <w:lang w:val="en-US" w:eastAsia="en-US" w:bidi="ar-SA"/>
        </w:rPr>
        <w:t>  As to the impact on his bid, Mr. Rudolph stated at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bid would have been substantially higher in this area to be able to, and I don't even know if you could build it with this information, I would be very sceptical but in any event, my price certainly wouldn't be the same as it would be for building a structure with granular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521</w:t>
      </w:r>
      <w:r>
        <w:rPr>
          <w:rFonts w:ascii="arial" w:eastAsia="arial" w:hAnsi="arial" w:cs="arial"/>
          <w:color w:val="000000"/>
          <w:sz w:val="20"/>
          <w:lang w:val="en-US" w:eastAsia="en-US" w:bidi="ar-SA"/>
        </w:rPr>
        <w:t>  In Interrogatories sworn April 19, 2000, Mr. Rudolph stated that the information contained in the Site M Reports: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...could have influenced Golden Hill's tender. The soil texture symbols and the description of the soil at Site M could have alerted Golden Hill to the potential for silty and unsuitable conditions. The information would have highlighted a discrepancy from the advice given on site that the airstrip contained good granular material. This discrepancy could have caused Golden Hill to make inquiries of Kilborn Engineering, could have influenced Golden Hill's material and price estimates, and could have caused Golden Hill to qualify its bid for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522</w:t>
      </w:r>
      <w:r>
        <w:rPr>
          <w:rFonts w:ascii="arial" w:eastAsia="arial" w:hAnsi="arial" w:cs="arial"/>
          <w:color w:val="000000"/>
          <w:sz w:val="20"/>
          <w:lang w:val="en-US" w:eastAsia="en-US" w:bidi="ar-SA"/>
        </w:rPr>
        <w:t>  It is clear that Mr. Rudolph was unable to say with any specificity how the Site M Reports would have affected his bid. However, I am satisfied Golden Hill would have increased its prices for bulk excavation. While Mr. Rudolph testified that the maximum price of $3.00 per cubic metre had been used by him in the past and that this higher number was usually associated with haul distances, grade of the haul (uphill or downhill), the type of material being handled, and whether trucks or scrapers were being used, the question of whether he would have used a unit price of $3.00 per cubic metre if he had known about the information contained in the Site M Reports was never put to Mr. Rudolph during his cross-examination. As well, Mr. Rudolph also testified that the range of $2.00 to $3.00 did not include projects on which he thought construction would be near impossible and where he did not know if the project could be bid on a unit price basis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523</w:t>
      </w:r>
      <w:r>
        <w:rPr>
          <w:rFonts w:ascii="arial" w:eastAsia="arial" w:hAnsi="arial" w:cs="arial"/>
          <w:color w:val="000000"/>
          <w:sz w:val="20"/>
          <w:lang w:val="en-US" w:eastAsia="en-US" w:bidi="ar-SA"/>
        </w:rPr>
        <w:t>  Rather, the specific estimate that Mr. Rudolph provided at Trial was that he would have bid somewhere in the neighbourhood of $4.00 to $8.00 per cubic metre if he had known the contents of the Site M Reports. I accept the evidence of Mr. Rudolph in this regard.</w:t>
      </w:r>
      <w:r>
        <w:rPr>
          <w:rFonts w:ascii="arial" w:eastAsia="arial" w:hAnsi="arial" w:cs="arial"/>
          <w:sz w:val="20"/>
          <w:lang w:val="en-US" w:eastAsia="en-US" w:bidi="ar-SA"/>
        </w:rPr>
        <w:cr/>
      </w:r>
    </w:p>
    <w:p>
      <w:pPr>
        <w:numPr>
          <w:numId w:val="2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MAY 22, 1996 LETTER FROM KILBORN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524</w:t>
      </w:r>
      <w:r>
        <w:rPr>
          <w:rFonts w:ascii="arial" w:eastAsia="arial" w:hAnsi="arial" w:cs="arial"/>
          <w:color w:val="000000"/>
          <w:sz w:val="20"/>
          <w:lang w:val="en-US" w:eastAsia="en-US" w:bidi="ar-SA"/>
        </w:rPr>
        <w:t>  In the May 22 letter from Kilborn to Golden Hill enclosing the Tender Documents, Mr. Collins, Project Manager of Kilborn, stated: "a copy of the currently available soils data is included with this letter for the information of tenderers." As discussed, that was not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525</w:t>
      </w:r>
      <w:r>
        <w:rPr>
          <w:rFonts w:ascii="arial" w:eastAsia="arial" w:hAnsi="arial" w:cs="arial"/>
          <w:color w:val="000000"/>
          <w:sz w:val="20"/>
          <w:lang w:val="en-US" w:eastAsia="en-US" w:bidi="ar-SA"/>
        </w:rPr>
        <w:t xml:space="preserve">  However, I find that Golden Hill did not rely on this representation. While Mr. Rudolph testified that he received the May 22 letter, he was not asked nor did he testify that he relied on the statement it contained when preparing his bid. Reliance cannot be assumed: JJM Construction Ltd. v. Sandspit Harbour Society </w:t>
      </w:r>
      <w:hyperlink r:id="rId838" w:history="1">
        <w:r>
          <w:rPr>
            <w:rFonts w:ascii="arial" w:eastAsia="arial" w:hAnsi="arial" w:cs="arial"/>
            <w:i/>
            <w:color w:val="0077CC"/>
            <w:sz w:val="20"/>
            <w:u w:val="single"/>
            <w:shd w:val="clear" w:color="auto" w:fill="FFFFFF"/>
            <w:lang w:val="en-US" w:eastAsia="en-US" w:bidi="ar-SA"/>
          </w:rPr>
          <w:t>(1999), 71 B.C.L.R. (3d) 166</w:t>
        </w:r>
      </w:hyperlink>
      <w:r>
        <w:rPr>
          <w:rFonts w:ascii="arial" w:eastAsia="arial" w:hAnsi="arial" w:cs="arial"/>
          <w:color w:val="000000"/>
          <w:sz w:val="20"/>
          <w:lang w:val="en-US" w:eastAsia="en-US" w:bidi="ar-SA"/>
        </w:rPr>
        <w:t xml:space="preserve"> (B.C.C.A.). Reliance is a required element of the tort of misrepresentation and its absence is fatal to the claim of Golden Hill: Wigmar Construction (B.C.) Ltd. v. Canada </w:t>
      </w:r>
      <w:hyperlink r:id="rId866" w:history="1">
        <w:r>
          <w:rPr>
            <w:rFonts w:ascii="arial" w:eastAsia="arial" w:hAnsi="arial" w:cs="arial"/>
            <w:i/>
            <w:color w:val="0077CC"/>
            <w:sz w:val="20"/>
            <w:u w:val="single"/>
            <w:shd w:val="clear" w:color="auto" w:fill="FFFFFF"/>
            <w:lang w:val="en-US" w:eastAsia="en-US" w:bidi="ar-SA"/>
          </w:rPr>
          <w:t>(1997), 35 C.L.R. (2d) 185</w:t>
        </w:r>
      </w:hyperlink>
      <w:r>
        <w:rPr>
          <w:rFonts w:ascii="arial" w:eastAsia="arial" w:hAnsi="arial" w:cs="arial"/>
          <w:color w:val="000000"/>
          <w:sz w:val="20"/>
          <w:lang w:val="en-US" w:eastAsia="en-US" w:bidi="ar-SA"/>
        </w:rPr>
        <w:t xml:space="preserve"> (B.C.S.C.) at p. 191 and Hercules Managements Ltd. v. Ernst &amp; Young </w:t>
      </w:r>
      <w:hyperlink r:id="rId867" w:history="1">
        <w:r>
          <w:rPr>
            <w:rFonts w:ascii="arial" w:eastAsia="arial" w:hAnsi="arial" w:cs="arial"/>
            <w:i/>
            <w:color w:val="0077CC"/>
            <w:sz w:val="20"/>
            <w:u w:val="single"/>
            <w:shd w:val="clear" w:color="auto" w:fill="FFFFFF"/>
            <w:lang w:val="en-US" w:eastAsia="en-US" w:bidi="ar-SA"/>
          </w:rPr>
          <w:t>(1997), 146 D.L.R. (4th) 577</w:t>
        </w:r>
      </w:hyperlink>
      <w:r>
        <w:rPr>
          <w:rFonts w:ascii="arial" w:eastAsia="arial" w:hAnsi="arial" w:cs="arial"/>
          <w:color w:val="000000"/>
          <w:sz w:val="20"/>
          <w:lang w:val="en-US" w:eastAsia="en-US" w:bidi="ar-SA"/>
        </w:rPr>
        <w:t xml:space="preserve"> (S.C.C.) at pp. 585-6.</w:t>
      </w:r>
      <w:r>
        <w:rPr>
          <w:rFonts w:ascii="arial" w:eastAsia="arial" w:hAnsi="arial" w:cs="arial"/>
          <w:sz w:val="20"/>
          <w:lang w:val="en-US" w:eastAsia="en-US" w:bidi="ar-SA"/>
        </w:rPr>
        <w:cr/>
      </w:r>
    </w:p>
    <w:p>
      <w:pPr>
        <w:numPr>
          <w:numId w:val="2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OBLIGATION TO PROVIDE COMPLETED DESIGNS AND INVESTIGATIONS ON A TIMELY BASIS - CONTRACT TERMS AND IMPLIED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526</w:t>
      </w:r>
      <w:r>
        <w:rPr>
          <w:rFonts w:ascii="arial" w:eastAsia="arial" w:hAnsi="arial" w:cs="arial"/>
          <w:color w:val="000000"/>
          <w:sz w:val="20"/>
          <w:lang w:val="en-US" w:eastAsia="en-US" w:bidi="ar-SA"/>
        </w:rPr>
        <w:t xml:space="preserve">  It is also an implied term of the Contract that, to the extent that investigations and designs were not complete at the time of the Tender, an owner will provide designs and investigations on a timely basis prior to the beginning of, or at least in advance of, the Work: Foundation Co. of Canada v. United Grain Growers Ltd. </w:t>
      </w:r>
      <w:hyperlink r:id="rId820" w:history="1">
        <w:r>
          <w:rPr>
            <w:rFonts w:ascii="arial" w:eastAsia="arial" w:hAnsi="arial" w:cs="arial"/>
            <w:i/>
            <w:color w:val="0077CC"/>
            <w:sz w:val="20"/>
            <w:u w:val="single"/>
            <w:shd w:val="clear" w:color="auto" w:fill="FFFFFF"/>
            <w:lang w:val="en-US" w:eastAsia="en-US" w:bidi="ar-SA"/>
          </w:rPr>
          <w:t>(1995), 25 C.L.R. (2d) 1</w:t>
        </w:r>
      </w:hyperlink>
      <w:r>
        <w:rPr>
          <w:rFonts w:ascii="arial" w:eastAsia="arial" w:hAnsi="arial" w:cs="arial"/>
          <w:color w:val="000000"/>
          <w:sz w:val="20"/>
          <w:lang w:val="en-US" w:eastAsia="en-US" w:bidi="ar-SA"/>
        </w:rPr>
        <w:t xml:space="preserve"> (B.C.S.C.), at p. 109.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527</w:t>
      </w:r>
      <w:r>
        <w:rPr>
          <w:rFonts w:ascii="arial" w:eastAsia="arial" w:hAnsi="arial" w:cs="arial"/>
          <w:color w:val="000000"/>
          <w:sz w:val="20"/>
          <w:lang w:val="en-US" w:eastAsia="en-US" w:bidi="ar-SA"/>
        </w:rPr>
        <w:t>  General Condition 2.1 provides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Owner or Engineer shall furnish, as may be necessary to supplement the Contract Documents, additional instructions by means of Drawings or otherwise. All such additional instructions shall be consistent with the Contract Documents. In giving such additional instructions, the Owner or the Engineer shall have authority to make changes in the Work which are consistent with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528</w:t>
      </w:r>
      <w:r>
        <w:rPr>
          <w:rFonts w:ascii="arial" w:eastAsia="arial" w:hAnsi="arial" w:cs="arial"/>
          <w:color w:val="000000"/>
          <w:sz w:val="20"/>
          <w:lang w:val="en-US" w:eastAsia="en-US" w:bidi="ar-SA"/>
        </w:rPr>
        <w:t>  Article I of the Form of Agreement provides that: "Time shall be deemed to be material and of the essence of this Contract". Although there is no specific time requirements set out in GC 2.1, the duty imposed on Kemess was to supply drawings and information in a reasonable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529</w:t>
      </w:r>
      <w:r>
        <w:rPr>
          <w:rFonts w:ascii="arial" w:eastAsia="arial" w:hAnsi="arial" w:cs="arial"/>
          <w:color w:val="000000"/>
          <w:sz w:val="20"/>
          <w:lang w:val="en-US" w:eastAsia="en-US" w:bidi="ar-SA"/>
        </w:rPr>
        <w:t>  What constitutes a "reasonable time" is a question of fact with the following criteria suggested by the learned authors of Hudson's Building and Engineering Contracts, 11th edition, Vol. 1 (London Sweet &amp; Maxwell 1995): "(a) by far the most important, the contractor's actual progress, if slower than that shown by or to be inferred from any programme or the stipulated contract period ...; (b) the stipulated contract period or intermediate dates ...; (c) the need of a contractor for reasonable advance knowledge of the work for pre-planning purposes on his part, which obviously will vary considerably according to the subject-matter of the information in question; (d) whether the information relates to a variation; (e) any agreed or indicated programmes showing the intended order of working or dates of completion of parts of the work; and (f) requests or notice by the contractor indicating his need for the information in question" (at pp. 310-11).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530</w:t>
      </w:r>
      <w:r>
        <w:rPr>
          <w:rFonts w:ascii="arial" w:eastAsia="arial" w:hAnsi="arial" w:cs="arial"/>
          <w:color w:val="000000"/>
          <w:sz w:val="20"/>
          <w:lang w:val="en-US" w:eastAsia="en-US" w:bidi="ar-SA"/>
        </w:rPr>
        <w:t xml:space="preserve">  The Court in Fischbach and Moore of Canada Ltd. v. Noranda Mines Ltd. </w:t>
      </w:r>
      <w:hyperlink r:id="rId868" w:history="1">
        <w:r>
          <w:rPr>
            <w:rFonts w:ascii="arial" w:eastAsia="arial" w:hAnsi="arial" w:cs="arial"/>
            <w:i/>
            <w:color w:val="0077CC"/>
            <w:sz w:val="20"/>
            <w:u w:val="single"/>
            <w:shd w:val="clear" w:color="auto" w:fill="FFFFFF"/>
            <w:lang w:val="en-US" w:eastAsia="en-US" w:bidi="ar-SA"/>
          </w:rPr>
          <w:t>(1978), 84 D.L.R. (3d) 465</w:t>
        </w:r>
      </w:hyperlink>
      <w:r>
        <w:rPr>
          <w:rFonts w:ascii="arial" w:eastAsia="arial" w:hAnsi="arial" w:cs="arial"/>
          <w:color w:val="000000"/>
          <w:sz w:val="20"/>
          <w:lang w:val="en-US" w:eastAsia="en-US" w:bidi="ar-SA"/>
        </w:rPr>
        <w:t xml:space="preserve"> (Sask. C.A.) interpreted the phrase "from time to time as necessary" using factors similar to those listed above (at pp. 475-7).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531</w:t>
      </w:r>
      <w:r>
        <w:rPr>
          <w:rFonts w:ascii="arial" w:eastAsia="arial" w:hAnsi="arial" w:cs="arial"/>
          <w:color w:val="000000"/>
          <w:sz w:val="20"/>
          <w:lang w:val="en-US" w:eastAsia="en-US" w:bidi="ar-SA"/>
        </w:rPr>
        <w:t>  The phrase in GC 2.1 ("as may be necessary") should be similarly interpreted as requiring the necessary designs and drawings to be delivered prior to the time that Golden Hill needed them in order to be able to progress with its Work pursuant to the Amended Schedule.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532</w:t>
      </w:r>
      <w:r>
        <w:rPr>
          <w:rFonts w:ascii="arial" w:eastAsia="arial" w:hAnsi="arial" w:cs="arial"/>
          <w:color w:val="000000"/>
          <w:sz w:val="20"/>
          <w:lang w:val="en-US" w:eastAsia="en-US" w:bidi="ar-SA"/>
        </w:rPr>
        <w:t xml:space="preserve">  The obligation of Kemess under GC 2.1 must be considered in light of the fact that it is a fundamental right of Golden Hill to have complete control of the Work and: "... to perform the work at such times, in such order of procedure and in such manner shall be most conducive to economy of construction" (GC 5.1). The failure to supply sufficient and timely information restricts this right. If Kemess wanted to impose and enforce a strict schedule then they necessarily had to provide the proper designs which were sufficiently complete: Dilcon Constructors Ltd. v ANC Developments Inc. </w:t>
      </w:r>
      <w:hyperlink r:id="rId869" w:history="1">
        <w:r>
          <w:rPr>
            <w:rFonts w:ascii="arial" w:eastAsia="arial" w:hAnsi="arial" w:cs="arial"/>
            <w:i/>
            <w:color w:val="0077CC"/>
            <w:sz w:val="20"/>
            <w:u w:val="single"/>
            <w:shd w:val="clear" w:color="auto" w:fill="FFFFFF"/>
            <w:lang w:val="en-US" w:eastAsia="en-US" w:bidi="ar-SA"/>
          </w:rPr>
          <w:t>(1996), 28 C.L.R. (2d) 209</w:t>
        </w:r>
      </w:hyperlink>
      <w:r>
        <w:rPr>
          <w:rFonts w:ascii="arial" w:eastAsia="arial" w:hAnsi="arial" w:cs="arial"/>
          <w:color w:val="000000"/>
          <w:sz w:val="20"/>
          <w:lang w:val="en-US" w:eastAsia="en-US" w:bidi="ar-SA"/>
        </w:rPr>
        <w:t xml:space="preserve"> (Alta. Q.B.) at pp. 272-3 and 274. In Dilcon,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Because Dilcon was agreeing to a fixed completion date and a fixed price, all without complete design drawings, it was essential for the planning and management of their work that Dilcon be able to rely upon the receipt of drawings from NLK, certified for construction, in an orderly and timely sequence in accord with the schedule provided to Dilcon at the time of the contract. NLK failed repeatedly to meet that commitment. If one makes the rather obvious inference that the drawings should arrive certified for construction prior to the dates for which work was scheduled on the construction schedule, then the drawings were very late. (at p. 252).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any event, failure to provide instruction to the contractor in the form of drawings certified for construction and in an orderly and timely sequence was a breach of the owner's obligation to the contractor implicit in each of these contracts. (at p. 273).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materials or drawings, or both, are not supplied by the owner as scheduled, the contractor is deprived of the agreed period of time in which to do his work. (at p. 274).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533</w:t>
      </w:r>
      <w:r>
        <w:rPr>
          <w:rFonts w:ascii="arial" w:eastAsia="arial" w:hAnsi="arial" w:cs="arial"/>
          <w:color w:val="000000"/>
          <w:sz w:val="20"/>
          <w:lang w:val="en-US" w:eastAsia="en-US" w:bidi="ar-SA"/>
        </w:rPr>
        <w:t xml:space="preserve">  The Alberta Court of Appeal did not interfere with the decision that, in not providing materials on a timely basis, the defendant breached its implied agreement with the plaintiff: </w:t>
      </w:r>
      <w:hyperlink r:id="rId870" w:history="1">
        <w:r>
          <w:rPr>
            <w:rFonts w:ascii="arial" w:eastAsia="arial" w:hAnsi="arial" w:cs="arial"/>
            <w:i/>
            <w:color w:val="0077CC"/>
            <w:sz w:val="20"/>
            <w:u w:val="single"/>
            <w:shd w:val="clear" w:color="auto" w:fill="FFFFFF"/>
            <w:lang w:val="en-US" w:eastAsia="en-US" w:bidi="ar-SA"/>
          </w:rPr>
          <w:t>(2000), 6 C.L.R. (3d) 34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534</w:t>
      </w:r>
      <w:r>
        <w:rPr>
          <w:rFonts w:ascii="arial" w:eastAsia="arial" w:hAnsi="arial" w:cs="arial"/>
          <w:color w:val="000000"/>
          <w:sz w:val="20"/>
          <w:lang w:val="en-US" w:eastAsia="en-US" w:bidi="ar-SA"/>
        </w:rPr>
        <w:t>  While that case dealt with a fixed price contract and not a unit price contract, the C101 Contract did provide a fixed schedule and a fixed completion date. If Golden Hill was to have control of the Work to comply with the Amended Schedule, then it should be a "rather obvious inference" that it would receive the designs and investigations required to comply in a timely and complete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535</w:t>
      </w:r>
      <w:r>
        <w:rPr>
          <w:rFonts w:ascii="arial" w:eastAsia="arial" w:hAnsi="arial" w:cs="arial"/>
          <w:color w:val="000000"/>
          <w:sz w:val="20"/>
          <w:lang w:val="en-US" w:eastAsia="en-US" w:bidi="ar-SA"/>
        </w:rPr>
        <w:t xml:space="preserve">  Kemess seeks to justify their delays in providing sufficient designs and instructions by claiming that there is more flexibility and less stringent obligations on an owner working with a fast-track contract. I am satisfied that the decisions do not support that proposition. While a fast-track project demands flexibility, compromise, good faith and good will all around, it does not negate the implied or contractual obligations of either the owner or the contractor: Evergreen Building Ltd. v. H. Haebler Co. </w:t>
      </w:r>
      <w:hyperlink r:id="rId871" w:history="1">
        <w:r>
          <w:rPr>
            <w:rFonts w:ascii="arial" w:eastAsia="arial" w:hAnsi="arial" w:cs="arial"/>
            <w:i/>
            <w:color w:val="0077CC"/>
            <w:sz w:val="20"/>
            <w:u w:val="single"/>
            <w:shd w:val="clear" w:color="auto" w:fill="FFFFFF"/>
            <w:lang w:val="en-US" w:eastAsia="en-US" w:bidi="ar-SA"/>
          </w:rPr>
          <w:t>(1983), 5 C.L.R. 70</w:t>
        </w:r>
      </w:hyperlink>
      <w:r>
        <w:rPr>
          <w:rFonts w:ascii="arial" w:eastAsia="arial" w:hAnsi="arial" w:cs="arial"/>
          <w:color w:val="000000"/>
          <w:sz w:val="20"/>
          <w:lang w:val="en-US" w:eastAsia="en-US" w:bidi="ar-SA"/>
        </w:rPr>
        <w:t xml:space="preserve"> (B.C.S.C.) at p. 74 and Sandbar Construction Ltd. v. Pacific Parkland Properties Inc. </w:t>
      </w:r>
      <w:hyperlink r:id="rId872" w:history="1">
        <w:r>
          <w:rPr>
            <w:rFonts w:ascii="arial" w:eastAsia="arial" w:hAnsi="arial" w:cs="arial"/>
            <w:i/>
            <w:color w:val="0077CC"/>
            <w:sz w:val="20"/>
            <w:u w:val="single"/>
            <w:shd w:val="clear" w:color="auto" w:fill="FFFFFF"/>
            <w:lang w:val="en-US" w:eastAsia="en-US" w:bidi="ar-SA"/>
          </w:rPr>
          <w:t>(1994), 17 C.L.R. (2d) 40</w:t>
        </w:r>
      </w:hyperlink>
      <w:r>
        <w:rPr>
          <w:rFonts w:ascii="arial" w:eastAsia="arial" w:hAnsi="arial" w:cs="arial"/>
          <w:color w:val="000000"/>
          <w:sz w:val="20"/>
          <w:lang w:val="en-US" w:eastAsia="en-US" w:bidi="ar-SA"/>
        </w:rPr>
        <w:t xml:space="preserve"> (B.C.S.C.) at p. 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536</w:t>
      </w:r>
      <w:r>
        <w:rPr>
          <w:rFonts w:ascii="arial" w:eastAsia="arial" w:hAnsi="arial" w:cs="arial"/>
          <w:color w:val="000000"/>
          <w:sz w:val="20"/>
          <w:lang w:val="en-US" w:eastAsia="en-US" w:bidi="ar-SA"/>
        </w:rPr>
        <w:t>  It was an implied term of the Contract as well as a representation made at the Post Tender Meeting that, if subsequent investigation or engineering were performed and the results of which would affect the ability of Golden Hill to complete its Work, the information would be passed along to Golden Hill in a timely manner. It is also an implied term in the Contract that, if subsequent investigations or engineering was performed and the results of which would cast doubts on what had previously been produced, the information should be passed along to Golden Hill in an urgent manner. The failure to do so, amounts to misrepresentation: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when a statement of representation has been made in the bona fide belief that it is true, and the party who has made it afterwards comes to find out that it is untrue, and discovers what he should have said, he can no longer honestly keep up that silence on the subject after that has come to his knowledge, thereby allowing the other party to go on, and still more, inducing him to go on, upon a statement which was honestly made at the time when it was made, but which he has not now retracted when he has become aware that it can be no longer honestly persevered in. (Brownlie v. Campbell, [1880] 5 A.C. 925 (H.L.) at p. 950).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537</w:t>
      </w:r>
      <w:r>
        <w:rPr>
          <w:rFonts w:ascii="arial" w:eastAsia="arial" w:hAnsi="arial" w:cs="arial"/>
          <w:color w:val="000000"/>
          <w:sz w:val="20"/>
          <w:lang w:val="en-US" w:eastAsia="en-US" w:bidi="ar-SA"/>
        </w:rPr>
        <w:t xml:space="preserve">  The principle in Brownlie v. Campbell, [1880] 5 A.C. 925 (H.L.) was applied in the context of construction law in Cardinal Construction Ltd. v. Brockville (City) </w:t>
      </w:r>
      <w:hyperlink r:id="rId824" w:history="1">
        <w:r>
          <w:rPr>
            <w:rFonts w:ascii="arial" w:eastAsia="arial" w:hAnsi="arial" w:cs="arial"/>
            <w:i/>
            <w:color w:val="0077CC"/>
            <w:sz w:val="20"/>
            <w:u w:val="single"/>
            <w:shd w:val="clear" w:color="auto" w:fill="FFFFFF"/>
            <w:lang w:val="en-US" w:eastAsia="en-US" w:bidi="ar-SA"/>
          </w:rPr>
          <w:t>(1984), 4 C.L.R. 149</w:t>
        </w:r>
      </w:hyperlink>
      <w:r>
        <w:rPr>
          <w:rFonts w:ascii="arial" w:eastAsia="arial" w:hAnsi="arial" w:cs="arial"/>
          <w:color w:val="000000"/>
          <w:sz w:val="20"/>
          <w:lang w:val="en-US" w:eastAsia="en-US" w:bidi="ar-SA"/>
        </w:rPr>
        <w:t xml:space="preserve"> (Ont. H.C.J.) where an owner and engineer were held liable for negligent misrepresentation for not disclosing information that was contrary to the information in the tender documents and which was received before the tenders were submitted. It was held that they had a duty to convey that information to bidders because the information provided in the tender document was intended by the owner to induce bidders to act upon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538</w:t>
      </w:r>
      <w:r>
        <w:rPr>
          <w:rFonts w:ascii="arial" w:eastAsia="arial" w:hAnsi="arial" w:cs="arial"/>
          <w:color w:val="000000"/>
          <w:sz w:val="20"/>
          <w:lang w:val="en-US" w:eastAsia="en-US" w:bidi="ar-SA"/>
        </w:rPr>
        <w:t>  At the Post Tender Meeting, Mr. Clegg of Kilborn confirmed that, as the information relevant to the Contract was available, it would be passed on to Golden Hill. Mr. Rudolph was also told at the Post Tender Meeting that he would receive a copy of the final Knight Piésold report once it had been completed.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539</w:t>
      </w:r>
      <w:r>
        <w:rPr>
          <w:rFonts w:ascii="arial" w:eastAsia="arial" w:hAnsi="arial" w:cs="arial"/>
          <w:color w:val="000000"/>
          <w:sz w:val="20"/>
          <w:lang w:val="en-US" w:eastAsia="en-US" w:bidi="ar-SA"/>
        </w:rPr>
        <w:t>  The representation that later material would be provided must be implied as a term in the Contract because, if Kemess is not required to provide subsequent information to Golden Hill, the promise to do so would be rendered illusory. Accordingly, I am satisfied that Article VI does not apply to this representation.</w:t>
      </w:r>
      <w:r>
        <w:rPr>
          <w:rFonts w:ascii="arial" w:eastAsia="arial" w:hAnsi="arial" w:cs="arial"/>
          <w:sz w:val="20"/>
          <w:lang w:val="en-US" w:eastAsia="en-US" w:bidi="ar-SA"/>
        </w:rPr>
        <w:cr/>
      </w:r>
    </w:p>
    <w:p>
      <w:pPr>
        <w:numPr>
          <w:numId w:val="2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PROVIDE CONSTRUCTION DRAWINGS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540</w:t>
      </w:r>
      <w:r>
        <w:rPr>
          <w:rFonts w:ascii="arial" w:eastAsia="arial" w:hAnsi="arial" w:cs="arial"/>
          <w:color w:val="000000"/>
          <w:sz w:val="20"/>
          <w:lang w:val="en-US" w:eastAsia="en-US" w:bidi="ar-SA"/>
        </w:rPr>
        <w:t>  The failure to provide construction drawings on a timely basis does not constitute "changes" as contemplated within the changes provision of GC 27.0, but rather constitutes a breach of contract. Whether as a result of GC 2.1 or as a result of an implied term of the Contract: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self-evident that in order to complete construction as scheduled it was necessary that the plaintiff receive the "approved for construction drawings" for any phase of the work in sufficient time to order material to complete the portion of the work covered by that drawing, and to have materials arrive on site before construction scheduled to start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(Nordic Construction Ltd v. Hope Brook Gold Inc. </w:t>
      </w:r>
      <w:hyperlink r:id="rId873" w:history="1">
        <w:r>
          <w:rPr>
            <w:rFonts w:ascii="arial" w:eastAsia="arial" w:hAnsi="arial" w:cs="arial"/>
            <w:i/>
            <w:color w:val="0077CC"/>
            <w:sz w:val="20"/>
            <w:u w:val="single"/>
            <w:shd w:val="clear" w:color="auto" w:fill="FFFFFF"/>
            <w:lang w:val="en-US" w:eastAsia="en-US" w:bidi="ar-SA"/>
          </w:rPr>
          <w:t>(1991), 47 C.L.R. 8</w:t>
        </w:r>
      </w:hyperlink>
      <w:r>
        <w:rPr>
          <w:rFonts w:ascii="arial" w:eastAsia="arial" w:hAnsi="arial" w:cs="arial"/>
          <w:color w:val="000000"/>
          <w:sz w:val="20"/>
          <w:lang w:val="en-US" w:eastAsia="en-US" w:bidi="ar-SA"/>
        </w:rPr>
        <w:t xml:space="preserve"> (Nfld. S.C.) at p.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541</w:t>
      </w:r>
      <w:r>
        <w:rPr>
          <w:rFonts w:ascii="arial" w:eastAsia="arial" w:hAnsi="arial" w:cs="arial"/>
          <w:color w:val="000000"/>
          <w:sz w:val="20"/>
          <w:lang w:val="en-US" w:eastAsia="en-US" w:bidi="ar-SA"/>
        </w:rPr>
        <w:t xml:space="preserve">  I am satisfied that the provision of construction drawings on a timely basis must be an implied term based on usage in the construction industry and because it is a legal incident to construction contracts. In order for a contractor to be able to perform its work in a manner conducive with the economy of construction, it is a fundamental and necessary term to every construction contract that appropriate, timely and sufficiently complete design information and instructions be provided to the contractor throughout the Project: Walter Cabott Construction Ltd. v. Canada </w:t>
      </w:r>
      <w:hyperlink r:id="rId818" w:history="1">
        <w:r>
          <w:rPr>
            <w:rFonts w:ascii="arial" w:eastAsia="arial" w:hAnsi="arial" w:cs="arial"/>
            <w:i/>
            <w:color w:val="0077CC"/>
            <w:sz w:val="20"/>
            <w:u w:val="single"/>
            <w:shd w:val="clear" w:color="auto" w:fill="FFFFFF"/>
            <w:lang w:val="en-US" w:eastAsia="en-US" w:bidi="ar-SA"/>
          </w:rPr>
          <w:t>(1975), 69 D.L.R. (3d) 542</w:t>
        </w:r>
      </w:hyperlink>
      <w:r>
        <w:rPr>
          <w:rFonts w:ascii="arial" w:eastAsia="arial" w:hAnsi="arial" w:cs="arial"/>
          <w:color w:val="000000"/>
          <w:sz w:val="20"/>
          <w:lang w:val="en-US" w:eastAsia="en-US" w:bidi="ar-SA"/>
        </w:rPr>
        <w:t xml:space="preserve"> (F.C.A.).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542</w:t>
      </w:r>
      <w:r>
        <w:rPr>
          <w:rFonts w:ascii="arial" w:eastAsia="arial" w:hAnsi="arial" w:cs="arial"/>
          <w:color w:val="000000"/>
          <w:sz w:val="20"/>
          <w:lang w:val="en-US" w:eastAsia="en-US" w:bidi="ar-SA"/>
        </w:rPr>
        <w:t>  General Condition 2.1 should be interpreted as meaning a drawing should be delivered prior to the time Golden Hill needed it to meet its deadline. The question is whether Kemess delivered the designs to allow Golden Hill a reasonable amount of time to pre-plan its Work to meet the deadlines imposed.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543</w:t>
      </w:r>
      <w:r>
        <w:rPr>
          <w:rFonts w:ascii="arial" w:eastAsia="arial" w:hAnsi="arial" w:cs="arial"/>
          <w:color w:val="000000"/>
          <w:sz w:val="20"/>
          <w:lang w:val="en-US" w:eastAsia="en-US" w:bidi="ar-SA"/>
        </w:rPr>
        <w:t>  Kemess and Kilborn did not provide Golden Hill with a set of construction drawings when it awarded the C101 Contract. When Golden Hill arrived on Site, it only had a set of the Tender Drawings. Mr. Quaile testified that construction drawings would have helped Golden Hill's efforts to lay out the clearing limits on the Site and to prepare for the initial survey of the original ground and lay out of the Project. Construction drawings for the Millsite and the Mancamp were issued on July 10. Mr. Quaile testified that they could not use them as the Mancamp and Tile field areas were marked with the word "Hold" which meant that Golden Hill could not do anything in those areas. Furthermore, the construction drawings were marked with the notation "Do Not Scale Reduce Print".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544</w:t>
      </w:r>
      <w:r>
        <w:rPr>
          <w:rFonts w:ascii="arial" w:eastAsia="arial" w:hAnsi="arial" w:cs="arial"/>
          <w:color w:val="000000"/>
          <w:sz w:val="20"/>
          <w:lang w:val="en-US" w:eastAsia="en-US" w:bidi="ar-SA"/>
        </w:rPr>
        <w:t>  Mr. Quaile testified that he could not accurately interpret the reduced-print construction drawings for the purposes of starting the layout of the Work. During cross-examination, Mr. Rempel admitted that he shared the view of Golden Hill that it could not scale from the construction drawings unless they were in "scalable drawings".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545</w:t>
      </w:r>
      <w:r>
        <w:rPr>
          <w:rFonts w:ascii="arial" w:eastAsia="arial" w:hAnsi="arial" w:cs="arial"/>
          <w:color w:val="000000"/>
          <w:sz w:val="20"/>
          <w:lang w:val="en-US" w:eastAsia="en-US" w:bidi="ar-SA"/>
        </w:rPr>
        <w:t>  At a July 18 construction meeting, Golden Hill advised Kemess that the lack of scalable drawings was holding up its layout work. A letter of the same date to Kemess reiterated that Golden Hill required scalable grading plans for the Millsite, the Mancamp, and the Airstrip to continue with the lay out and design of the Project. On July 23, Golden Hill sent a letter to Kemess to advise that its schedule had been delayed by lack of a design for the Mancamp.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546</w:t>
      </w:r>
      <w:r>
        <w:rPr>
          <w:rFonts w:ascii="arial" w:eastAsia="arial" w:hAnsi="arial" w:cs="arial"/>
          <w:color w:val="000000"/>
          <w:sz w:val="20"/>
          <w:lang w:val="en-US" w:eastAsia="en-US" w:bidi="ar-SA"/>
        </w:rPr>
        <w:t>  When Golden Hill received the non-scalable drawings for the Millsite and Mancamp and the actual construction drawings for the Millsite and Mancamp, Golden Hill was fully occupied clearing, grubbing and stripping the various areas using the rough co-ordinates to lay out the clearing perimeters. However, I am satisfied that Golden Hill did more preparatory work than was necessary because it wanted to keep its personnel occupied.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547</w:t>
      </w:r>
      <w:r>
        <w:rPr>
          <w:rFonts w:ascii="arial" w:eastAsia="arial" w:hAnsi="arial" w:cs="arial"/>
          <w:color w:val="000000"/>
          <w:sz w:val="20"/>
          <w:lang w:val="en-US" w:eastAsia="en-US" w:bidi="ar-SA"/>
        </w:rPr>
        <w:t>  I find that the delay in providing the final construction drawings caused less efficient production and delay. Furthermore, Golden Hill had not mobilized its full forces in July because the Site was not ready. I am satisfied that the delay of the start of the earthworks operations was partially caused because of the lack of sufficient drawings and designs. The delay in providing the designs denied Golden Hill an unimpeded run of Work and caused reduced productivity.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548</w:t>
      </w:r>
      <w:r>
        <w:rPr>
          <w:rFonts w:ascii="arial" w:eastAsia="arial" w:hAnsi="arial" w:cs="arial"/>
          <w:color w:val="000000"/>
          <w:sz w:val="20"/>
          <w:lang w:val="en-US" w:eastAsia="en-US" w:bidi="ar-SA"/>
        </w:rPr>
        <w:t>  The effect of the delay in providing final construction drawings and the lack of sufficient drawings and designs on the Mancamp, the Millsite, and the Airstrip are outlined as follows.</w:t>
      </w:r>
      <w:r>
        <w:rPr>
          <w:rFonts w:ascii="arial" w:eastAsia="arial" w:hAnsi="arial" w:cs="arial"/>
          <w:sz w:val="20"/>
          <w:lang w:val="en-US" w:eastAsia="en-US" w:bidi="ar-SA"/>
        </w:rPr>
        <w:cr/>
      </w:r>
    </w:p>
    <w:p>
      <w:pPr>
        <w:numPr>
          <w:numId w:val="2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MANCAMP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549</w:t>
      </w:r>
      <w:r>
        <w:rPr>
          <w:rFonts w:ascii="arial" w:eastAsia="arial" w:hAnsi="arial" w:cs="arial"/>
          <w:color w:val="000000"/>
          <w:sz w:val="20"/>
          <w:lang w:val="en-US" w:eastAsia="en-US" w:bidi="ar-SA"/>
        </w:rPr>
        <w:t>  In cross-examination, Mr. Rempel testified that he could not recall when Golden Hill started earthworks on the Mancamp or how many days Golden Hill was delayed by the lack of construction drawings. He admitted that, by the third week of July, some restrictions had been placed on Golden Hill relating to the order in which they could do the Work because of the lack of permits and the lack of design specifications.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550</w:t>
      </w:r>
      <w:r>
        <w:rPr>
          <w:rFonts w:ascii="arial" w:eastAsia="arial" w:hAnsi="arial" w:cs="arial"/>
          <w:color w:val="000000"/>
          <w:sz w:val="20"/>
          <w:lang w:val="en-US" w:eastAsia="en-US" w:bidi="ar-SA"/>
        </w:rPr>
        <w:t>  This impacted on the ability of Golden Hill to have full access to the Site and to allow them to organize their equipment to select an order of construction that was most economical.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551</w:t>
      </w:r>
      <w:r>
        <w:rPr>
          <w:rFonts w:ascii="arial" w:eastAsia="arial" w:hAnsi="arial" w:cs="arial"/>
          <w:color w:val="000000"/>
          <w:sz w:val="20"/>
          <w:lang w:val="en-US" w:eastAsia="en-US" w:bidi="ar-SA"/>
        </w:rPr>
        <w:t>  On July 25, Kilborn transmitted a set of eight construction drawings to Kemess. Those drawings were received on July 27, but the Mancamp was still listed as a "Hold". Revised construction drawings were received on July 30 and the hold status on the Mancamp design was removed but was maintained on the tile field area immediately south of the Mancamp.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552</w:t>
      </w:r>
      <w:r>
        <w:rPr>
          <w:rFonts w:ascii="arial" w:eastAsia="arial" w:hAnsi="arial" w:cs="arial"/>
          <w:color w:val="000000"/>
          <w:sz w:val="20"/>
          <w:lang w:val="en-US" w:eastAsia="en-US" w:bidi="ar-SA"/>
        </w:rPr>
        <w:t>  The revised Contract Schedule indicated that Golden Hill planned to finish rough grading on the Mancamp on July 28 which was two days before Golden Hill actually received the Mancamp design. The schedule in the Tender Documents indicated that Golden Hill was to start earthworks on the Site no later than July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553</w:t>
      </w:r>
      <w:r>
        <w:rPr>
          <w:rFonts w:ascii="arial" w:eastAsia="arial" w:hAnsi="arial" w:cs="arial"/>
          <w:color w:val="000000"/>
          <w:sz w:val="20"/>
          <w:lang w:val="en-US" w:eastAsia="en-US" w:bidi="ar-SA"/>
        </w:rPr>
        <w:t>  When Golden Hill tried to overlay the co-ordinates of the Mancamp design on to the results of the survey, it found that the Mancamp did not fit into the existing clearing and that the design called for the Mancamp to be located over a creek that separated the Mancamp from the Millsite. As a result, it was necessary for the location of the Mancamp to be shifted approximately 60 metres so that it would fit in the cleared area between the grubbing piles of Golden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554</w:t>
      </w:r>
      <w:r>
        <w:rPr>
          <w:rFonts w:ascii="arial" w:eastAsia="arial" w:hAnsi="arial" w:cs="arial"/>
          <w:color w:val="000000"/>
          <w:sz w:val="20"/>
          <w:lang w:val="en-US" w:eastAsia="en-US" w:bidi="ar-SA"/>
        </w:rPr>
        <w:t>  Mr. Lyons testified that, before Golden Hill could start earthworks at the Mancamp, it had to survey the new location, stake the cut and fill lines, and move one of the existing stripping piles.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555</w:t>
      </w:r>
      <w:r>
        <w:rPr>
          <w:rFonts w:ascii="arial" w:eastAsia="arial" w:hAnsi="arial" w:cs="arial"/>
          <w:color w:val="000000"/>
          <w:sz w:val="20"/>
          <w:lang w:val="en-US" w:eastAsia="en-US" w:bidi="ar-SA"/>
        </w:rPr>
        <w:t>  In August, Kemess made a further design change to the Mancamp when Golden Hill ran out of suitable granular material to construct the benches at the bottom end of the Mancamp. The problem was resolved by lowering the design grades of the bottom benches to reduce the amount of cut material necessary to bring the bottom bench up to grade. The lack of suitable material caused Golden Hill to suffer a delay when it had to shut down its operations to re-survey and stake the area to the new design grade. When Golden Hill restarted its operations, it had to cut down some of the existing lower benches to keep the grades consistent at the new elevation.</w:t>
      </w:r>
      <w:r>
        <w:rPr>
          <w:rFonts w:ascii="arial" w:eastAsia="arial" w:hAnsi="arial" w:cs="arial"/>
          <w:sz w:val="20"/>
          <w:lang w:val="en-US" w:eastAsia="en-US" w:bidi="ar-SA"/>
        </w:rPr>
        <w:cr/>
      </w:r>
    </w:p>
    <w:p>
      <w:pPr>
        <w:numPr>
          <w:numId w:val="2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MILLSITE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556</w:t>
      </w:r>
      <w:r>
        <w:rPr>
          <w:rFonts w:ascii="arial" w:eastAsia="arial" w:hAnsi="arial" w:cs="arial"/>
          <w:color w:val="000000"/>
          <w:sz w:val="20"/>
          <w:lang w:val="en-US" w:eastAsia="en-US" w:bidi="ar-SA"/>
        </w:rPr>
        <w:t>  The construction drawings were received on July 25. When compared with the tender drawings depicting the crusher area of the Millsite, the construction drawings showed that Kemess had deleted a significant access road from the lower Millsite to the crusher area. Because that road had been designed to be a fill area in the Millsite in the original design, its deletion resulted in an excess of cut material in the design. This material became waste.</w:t>
      </w:r>
      <w:r>
        <w:rPr>
          <w:rFonts w:ascii="arial" w:eastAsia="arial" w:hAnsi="arial" w:cs="arial"/>
          <w:sz w:val="20"/>
          <w:lang w:val="en-US" w:eastAsia="en-US" w:bidi="ar-SA"/>
        </w:rPr>
        <w:cr/>
      </w:r>
    </w:p>
    <w:p>
      <w:pPr>
        <w:numPr>
          <w:numId w:val="2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AIRSTRIP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557</w:t>
      </w:r>
      <w:r>
        <w:rPr>
          <w:rFonts w:ascii="arial" w:eastAsia="arial" w:hAnsi="arial" w:cs="arial"/>
          <w:color w:val="000000"/>
          <w:sz w:val="20"/>
          <w:lang w:val="en-US" w:eastAsia="en-US" w:bidi="ar-SA"/>
        </w:rPr>
        <w:t>  The design for the Airstrip was hopelessly behind before Golden Hill arrived on Site. The Airstrip had been deleted from the Project in the March 27 Budget. By the end of April, that decision was reversed. PCL sent the designs of the Airstrip to Royal Oak on May 1 and, at the same time, told Royal Oak that the Airstrip still required field investigation. While Kilborn included extracts from the PCL design in the Tender Documents, the Tender Documents did not include the plan view of the Airstrip that had been prepared by PCL.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558</w:t>
      </w:r>
      <w:r>
        <w:rPr>
          <w:rFonts w:ascii="arial" w:eastAsia="arial" w:hAnsi="arial" w:cs="arial"/>
          <w:color w:val="000000"/>
          <w:sz w:val="20"/>
          <w:lang w:val="en-US" w:eastAsia="en-US" w:bidi="ar-SA"/>
        </w:rPr>
        <w:t>  On June 9, Vilholth Jensen gave Royal Oak an engineering proposal for the Airstrip that included a cost allowance for reviewing test pit data but Kemess rejected the cost allowance for those test pits on June 19. On June 25, Kemess relented and agreed to pay Vilholth Jensen to perform the assessment "in light of the absence of geotechnical data on the proposed site". Kemess then excavated five test pits on the Airstrip and sent the test pit data to Kilborn on June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559</w:t>
      </w:r>
      <w:r>
        <w:rPr>
          <w:rFonts w:ascii="arial" w:eastAsia="arial" w:hAnsi="arial" w:cs="arial"/>
          <w:color w:val="000000"/>
          <w:sz w:val="20"/>
          <w:lang w:val="en-US" w:eastAsia="en-US" w:bidi="ar-SA"/>
        </w:rPr>
        <w:t>  When Golden Hill arrived on Site, the centre line for the Airstrip was not completely cleared and the precise location of the Airstrip was not determined. The cross-sections, mass haul diagram, and the profile that were included in the Tender Documents were different from the ultimate design received from Vilholth Jensen.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560</w:t>
      </w:r>
      <w:r>
        <w:rPr>
          <w:rFonts w:ascii="arial" w:eastAsia="arial" w:hAnsi="arial" w:cs="arial"/>
          <w:color w:val="000000"/>
          <w:sz w:val="20"/>
          <w:lang w:val="en-US" w:eastAsia="en-US" w:bidi="ar-SA"/>
        </w:rPr>
        <w:t>  Around June 13, Royal Oak had a set of preliminary designs from Vilholth Jensen and these preliminary designs depicted the Airstrip in more detail than the site plan that had been provided to tenderers. Focus Surveys began its work to survey and establish control monuments at the Airstrip on June 13 and it provided final coordinates for its work to Kemess on June 20 which was the same day that Kemess started clearing the Airstrip centre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561</w:t>
      </w:r>
      <w:r>
        <w:rPr>
          <w:rFonts w:ascii="arial" w:eastAsia="arial" w:hAnsi="arial" w:cs="arial"/>
          <w:color w:val="000000"/>
          <w:sz w:val="20"/>
          <w:lang w:val="en-US" w:eastAsia="en-US" w:bidi="ar-SA"/>
        </w:rPr>
        <w:t>  Vilholth Jensen received a final set of survey co-ordinates for the Airstrip on July 10, 1996. On July 8 (three days after Golden Hill's arrival), Vilholth Jensen wrote to Kemess to advise that it had reviewed the test pit information for the Airstrip and had developed a design for the surface course of the runway. At the same time, Vilholth Jensen suggested that Kemess have the immediate area of the landing strip: "... inspected by your geotechnical engineer to see if borrow pits can be developed to produce suitable materials in the necessary volume".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562</w:t>
      </w:r>
      <w:r>
        <w:rPr>
          <w:rFonts w:ascii="arial" w:eastAsia="arial" w:hAnsi="arial" w:cs="arial"/>
          <w:color w:val="000000"/>
          <w:sz w:val="20"/>
          <w:lang w:val="en-US" w:eastAsia="en-US" w:bidi="ar-SA"/>
        </w:rPr>
        <w:t>  Despite that suggestion, Mr. Koski could not explain why the geotechnical engineer for Kemess was not asked to identify borrow pits at the Airstrip before August or September.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563</w:t>
      </w:r>
      <w:r>
        <w:rPr>
          <w:rFonts w:ascii="arial" w:eastAsia="arial" w:hAnsi="arial" w:cs="arial"/>
          <w:color w:val="000000"/>
          <w:sz w:val="20"/>
          <w:lang w:val="en-US" w:eastAsia="en-US" w:bidi="ar-SA"/>
        </w:rPr>
        <w:t>  Golden Hill started clearing the Airstrip shortly after Kemess received its clearing permit on July 12. Golden Hill sent a letter to Kemess on July 18 to request a grading plan and profile for the Airstrip as they had expressed a concern that an alternative design profile was required before Golden Hill could start to lay out its work at the Airstrip.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564</w:t>
      </w:r>
      <w:r>
        <w:rPr>
          <w:rFonts w:ascii="arial" w:eastAsia="arial" w:hAnsi="arial" w:cs="arial"/>
          <w:color w:val="000000"/>
          <w:sz w:val="20"/>
          <w:lang w:val="en-US" w:eastAsia="en-US" w:bidi="ar-SA"/>
        </w:rPr>
        <w:t>  Full size drawings of the Airstrip had not been received from Vilholth Jensen by July 19 even though Kemess had received a centre line profile, cross-sections, and 31 pages of site work specifications for the Airstrip on letter-size paper by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565</w:t>
      </w:r>
      <w:r>
        <w:rPr>
          <w:rFonts w:ascii="arial" w:eastAsia="arial" w:hAnsi="arial" w:cs="arial"/>
          <w:color w:val="000000"/>
          <w:sz w:val="20"/>
          <w:lang w:val="en-US" w:eastAsia="en-US" w:bidi="ar-SA"/>
        </w:rPr>
        <w:t>  There is no record of Kemess ever transmitting full-sized Vilholth Jensen design drawings to Golden Hill. The new design was not included in the formal Contract document prepared by Kilborn and forwarded to Mr. Rudolph in late August and no steps were taken to formally substitute the new design for the PCL design that was included in the formal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566</w:t>
      </w:r>
      <w:r>
        <w:rPr>
          <w:rFonts w:ascii="arial" w:eastAsia="arial" w:hAnsi="arial" w:cs="arial"/>
          <w:color w:val="000000"/>
          <w:sz w:val="20"/>
          <w:lang w:val="en-US" w:eastAsia="en-US" w:bidi="ar-SA"/>
        </w:rPr>
        <w:t>  Kemess originally instructed Golden Hill to clear the Airstrip to a width of 65 metres from the centre line, subsequently changed the alignment of the north end of the Airstrip and extended the clearing limits to a width of 70 metres from the centre line. While counsel for Kemess suggested to Messrs. Quaile and Lyons that Golden Hill had made a mistake, Mr. Rempel subsequently admitted that Kemess had made a survey error when it laid out the clearing limits at the Airstrip at 70 metres from the centre line rather than 75 metres from the centre line. Mr. Rempel admitted in his testimony and I find that it was necessary for Golden Hill to do extra clearing outside of their existing grubbing piles and it was necessary to move its grubbing piles out of the way so that additional clearing work could take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567</w:t>
      </w:r>
      <w:r>
        <w:rPr>
          <w:rFonts w:ascii="arial" w:eastAsia="arial" w:hAnsi="arial" w:cs="arial"/>
          <w:color w:val="000000"/>
          <w:sz w:val="20"/>
          <w:lang w:val="en-US" w:eastAsia="en-US" w:bidi="ar-SA"/>
        </w:rPr>
        <w:t>  On July 23, Mr. Lyons wrote to Kemess to advise that the work of Golden Hill had been delayed as a result of the "many design changes on the airstrip and no design on the Mancamp" and that extra clearing would be required outside of "our existing grubbing piles". Golden Hill advised Kemess that it intended to charge Kemess for the extra work on an hourly basis. Although Kemess eventually hired another company to do the extra clearing at the Airstrip, Golden Hill still incurred extra work and expense to move its grubbing piles out of the way so that this additional clearing work could take place. In an August 4 letter from Kemess, Golden Hill was permitted to use a clearing limit of 70 metres from the centre line at the Airstrip.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568</w:t>
      </w:r>
      <w:r>
        <w:rPr>
          <w:rFonts w:ascii="arial" w:eastAsia="arial" w:hAnsi="arial" w:cs="arial"/>
          <w:color w:val="000000"/>
          <w:sz w:val="20"/>
          <w:lang w:val="en-US" w:eastAsia="en-US" w:bidi="ar-SA"/>
        </w:rPr>
        <w:t>  Golden Hill followed the Vilholth Jensen technical specification for its excavation and placement of common fill material, but later switched to the specification in the Tender Documents for road and parking sub-grade material because of some confusion about the structure at the Airstrip, the location where Golden Hill would find granular material, and the specification that Golden Hill was to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569</w:t>
      </w:r>
      <w:r>
        <w:rPr>
          <w:rFonts w:ascii="arial" w:eastAsia="arial" w:hAnsi="arial" w:cs="arial"/>
          <w:color w:val="000000"/>
          <w:sz w:val="20"/>
          <w:lang w:val="en-US" w:eastAsia="en-US" w:bidi="ar-SA"/>
        </w:rPr>
        <w:t>  The Tender Documents called for a maximum lift thickness of 300 millimetres and a minimum compaction of 95 percent of maximum dry density determined by the Modified Proctor Test. The Vilholth Jensen specification called for a maximum lift thickness of 200 millimetres and a minimum compaction of 90 percent of corrected maximum dry density in non-pavement areas and 95 percent of corrected maximum dry density in pavement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570</w:t>
      </w:r>
      <w:r>
        <w:rPr>
          <w:rFonts w:ascii="arial" w:eastAsia="arial" w:hAnsi="arial" w:cs="arial"/>
          <w:color w:val="000000"/>
          <w:sz w:val="20"/>
          <w:lang w:val="en-US" w:eastAsia="en-US" w:bidi="ar-SA"/>
        </w:rPr>
        <w:t>  The original design of Vilholth Jensen for the surface structure of the Airstrip called for 490 millimetres of sub-base, 230 millimetres of base course, and 180 millimetres of surface course. Kemess changed the surface structure of the Airstrip several times over the duration of the Project in order to accommodate the type of material that was found on the site:</w:t>
      </w:r>
      <w:r>
        <w:rPr>
          <w:rFonts w:ascii="arial" w:eastAsia="arial" w:hAnsi="arial" w:cs="arial"/>
          <w:sz w:val="20"/>
          <w:lang w:val="en-US" w:eastAsia="en-US" w:bidi="ar-SA"/>
        </w:rPr>
        <w:cr/>
      </w:r>
    </w:p>
    <w:p>
      <w:pPr>
        <w:numPr>
          <w:numId w:val="2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August 31, 1996, Mr. Rempel and Mr. Stuart instructed Golden Hill to change the design for the surface structure of the Airstrip to 300 millimetres of granular B followed by a surface layer of 150 millimetres of granular A;</w:t>
      </w:r>
    </w:p>
    <w:p>
      <w:pPr>
        <w:numPr>
          <w:numId w:val="2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September 13, 1996, Golden Hill wrote to Mr. Stuart to confirm the change in the surface structure of the Airstrip and to confirm that Kemess would accept full responsibility for the change in design;</w:t>
      </w:r>
    </w:p>
    <w:p>
      <w:pPr>
        <w:numPr>
          <w:numId w:val="2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October 6, 1996, Kemess instructed Golden Hill to change the design for the surface structure of the Airstrip to 1000 millimetres of "hauled gravel" from a borrow pit at the north end of the Airstrip Access Road;</w:t>
      </w:r>
    </w:p>
    <w:p>
      <w:pPr>
        <w:numPr>
          <w:numId w:val="2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November 23, 1996, Kemess settled on a design of 720 millimetres of sub-base material from the gravel pit at the north end of the Airstrip Access Road, followed by 180 millimetres of surface course material;</w:t>
      </w:r>
    </w:p>
    <w:p>
      <w:pPr>
        <w:numPr>
          <w:numId w:val="2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November 29, 1996, Kemess instructed Golden Hill to reduce the thickness of surface course (i.e. granular A) from 180 millimetres to 100 millimetres.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571</w:t>
      </w:r>
      <w:r>
        <w:rPr>
          <w:rFonts w:ascii="arial" w:eastAsia="arial" w:hAnsi="arial" w:cs="arial"/>
          <w:color w:val="000000"/>
          <w:sz w:val="20"/>
          <w:lang w:val="en-US" w:eastAsia="en-US" w:bidi="ar-SA"/>
        </w:rPr>
        <w:t>  The failure to provide scalable drawings so that Golden Hill could lay out and design its Work on the Project, the placement of restrictions on what was eventually provided when the Revised construction drawings were listed as a "Hold", the fact that the co-ordinates of the Mancamp design did not co-ordinate with the results of the survey for the area, the late provision of all construction drawings, the constant changes to the designs of the Airstrip, the confusion regarding the width of the Airstrip from the centre line of the Airstrip, the changes in the thickness and the maximum dry density of the material to be placed at the Airstrip, and the change of the Airstrip from a permanent airstrip to a temporary airstrip were all in violation of the express and implied terms of the Contract that Golden Hill would be provided with consistent, completed and/or sufficiently completed design information, drawings and instructions in a timely manner, that Golden Hill would be immediately advised of any material changes to the information known by Kemess, and that Golden Hill would be given complete control over the Work in order to implement the plan for the Work as originally formulated. All of these breaches disrupted the ability of Golden Hill to organize its equipment and its plan in an order of construction that was most economical to it. All of these matters were within the control of Kemess so that GC 36 does not apply and Golden Hill is entitled to any damages flowing from the breaches of contract and the misrepresentations.</w:t>
      </w:r>
      <w:r>
        <w:rPr>
          <w:rFonts w:ascii="arial" w:eastAsia="arial" w:hAnsi="arial" w:cs="arial"/>
          <w:sz w:val="20"/>
          <w:lang w:val="en-US" w:eastAsia="en-US" w:bidi="ar-SA"/>
        </w:rPr>
        <w:cr/>
      </w:r>
    </w:p>
    <w:p>
      <w:pPr>
        <w:numPr>
          <w:numId w:val="2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"SOILS REPORT" OF MR. REMPEL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572</w:t>
      </w:r>
      <w:r>
        <w:rPr>
          <w:rFonts w:ascii="arial" w:eastAsia="arial" w:hAnsi="arial" w:cs="arial"/>
          <w:color w:val="000000"/>
          <w:sz w:val="20"/>
          <w:lang w:val="en-US" w:eastAsia="en-US" w:bidi="ar-SA"/>
        </w:rPr>
        <w:t>  In late June, Mr. Rempel dug five test pits along the centre line of the intended location of the Airstrip. He did not observe any gravels or granular material in the test pits. What he observed was silt. Mr. Rempel admitted that his soils report would have been helpful to the C101 Contract bidders and that the results were inconsistent with his earlier expectation for good granular material at the Airstrip. He was of the view that Mr. Koski should have passed the information on to bidders. Mr. Koski also admitted that the soils report contained information that would be useful to a contractor about to start an earthworks operation. He expected that it would have been provided to Golden Hill as the successful bidder.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573</w:t>
      </w:r>
      <w:r>
        <w:rPr>
          <w:rFonts w:ascii="arial" w:eastAsia="arial" w:hAnsi="arial" w:cs="arial"/>
          <w:color w:val="000000"/>
          <w:sz w:val="20"/>
          <w:lang w:val="en-US" w:eastAsia="en-US" w:bidi="ar-SA"/>
        </w:rPr>
        <w:t>  The report of Mr. Rempel was created prior to the date of the Letter of Intent and prior to the acceptance of the Letter of Intent by Golden Hill. I find that the report of Mr. Rempel was never provided to Golden Hill nor was it ever disclosed by Kemess as part of this litigation. It only came to the attention of Golden Hill when one of its experts obtained a copy of it from Vilholth Jensen.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574</w:t>
      </w:r>
      <w:r>
        <w:rPr>
          <w:rFonts w:ascii="arial" w:eastAsia="arial" w:hAnsi="arial" w:cs="arial"/>
          <w:color w:val="000000"/>
          <w:sz w:val="20"/>
          <w:lang w:val="en-US" w:eastAsia="en-US" w:bidi="ar-SA"/>
        </w:rPr>
        <w:t>  Golden Hill states that, if this information had been passed on to it, it might not have signed the Letter of Intent, might have negotiated a different contract with Kemess, or might have amended its plan for the Work at the Airstrip.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575</w:t>
      </w:r>
      <w:r>
        <w:rPr>
          <w:rFonts w:ascii="arial" w:eastAsia="arial" w:hAnsi="arial" w:cs="arial"/>
          <w:color w:val="000000"/>
          <w:sz w:val="20"/>
          <w:lang w:val="en-US" w:eastAsia="en-US" w:bidi="ar-SA"/>
        </w:rPr>
        <w:t>  I am satisfied that Mr. Rempel could "no longer honestly keep up [his] silence on the subject" after he knew that his statement to Golden Hill that the Airstrip bench consisted of good granular materials was untrue: Brownlie v. Campbell, [1880] 5 A.C. 925 (H.L.) at p. 950.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576</w:t>
      </w:r>
      <w:r>
        <w:rPr>
          <w:rFonts w:ascii="arial" w:eastAsia="arial" w:hAnsi="arial" w:cs="arial"/>
          <w:color w:val="000000"/>
          <w:sz w:val="20"/>
          <w:lang w:val="en-US" w:eastAsia="en-US" w:bidi="ar-SA"/>
        </w:rPr>
        <w:t>  The failure to provide the report of Mr. Rempel resulted in Kemess breaching its contractual duty to provide Golden Hill with material contrary information obtained subsequent to the preparation of the Tender Documents. Golden Hill suffered damages as a result of this breach in that it did not have the opportunity to negotiate alternative terms based on the subsequent information, to choose not to accept the Letter of Intent, or to plan its work at the Airstrip in a more economical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577</w:t>
      </w:r>
      <w:r>
        <w:rPr>
          <w:rFonts w:ascii="arial" w:eastAsia="arial" w:hAnsi="arial" w:cs="arial"/>
          <w:color w:val="000000"/>
          <w:sz w:val="20"/>
          <w:lang w:val="en-US" w:eastAsia="en-US" w:bidi="ar-SA"/>
        </w:rPr>
        <w:t>  Golden Hill reasonably relied on the implied term that it would receive any subsequent material information. As a result of not receiving this information at any time, Golden Hill encountered unexpected conditions that made the work slower and more difficult and suffered damages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578</w:t>
      </w:r>
      <w:r>
        <w:rPr>
          <w:rFonts w:ascii="arial" w:eastAsia="arial" w:hAnsi="arial" w:cs="arial"/>
          <w:color w:val="000000"/>
          <w:sz w:val="20"/>
          <w:lang w:val="en-US" w:eastAsia="en-US" w:bidi="ar-SA"/>
        </w:rPr>
        <w:t>  However, the damages that Golden Hill suffered related only to the Airstrip. As well, the report of Mr. Rempel does not relate to any damages in relation to the clearing, grubbing, stripping, and stock-piling of Topsoil aspects of the work at the Airstrip. As well, any damages relating to this breach of contract overlap any damages concerning the failure to provide the Site M Reports.</w:t>
      </w:r>
      <w:r>
        <w:rPr>
          <w:rFonts w:ascii="arial" w:eastAsia="arial" w:hAnsi="arial" w:cs="arial"/>
          <w:sz w:val="20"/>
          <w:lang w:val="en-US" w:eastAsia="en-US" w:bidi="ar-SA"/>
        </w:rPr>
        <w:cr/>
      </w:r>
    </w:p>
    <w:p>
      <w:pPr>
        <w:numPr>
          <w:numId w:val="2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KNIGHT PIÉSOLD GEOTECHNICAL REPORTS FOR THE MILLSITE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579</w:t>
      </w:r>
      <w:r>
        <w:rPr>
          <w:rFonts w:ascii="arial" w:eastAsia="arial" w:hAnsi="arial" w:cs="arial"/>
          <w:color w:val="000000"/>
          <w:sz w:val="20"/>
          <w:lang w:val="en-US" w:eastAsia="en-US" w:bidi="ar-SA"/>
        </w:rPr>
        <w:t>  At the Post Tender Meeting, Mr. Rudolph advised that Knight Piésold had prepared a report and that it would shortly be available. By a July 14 memo, Mr. Koski asked Mr. Wilkinson of Kemess to tell Golden Hill it should review the Knight Piésold "Draft Geotechnical Report" and to "advise of any potential concerns regarding materials and conditions. There is no evidence that anyone from Kemess told Golden Hill that this draft report was available for its review or that anyone ever provided a copy of the draft report to Golden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580</w:t>
      </w:r>
      <w:r>
        <w:rPr>
          <w:rFonts w:ascii="arial" w:eastAsia="arial" w:hAnsi="arial" w:cs="arial"/>
          <w:color w:val="000000"/>
          <w:sz w:val="20"/>
          <w:lang w:val="en-US" w:eastAsia="en-US" w:bidi="ar-SA"/>
        </w:rPr>
        <w:t>  While there was vigorous cross-examination of Mr. Lyons about whether he had received the report or not, Kemess failed to call Mr. Wilkinson as a witness to testify about whether he had followed up on the July 14 memo that he had received from Mr. Koski. After reviewing the evidence, I find that neither Mr. Wilkinson nor anyone else at Kemess provided the report to Golden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581</w:t>
      </w:r>
      <w:r>
        <w:rPr>
          <w:rFonts w:ascii="arial" w:eastAsia="arial" w:hAnsi="arial" w:cs="arial"/>
          <w:color w:val="000000"/>
          <w:sz w:val="20"/>
          <w:lang w:val="en-US" w:eastAsia="en-US" w:bidi="ar-SA"/>
        </w:rPr>
        <w:t>  By a July 25 memoranda, Kilborn told Mr. Koski that Knight Piésold had issued its final report and reminded Mr. Koski that the contractors involved in any work associated with ground conditions for the Project should be made aware of the report and provided access to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strongly recommend that at least Golden Hill Ventures and Western Versatile be advised formally of the availability of the final report at the earliest possible time, and that they report back to you on the consequences of the contents, if there are any, on the work within their scope. I believe that their free access to this material will help to avert the potential for future problems - although there are never guarantees. Regardless, full disclosure can only serve to the Project's advantage.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582</w:t>
      </w:r>
      <w:r>
        <w:rPr>
          <w:rFonts w:ascii="arial" w:eastAsia="arial" w:hAnsi="arial" w:cs="arial"/>
          <w:color w:val="000000"/>
          <w:sz w:val="20"/>
          <w:lang w:val="en-US" w:eastAsia="en-US" w:bidi="ar-SA"/>
        </w:rPr>
        <w:t>  The memoranda from Mr. Collins of Kilborn demonstrates that he knew that the report was material to the operations at the Millsite. The memoranda also confirms the standard practice in the construction industry to disclose information which would be of interest to a contractor.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583</w:t>
      </w:r>
      <w:r>
        <w:rPr>
          <w:rFonts w:ascii="arial" w:eastAsia="arial" w:hAnsi="arial" w:cs="arial"/>
          <w:color w:val="000000"/>
          <w:sz w:val="20"/>
          <w:lang w:val="en-US" w:eastAsia="en-US" w:bidi="ar-SA"/>
        </w:rPr>
        <w:t>  Mr. Koski could offer no reason why he did not send the final report to Golden Hill. The failure of Kemess to provide Golden Hill with the draft and final Knight Piésold reports was a breach of the term of the Contract requiring the timely provision of material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584</w:t>
      </w:r>
      <w:r>
        <w:rPr>
          <w:rFonts w:ascii="arial" w:eastAsia="arial" w:hAnsi="arial" w:cs="arial"/>
          <w:color w:val="000000"/>
          <w:sz w:val="20"/>
          <w:lang w:val="en-US" w:eastAsia="en-US" w:bidi="ar-SA"/>
        </w:rPr>
        <w:t>  A review of the report would have resulted in the identification of the issue of lack of good soils at the Millsite earlier so that Golden Hill could have avoided some of its losses incurred as it proceeded in particular areas of the Millsite with the expectation of finding good granular material only to find silty saturated materials. Furthermore, Golden Hill would have been in a position to ask for much larger Waste Dumps earlier in its operations and could have avoided some of the losses associated with waste disposal if it had been provided with this report.</w:t>
      </w:r>
      <w:r>
        <w:rPr>
          <w:rFonts w:ascii="arial" w:eastAsia="arial" w:hAnsi="arial" w:cs="arial"/>
          <w:sz w:val="20"/>
          <w:lang w:val="en-US" w:eastAsia="en-US" w:bidi="ar-SA"/>
        </w:rPr>
        <w:cr/>
      </w:r>
    </w:p>
    <w:p>
      <w:pPr>
        <w:numPr>
          <w:numId w:val="2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SURVEY BENCH MARKS AND REFERENCE POINTS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585</w:t>
      </w:r>
      <w:r>
        <w:rPr>
          <w:rFonts w:ascii="arial" w:eastAsia="arial" w:hAnsi="arial" w:cs="arial"/>
          <w:color w:val="000000"/>
          <w:sz w:val="20"/>
          <w:lang w:val="en-US" w:eastAsia="en-US" w:bidi="ar-SA"/>
        </w:rPr>
        <w:t>  Article 1.1 of the General Requirements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SETTING OUT THE 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Owner will provide one (1) bench mark and two reference points on the overall Project of which the Work is part.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Accurately set out the Work from the bench mark and reference points provided. Establish additional bench marks, working points, install grade and location stakes, sight rails, screens, batter boards, etc., as required, and provide all necessary instruments, equipment, materials and skilled personnel for such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586</w:t>
      </w:r>
      <w:r>
        <w:rPr>
          <w:rFonts w:ascii="arial" w:eastAsia="arial" w:hAnsi="arial" w:cs="arial"/>
          <w:color w:val="000000"/>
          <w:sz w:val="20"/>
          <w:lang w:val="en-US" w:eastAsia="en-US" w:bidi="ar-SA"/>
        </w:rPr>
        <w:t>  Kemess had a specific obligation under the Contract to provide certain survey information to Golden Hill. This information was fundamental to the ability of Golden Hill to set out its Work. The failure of Kemess to provide the information in a timely manner resulted in delays to the Work and impaired the ability of Golden Hill to control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587</w:t>
      </w:r>
      <w:r>
        <w:rPr>
          <w:rFonts w:ascii="arial" w:eastAsia="arial" w:hAnsi="arial" w:cs="arial"/>
          <w:color w:val="000000"/>
          <w:sz w:val="20"/>
          <w:lang w:val="en-US" w:eastAsia="en-US" w:bidi="ar-SA"/>
        </w:rPr>
        <w:t xml:space="preserve">  It is obvious that a contractor cannot begin work until the location of the work is determined. Without a bench mark and reference points, a contractor will not be able to lay out the work. This was an express obligation on the part of Kemess. Kemess was required to provide a bench mark and two reference points prior to the start of the Work in order to perform its obligations: Enterprises Blanchet Ltée v. Canada </w:t>
      </w:r>
      <w:hyperlink r:id="rId874" w:history="1">
        <w:r>
          <w:rPr>
            <w:rFonts w:ascii="arial" w:eastAsia="arial" w:hAnsi="arial" w:cs="arial"/>
            <w:i/>
            <w:color w:val="0077CC"/>
            <w:sz w:val="20"/>
            <w:u w:val="single"/>
            <w:shd w:val="clear" w:color="auto" w:fill="FFFFFF"/>
            <w:lang w:val="en-US" w:eastAsia="en-US" w:bidi="ar-SA"/>
          </w:rPr>
          <w:t>(1986), 22 C.L.R. 225</w:t>
        </w:r>
      </w:hyperlink>
      <w:r>
        <w:rPr>
          <w:rFonts w:ascii="arial" w:eastAsia="arial" w:hAnsi="arial" w:cs="arial"/>
          <w:color w:val="000000"/>
          <w:sz w:val="20"/>
          <w:lang w:val="en-US" w:eastAsia="en-US" w:bidi="ar-SA"/>
        </w:rPr>
        <w:t xml:space="preserve"> (F.C.T.D.) at pp. 234-5.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588</w:t>
      </w:r>
      <w:r>
        <w:rPr>
          <w:rFonts w:ascii="arial" w:eastAsia="arial" w:hAnsi="arial" w:cs="arial"/>
          <w:color w:val="000000"/>
          <w:sz w:val="20"/>
          <w:lang w:val="en-US" w:eastAsia="en-US" w:bidi="ar-SA"/>
        </w:rPr>
        <w:t>  While it was the evidence of Mr. Quaile that the bench mark and reference points information was not available to Golden Hill until late July, I prefer the evidence of Mr. Bilan of Kemess in this regard. I am satisfied that the information provided in his diary should be preferred.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589</w:t>
      </w:r>
      <w:r>
        <w:rPr>
          <w:rFonts w:ascii="arial" w:eastAsia="arial" w:hAnsi="arial" w:cs="arial"/>
          <w:color w:val="000000"/>
          <w:sz w:val="20"/>
          <w:lang w:val="en-US" w:eastAsia="en-US" w:bidi="ar-SA"/>
        </w:rPr>
        <w:t>  Accordingly, I find that Golden Hill received the bench mark and reference points no later than July 8. I am satisfied that there was no failure by Kemess to provide the bench mark and reference points but that, even if there was some delay, no damages flow to Golden Hill as a result.</w:t>
      </w:r>
      <w:r>
        <w:rPr>
          <w:rFonts w:ascii="arial" w:eastAsia="arial" w:hAnsi="arial" w:cs="arial"/>
          <w:sz w:val="20"/>
          <w:lang w:val="en-US" w:eastAsia="en-US" w:bidi="ar-SA"/>
        </w:rPr>
        <w:cr/>
      </w:r>
    </w:p>
    <w:p>
      <w:pPr>
        <w:numPr>
          <w:numId w:val="2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DESIGN CHANGES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590</w:t>
      </w:r>
      <w:r>
        <w:rPr>
          <w:rFonts w:ascii="arial" w:eastAsia="arial" w:hAnsi="arial" w:cs="arial"/>
          <w:color w:val="000000"/>
          <w:sz w:val="20"/>
          <w:lang w:val="en-US" w:eastAsia="en-US" w:bidi="ar-SA"/>
        </w:rPr>
        <w:t>  There were several design changes made during the course of construction: (a) a significant Fill area was deleted at the Millsite near the crusher area. This was noted when the construction drawings were received in mid-July, 1996; (b) the location of the Mancamp was shifted by 60 metres; (c) the design slopes at the Airstrip were inconsistently set at a 3:1 ratio; (d) the width of the Airstrip was changed from 70 to 75 metres from the centre line; and (e) the surfacing requirements for under the Airstrip structure were changed several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591</w:t>
      </w:r>
      <w:r>
        <w:rPr>
          <w:rFonts w:ascii="arial" w:eastAsia="arial" w:hAnsi="arial" w:cs="arial"/>
          <w:color w:val="000000"/>
          <w:sz w:val="20"/>
          <w:lang w:val="en-US" w:eastAsia="en-US" w:bidi="ar-SA"/>
        </w:rPr>
        <w:t>  General Condition 27 sets out the contractual framework for changes to the Work: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Owner, without invalidating the Contract, may make changes by altering, adding to, or deducting from the Work, the Contract price being adjusted accordingly. Unless otherwise agreed to in writing, the provisions of the Contract shall apply to all changes in the Work, except that any claim for extension or reduction of time caused thereby shall be adjusted at the time of ordering such change. ... no change shall be made unless in pursuance of a written order from the Owner and no claim for an addition to or reduction from the Contract price shall be valid unless so ordered and at the same time valued or agreed to be valued provided in Article 28, VALUATION OF CHANGES. However, an order in writing is not required for an increase or decrease in the quantity of work which is the result of a variation from an estimated or provisional quantity set out in the Contract Documents and which is covered by terms of payment set out in the Contract Documents and is not a change in the Work. The Contractor shall not claim for a loss of profits or anticipated profits or damages at any time due to any decision to reduce or delete any part of the Work, provided that the Contractor will be compensated for any materials brought to the Site and Work carried out prior to the order requesting the deduction or deletion.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592</w:t>
      </w:r>
      <w:r>
        <w:rPr>
          <w:rFonts w:ascii="arial" w:eastAsia="arial" w:hAnsi="arial" w:cs="arial"/>
          <w:color w:val="000000"/>
          <w:sz w:val="20"/>
          <w:lang w:val="en-US" w:eastAsia="en-US" w:bidi="ar-SA"/>
        </w:rPr>
        <w:t>  Kemess submits that all of the design changes increased or decreased quantities of materials so that the changes were "not a change in the Work", no order in writing was necessary and Golden Hill was compensated for the changes by the differences in the resulting quantities. I am satisfied that this submission by Kemess is without merit. I am satisfied that the changes required by Kemess go beyond mere increases or decreases in the "estimated or provisional" quantities set out by Golden Hill in the documents which ultimately formed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593</w:t>
      </w:r>
      <w:r>
        <w:rPr>
          <w:rFonts w:ascii="arial" w:eastAsia="arial" w:hAnsi="arial" w:cs="arial"/>
          <w:color w:val="000000"/>
          <w:sz w:val="20"/>
          <w:lang w:val="en-US" w:eastAsia="en-US" w:bidi="ar-SA"/>
        </w:rPr>
        <w:t>  Regarding the change to delete a fill area from the Crusher area, I am satisfied that the evidence establishes that the deletion changed the nature of the operations of Golden Hill at the Millsite. First, it eliminated the productivity advantages of a short haul Cut/Fill operation. Second, Golden Hill had to haul the excess Fill to dumps which were designated in inappropriately wet locations and which were too small to accommodate a highly productive operation. Third, the Overhaul price of Golden Hill was based on the assumption of the approximate amount of Overhaul anticipated.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594</w:t>
      </w:r>
      <w:r>
        <w:rPr>
          <w:rFonts w:ascii="arial" w:eastAsia="arial" w:hAnsi="arial" w:cs="arial"/>
          <w:color w:val="000000"/>
          <w:sz w:val="20"/>
          <w:lang w:val="en-US" w:eastAsia="en-US" w:bidi="ar-SA"/>
        </w:rPr>
        <w:t>  I find that the significant increases in the quantities of Overhaul impacted the unit price and Golden Hill's choice of configuration of hauling equipment. For instance, the Millsite Overhaul increased from 10,000 cubic metres/kilometres to 94,131 cubic metres/kilometres. This is an example of how changing the nature or character of the Work has a severe impact on the costs of Golden Hill which are not accommodated by only paying for additional quantities.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595</w:t>
      </w:r>
      <w:r>
        <w:rPr>
          <w:rFonts w:ascii="arial" w:eastAsia="arial" w:hAnsi="arial" w:cs="arial"/>
          <w:color w:val="000000"/>
          <w:sz w:val="20"/>
          <w:lang w:val="en-US" w:eastAsia="en-US" w:bidi="ar-SA"/>
        </w:rPr>
        <w:t>  I am satisfied that the shift in the location of the Mancamp caused Golden Hill some inefficiency and some delay in the plan of the Work contemplated by Golden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596</w:t>
      </w:r>
      <w:r>
        <w:rPr>
          <w:rFonts w:ascii="arial" w:eastAsia="arial" w:hAnsi="arial" w:cs="arial"/>
          <w:color w:val="000000"/>
          <w:sz w:val="20"/>
          <w:lang w:val="en-US" w:eastAsia="en-US" w:bidi="ar-SA"/>
        </w:rPr>
        <w:t>  Regarding the Airstrip design slopes ratio of 3 to 1, earthworks at the Airstrip did not commence until August 14 which was 10 days later than Kemess confirmed to Golden Hill that Golden Hill could use the original design slope of 3:1. Accordingly, this change was received within a reasonable time so that Golden Hill could pre-plan its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597</w:t>
      </w:r>
      <w:r>
        <w:rPr>
          <w:rFonts w:ascii="arial" w:eastAsia="arial" w:hAnsi="arial" w:cs="arial"/>
          <w:color w:val="000000"/>
          <w:sz w:val="20"/>
          <w:lang w:val="en-US" w:eastAsia="en-US" w:bidi="ar-SA"/>
        </w:rPr>
        <w:t>  The change of the width of the Airstrip from 70 metres to 75 metres caused considerable problems for Golden Hill including the requirement to move material that had previously been placed within the additional 5 metres. The change produced additional costs for which Golden Hill has not been compensated and also resulted in decreased productivity. I find that Golden Hill is entitled to the costs of moving the grubbing piles at the Airstrip after it was apparent that a wider airstrip would be required. I also find that Golden Hill is entitled to compensation for decreased productivity flowing from the change in design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598</w:t>
      </w:r>
      <w:r>
        <w:rPr>
          <w:rFonts w:ascii="arial" w:eastAsia="arial" w:hAnsi="arial" w:cs="arial"/>
          <w:color w:val="000000"/>
          <w:sz w:val="20"/>
          <w:lang w:val="en-US" w:eastAsia="en-US" w:bidi="ar-SA"/>
        </w:rPr>
        <w:t>  Regarding the Airstrip surfacing, no granular was placed on the Airstrip until October 27 so that the first two changes (August 31 and October 6) were made well in advance of any surfacing done at the Airstrip. The two design changes made in November were done to accommodate the type of material that was found on the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599</w:t>
      </w:r>
      <w:r>
        <w:rPr>
          <w:rFonts w:ascii="arial" w:eastAsia="arial" w:hAnsi="arial" w:cs="arial"/>
          <w:color w:val="000000"/>
          <w:sz w:val="20"/>
          <w:lang w:val="en-US" w:eastAsia="en-US" w:bidi="ar-SA"/>
        </w:rPr>
        <w:t>  The design changes were changes that had the effect of altering, adding to or deducting from the Work and, accordingly, the Contract price needs to be adjusted in accordance with those changes. As the parties had agreed to vary the notice provisions contained under numerous sections of the Contract, I am satisfied that it was also agreed that, when Kemess gave notice of the change, it was not necessary for the parties to agree on a valuation of the change as was provided in Article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600</w:t>
      </w:r>
      <w:r>
        <w:rPr>
          <w:rFonts w:ascii="arial" w:eastAsia="arial" w:hAnsi="arial" w:cs="arial"/>
          <w:color w:val="000000"/>
          <w:sz w:val="20"/>
          <w:lang w:val="en-US" w:eastAsia="en-US" w:bidi="ar-SA"/>
        </w:rPr>
        <w:t>  While the parties agreed that Golden Hill could not claim for a loss of profits as a result of a decision by Kemess to reduce or delete any part of the Work, I cannot be satisfied that GC 27 is specific enough to require Golden Hill to forgo damages which resulted from the decision to reduce or delete any part of the Work. I am not satisfied that the attempt to exclude damages was specific enough to have this effect. As well, the damages which are available to Golden Hill relate not to the deletion of work but rather to the effect that that deletion had on the productivity of Golden Hill as it related to surrounding work.</w:t>
      </w:r>
      <w:r>
        <w:rPr>
          <w:rFonts w:ascii="arial" w:eastAsia="arial" w:hAnsi="arial" w:cs="arial"/>
          <w:sz w:val="20"/>
          <w:lang w:val="en-US" w:eastAsia="en-US" w:bidi="ar-SA"/>
        </w:rPr>
        <w:cr/>
      </w:r>
    </w:p>
    <w:p>
      <w:pPr>
        <w:numPr>
          <w:numId w:val="2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TIMELY DESIGNATION OF ADEQUATE TOPSOIL STOCKPILES, BORROW PITS AND WASTE DUMPS</w:t>
      </w:r>
    </w:p>
    <w:p>
      <w:pPr>
        <w:numPr>
          <w:numId w:val="2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CONTRACT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601</w:t>
      </w:r>
      <w:r>
        <w:rPr>
          <w:rFonts w:ascii="arial" w:eastAsia="arial" w:hAnsi="arial" w:cs="arial"/>
          <w:color w:val="000000"/>
          <w:sz w:val="20"/>
          <w:lang w:val="en-US" w:eastAsia="en-US" w:bidi="ar-SA"/>
        </w:rPr>
        <w:t>  The Tender Documents required Kemess to designate areas for storage of Topsoil and unsuitable material on the Project. The technical specifications for "Excavation and Fill - General" stated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Ensure the topsoil does not become mixed or contaminated with other material. Place the topsoil in stockpile at location acceptable to the Owner....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Dispose of unsuitable materials and surplus excavated materials in the designated disposal areas only. Rough grade those materials in the disposal areas to promote drainage and to give a tidy appearance to the satisfaction of the Owner....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Dispose of rejected materials in the designated disposal areas only. Rough grade those materials in the disposal areas to promote drainage and to give a tidy appearance to the satisfaction of the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602</w:t>
      </w:r>
      <w:r>
        <w:rPr>
          <w:rFonts w:ascii="arial" w:eastAsia="arial" w:hAnsi="arial" w:cs="arial"/>
          <w:color w:val="000000"/>
          <w:sz w:val="20"/>
          <w:lang w:val="en-US" w:eastAsia="en-US" w:bidi="ar-SA"/>
        </w:rPr>
        <w:t>  The General Requirements stated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2.2.2 Strip topsoil and stockpile in designated areas for later reuse, at the direction of the Owner. Areas of topsoil stockpiles do not require clearing and grubbing.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2.2.3 Bulk excavate and fill to the rough grade elevations (i.e. underside of granular base for the main site grading). Dispose of unsuitable material in locations designated by the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603</w:t>
      </w:r>
      <w:r>
        <w:rPr>
          <w:rFonts w:ascii="arial" w:eastAsia="arial" w:hAnsi="arial" w:cs="arial"/>
          <w:color w:val="000000"/>
          <w:sz w:val="20"/>
          <w:lang w:val="en-US" w:eastAsia="en-US" w:bidi="ar-SA"/>
        </w:rPr>
        <w:t>  Specification 02220 ("Excavation and Fill - General"), Articles 3.3 and 3.5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Remove all disturbed material and all material which has become unsuitable due to inadequate protection, inadequate dewatering or any other reason and replace with suitable fill. Perform removal and replacement without additional 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604</w:t>
      </w:r>
      <w:r>
        <w:rPr>
          <w:rFonts w:ascii="arial" w:eastAsia="arial" w:hAnsi="arial" w:cs="arial"/>
          <w:color w:val="000000"/>
          <w:sz w:val="20"/>
          <w:lang w:val="en-US" w:eastAsia="en-US" w:bidi="ar-SA"/>
        </w:rPr>
        <w:t>  Article 3.3 contemplated that the removal and replacement of certain material would be without additional compensation so Golden Hill submits that these areas should not be located so far from the construction areas that it would make it unreasonable to move materials to perform this task. This clause could obviously not authorize Kemess to designate borrow pits and waste dumps far away from the work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605</w:t>
      </w:r>
      <w:r>
        <w:rPr>
          <w:rFonts w:ascii="arial" w:eastAsia="arial" w:hAnsi="arial" w:cs="arial"/>
          <w:color w:val="000000"/>
          <w:sz w:val="20"/>
          <w:lang w:val="en-US" w:eastAsia="en-US" w:bidi="ar-SA"/>
        </w:rPr>
        <w:t>  I am satisfied that it should be an implied term as a legal incident to all construction contracts that, where waste dumps or borrow pit areas are to be specified by the owner for use on a regular basis by a contractor, those areas will be designated on a timely basis and will be placed reasonably close to the work area and be of a size that is sufficient to handle the anticipated volumes of material. It is necessary to imply these terms because to do otherwise would mean that a contractor's right to choose work methods which are most conducive to the economy of construction would be effectively defeated. As Topsoil Stockpiles, Borrow Pits and Waste Dumps were not designated in the Tender Documents, this obligation would be imposed upon Kemess.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606</w:t>
      </w:r>
      <w:r>
        <w:rPr>
          <w:rFonts w:ascii="arial" w:eastAsia="arial" w:hAnsi="arial" w:cs="arial"/>
          <w:color w:val="000000"/>
          <w:sz w:val="20"/>
          <w:lang w:val="en-US" w:eastAsia="en-US" w:bidi="ar-SA"/>
        </w:rPr>
        <w:t>  I am also satisfied that Kemess impliedly represented that it would designate the Topsoil Stockpiles, Waste Dumps and Borrow Pits on a timely basis and would place them in reasonable locations to enable Golden Hill to work in a manner that was conducive to the economy of construction. Kemess did not designate these areas until Golden Hill had begun work and continued not to designate new areas ahead of the Work of Golden Hill. Further, they negligently designated areas which were too small and which were located in remote inefficient locations requiring materials to be handled in an inefficient manner and hauled over longer distances than contemplated. I find Golden Hill reasonably relied on this representation in preparing its bid and was induced into entering into the Contract with its proposed unit price bid as a result.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607</w:t>
      </w:r>
      <w:r>
        <w:rPr>
          <w:rFonts w:ascii="arial" w:eastAsia="arial" w:hAnsi="arial" w:cs="arial"/>
          <w:color w:val="000000"/>
          <w:sz w:val="20"/>
          <w:lang w:val="en-US" w:eastAsia="en-US" w:bidi="ar-SA"/>
        </w:rPr>
        <w:t>  Golden Hill suffered damages when it was forced to implement a much slower more equipment intensive earthworks operation. The damages which flow from the breach of this term cannot be isolated from the other breaches of Kemess since losses suffered by Golden Hill in its waste operation resulted from the combined effect of the unexpected amounts of Waste, the shortage of granular material, the failure to provide adequately large and closely located Waste Dumps, the failure to allow Golden Hill to have complete control over the Work, and the breach of the implied term that Golden Hill would be undertaking a relatively balanced Cut/Fill operation. If Golden Hill had known the true situation with the soils, it might have demanded larger dumps at the beginning of its operations and therefore avoided some of the losses associated with the waste operation and the inadequate dump space.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608</w:t>
      </w:r>
      <w:r>
        <w:rPr>
          <w:rFonts w:ascii="arial" w:eastAsia="arial" w:hAnsi="arial" w:cs="arial"/>
          <w:color w:val="000000"/>
          <w:sz w:val="20"/>
          <w:lang w:val="en-US" w:eastAsia="en-US" w:bidi="ar-SA"/>
        </w:rPr>
        <w:t>  However, it is important to note that the deficiencies alleged by Golden Hill only pertain to the stockpiles for Topsoil and the Waste Dumps relating to the Millsite and not to any other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609</w:t>
      </w:r>
      <w:r>
        <w:rPr>
          <w:rFonts w:ascii="arial" w:eastAsia="arial" w:hAnsi="arial" w:cs="arial"/>
          <w:color w:val="000000"/>
          <w:sz w:val="20"/>
          <w:lang w:val="en-US" w:eastAsia="en-US" w:bidi="ar-SA"/>
        </w:rPr>
        <w:t>  Regarding the distance from the Millsite, the Waste Dump area was 1.35 kilometres from the centre of the Millsite and Golden Hill was paid for Overhaul at the unit rate it chose to cover the additional costs of hauls greater than one kilometre. However, the Overhaul rate would not compensate Golden Hill for the loss of production caused by the longer haul and by the inappropriately placed and inadequate size of the Waste Dumps.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610</w:t>
      </w:r>
      <w:r>
        <w:rPr>
          <w:rFonts w:ascii="arial" w:eastAsia="arial" w:hAnsi="arial" w:cs="arial"/>
          <w:color w:val="000000"/>
          <w:sz w:val="20"/>
          <w:lang w:val="en-US" w:eastAsia="en-US" w:bidi="ar-SA"/>
        </w:rPr>
        <w:t>  I am also satisfied that Article VI does not exclude the implied representation made by Kemess that the dump areas would be appropriately located and of an adequate size. I am satisfied that to exclude this representation would avoid commercial reality and would make the promise illusory as it was a necessary condition to the contractual relationship to give business efficacy to the Contract.</w:t>
      </w:r>
      <w:r>
        <w:rPr>
          <w:rFonts w:ascii="arial" w:eastAsia="arial" w:hAnsi="arial" w:cs="arial"/>
          <w:sz w:val="20"/>
          <w:lang w:val="en-US" w:eastAsia="en-US" w:bidi="ar-SA"/>
        </w:rPr>
        <w:cr/>
      </w:r>
    </w:p>
    <w:p>
      <w:pPr>
        <w:numPr>
          <w:numId w:val="2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UNSUITABLE DUMPS FOR THE MILLSITE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611</w:t>
      </w:r>
      <w:r>
        <w:rPr>
          <w:rFonts w:ascii="arial" w:eastAsia="arial" w:hAnsi="arial" w:cs="arial"/>
          <w:color w:val="000000"/>
          <w:sz w:val="20"/>
          <w:lang w:val="en-US" w:eastAsia="en-US" w:bidi="ar-SA"/>
        </w:rPr>
        <w:t>  The Tender Documents do not designate any disposal areas for either Topsoil or unsuitable material. In one of the tender drawings (Exhibit 4A), there is an area close to the open pit of the mine which is designated as "Waste Rock Area". On another tender drawing (Exhibit 4E) the same area is shown as a "Waste Dump". There is a dispute between the parties as to whether this was the designated area where either Waste or Topsoil could be placed.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612</w:t>
      </w:r>
      <w:r>
        <w:rPr>
          <w:rFonts w:ascii="arial" w:eastAsia="arial" w:hAnsi="arial" w:cs="arial"/>
          <w:color w:val="000000"/>
          <w:sz w:val="20"/>
          <w:lang w:val="en-US" w:eastAsia="en-US" w:bidi="ar-SA"/>
        </w:rPr>
        <w:t>  No one from Kilborn was called to explain what they, as authors of the Tender Documents, meant by the designations on Exhibits 4A and 4E. As well, the balance of the Contract Documents speak of "disposal areas" for "unsuitable materials" and "topsoil" and none of these phrases are used in the Tender Documents and nowhere is the phrase "waste dump" used in the Specifications.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613</w:t>
      </w:r>
      <w:r>
        <w:rPr>
          <w:rFonts w:ascii="arial" w:eastAsia="arial" w:hAnsi="arial" w:cs="arial"/>
          <w:color w:val="000000"/>
          <w:sz w:val="20"/>
          <w:lang w:val="en-US" w:eastAsia="en-US" w:bidi="ar-SA"/>
        </w:rPr>
        <w:t>  There is no evidence that Kemess or Kilborn told any of the tenderers during the tender period that the Rock Waste Dump was the designated disposal area for unsuitable material from the Millsite or the Mancamp. None of the Tender Drawings or Construction Drawings that were provided to Golden Hill before or during the Project depicted a road or right-of-way connecting the Millsite to this Waste Rock Area. The clearing permit obtained for the Project did not include such a right-of-way. Without a right-of-way connecting the Millsite with the Waste Rock Area, the only haul routes that would be available to move waste material would involve routes which were significantly longer than the one kilometre free-haul distance allowed for in the Tender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614</w:t>
      </w:r>
      <w:r>
        <w:rPr>
          <w:rFonts w:ascii="arial" w:eastAsia="arial" w:hAnsi="arial" w:cs="arial"/>
          <w:color w:val="000000"/>
          <w:sz w:val="20"/>
          <w:lang w:val="en-US" w:eastAsia="en-US" w:bidi="ar-SA"/>
        </w:rPr>
        <w:t>  Mr. Rempel could not recall when Kemess applied for an amendment to its Clearing Permit to allow it to clear a right-of-way between the Millsite and the Waste Rock Area but, as late as September, Golden Hill was advised not to go into the Waste Rock Area. At that time, Golden Hill was placing unsuitable material along the right-of-way which was referred to by the parties as the "Organic Highway". The internal correspondence of Kemess is consistent with the Waste Rock Area not being available until late September as Kemess put a hold on clearing the area pending a stumpage appeal to the Ministry of Forests.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615</w:t>
      </w:r>
      <w:r>
        <w:rPr>
          <w:rFonts w:ascii="arial" w:eastAsia="arial" w:hAnsi="arial" w:cs="arial"/>
          <w:color w:val="000000"/>
          <w:sz w:val="20"/>
          <w:lang w:val="en-US" w:eastAsia="en-US" w:bidi="ar-SA"/>
        </w:rPr>
        <w:t>  At his discovery, Mr. Rudolph stated that the areas for waste material: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were designated in the plans originally. There were some designated on the site plans where the proposed waste was supposed to go. So, it was an area that was generally defined. [in the Tender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616</w:t>
      </w:r>
      <w:r>
        <w:rPr>
          <w:rFonts w:ascii="arial" w:eastAsia="arial" w:hAnsi="arial" w:cs="arial"/>
          <w:color w:val="000000"/>
          <w:sz w:val="20"/>
          <w:lang w:val="en-US" w:eastAsia="en-US" w:bidi="ar-SA"/>
        </w:rPr>
        <w:t>  At Trial, Mr. Rudolph corrected himself and testified that he had not assumed that the Waste Rock Area was to be used as the dump for unsuitable/waste material. I accept the evidence of Mr. Rudolph at Trial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617</w:t>
      </w:r>
      <w:r>
        <w:rPr>
          <w:rFonts w:ascii="arial" w:eastAsia="arial" w:hAnsi="arial" w:cs="arial"/>
          <w:color w:val="000000"/>
          <w:sz w:val="20"/>
          <w:lang w:val="en-US" w:eastAsia="en-US" w:bidi="ar-SA"/>
        </w:rPr>
        <w:t>  First, he had the drawings in front of him at Trial. Second, it was clear from the documentation that was in evidence that the Waste Rock Dump was not available and was not treated by Kemess as being available until the first week in October. Accordingly, I find that the Waste Rock Area was not initially designated by Kemess as an area for unsuitable/waste material and that there were no designated disposal areas at the time the bid of Golden Hill was prepared.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618</w:t>
      </w:r>
      <w:r>
        <w:rPr>
          <w:rFonts w:ascii="arial" w:eastAsia="arial" w:hAnsi="arial" w:cs="arial"/>
          <w:color w:val="000000"/>
          <w:sz w:val="20"/>
          <w:lang w:val="en-US" w:eastAsia="en-US" w:bidi="ar-SA"/>
        </w:rPr>
        <w:t>  The implied term of the Contract was breached by Kemess and the implied representation became a misrepresentation. I am satisfied that Golden Hill should be compensated for the failure of Kemess to designate waste and unsuitable dump areas of an adequate size and close to the Millsite. I am satisfied that the realistic production rates contemplated by Golden Hill did not come to fruition partially as a result of the failure of Kemess to designate disposal and storage areas at the time of the Tender. If the disposal areas eventually designated had been designated in the Tender Documents, Golden Hill could and would have planned different production rates which would have been reflected in the unit prices bid by Golden Hill. The designation of adequate space for the storage of Topsoil and the dumping of Waste was entirely within the control of Kemess so that Golden Hill should be entitled to its damages as a result of the breach of the implied term in the Contract and the misrepresentation.</w:t>
      </w:r>
      <w:r>
        <w:rPr>
          <w:rFonts w:ascii="arial" w:eastAsia="arial" w:hAnsi="arial" w:cs="arial"/>
          <w:sz w:val="20"/>
          <w:lang w:val="en-US" w:eastAsia="en-US" w:bidi="ar-SA"/>
        </w:rPr>
        <w:cr/>
      </w:r>
    </w:p>
    <w:p>
      <w:pPr>
        <w:numPr>
          <w:numId w:val="2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"ORGANIC HIGHWAY" AS A WASTE DUMP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619</w:t>
      </w:r>
      <w:r>
        <w:rPr>
          <w:rFonts w:ascii="arial" w:eastAsia="arial" w:hAnsi="arial" w:cs="arial"/>
          <w:color w:val="000000"/>
          <w:sz w:val="20"/>
          <w:lang w:val="en-US" w:eastAsia="en-US" w:bidi="ar-SA"/>
        </w:rPr>
        <w:t>  Golden Hill started construction of the Organic Highway on August 20 but there were numerous problems associated with the building and the maintenance of the Organic Highway. First, suitable material was not available to build the highway and the unsuitable material that had to be used had to be rebuilt constantly. Second, it was necessary to build through swampy areas and over creeks using culverts, foundations of leftover logs, and better soil materials found adjacent to the Exploration Road and to the north end of the Mancamp. Accordingly, suitable material at the Millsite was not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620</w:t>
      </w:r>
      <w:r>
        <w:rPr>
          <w:rFonts w:ascii="arial" w:eastAsia="arial" w:hAnsi="arial" w:cs="arial"/>
          <w:color w:val="000000"/>
          <w:sz w:val="20"/>
          <w:lang w:val="en-US" w:eastAsia="en-US" w:bidi="ar-SA"/>
        </w:rPr>
        <w:t>  The Organic Highway was used by Golden Hill in three stages: (a) to haul unsuitable material into the dump area between the Millsite and the Exploration Road; (b) when Golden Hill had filled the first section of the right-of-way, Kemess instructed Golden Hill to place unsuitable material between the Exploration Road and the Waste Rock Area (the 400 metre long area that Mr. Miller described as a big hole and a big swamp); and (c) when it had filled the second section of the right-of-way, Kemess allowed Golden Hill to haul unsuitable material into the Waste Rock Area proper. From time to time, it was necessary for Golden Hill to use the material found close to the Waste Rock Area to rehabilitate the running surface of the Organic Highway. This material was also used as Granular B material on the Millsite.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621</w:t>
      </w:r>
      <w:r>
        <w:rPr>
          <w:rFonts w:ascii="arial" w:eastAsia="arial" w:hAnsi="arial" w:cs="arial"/>
          <w:color w:val="000000"/>
          <w:sz w:val="20"/>
          <w:lang w:val="en-US" w:eastAsia="en-US" w:bidi="ar-SA"/>
        </w:rPr>
        <w:t>  Until Kemess gave Golden Hill permission to use the Waste Rock Area as an unsuitable dump in early October, the Organic Highway was the only significant dump that Kemess designated for Golden Hill for Millsite waste.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622</w:t>
      </w:r>
      <w:r>
        <w:rPr>
          <w:rFonts w:ascii="arial" w:eastAsia="arial" w:hAnsi="arial" w:cs="arial"/>
          <w:color w:val="000000"/>
          <w:sz w:val="20"/>
          <w:lang w:val="en-US" w:eastAsia="en-US" w:bidi="ar-SA"/>
        </w:rPr>
        <w:t>  On August 21, Golden Hill wrote to Kemess to advise that it had serious concerns about the choice of designated disposal areas for Topsoil and unsuitable material: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Some problems are anticipated with the locations of the appointed top soil salvage and unsuitable waste material sites at the millsite. The top soil salvage may be feasible if it can be stockpiled high enough to support equipment. Both the organic and the unsuitable waste sites are very wet and access to these sites will be difficult and expensive. Both waste material types are very wet, and very difficult to haul and stockpile even if the waste is handled with backhoes and 6x6 trucks. We also feel that the waste site might not be large enough to contain most of the waste on site. If alternative waste sites are available, this might expedite progress.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623</w:t>
      </w:r>
      <w:r>
        <w:rPr>
          <w:rFonts w:ascii="arial" w:eastAsia="arial" w:hAnsi="arial" w:cs="arial"/>
          <w:color w:val="000000"/>
          <w:sz w:val="20"/>
          <w:lang w:val="en-US" w:eastAsia="en-US" w:bidi="ar-SA"/>
        </w:rPr>
        <w:t>  I find that the decision of Kemess to designate the right-of-way between the Millsite and Waste Rock Area as the disposal site for unsuitable materials had a profoundly negative effect on the productivity of Golden Hill at the Millsite. First, Golden Hill had to keep a full-time bulldozer on the Organic Highway to handle the Waste that was dumped by the scrapers. Second, productivity in this unsuitable dump was very slow because it took too long for the trucks to travel on the poor road conditions of the Organic Highway. Golden Hill could only build the road out of unsuitable material because that was the only material that was available to it at the time and in view of the shortage of good material at the Site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624</w:t>
      </w:r>
      <w:r>
        <w:rPr>
          <w:rFonts w:ascii="arial" w:eastAsia="arial" w:hAnsi="arial" w:cs="arial"/>
          <w:color w:val="000000"/>
          <w:sz w:val="20"/>
          <w:lang w:val="en-US" w:eastAsia="en-US" w:bidi="ar-SA"/>
        </w:rPr>
        <w:t>  Third, poor road conditions had a dramatic effect on the speed of the equipment of Golden Hill. Mr. Miller testified that instead of going 30 miles an hour, scrapers could go only 4 to 5 miles an hour. Mr. Miller testified that this increased the fuel costs because "you've got your throttle held wide open and not going anywhere so your engine is working really hard to pull yourself through this soft material." I accept the testimony of Mr. Miller regarding the additional time necessary to move material over the Organic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625</w:t>
      </w:r>
      <w:r>
        <w:rPr>
          <w:rFonts w:ascii="arial" w:eastAsia="arial" w:hAnsi="arial" w:cs="arial"/>
          <w:color w:val="000000"/>
          <w:sz w:val="20"/>
          <w:lang w:val="en-US" w:eastAsia="en-US" w:bidi="ar-SA"/>
        </w:rPr>
        <w:t>  Fourth, Golden Hill had to use a "end-dump padding operation" to place unsuitable material in the dumps on the Organic Highway because the soft unsuitable material made it difficult for scrapers and bulldozers to dump the material over the edge of the very high fill surface.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626</w:t>
      </w:r>
      <w:r>
        <w:rPr>
          <w:rFonts w:ascii="arial" w:eastAsia="arial" w:hAnsi="arial" w:cs="arial"/>
          <w:color w:val="000000"/>
          <w:sz w:val="20"/>
          <w:lang w:val="en-US" w:eastAsia="en-US" w:bidi="ar-SA"/>
        </w:rPr>
        <w:t>  Fifth, when access on the soft material became too difficult for the equipment, Golden Hill had to resurface the Organic Highway with its best fill material to keep the operation moving ahead.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627</w:t>
      </w:r>
      <w:r>
        <w:rPr>
          <w:rFonts w:ascii="arial" w:eastAsia="arial" w:hAnsi="arial" w:cs="arial"/>
          <w:color w:val="000000"/>
          <w:sz w:val="20"/>
          <w:lang w:val="en-US" w:eastAsia="en-US" w:bidi="ar-SA"/>
        </w:rPr>
        <w:t>  Sixth, Golden Hill was eventually instructed not to further resurface the Organic Highway as it was not to be raised higher than the Exploration Road. As a result, Golden Hill had to use bulldozers to cut the core out of the Organic Highway and later had to switch to excavators when the highway was too long to sub-excavate with bulldozers. Golden Hill says that the resurfaced Organic Highway would typically support truck traffic for two or three days before it had to be sub-excavated and resurfaced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628</w:t>
      </w:r>
      <w:r>
        <w:rPr>
          <w:rFonts w:ascii="arial" w:eastAsia="arial" w:hAnsi="arial" w:cs="arial"/>
          <w:color w:val="000000"/>
          <w:sz w:val="20"/>
          <w:lang w:val="en-US" w:eastAsia="en-US" w:bidi="ar-SA"/>
        </w:rPr>
        <w:t>  Seventh, the scrapers of Golden Hill had difficulty navigating the Organic Highway until late in the Project when frost permeated deep enough to freeze the road. Even then, Mr. Miller testified that Golden Hill's scrapers were only able to reach less than 20 miles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629</w:t>
      </w:r>
      <w:r>
        <w:rPr>
          <w:rFonts w:ascii="arial" w:eastAsia="arial" w:hAnsi="arial" w:cs="arial"/>
          <w:color w:val="000000"/>
          <w:sz w:val="20"/>
          <w:lang w:val="en-US" w:eastAsia="en-US" w:bidi="ar-SA"/>
        </w:rPr>
        <w:t>  Golden Hill built the Organic Highway into the Waste Rock Area on October 8. Mr. Miller testified that the availability of the Waste Rock Area for unsuitable material helped as there was "some room now to dump".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630</w:t>
      </w:r>
      <w:r>
        <w:rPr>
          <w:rFonts w:ascii="arial" w:eastAsia="arial" w:hAnsi="arial" w:cs="arial"/>
          <w:color w:val="000000"/>
          <w:sz w:val="20"/>
          <w:lang w:val="en-US" w:eastAsia="en-US" w:bidi="ar-SA"/>
        </w:rPr>
        <w:t>  Mr. Miller acknowledged that the material placed on the Organic Highway were all pay items as they came from excavations. Accordingly, all of the building and rebuilding was paid for although the reduced production of moving the waste material and the additional cost of building and rebuilding the Organic Highway was not covered. I find that Golden Hill is entitled to damages flowing from this reduced production caused by the failure of Kemess to designate adequate and appropriately located Waste Dumps.</w:t>
      </w:r>
      <w:r>
        <w:rPr>
          <w:rFonts w:ascii="arial" w:eastAsia="arial" w:hAnsi="arial" w:cs="arial"/>
          <w:sz w:val="20"/>
          <w:lang w:val="en-US" w:eastAsia="en-US" w:bidi="ar-SA"/>
        </w:rPr>
        <w:cr/>
      </w:r>
    </w:p>
    <w:p>
      <w:pPr>
        <w:numPr>
          <w:numId w:val="2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TOPSOIL DUMPS FOR THE MILLSITE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631</w:t>
      </w:r>
      <w:r>
        <w:rPr>
          <w:rFonts w:ascii="arial" w:eastAsia="arial" w:hAnsi="arial" w:cs="arial"/>
          <w:color w:val="000000"/>
          <w:sz w:val="20"/>
          <w:lang w:val="en-US" w:eastAsia="en-US" w:bidi="ar-SA"/>
        </w:rPr>
        <w:t>  As part of the environmental requirements of the Provincial Government, it was necessary for Topsoil to be stockpiled so that it would be available when mining operations concluded. For the purposes of payment under the Contract, Topsoil was defined as including only the top 150 mm of material at the Millsite.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632</w:t>
      </w:r>
      <w:r>
        <w:rPr>
          <w:rFonts w:ascii="arial" w:eastAsia="arial" w:hAnsi="arial" w:cs="arial"/>
          <w:color w:val="000000"/>
          <w:sz w:val="20"/>
          <w:lang w:val="en-US" w:eastAsia="en-US" w:bidi="ar-SA"/>
        </w:rPr>
        <w:t>  On August 14, Messrs. Froess and Miller attended at site meetings with Messrs. Rempel and Wilkinson and two environmental representatives of the Government. At that meeting, Golden Hill was instructed to separate all Topsoil from unsuitable material (based on the colour of the material) and to haul all of the Topsoil to the designated Topsoil Stockpiles. The environmental representatives defined Topsoil to include "root mass, grass and moss layers, and the underlying mineral-rich soils" and specifically instructed Golden Hill not to mix the Topsoil with unsuitable material because everything that Golden Hill could salvage would be needed for site reclamation.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633</w:t>
      </w:r>
      <w:r>
        <w:rPr>
          <w:rFonts w:ascii="arial" w:eastAsia="arial" w:hAnsi="arial" w:cs="arial"/>
          <w:color w:val="000000"/>
          <w:sz w:val="20"/>
          <w:lang w:val="en-US" w:eastAsia="en-US" w:bidi="ar-SA"/>
        </w:rPr>
        <w:t>  The selection of the Topsoil dumps and the size of the dumps was based on the expected 150 mm depth of Topsoil set out in the Tender Documents. Decisions regarding the dumps were taken on or about August 7 before the environmental representatives gave their instructions that the definition of Topsoil for storage purposes was much thicker than 150 mm and much thicker than the 300 mm predicted in the Soils Data. It was a week after this designation that Golden Hill then gave Kemess written notice that the Topsoil Dumps were too small.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634</w:t>
      </w:r>
      <w:r>
        <w:rPr>
          <w:rFonts w:ascii="arial" w:eastAsia="arial" w:hAnsi="arial" w:cs="arial"/>
          <w:color w:val="000000"/>
          <w:sz w:val="20"/>
          <w:lang w:val="en-US" w:eastAsia="en-US" w:bidi="ar-SA"/>
        </w:rPr>
        <w:t>  The haul distances would be greater for Topsoil stockpiling than they would have been for "cut to fill common" and, potentially, for "cut to waste". As well, this excess Topsoil had an impact on the Topsoil storage operations because the already small Topsoil Dumps became full and excess Topsoil "had to be stacked in a highly unproductive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635</w:t>
      </w:r>
      <w:r>
        <w:rPr>
          <w:rFonts w:ascii="arial" w:eastAsia="arial" w:hAnsi="arial" w:cs="arial"/>
          <w:color w:val="000000"/>
          <w:sz w:val="20"/>
          <w:lang w:val="en-US" w:eastAsia="en-US" w:bidi="ar-SA"/>
        </w:rPr>
        <w:t>  Kemess designated two primary Topsoil Dumps at the Millsite. Topsoil Dump No. 1 was located on a wet, swampy side hill east of the crusher site. Golden Hill eventually had to build a berm across the southern edge of that site to keep the Topsoil from sliding down the hill. Mr. Froess estimated that the final size of this site was 1.2 to 1.3 hectares. Topsoil Dump No. 2 was located in a swamp on the north side of the Organic Highway and Mr. Froess estimated that its final size was approximately .5 hectares.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636</w:t>
      </w:r>
      <w:r>
        <w:rPr>
          <w:rFonts w:ascii="arial" w:eastAsia="arial" w:hAnsi="arial" w:cs="arial"/>
          <w:color w:val="000000"/>
          <w:sz w:val="20"/>
          <w:lang w:val="en-US" w:eastAsia="en-US" w:bidi="ar-SA"/>
        </w:rPr>
        <w:t>  On August 21, Golden Hill wrote to express its concern that the choice of the designated Topsoil storage areas made access to the sites difficult and expensive. Mr. Miller testified that he sent the memo to Kemess because he was concerned about how Golden Hill was going to place Topsoil into the designated Topsoil Dumps in areas that he described as "very wet, swampy, perched water lying everywhere."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637</w:t>
      </w:r>
      <w:r>
        <w:rPr>
          <w:rFonts w:ascii="arial" w:eastAsia="arial" w:hAnsi="arial" w:cs="arial"/>
          <w:color w:val="000000"/>
          <w:sz w:val="20"/>
          <w:lang w:val="en-US" w:eastAsia="en-US" w:bidi="ar-SA"/>
        </w:rPr>
        <w:t>  The wet ground conditions at Topsoil Dump No. 1 meant that Golden Hill had to build a road into the back of the dump before it could start to haul Topsoil into the area. During construction of this road, Golden Hill hauled Topsoil from the Millsite to Topsoil Dump No. 2. Golden Hill found it necessary to bring in a wide pad bulldozer to push the Topsoil from the edge of the Organic Highway where the material was dumped by six-wheel drive trucks as far as possible into the swamp which constituted Topsoil Dump No. 2. Once the material was in the swamp, Golden Hill used excavators to throw the material as far as possible into the back of Topsoil Dump No. 2 although it was its usual practice to use a single Cat bulldozer at a Topsoil Dump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638</w:t>
      </w:r>
      <w:r>
        <w:rPr>
          <w:rFonts w:ascii="arial" w:eastAsia="arial" w:hAnsi="arial" w:cs="arial"/>
          <w:color w:val="000000"/>
          <w:sz w:val="20"/>
          <w:lang w:val="en-US" w:eastAsia="en-US" w:bidi="ar-SA"/>
        </w:rPr>
        <w:t>  When the road into Topsoil Dump No. 1 was finished, Golden Hill moved its operation from Topsoil Dump No. 2 to Topsoil Dump No. 1. Mr. Miller testified that, because Golden Hill had to pile the Topsoil as high as it could at the back of the dump and on either side of the dump access road because of the limited size of Topsoil Dump No. 1, six-wheel drive trucks could not turn around inside the dump so that they had to turn around at the front of the dump and back up towards the rear of the dump.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639</w:t>
      </w:r>
      <w:r>
        <w:rPr>
          <w:rFonts w:ascii="arial" w:eastAsia="arial" w:hAnsi="arial" w:cs="arial"/>
          <w:color w:val="000000"/>
          <w:sz w:val="20"/>
          <w:lang w:val="en-US" w:eastAsia="en-US" w:bidi="ar-SA"/>
        </w:rPr>
        <w:t>  Mr. Miller testified that, as a result, it took Golden Hill at least six to eight times longer to dump the six-wheel drive rock trucks than it should have taken. As well, the limited size of the two dumps and the saturated nature of the material required Golden Hill to use excavators to pile the Topsoil as high as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640</w:t>
      </w:r>
      <w:r>
        <w:rPr>
          <w:rFonts w:ascii="arial" w:eastAsia="arial" w:hAnsi="arial" w:cs="arial"/>
          <w:color w:val="000000"/>
          <w:sz w:val="20"/>
          <w:lang w:val="en-US" w:eastAsia="en-US" w:bidi="ar-SA"/>
        </w:rPr>
        <w:t>  Mr. Miller testified that Golden Hill asked for more dump area when Golden Hill had between 10 days and 2 weeks of space left at Topsoil Dump No. 1 and, when Kemess did not provide it with extra room at that location, Golden Hill shifted its operations back to Topsoil Dump No. 2. He also testified that, after approximately 10 days of dumping into the swamp at Topsoil Dump No. 2, Kemess gave Golden Hill some additional area at the back of Topsoil Dump No.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641</w:t>
      </w:r>
      <w:r>
        <w:rPr>
          <w:rFonts w:ascii="arial" w:eastAsia="arial" w:hAnsi="arial" w:cs="arial"/>
          <w:color w:val="000000"/>
          <w:sz w:val="20"/>
          <w:lang w:val="en-US" w:eastAsia="en-US" w:bidi="ar-SA"/>
        </w:rPr>
        <w:t>  To access that additional area, Golden Hill had to build a haul road across the existing Topsoil stockpile from the berm on the south edge of the dump to the additional area on the east edge of the dump. Golden Hill had to build the road out of unsuitable material, but surfaced it with granular material to provide the haul or trucks with an improved running surface. Kemess did not pay Golden Hill for the Topsoil that Golden Hill had to move inside the dump to build the haul road from the berm to the dump extension.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642</w:t>
      </w:r>
      <w:r>
        <w:rPr>
          <w:rFonts w:ascii="arial" w:eastAsia="arial" w:hAnsi="arial" w:cs="arial"/>
          <w:color w:val="000000"/>
          <w:sz w:val="20"/>
          <w:lang w:val="en-US" w:eastAsia="en-US" w:bidi="ar-SA"/>
        </w:rPr>
        <w:t>  Golden Hill built the berm in late September on instructions received from Mr. Rempel. Kemess paid Golden Hill for the unsuitable material that Golden Hill used to build the berm, but it did not pay for Golden Hill to excavate Topsoil from the footing for the berm.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643</w:t>
      </w:r>
      <w:r>
        <w:rPr>
          <w:rFonts w:ascii="arial" w:eastAsia="arial" w:hAnsi="arial" w:cs="arial"/>
          <w:color w:val="000000"/>
          <w:sz w:val="20"/>
          <w:lang w:val="en-US" w:eastAsia="en-US" w:bidi="ar-SA"/>
        </w:rPr>
        <w:t>  When the additional room at Topsoil Dump No. 1 was full, Golden Hill moved back to Topsoil Dump No. 2. When that was filled, Golden Hill moved to Topsoil Dump No. 3 which was in an area on the side of the Organic Highway between Exploration Road and the edge of the Waste Rock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644</w:t>
      </w:r>
      <w:r>
        <w:rPr>
          <w:rFonts w:ascii="arial" w:eastAsia="arial" w:hAnsi="arial" w:cs="arial"/>
          <w:color w:val="000000"/>
          <w:sz w:val="20"/>
          <w:lang w:val="en-US" w:eastAsia="en-US" w:bidi="ar-SA"/>
        </w:rPr>
        <w:t>  In cross-examination, Mr. Rempel acknowledged that finding another Topsoil dump in close proximity to the Millsite was a problem because there were only limited areas available. He also admitted that the problems associated with identifying additional Topsoil dumps and the fact that both Topsoil Dump No. 1 and No. 2 had limited space required Golden Hill to stockpile the Topsoil "at higher elevations".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645</w:t>
      </w:r>
      <w:r>
        <w:rPr>
          <w:rFonts w:ascii="arial" w:eastAsia="arial" w:hAnsi="arial" w:cs="arial"/>
          <w:color w:val="000000"/>
          <w:sz w:val="20"/>
          <w:lang w:val="en-US" w:eastAsia="en-US" w:bidi="ar-SA"/>
        </w:rPr>
        <w:t>  I find that Mr. Lyons asked Mr. Rempel many times for more Topsoil stockpile areas and that his requests became virtually a daily occurrence. I also find that Mr. Miller steadily pursued Kemess for additional Waste Dumps at the Millsite: "We were having a lot of trouble in the dumps. It was very expensive handling the material once we got it to the dumps." I also find that Mr. Rudolph spoke to Mr. Rempel on more than one occasion about the problems at the Topsoil Dumps, the volume and condition of the Waste and the fact that the operation was impacting the job and was causing delays.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646</w:t>
      </w:r>
      <w:r>
        <w:rPr>
          <w:rFonts w:ascii="arial" w:eastAsia="arial" w:hAnsi="arial" w:cs="arial"/>
          <w:color w:val="000000"/>
          <w:sz w:val="20"/>
          <w:lang w:val="en-US" w:eastAsia="en-US" w:bidi="ar-SA"/>
        </w:rPr>
        <w:t>  Apart from the August 21 letter, the documentary evidence of the requests of Golden Hill for more Topsoil Dump areas include the September 14 Daily Construction Report; the notes of Mr. Rudolph of his September 18 meeting with Mr. Koski in Whitehorse ("address waste areas Millsite"); the Kemess Daily Progress Meeting Minutes of September 24 ("look at additional area for topsoil with Jordan Bilan"), the Kemess Weekly Contractors' Meeting Minutes of September 25 ("waste dump areas are becoming congested"), and the Kemess Daily Progress Meeting Minutes of September 26 ("flagged area - limits for Waste Dump for GHV". "GHV - work through rain - pulled out of waste &amp; topsoil area - too muddy.").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647</w:t>
      </w:r>
      <w:r>
        <w:rPr>
          <w:rFonts w:ascii="arial" w:eastAsia="arial" w:hAnsi="arial" w:cs="arial"/>
          <w:color w:val="000000"/>
          <w:sz w:val="20"/>
          <w:lang w:val="en-US" w:eastAsia="en-US" w:bidi="ar-SA"/>
        </w:rPr>
        <w:t>  As a result of the failure of Kemess to designate Topsoil stockpile areas of sufficient size and of convenient location to the Millsite, I find that the operations at the Topsoil Dumps were fundamentally different from what Mr. Rudolph anticipated at tender time as he did not expect to have to pile the material into large stockpiles in extremely small Topsoil Dumps using a combination of bulldozers and excavators.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648</w:t>
      </w:r>
      <w:r>
        <w:rPr>
          <w:rFonts w:ascii="arial" w:eastAsia="arial" w:hAnsi="arial" w:cs="arial"/>
          <w:color w:val="000000"/>
          <w:sz w:val="20"/>
          <w:lang w:val="en-US" w:eastAsia="en-US" w:bidi="ar-SA"/>
        </w:rPr>
        <w:t>  I am satisfied that Golden Hill should be entitled to its damages flowing from the late designation of Topsoil dumps, and the designation of Topsoil dumps of an insufficient size and convenient location, all of which matters were within the control of Kemess.</w:t>
      </w:r>
      <w:r>
        <w:rPr>
          <w:rFonts w:ascii="arial" w:eastAsia="arial" w:hAnsi="arial" w:cs="arial"/>
          <w:sz w:val="20"/>
          <w:lang w:val="en-US" w:eastAsia="en-US" w:bidi="ar-SA"/>
        </w:rPr>
        <w:cr/>
      </w:r>
    </w:p>
    <w:p>
      <w:pPr>
        <w:numPr>
          <w:numId w:val="2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SUSPENSION OF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649</w:t>
      </w:r>
      <w:r>
        <w:rPr>
          <w:rFonts w:ascii="arial" w:eastAsia="arial" w:hAnsi="arial" w:cs="arial"/>
          <w:color w:val="000000"/>
          <w:sz w:val="20"/>
          <w:lang w:val="en-US" w:eastAsia="en-US" w:bidi="ar-SA"/>
        </w:rPr>
        <w:t>  Golden Hill had the following express right under Article 1.5 of Specification 02220 ("Excavation and Fill-General") which provided that one of the "Environmental Requirements" of Golden Hill is to: "Suspend construction operation at times when satisfactory results cannot be obtained on account of rain, snow, freezing weather or other unsatisfactory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650</w:t>
      </w:r>
      <w:r>
        <w:rPr>
          <w:rFonts w:ascii="arial" w:eastAsia="arial" w:hAnsi="arial" w:cs="arial"/>
          <w:color w:val="000000"/>
          <w:sz w:val="20"/>
          <w:lang w:val="en-US" w:eastAsia="en-US" w:bidi="ar-SA"/>
        </w:rPr>
        <w:t>  That provision is included with other "Environmental Requirements" such as the requirement to: provide hording, heating, drying and all other actions necessary to produce satisfactory conditions to ensure continuation of Work during rain, snow, freezing weather or other unsatisfactory conditions, if such continuation of Work is necessary to suit the Contract schedule" as well as to "Protect exposed excavations when required to prevent adverse effects of rain, freezing weather and other weather conditions on sub-grade of subsequent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651</w:t>
      </w:r>
      <w:r>
        <w:rPr>
          <w:rFonts w:ascii="arial" w:eastAsia="arial" w:hAnsi="arial" w:cs="arial"/>
          <w:color w:val="000000"/>
          <w:sz w:val="20"/>
          <w:lang w:val="en-US" w:eastAsia="en-US" w:bidi="ar-SA"/>
        </w:rPr>
        <w:t>  Golden Hill had not only the right to suspend operations but also the obligation to suspend operations if the weather would produce unsatisfactory results. Despite that, when the weather conditions became such that Golden Hill could not operate efficiently or maintain satisfactory results, Kemess nevertheless pressed Golden Hill to come up with a plan to continue the work despite the unsatisfactory conditions. I find that this direction from Kemess made production more inefficient and more time consuming and created greater waste.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652</w:t>
      </w:r>
      <w:r>
        <w:rPr>
          <w:rFonts w:ascii="arial" w:eastAsia="arial" w:hAnsi="arial" w:cs="arial"/>
          <w:color w:val="000000"/>
          <w:sz w:val="20"/>
          <w:lang w:val="en-US" w:eastAsia="en-US" w:bidi="ar-SA"/>
        </w:rPr>
        <w:t>  Mr. Miller testified that they were instructed to work in the rain: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It's not standard construction procedure, but we were instructed to work during the rains. And by working in the rains in this type of material, you're travelling on it and you're bringing it out of the cut, it - it does eventually get to an over-optimum where you cannot place it in the fill... so we're basically building Waste.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653</w:t>
      </w:r>
      <w:r>
        <w:rPr>
          <w:rFonts w:ascii="arial" w:eastAsia="arial" w:hAnsi="arial" w:cs="arial"/>
          <w:color w:val="000000"/>
          <w:sz w:val="20"/>
          <w:lang w:val="en-US" w:eastAsia="en-US" w:bidi="ar-SA"/>
        </w:rPr>
        <w:t>  On August 16, Mr. Koski sent a memo providing in part: "...I offer the following comments.... (4) Alternative activities must be indicated as "planned" in the event of inclement weather." Mr. Koski admitted that his comment was intended to tell Golden Hill that he wanted them to have their schedules show that they had a plan to perform some work "whenever conditions become adverse" including during inclement weather.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654</w:t>
      </w:r>
      <w:r>
        <w:rPr>
          <w:rFonts w:ascii="arial" w:eastAsia="arial" w:hAnsi="arial" w:cs="arial"/>
          <w:color w:val="000000"/>
          <w:sz w:val="20"/>
          <w:lang w:val="en-US" w:eastAsia="en-US" w:bidi="ar-SA"/>
        </w:rPr>
        <w:t>  In this regard, Mr. Miller wrote in his August 17, 1996 diary that: "got another memo from Kemess written by Jim Koski a lot to do with schedule also he wants to know our plans for working during wet weather??? (I don't have 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655</w:t>
      </w:r>
      <w:r>
        <w:rPr>
          <w:rFonts w:ascii="arial" w:eastAsia="arial" w:hAnsi="arial" w:cs="arial"/>
          <w:color w:val="000000"/>
          <w:sz w:val="20"/>
          <w:lang w:val="en-US" w:eastAsia="en-US" w:bidi="ar-SA"/>
        </w:rPr>
        <w:t>  I find that the ability of Golden Hill to undertake the contemplated Work was severely curtailed by a combination of the weather which was experienced and the lack of clean granular material which was contemplated by both Golden Hill and Kemess. The instructions received from Kemess that Golden Hill continue to work in the rain merely exacerbated already impossible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656</w:t>
      </w:r>
      <w:r>
        <w:rPr>
          <w:rFonts w:ascii="arial" w:eastAsia="arial" w:hAnsi="arial" w:cs="arial"/>
          <w:color w:val="000000"/>
          <w:sz w:val="20"/>
          <w:lang w:val="en-US" w:eastAsia="en-US" w:bidi="ar-SA"/>
        </w:rPr>
        <w:t>  I find that Kemess breached this term of the Contract. I also find that there was an implied representation that Golden Hill would be allowed to suspend construction operations when satisfactory results could not be obtained as a result of rain, snow, freezing weather or other unsatisfactory conditions, that Golden Hill reasonably relied on the representation that it would be entitled to suspend operations if the weather conditions became unsatisfactory and that Golden Hill was induced into entering into the Contract as a result of that 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657</w:t>
      </w:r>
      <w:r>
        <w:rPr>
          <w:rFonts w:ascii="arial" w:eastAsia="arial" w:hAnsi="arial" w:cs="arial"/>
          <w:color w:val="000000"/>
          <w:sz w:val="20"/>
          <w:lang w:val="en-US" w:eastAsia="en-US" w:bidi="ar-SA"/>
        </w:rPr>
        <w:t>  I am also satisfied that the right to suspend operation was part of its right to control its Work and, when it was forced into continuing the Work despite the poor conditions, the costs of Golden Hill increased thereby causing it to suffer damages. The decision of whether or not to require Golden Hill to work under unsuitable conditions lay entirely with Kemess. Accordingly, any damages flowing to Golden Hill are available to it despite the provisions of GC 36.0.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658</w:t>
      </w:r>
      <w:r>
        <w:rPr>
          <w:rFonts w:ascii="arial" w:eastAsia="arial" w:hAnsi="arial" w:cs="arial"/>
          <w:color w:val="000000"/>
          <w:sz w:val="20"/>
          <w:lang w:val="en-US" w:eastAsia="en-US" w:bidi="ar-SA"/>
        </w:rPr>
        <w:t>  Although I am not satisfied that Golden Hill was in full control of the decision when and if to suspend operations due to weather or other unsatisfactory conditions, I cannot be satisfied that Kemess required Golden Hill to undertake the Work on many occasions when the Work should have been suspended.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659</w:t>
      </w:r>
      <w:r>
        <w:rPr>
          <w:rFonts w:ascii="arial" w:eastAsia="arial" w:hAnsi="arial" w:cs="arial"/>
          <w:color w:val="000000"/>
          <w:sz w:val="20"/>
          <w:lang w:val="en-US" w:eastAsia="en-US" w:bidi="ar-SA"/>
        </w:rPr>
        <w:t>  A review of the Daily Construction Reports shows that, when it rained, Golden Hill often shut down its operations. In August there was one shift of earthworks at the Airstrip on August 15, not one again until August 21, and then operations until it rained again on August 29. There was very little earthworks done on August 30 or 31 as a result of rain and there was very little earthworks done on September 4 and 5 as a result of 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660</w:t>
      </w:r>
      <w:r>
        <w:rPr>
          <w:rFonts w:ascii="arial" w:eastAsia="arial" w:hAnsi="arial" w:cs="arial"/>
          <w:color w:val="000000"/>
          <w:sz w:val="20"/>
          <w:lang w:val="en-US" w:eastAsia="en-US" w:bidi="ar-SA"/>
        </w:rPr>
        <w:t>  Accordingly, I am not satisfied that extensive damages flow from the failure of Kemess to allow Golden Hill to suspend operations when it thought that suspension of operations was advisable. Although Golden Hill was urged to come up with plans which would allow them to work in bad weather, I am not satisfied that they were often required to work when they felt that they should have suspended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661</w:t>
      </w:r>
      <w:r>
        <w:rPr>
          <w:rFonts w:ascii="arial" w:eastAsia="arial" w:hAnsi="arial" w:cs="arial"/>
          <w:color w:val="000000"/>
          <w:sz w:val="20"/>
          <w:lang w:val="en-US" w:eastAsia="en-US" w:bidi="ar-SA"/>
        </w:rPr>
        <w:t>  Accordingly, while I am satisfied that Golden Hill did not suspend the Work as often as it should have or might have wanted and that Kemess ordered Golden Hill to proceed with the Work even though the Work should have been suspended from time to time, I am satisfied that only minimal damages were caused only by the directions received by Kemess that operations continue even though the Work should have been suspended.</w:t>
      </w:r>
      <w:r>
        <w:rPr>
          <w:rFonts w:ascii="arial" w:eastAsia="arial" w:hAnsi="arial" w:cs="arial"/>
          <w:sz w:val="20"/>
          <w:lang w:val="en-US" w:eastAsia="en-US" w:bidi="ar-SA"/>
        </w:rPr>
        <w:cr/>
      </w:r>
    </w:p>
    <w:p>
      <w:pPr>
        <w:numPr>
          <w:numId w:val="2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BREACH OF DUTY OF GOOD FAITH AND FAIR TREATMENT AND THE TORT OF INTIMIDATION</w:t>
      </w:r>
    </w:p>
    <w:p>
      <w:pPr>
        <w:numPr>
          <w:numId w:val="2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IMPLIED DUTY OF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662</w:t>
      </w:r>
      <w:r>
        <w:rPr>
          <w:rFonts w:ascii="arial" w:eastAsia="arial" w:hAnsi="arial" w:cs="arial"/>
          <w:color w:val="000000"/>
          <w:sz w:val="20"/>
          <w:lang w:val="en-US" w:eastAsia="en-US" w:bidi="ar-SA"/>
        </w:rPr>
        <w:t xml:space="preserve">  Where an owner has been expressly given power or discretion over a matter, there is an implied duty to act in good faith when exercising such power or discretion: West Coast Paving Co. v. British Columbia </w:t>
      </w:r>
      <w:hyperlink r:id="rId875" w:history="1">
        <w:r>
          <w:rPr>
            <w:rFonts w:ascii="arial" w:eastAsia="arial" w:hAnsi="arial" w:cs="arial"/>
            <w:i/>
            <w:color w:val="0077CC"/>
            <w:sz w:val="20"/>
            <w:u w:val="single"/>
            <w:shd w:val="clear" w:color="auto" w:fill="FFFFFF"/>
            <w:lang w:val="en-US" w:eastAsia="en-US" w:bidi="ar-SA"/>
          </w:rPr>
          <w:t>(1984), 4 C.L.R. 300</w:t>
        </w:r>
      </w:hyperlink>
      <w:r>
        <w:rPr>
          <w:rFonts w:ascii="arial" w:eastAsia="arial" w:hAnsi="arial" w:cs="arial"/>
          <w:color w:val="000000"/>
          <w:sz w:val="20"/>
          <w:lang w:val="en-US" w:eastAsia="en-US" w:bidi="ar-SA"/>
        </w:rPr>
        <w:t xml:space="preserve"> (B.C.S.C.) at p. 308 and Dilcon Constructors Ltd. v. British Columbia Hydro &amp; Power Authority </w:t>
      </w:r>
      <w:hyperlink r:id="rId828" w:history="1">
        <w:r>
          <w:rPr>
            <w:rFonts w:ascii="arial" w:eastAsia="arial" w:hAnsi="arial" w:cs="arial"/>
            <w:i/>
            <w:color w:val="0077CC"/>
            <w:sz w:val="20"/>
            <w:u w:val="single"/>
            <w:shd w:val="clear" w:color="auto" w:fill="FFFFFF"/>
            <w:lang w:val="en-US" w:eastAsia="en-US" w:bidi="ar-SA"/>
          </w:rPr>
          <w:t>(1982), 7 C.L.R. (2d) 22</w:t>
        </w:r>
      </w:hyperlink>
      <w:r>
        <w:rPr>
          <w:rFonts w:ascii="arial" w:eastAsia="arial" w:hAnsi="arial" w:cs="arial"/>
          <w:color w:val="000000"/>
          <w:sz w:val="20"/>
          <w:lang w:val="en-US" w:eastAsia="en-US" w:bidi="ar-SA"/>
        </w:rPr>
        <w:t xml:space="preserve"> (B.C.S.C.) at p. 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663</w:t>
      </w:r>
      <w:r>
        <w:rPr>
          <w:rFonts w:ascii="arial" w:eastAsia="arial" w:hAnsi="arial" w:cs="arial"/>
          <w:color w:val="000000"/>
          <w:sz w:val="20"/>
          <w:lang w:val="en-US" w:eastAsia="en-US" w:bidi="ar-SA"/>
        </w:rPr>
        <w:t>  In West Coast Paving, Spencer, J. described the concept of good faith in this type of construction contract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contract expressly gives the defendant, through its engineer, the power to direct the manner and schedule of performance of the work. ...It says nothing about how the engineer shall go about making his decisions and giving directions. Since he is employed by the defendant, he is entitled to advance the defendant's best interests in giving his directions but I am of the view that there must be some standard of judgment implied in this contract, otherwise the engineer could act in an entirely arbitrary manner and require a standard of performance from the plaintiff far beyond what is usual in the construction industry and beyond what is contemplated by the contract. I think it is necessary to judge performance under the contract that common sense should prevail and that necessity requires the implication of a common sense term. It is that the engineer should direct the plaintiff in accordance with proper engineering in construction practice. (at p. 308)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664</w:t>
      </w:r>
      <w:r>
        <w:rPr>
          <w:rFonts w:ascii="arial" w:eastAsia="arial" w:hAnsi="arial" w:cs="arial"/>
          <w:color w:val="000000"/>
          <w:sz w:val="20"/>
          <w:lang w:val="en-US" w:eastAsia="en-US" w:bidi="ar-SA"/>
        </w:rPr>
        <w:t xml:space="preserve">  The duty of good faith required Kemess to exercise its discretion in accordance with proper engineering and construction practice and not to exercise its discretion arbitrarily without reasons. Any failure of Kemess to grant extensions of time which were properly due constitutes a breach of this duty: TNL Paving Ltd. v. British Columbia (Ministry of Transportation and Highways) </w:t>
      </w:r>
      <w:hyperlink r:id="rId876" w:history="1">
        <w:r>
          <w:rPr>
            <w:rFonts w:ascii="arial" w:eastAsia="arial" w:hAnsi="arial" w:cs="arial"/>
            <w:i/>
            <w:color w:val="0077CC"/>
            <w:sz w:val="20"/>
            <w:u w:val="single"/>
            <w:shd w:val="clear" w:color="auto" w:fill="FFFFFF"/>
            <w:lang w:val="en-US" w:eastAsia="en-US" w:bidi="ar-SA"/>
          </w:rPr>
          <w:t>(1999), 46 C.L.R. (2d) 165</w:t>
        </w:r>
      </w:hyperlink>
      <w:r>
        <w:rPr>
          <w:rFonts w:ascii="arial" w:eastAsia="arial" w:hAnsi="arial" w:cs="arial"/>
          <w:color w:val="000000"/>
          <w:sz w:val="20"/>
          <w:lang w:val="en-US" w:eastAsia="en-US" w:bidi="ar-SA"/>
        </w:rPr>
        <w:t xml:space="preserve"> (B.C.S.C.) at pp. 257-9.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665</w:t>
      </w:r>
      <w:r>
        <w:rPr>
          <w:rFonts w:ascii="arial" w:eastAsia="arial" w:hAnsi="arial" w:cs="arial"/>
          <w:color w:val="000000"/>
          <w:sz w:val="20"/>
          <w:lang w:val="en-US" w:eastAsia="en-US" w:bidi="ar-SA"/>
        </w:rPr>
        <w:t>  This duty to act in good faith is fundamental to every construction contract. This duty is implied as a matter of law because the intentions of the party play no part in the duty to act in good faith. The duty is assumed.</w:t>
      </w:r>
      <w:r>
        <w:rPr>
          <w:rFonts w:ascii="arial" w:eastAsia="arial" w:hAnsi="arial" w:cs="arial"/>
          <w:sz w:val="20"/>
          <w:lang w:val="en-US" w:eastAsia="en-US" w:bidi="ar-SA"/>
        </w:rPr>
        <w:cr/>
      </w:r>
    </w:p>
    <w:p>
      <w:pPr>
        <w:numPr>
          <w:numId w:val="2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CONTRACT PROVISIONS REGARDING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666</w:t>
      </w:r>
      <w:r>
        <w:rPr>
          <w:rFonts w:ascii="arial" w:eastAsia="arial" w:hAnsi="arial" w:cs="arial"/>
          <w:color w:val="000000"/>
          <w:sz w:val="20"/>
          <w:lang w:val="en-US" w:eastAsia="en-US" w:bidi="ar-SA"/>
        </w:rPr>
        <w:t>  General Condition 13.1 also imposes a mutual duty of good faith relating to the Contract: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Owner shall decide on questions arising under the Contract Documents, whether as to the performance of the Work or the interpretation of the Contract Documents. If the Contractor considers any such decisions are at variance with the Contract Documents or involve changes in Work already billed, fixed, ordered or in hand in excess of the Contract, or are given in error, the Contractor shall so notify the Owner in writing before proceeding to carry them out. In the event of the Owner and the Contractor failing to agree as to such excess or error and the Owner deciding to carry out such disputed Work, the Contractor shall act according to such decision. The Owner and the Contractor shall keep accurate records of the time and materials expended on such disputed Work, and the records shall be reported and checked daily in the same way as for cost plus work under the provisions of Article 28 VALUATION OF CHANGES of these General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667</w:t>
      </w:r>
      <w:r>
        <w:rPr>
          <w:rFonts w:ascii="arial" w:eastAsia="arial" w:hAnsi="arial" w:cs="arial"/>
          <w:color w:val="000000"/>
          <w:sz w:val="20"/>
          <w:lang w:val="en-US" w:eastAsia="en-US" w:bidi="ar-SA"/>
        </w:rPr>
        <w:t>  This mutual duty of good faith was not excluded by the provisions of Article VI which only attempted to exclude obligations of Kemess.</w:t>
      </w:r>
      <w:r>
        <w:rPr>
          <w:rFonts w:ascii="arial" w:eastAsia="arial" w:hAnsi="arial" w:cs="arial"/>
          <w:sz w:val="20"/>
          <w:lang w:val="en-US" w:eastAsia="en-US" w:bidi="ar-SA"/>
        </w:rPr>
        <w:cr/>
      </w:r>
    </w:p>
    <w:p>
      <w:pPr>
        <w:numPr>
          <w:numId w:val="2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TORT OF INTIMIDATION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668</w:t>
      </w:r>
      <w:r>
        <w:rPr>
          <w:rFonts w:ascii="arial" w:eastAsia="arial" w:hAnsi="arial" w:cs="arial"/>
          <w:color w:val="000000"/>
          <w:sz w:val="20"/>
          <w:lang w:val="en-US" w:eastAsia="en-US" w:bidi="ar-SA"/>
        </w:rPr>
        <w:t xml:space="preserve">  The tort of intimidation was first set out in the decision in Rookes v. Barnard, [1964] A.C. 1129 (H.L.) and was first recognized by the Supreme Court of Canada in Central Canada Potash Co. v. Saskatchewan (A.G.) </w:t>
      </w:r>
      <w:hyperlink r:id="rId877" w:history="1">
        <w:r>
          <w:rPr>
            <w:rFonts w:ascii="arial" w:eastAsia="arial" w:hAnsi="arial" w:cs="arial"/>
            <w:i/>
            <w:color w:val="0077CC"/>
            <w:sz w:val="20"/>
            <w:u w:val="single"/>
            <w:shd w:val="clear" w:color="auto" w:fill="FFFFFF"/>
            <w:lang w:val="en-US" w:eastAsia="en-US" w:bidi="ar-SA"/>
          </w:rPr>
          <w:t>(1979), 88 D.L.R. (3d) 609</w:t>
        </w:r>
      </w:hyperlink>
      <w:r>
        <w:rPr>
          <w:rFonts w:ascii="arial" w:eastAsia="arial" w:hAnsi="arial" w:cs="arial"/>
          <w:color w:val="000000"/>
          <w:sz w:val="20"/>
          <w:lang w:val="en-US" w:eastAsia="en-US" w:bidi="ar-SA"/>
        </w:rPr>
        <w:t xml:space="preserve">. In No. 1 Collision Repair &amp; Painting (1982) Ltd. v. I.C.B.C. </w:t>
      </w:r>
      <w:hyperlink r:id="rId878" w:history="1">
        <w:r>
          <w:rPr>
            <w:rFonts w:ascii="arial" w:eastAsia="arial" w:hAnsi="arial" w:cs="arial"/>
            <w:i/>
            <w:color w:val="0077CC"/>
            <w:sz w:val="20"/>
            <w:u w:val="single"/>
            <w:shd w:val="clear" w:color="auto" w:fill="FFFFFF"/>
            <w:lang w:val="en-US" w:eastAsia="en-US" w:bidi="ar-SA"/>
          </w:rPr>
          <w:t>(2000), 80 B.C.L.R. (3d) 62</w:t>
        </w:r>
      </w:hyperlink>
      <w:r>
        <w:rPr>
          <w:rFonts w:ascii="arial" w:eastAsia="arial" w:hAnsi="arial" w:cs="arial"/>
          <w:color w:val="000000"/>
          <w:sz w:val="20"/>
          <w:lang w:val="en-US" w:eastAsia="en-US" w:bidi="ar-SA"/>
        </w:rPr>
        <w:t xml:space="preserve"> (B.C.C.A.), Lambert J.A.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ingredients of this tort are that the plaintiff must show that the defendant threatened to commit an unlawful act; that the threat, if it had been carried out, would have caused damage to the plaintiff, either directly or through the conduct of others in their dealings with the plaintiff; that the object and effect of the threat was to cause damage to the plaintiff, directly or indirectly; that the threat was communicated to the plaintiff or others; and that in response to the threat the plaintiff altered its economic affairs to its detriment as a reasonable response to the threat to it or, alternatively, that in response to the threat to others, those others reasonably altered their dealings with the plaintiff, causing damage to the economic interests of the plaintiff. (at para. 193).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669</w:t>
      </w:r>
      <w:r>
        <w:rPr>
          <w:rFonts w:ascii="arial" w:eastAsia="arial" w:hAnsi="arial" w:cs="arial"/>
          <w:color w:val="000000"/>
          <w:sz w:val="20"/>
          <w:lang w:val="en-US" w:eastAsia="en-US" w:bidi="ar-SA"/>
        </w:rPr>
        <w:t>  An award of damages for tortious intimidation is not limited to the pecuniary loss that can be specifically proved: Rookes v. Barnard, supra, at p. 1221; L.D. Rainaldi, Remedies in Tort, looseleaf (Toronto: Carswell, 1987) Vol. 1 at 13-13; and in S.M. Waddams, The Law of Damages, looseleaf (Toronto: Canada Law Book Inc., 1991) where the statement is made that: "In a case where damages would be expected to ensue damage will be inferred even though it cannot be specifically proved" (at para. 5.300).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670</w:t>
      </w:r>
      <w:r>
        <w:rPr>
          <w:rFonts w:ascii="arial" w:eastAsia="arial" w:hAnsi="arial" w:cs="arial"/>
          <w:color w:val="000000"/>
          <w:sz w:val="20"/>
          <w:lang w:val="en-US" w:eastAsia="en-US" w:bidi="ar-SA"/>
        </w:rPr>
        <w:t>  Kemess submits that a threat to breach a contract is not alone sufficient to constitute the threat of an unlawful act for the purposes of the tort of intimidation. In this regard, they rely on the following:</w:t>
      </w:r>
      <w:r>
        <w:rPr>
          <w:rFonts w:ascii="arial" w:eastAsia="arial" w:hAnsi="arial" w:cs="arial"/>
          <w:sz w:val="20"/>
          <w:lang w:val="en-US" w:eastAsia="en-US" w:bidi="ar-SA"/>
        </w:rPr>
        <w:cr/>
      </w:r>
    </w:p>
    <w:p>
      <w:pPr>
        <w:numPr>
          <w:numId w:val="2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L.D. Rainaldi, Remedies in Tort, looseleaf (Toronto: Carswell, 1987) Vol. 1 at p. 13-10): "In a two-party intimidation, because the plaintiff has an adequate remedy in contract, no independent tort is committed..."</w:t>
      </w:r>
    </w:p>
    <w:p>
      <w:pPr>
        <w:numPr>
          <w:numId w:val="2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Central Canada Potash Co., supra, at p. 640: "In my opinion the tort of intimidation is not committed if a party to a contract asserts what he reasonably considers to be his contractual right and that other party, rather than electing to contest that right, follows a course of conduct on the assumption that the assertion of right can be maintained";</w:t>
      </w:r>
    </w:p>
    <w:p>
      <w:pPr>
        <w:numPr>
          <w:numId w:val="2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Reid, J. in Rookes v. Barnard, supra, at p. 1168: "So long as the Defendant only threatens to do what he has a legal right to do he is on safe ground;</w:t>
      </w:r>
    </w:p>
    <w:p>
      <w:pPr>
        <w:numPr>
          <w:numId w:val="2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following passage from Winfield and Jolowitz on Tort, 10th ed., at p. 458 quoted with approval by Martland, J. in Central Canada Potash Co., supra, at p. 640: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submitted, therefore, that the two-party situation is properly distinguishable from the three-party situation in that it does not necessarily follow from Rookes v. Barnard that whenever A threatens B with an unlawful act, including a breach of his contract with B, he thereby commits the tort of intimidation. In fact the balance of advantage seems to lie in holding that where A threatens B with a breach of his contact with B, B should be restricted to his contractual remedies. The law should not encourage B to yield to the threat but should seek to persuade him to resist it. If he suffers damage in consequence he will be adequately compensated by his remedy in damages for breach of contact, as his damage can scarcely be other than financial....The view is preferred, therefore, that although A commits the tort of intimidation against B where he threatens B with violence or perhaps with any other tort, no independent tort is committed when all that is threatened is a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671</w:t>
      </w:r>
      <w:r>
        <w:rPr>
          <w:rFonts w:ascii="arial" w:eastAsia="arial" w:hAnsi="arial" w:cs="arial"/>
          <w:color w:val="000000"/>
          <w:sz w:val="20"/>
          <w:lang w:val="en-US" w:eastAsia="en-US" w:bidi="ar-SA"/>
        </w:rPr>
        <w:t>  Kemess submits that these are strong indications that our courts have determined that the tort of intimidation cannot be based on a threat to breach a contract. In addition to the authorities and text noted above, Kemess also relies on:</w:t>
      </w:r>
      <w:r>
        <w:rPr>
          <w:rFonts w:ascii="arial" w:eastAsia="arial" w:hAnsi="arial" w:cs="arial"/>
          <w:sz w:val="20"/>
          <w:lang w:val="en-US" w:eastAsia="en-US" w:bidi="ar-SA"/>
        </w:rPr>
        <w:cr/>
      </w:r>
    </w:p>
    <w:p>
      <w:pPr>
        <w:numPr>
          <w:numId w:val="2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per curiam judgment in Dusik v. Newton </w:t>
      </w:r>
      <w:hyperlink r:id="rId879" w:history="1">
        <w:r>
          <w:rPr>
            <w:rFonts w:ascii="arial" w:eastAsia="arial" w:hAnsi="arial" w:cs="arial"/>
            <w:i/>
            <w:color w:val="0077CC"/>
            <w:sz w:val="20"/>
            <w:u w:val="single"/>
            <w:shd w:val="clear" w:color="auto" w:fill="FFFFFF"/>
            <w:lang w:val="en-US" w:eastAsia="en-US" w:bidi="ar-SA"/>
          </w:rPr>
          <w:t>(1985), 62 B.C.L.R. 1</w:t>
        </w:r>
      </w:hyperlink>
      <w:r>
        <w:rPr>
          <w:rFonts w:ascii="arial" w:eastAsia="arial" w:hAnsi="arial" w:cs="arial"/>
          <w:color w:val="000000"/>
          <w:sz w:val="20"/>
          <w:lang w:val="en-US" w:eastAsia="en-US" w:bidi="ar-SA"/>
        </w:rPr>
        <w:t xml:space="preserve"> (B.C.C.A.) at para. 71 where the Court, after citing from Central Canada Potash, stated: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With reference to breach of contract (an unlawful act) the courts have suggested that in such a case the proper remedy is to sue for breach of contract and not to bring an action for tortious intimidation.</w:t>
      </w:r>
    </w:p>
    <w:p>
      <w:pPr>
        <w:numPr>
          <w:numId w:val="2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decision in Roehl v. Houlahan </w:t>
      </w:r>
      <w:hyperlink r:id="rId880" w:history="1">
        <w:r>
          <w:rPr>
            <w:rFonts w:ascii="arial" w:eastAsia="arial" w:hAnsi="arial" w:cs="arial"/>
            <w:i/>
            <w:color w:val="0077CC"/>
            <w:sz w:val="20"/>
            <w:u w:val="single"/>
            <w:shd w:val="clear" w:color="auto" w:fill="FFFFFF"/>
            <w:lang w:val="en-US" w:eastAsia="en-US" w:bidi="ar-SA"/>
          </w:rPr>
          <w:t>(1991), 75 O.R. (2d) 482</w:t>
        </w:r>
      </w:hyperlink>
      <w:r>
        <w:rPr>
          <w:rFonts w:ascii="arial" w:eastAsia="arial" w:hAnsi="arial" w:cs="arial"/>
          <w:color w:val="000000"/>
          <w:sz w:val="20"/>
          <w:lang w:val="en-US" w:eastAsia="en-US" w:bidi="ar-SA"/>
        </w:rPr>
        <w:t xml:space="preserve"> (Ont. C.A.), where the majority commented as follows after reviewing the Central Canada Potash decision: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clear from the foregoing that the Supreme Court has no more than inferentially accepted the decision of the House of Lords in Rookes v. Bernard that the tort of intimidation should be extended to cover threats to commit breaches of contract. It is also clear that even if the tort were so extended, it would only exist where the threat involved is a threat to commit an illegal act. (at p. 486).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672</w:t>
      </w:r>
      <w:r>
        <w:rPr>
          <w:rFonts w:ascii="arial" w:eastAsia="arial" w:hAnsi="arial" w:cs="arial"/>
          <w:color w:val="000000"/>
          <w:sz w:val="20"/>
          <w:lang w:val="en-US" w:eastAsia="en-US" w:bidi="ar-SA"/>
        </w:rPr>
        <w:t>  I am satisfied that it is not appropriate to accede to the submissions of Kemess. In Central Canada Potash Co., supra, it should be noted that Martland, J. specifically stated that he was not deciding the issue of whether a threatened breach of contract can constitute an unlawful act. The comments of Martland, J. related to a very specific situation with two important limiting circumstances: (a) the person making the threats must have reasonably believed that he was asserting his contractual right; and (b) the person to whom the threats were made must have assumed that the person making the threats had the contractual right that was being asserted.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673</w:t>
      </w:r>
      <w:r>
        <w:rPr>
          <w:rFonts w:ascii="arial" w:eastAsia="arial" w:hAnsi="arial" w:cs="arial"/>
          <w:color w:val="000000"/>
          <w:sz w:val="20"/>
          <w:lang w:val="en-US" w:eastAsia="en-US" w:bidi="ar-SA"/>
        </w:rPr>
        <w:t>  I am satisfied that neither of these two elements are present in this case so that the obiter comments of Martland, J. have no application. I conclude that no person could reasonably consider that what was threatened was within the contractual rights of Kemess. I also conclude that Golden Hill did not assume that Kemess had the contractual right to make the threats that were being asserted.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674</w:t>
      </w:r>
      <w:r>
        <w:rPr>
          <w:rFonts w:ascii="arial" w:eastAsia="arial" w:hAnsi="arial" w:cs="arial"/>
          <w:color w:val="000000"/>
          <w:sz w:val="20"/>
          <w:lang w:val="en-US" w:eastAsia="en-US" w:bidi="ar-SA"/>
        </w:rPr>
        <w:t>  Regarding the judgment in Dusik v. Newton supra, there was no contract between the plaintiff and defendant so the issue of whether a threat to breach a contract can constitute an unlawful act for the purposes of the tort of intimidation was not before the court. Regarding the decision in Roehl, supra, the Court found that the defendant was entitled under the contract to do that which he threatened to do so that the act was not an unlawful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675</w:t>
      </w:r>
      <w:r>
        <w:rPr>
          <w:rFonts w:ascii="arial" w:eastAsia="arial" w:hAnsi="arial" w:cs="arial"/>
          <w:color w:val="000000"/>
          <w:sz w:val="20"/>
          <w:lang w:val="en-US" w:eastAsia="en-US" w:bidi="ar-SA"/>
        </w:rPr>
        <w:t>  I am satisfied that a threat to breach a contract is sufficient to satisfy the necessary element in the tort of intimidation. However, I also find that Kemess threatened Golden Hill with an action which was not allowed under the Contract so the first element of the tort is made out. Kemess threatened to do three things which it had no right to do under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676</w:t>
      </w:r>
      <w:r>
        <w:rPr>
          <w:rFonts w:ascii="arial" w:eastAsia="arial" w:hAnsi="arial" w:cs="arial"/>
          <w:color w:val="000000"/>
          <w:sz w:val="20"/>
          <w:lang w:val="en-US" w:eastAsia="en-US" w:bidi="ar-SA"/>
        </w:rPr>
        <w:t>  First, at the end of August, 1996, Kemess threatened Golden Hill that, if it would not act in accordance with the instructions being given by Kemess, Kemess would seize the equipment of Golden Hill on the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677</w:t>
      </w:r>
      <w:r>
        <w:rPr>
          <w:rFonts w:ascii="arial" w:eastAsia="arial" w:hAnsi="arial" w:cs="arial"/>
          <w:color w:val="000000"/>
          <w:sz w:val="20"/>
          <w:lang w:val="en-US" w:eastAsia="en-US" w:bidi="ar-SA"/>
        </w:rPr>
        <w:t>  Second, on August 22 when it was raining heavily, Mr. Koski threatened Mr. Miller that, if Golden Hill did not start using larger lifts on the landing strip portion of the Airstrip, Mr. Koski would get someone else to do the job. When Mr. Miller asked Mr. Koski what would be the consequence of not complying with the threat, Mr. Koski replied that he would withhold all progress payments, go after Golden Hill's performance bond or seize all of the equipment of Golden Hill on Site and use it to build the Airport. Mr. Miller testified that Mr. Koski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what he told me was the first thing he would do is we'd get - he'd hold all progress payments. He would go after our bond and then he also - then he said you don't have a bond, so we couldn't do that. But we would hold all of your equipment on-site and use it to build the Airport and then we would charge you back for any extra costs that it took to do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678</w:t>
      </w:r>
      <w:r>
        <w:rPr>
          <w:rFonts w:ascii="arial" w:eastAsia="arial" w:hAnsi="arial" w:cs="arial"/>
          <w:color w:val="000000"/>
          <w:sz w:val="20"/>
          <w:lang w:val="en-US" w:eastAsia="en-US" w:bidi="ar-SA"/>
        </w:rPr>
        <w:t>  Mr. Miller was not cross-examined about his evidence in this regard. Mr. Froess stated that he recalled a meeting at the Airstrip where Mr. Koski threatened Golden Hill and said that if Golden Hill would not handle the job, he would get someone else to finish the job. Mr. Froess was not cross-examined on his evidence in this regard. Mr. Koski stated that he could not recall the August 22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679</w:t>
      </w:r>
      <w:r>
        <w:rPr>
          <w:rFonts w:ascii="arial" w:eastAsia="arial" w:hAnsi="arial" w:cs="arial"/>
          <w:color w:val="000000"/>
          <w:sz w:val="20"/>
          <w:lang w:val="en-US" w:eastAsia="en-US" w:bidi="ar-SA"/>
        </w:rPr>
        <w:t>  On August 22, Mr. Rudolph made note of the fact that Mr. Miller told him that on that day: "Kemess saying they may get someone else to finish contract". Mr. Rudolph also confirmed in his testimony a telephone conversation that day with Mr. Miller and that he and Mr. Miller discussed options including walking off the contract as: "... the conditions were getting horrendous to work under and Mickey [Miller] was getting very perturbed and was basically at his wits end as to how to deal with these people". Mr. Rudolph testified that he considered that one option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continuing down the path that we were and trying to be accommodating and trying to get the work done when we were able and with the conditions we were faced with. And we decided that if they wanted to throw us off the job, then that would be their choice and we would deal with that at the time. But it's certainly something that we were concerned about and we obviously didn't want to see happen.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680</w:t>
      </w:r>
      <w:r>
        <w:rPr>
          <w:rFonts w:ascii="arial" w:eastAsia="arial" w:hAnsi="arial" w:cs="arial"/>
          <w:color w:val="000000"/>
          <w:sz w:val="20"/>
          <w:lang w:val="en-US" w:eastAsia="en-US" w:bidi="ar-SA"/>
        </w:rPr>
        <w:t>  On August 27, Mr. Koski again threatened Mr. Miller that unless things went "as expected", Golden Hill "would be out of there". Third, Kemess threatened to withhold the payment of a certified progress draw.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681</w:t>
      </w:r>
      <w:r>
        <w:rPr>
          <w:rFonts w:ascii="arial" w:eastAsia="arial" w:hAnsi="arial" w:cs="arial"/>
          <w:color w:val="000000"/>
          <w:sz w:val="20"/>
          <w:lang w:val="en-US" w:eastAsia="en-US" w:bidi="ar-SA"/>
        </w:rPr>
        <w:t>  Kemess did have a contractual right to seize the equipment of Golden Hill but could only do so in very limited circumstances. General Condition 38.1 stated that Kemess would have the right: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upon written notice to the Contractor and without process or action at law and without prejudice to any other right or remedy the Owner may have, to take all or any portion or portions of the Work out of the hands of the Contractor and complete such Work by whatever methods the Owner deems expedient, by reason of any of the following incidents of default, namely:</w:t>
      </w:r>
    </w:p>
    <w:p>
      <w:pPr>
        <w:numPr>
          <w:numId w:val="2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Contractor has failed to commence Work within the time required in the Contract or to diligently execute the Work or any portion thereof to the satisfaction of the Owner, and the Owner has given instructions in writing to the Contractor requiring the Contractor to employ additional Labour and equipment or otherwise expedite the Work and the Contractor fails within (7) calendar days to follow such instructions; and</w:t>
      </w:r>
    </w:p>
    <w:p>
      <w:pPr>
        <w:numPr>
          <w:numId w:val="2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Contractor fails to complete the Work by the required Substantial Completion Date;</w:t>
      </w:r>
    </w:p>
    <w:p>
      <w:pPr>
        <w:numPr>
          <w:numId w:val="2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Contractor neglects or refuses to perform the Work in accordance with the requirements of the Contract Documents or the instructions of the Owner or to remove unsatisfactory personnel, materials or Work, or disregards laws, by-laws, regulations and requirements governing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682</w:t>
      </w:r>
      <w:r>
        <w:rPr>
          <w:rFonts w:ascii="arial" w:eastAsia="arial" w:hAnsi="arial" w:cs="arial"/>
          <w:color w:val="000000"/>
          <w:sz w:val="20"/>
          <w:lang w:val="en-US" w:eastAsia="en-US" w:bidi="ar-SA"/>
        </w:rPr>
        <w:t>  The Work could also be taken out of the hands of Golden Hill if it was adjudged a bankrupt, became insolvent, abandoned the Work, or made an assignment of the Contract without the required consent of Kemess. Under GC 38.2, when the Work or any portion thereof was taken out of the hands of Golden Hill, Kemess was in a position to take possession of: "... the premises and all materials, plant, equipment, tools and supplies which the Contractor and his subcontractor(s) have on Site and may complete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683</w:t>
      </w:r>
      <w:r>
        <w:rPr>
          <w:rFonts w:ascii="arial" w:eastAsia="arial" w:hAnsi="arial" w:cs="arial"/>
          <w:color w:val="000000"/>
          <w:sz w:val="20"/>
          <w:lang w:val="en-US" w:eastAsia="en-US" w:bidi="ar-SA"/>
        </w:rPr>
        <w:t>  Golden Hill was proceeding diligently with the Work, Mr. Rempel on behalf of Kemess agreed that this was the case and Kemess therefore had no contractual grounds upon which it could have seized the equipment, etc. of Golden Hill on the Site. It cannot be shown that Golden Hill had neglected or refused to perform the work in accordance with the requirements of the Contract or the instructions of Kemess so the threat to expel Golden Hill from the Site was outside the perimeters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684</w:t>
      </w:r>
      <w:r>
        <w:rPr>
          <w:rFonts w:ascii="arial" w:eastAsia="arial" w:hAnsi="arial" w:cs="arial"/>
          <w:color w:val="000000"/>
          <w:sz w:val="20"/>
          <w:lang w:val="en-US" w:eastAsia="en-US" w:bidi="ar-SA"/>
        </w:rPr>
        <w:t>  The ability to seize equipment under GC 38 was very limited. I am satisfied that none of those pre-conditions existed. Accordingly, the threats received by Golden Hill from Mr. Koski on behalf of Kemess were unlawful and not allowed under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685</w:t>
      </w:r>
      <w:r>
        <w:rPr>
          <w:rFonts w:ascii="arial" w:eastAsia="arial" w:hAnsi="arial" w:cs="arial"/>
          <w:color w:val="000000"/>
          <w:sz w:val="20"/>
          <w:lang w:val="en-US" w:eastAsia="en-US" w:bidi="ar-SA"/>
        </w:rPr>
        <w:t>  As well, Kemess had no legal justification to withhold payment of certified progress draws. By an August 28 letter from Mr. Rempel to Mr Rudolph, Golden Hill was advised that they were to "immediately comply with following directives" including the requirement that Golden Hill submit the "Performance Bond" that had been requested and that, until they do so, their "progress payment will be withheld". Mr. Rempel testified that he put that passage in the letter on the instructions of Mr. Koski. Under cross-examination, Mr. Rempel agreed that this threat was not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686</w:t>
      </w:r>
      <w:r>
        <w:rPr>
          <w:rFonts w:ascii="arial" w:eastAsia="arial" w:hAnsi="arial" w:cs="arial"/>
          <w:color w:val="000000"/>
          <w:sz w:val="20"/>
          <w:lang w:val="en-US" w:eastAsia="en-US" w:bidi="ar-SA"/>
        </w:rPr>
        <w:t>  General Condition 32.0 deals with the withholding of payments: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Owner shall have the right to withhold the whole or part of any payment, otherwise due, on account of:</w:t>
      </w:r>
    </w:p>
    <w:p>
      <w:pPr>
        <w:numPr>
          <w:numId w:val="2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Defective work not completed;</w:t>
      </w:r>
    </w:p>
    <w:p>
      <w:pPr>
        <w:numPr>
          <w:numId w:val="2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at any time, there should be evidence of any lien or claim for which the Owner might become liable and which is chargeable to the Contractor, the Owner will have the right to retain out of any payment to the Contractor an amount sufficient to completely indemnify the Owner against such lien or claim. If the Contractor fails to pay or discharge such lien or claim within reasonable time, the Owner may pay and discharge such lien or claim and the amount so paid including costs and legal fees shall immediately become due and payable to the Owner by the Contractor and may be deducted from any monies which may be or may become due and payable to the Contractor;</w:t>
      </w:r>
    </w:p>
    <w:p>
      <w:pPr>
        <w:numPr>
          <w:numId w:val="2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of the Contractor to make proper payments to Subcontractors or for materials, labour, equipment rentals, or insurance;</w:t>
      </w:r>
    </w:p>
    <w:p>
      <w:pPr>
        <w:numPr>
          <w:numId w:val="2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reasonable doubt that the Contract can be completed by the required date for Substantial Completion for the balance then unpaid; or</w:t>
      </w:r>
    </w:p>
    <w:p>
      <w:pPr>
        <w:numPr>
          <w:numId w:val="2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 to the Owner or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When the above grounds are removed, payment shall be made for the amounts withheld because of them. The above list shall not limit the Owner's right to withhold payment or deduct from payments where the Contractor is in default of any of the Contract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687</w:t>
      </w:r>
      <w:r>
        <w:rPr>
          <w:rFonts w:ascii="arial" w:eastAsia="arial" w:hAnsi="arial" w:cs="arial"/>
          <w:color w:val="000000"/>
          <w:sz w:val="20"/>
          <w:lang w:val="en-US" w:eastAsia="en-US" w:bidi="ar-SA"/>
        </w:rPr>
        <w:t>  General Condition 32.0 sets out a very limited set of circumstances whereby Kemess was in a position to withhold all or part of a payment that was owing. I am satisfied that none of the reasons advanced by Kemess related to the circumstances set out in GC 32.0. Specifically, there was no "defective work" that had not been remedied, no failure by Golden Hill to make proper payments to subcontractors, no "reasonable doubt that the Contract can be completed by the required date for Substantial Completion" and no "damage to the owner or others.". As none of the reasons given for the progress payment being withheld relate to any of the grounds set out, the threat to withhold and then to actually withhold Golden Hill's progress payment was unlawful.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688</w:t>
      </w:r>
      <w:r>
        <w:rPr>
          <w:rFonts w:ascii="arial" w:eastAsia="arial" w:hAnsi="arial" w:cs="arial"/>
          <w:color w:val="000000"/>
          <w:sz w:val="20"/>
          <w:lang w:val="en-US" w:eastAsia="en-US" w:bidi="ar-SA"/>
        </w:rPr>
        <w:t>  I am satisfied that the threats made by Kemess breach the duty of good faith required of Kemess and also constitute the tort of intimidation. The threats constituted an exercise by Kemess of its discretion other than in accordance with proper engineering and construction practice and in a way which was arbitrary and other than in accordance with the Contract. The threats also constituted an unlawful act under the Contract and were made with the object and effect of causing damage to Golden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689</w:t>
      </w:r>
      <w:r>
        <w:rPr>
          <w:rFonts w:ascii="arial" w:eastAsia="arial" w:hAnsi="arial" w:cs="arial"/>
          <w:color w:val="000000"/>
          <w:sz w:val="20"/>
          <w:lang w:val="en-US" w:eastAsia="en-US" w:bidi="ar-SA"/>
        </w:rPr>
        <w:t>  Kemess breached its implied duty to act in good faith by compelling Golden Hill to work based on promises and threats. What was done also constituted the tort of intimidation. As a result of the breach of duty, Golden Hill was compelled to work in unsatisfactory conditions and under the direction and priorities of Kemess based on its belief that this was necessary in order to be able to continue to work on the Site and to avoid having its equipment seized. As a result of the coercion, Golden Hill suffered increased costs and decreased productivity.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690</w:t>
      </w:r>
      <w:r>
        <w:rPr>
          <w:rFonts w:ascii="arial" w:eastAsia="arial" w:hAnsi="arial" w:cs="arial"/>
          <w:color w:val="000000"/>
          <w:sz w:val="20"/>
          <w:lang w:val="en-US" w:eastAsia="en-US" w:bidi="ar-SA"/>
        </w:rPr>
        <w:t>  I am satisfied that Golden Hill reasonably relied on and was therefore induced into entering into the Contract based on the implied representation that Kemess would act in a manner consistent with its implied duty of good faith. Golden Hill suffered damages as a result of the reliance on that representation. Golden Hill also suffered damages as a result of the breach of duty of care owed to it resulting in the tort of intimidation.</w:t>
      </w:r>
      <w:r>
        <w:rPr>
          <w:rFonts w:ascii="arial" w:eastAsia="arial" w:hAnsi="arial" w:cs="arial"/>
          <w:sz w:val="20"/>
          <w:lang w:val="en-US" w:eastAsia="en-US" w:bidi="ar-SA"/>
        </w:rPr>
        <w:cr/>
      </w:r>
    </w:p>
    <w:p>
      <w:pPr>
        <w:numPr>
          <w:numId w:val="2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INDUCEMENTS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691</w:t>
      </w:r>
      <w:r>
        <w:rPr>
          <w:rFonts w:ascii="arial" w:eastAsia="arial" w:hAnsi="arial" w:cs="arial"/>
          <w:color w:val="000000"/>
          <w:sz w:val="20"/>
          <w:lang w:val="en-US" w:eastAsia="en-US" w:bidi="ar-SA"/>
        </w:rPr>
        <w:t>  A number of inducements were offered to keep Golden Hill on the job, to have Golden Hill work in accordance with the changing priorities of Kemess, and to have Golden Hill accept the directions being received from Kemess.</w:t>
      </w:r>
      <w:r>
        <w:rPr>
          <w:rFonts w:ascii="arial" w:eastAsia="arial" w:hAnsi="arial" w:cs="arial"/>
          <w:sz w:val="20"/>
          <w:lang w:val="en-US" w:eastAsia="en-US" w:bidi="ar-SA"/>
        </w:rPr>
        <w:cr/>
      </w:r>
    </w:p>
    <w:p>
      <w:pPr>
        <w:numPr>
          <w:numId w:val="2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PROTECTION OF PROFIT MARGIN AND ASSURANCE OF FAIR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692</w:t>
      </w:r>
      <w:r>
        <w:rPr>
          <w:rFonts w:ascii="arial" w:eastAsia="arial" w:hAnsi="arial" w:cs="arial"/>
          <w:color w:val="000000"/>
          <w:sz w:val="20"/>
          <w:lang w:val="en-US" w:eastAsia="en-US" w:bidi="ar-SA"/>
        </w:rPr>
        <w:t>  On August 4, Kemess wrote to Golden Hill to complain about equipment mobilization, correspondence and scheduling of Golden Hill and to direct Golden Hill to comply with his interpretation of various provisions of the Contract. The letter also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Having been formally notified of your contractual requirements and being directed to comply with the same, we trust that you will focus your attention to these matters and ensure Kemess knows that you will fulfil your required obligation. Our primary goal is to ensure that this project is completed in a safe, efficient and expeditious manner and </w:t>
      </w:r>
      <w:r>
        <w:rPr>
          <w:rFonts w:ascii="arial" w:eastAsia="arial" w:hAnsi="arial" w:cs="arial"/>
          <w:color w:val="000000"/>
          <w:sz w:val="20"/>
          <w:u w:val="single"/>
          <w:lang w:val="en-US" w:eastAsia="en-US" w:bidi="ar-SA"/>
        </w:rPr>
        <w:t>also that Golden Hill achieves its budgeted profit margin</w:t>
      </w:r>
      <w:r>
        <w:rPr>
          <w:rFonts w:ascii="arial" w:eastAsia="arial" w:hAnsi="arial" w:cs="arial"/>
          <w:color w:val="000000"/>
          <w:sz w:val="20"/>
          <w:lang w:val="en-US" w:eastAsia="en-US" w:bidi="ar-SA"/>
        </w:rPr>
        <w:t>. As obstacles are meant to be overcome, schedules are meant to be kept. Your cooperative effort in achieving this goal would be greatly appreciated.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693</w:t>
      </w:r>
      <w:r>
        <w:rPr>
          <w:rFonts w:ascii="arial" w:eastAsia="arial" w:hAnsi="arial" w:cs="arial"/>
          <w:color w:val="000000"/>
          <w:sz w:val="20"/>
          <w:lang w:val="en-US" w:eastAsia="en-US" w:bidi="ar-SA"/>
        </w:rPr>
        <w:t>  Mr. Rempel testified he had discussions with Messrs. Koski and Jackson of Kemess to the effect that it was the intention of Kemess to ensure that Golden Hill achieved its budgeted profit margin in this time frame. At his discovery, Mr. Rempel was asked about this "primary goal" and he testified: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had so many discussions with them asking them whether they were meeting their budget or whether they were losing money, how their schedule was, what effect the elements had on them. It could have been one of many things that was discussed.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694</w:t>
      </w:r>
      <w:r>
        <w:rPr>
          <w:rFonts w:ascii="arial" w:eastAsia="arial" w:hAnsi="arial" w:cs="arial"/>
          <w:color w:val="000000"/>
          <w:sz w:val="20"/>
          <w:lang w:val="en-US" w:eastAsia="en-US" w:bidi="ar-SA"/>
        </w:rPr>
        <w:t>  Mr. Miller testified that he did not have discussions with Mr. Rempel about the profit margin but on "previous occasions" he talked to Mr. Rempel about the problems that Golden Hill was experiencing: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some of the things [that] we were doing that we knew we weren't getting paid for we discussed and I thought through this discussions Mr. Rempel was quite receptive and he - he noted what we were talking about and we thought there should be something additional that we should be able to sit down at the end of the job and go over all this stuff and we should be compensated for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695</w:t>
      </w:r>
      <w:r>
        <w:rPr>
          <w:rFonts w:ascii="arial" w:eastAsia="arial" w:hAnsi="arial" w:cs="arial"/>
          <w:color w:val="000000"/>
          <w:sz w:val="20"/>
          <w:lang w:val="en-US" w:eastAsia="en-US" w:bidi="ar-SA"/>
        </w:rPr>
        <w:t>  Mr. Koski testified that he wanted to ensure Golden Hill made its profit margin as it would also benefit Kemess as a "contractor that is making money on a project is a happy contractor.... So if I have a happy contractor, its better for everyone."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696</w:t>
      </w:r>
      <w:r>
        <w:rPr>
          <w:rFonts w:ascii="arial" w:eastAsia="arial" w:hAnsi="arial" w:cs="arial"/>
          <w:color w:val="000000"/>
          <w:sz w:val="20"/>
          <w:lang w:val="en-US" w:eastAsia="en-US" w:bidi="ar-SA"/>
        </w:rPr>
        <w:t>  I am satisfied that the evidence does not support a finding that Kemess had promised or guaranteed that Golden Hill would make a profit. However, when the August 4 letter indicated that one of the primary goals was to see that Golden Hill "achieves its budgeted profit margin", I am satisfied that this was an assurance which Golden Hill was entitled to rely upon in its further dealings with Kemess. That letter plus the testimony of Mr. Miller allows me to conclude that Golden Hill was led to believe that there would be discussions at the end of the job which would allow extra compensation to be available to Golden Hill despite any provisions in the Contract which might have allowed Kemess to refuse any further compensation. I am satisfied that Golden Hill relied on this assurance and that part of its decision to stay on the Site was based on this assurance received.</w:t>
      </w:r>
      <w:r>
        <w:rPr>
          <w:rFonts w:ascii="arial" w:eastAsia="arial" w:hAnsi="arial" w:cs="arial"/>
          <w:sz w:val="20"/>
          <w:lang w:val="en-US" w:eastAsia="en-US" w:bidi="ar-SA"/>
        </w:rPr>
        <w:cr/>
      </w:r>
    </w:p>
    <w:p>
      <w:pPr>
        <w:numPr>
          <w:numId w:val="2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CONTRACT C105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697</w:t>
      </w:r>
      <w:r>
        <w:rPr>
          <w:rFonts w:ascii="arial" w:eastAsia="arial" w:hAnsi="arial" w:cs="arial"/>
          <w:color w:val="000000"/>
          <w:sz w:val="20"/>
          <w:lang w:val="en-US" w:eastAsia="en-US" w:bidi="ar-SA"/>
        </w:rPr>
        <w:t>  On August 7, Mr. Rudolph was asked to come to the Site to have further discussions about the C105 Contract which had not been awarded as yet. Mr. Rudolph testified that he was told by Mr. Koski that the ability of Golden Hill to be awarded the C105 Contract was contingent on their discussions about C101. Mr. Rudolph states that Mr. Rempel wanted more equipment on Site and that there was a heated discussion about a pad foot packer. Mr. Rudolph testified that Mr. Stuart took him aside at the meeting and asked Mr. Rudolph to calm Mr. Rempel down by telling him what he wanted to hear and giving him some comfort that Golden Hill was going to be able to complete the C101 Contract. Mr. Stuart told Mr. Rudolph that they were in a position to award the C105 Contract to Golden Hill but that, unless Golden Hill satisfied Mr. Rempel and came to some sort of resolution on their work of the C101 Contract, would not award the C105 Contract to Golden Hill. Mr. Stuart was not called to contradict this evidence. I accept the evidence of Mr. Rudolph regarding what was said to him by Mr. Stuart.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698</w:t>
      </w:r>
      <w:r>
        <w:rPr>
          <w:rFonts w:ascii="arial" w:eastAsia="arial" w:hAnsi="arial" w:cs="arial"/>
          <w:color w:val="000000"/>
          <w:sz w:val="20"/>
          <w:lang w:val="en-US" w:eastAsia="en-US" w:bidi="ar-SA"/>
        </w:rPr>
        <w:t>  Mr. Rudolph states that Mr. Koski said that he would consider awarding the C105 Contract to Golden Hill if they could demonstrate that they were complying with his wishes and showed improvement. Mr. Koski admitted that he could not recall the meeting and relied solely on his diary to testify as to what the discussions were.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699</w:t>
      </w:r>
      <w:r>
        <w:rPr>
          <w:rFonts w:ascii="arial" w:eastAsia="arial" w:hAnsi="arial" w:cs="arial"/>
          <w:color w:val="000000"/>
          <w:sz w:val="20"/>
          <w:lang w:val="en-US" w:eastAsia="en-US" w:bidi="ar-SA"/>
        </w:rPr>
        <w:t>  Because I am satisfied that it is more likely that Mr. Rudolph would have a recollection of what was discussed and because Mr. Koski has no independent recollection of what was discussed, I am satisfied that I should accept the recollection of Mr. Rudolph of what was said by Mr. Koski.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700</w:t>
      </w:r>
      <w:r>
        <w:rPr>
          <w:rFonts w:ascii="arial" w:eastAsia="arial" w:hAnsi="arial" w:cs="arial"/>
          <w:color w:val="000000"/>
          <w:sz w:val="20"/>
          <w:lang w:val="en-US" w:eastAsia="en-US" w:bidi="ar-SA"/>
        </w:rPr>
        <w:t>  In further response to the request of Mr. Koski for information to indicate what efforts Golden Hill was making to improve its performance on the Contract, Mr. Rudolph sent a letter on August 8 setting out the plans of Golden Hill to mobilize all of the equipment that was on the original equipment list, mobilize further equipment if they found "our equipment is unsuitable", mobilize another excavator "due to the large volumes of waste being encountered on the airstrip", (with the further notation that: "This waste was unexpected as there were no soils investigations done on the airstrip"), the advice that they would utilize Kemess equipment if required and providing the advice that if Golden Hill was awarded the C105 Contract, they would "... mobilize some of that equipment early and utilize it to accelerate millsite works".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701</w:t>
      </w:r>
      <w:r>
        <w:rPr>
          <w:rFonts w:ascii="arial" w:eastAsia="arial" w:hAnsi="arial" w:cs="arial"/>
          <w:color w:val="000000"/>
          <w:sz w:val="20"/>
          <w:lang w:val="en-US" w:eastAsia="en-US" w:bidi="ar-SA"/>
        </w:rPr>
        <w:t>  The August 8 letter also stated that Golden Hill: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will strive to be flexible to accelerate the project but would like to emphasize that earth moving activities are contingent on weather conditions and that we may not be able to utilize all of our equipment during these times. ... I do not recall any specific target dates in contract C101 that we were required to adhere to. However we realize your urgency in completing all phases of our contract and will work with you to ensure your needs are met. The schedule attached represents a realistic plan to complete this work. With all the delays in permitting and weather we feel this schedule is well within the original schedule submitted with our tender. Because the millsite is so large we will endeavour to concentrate our efforts to areas of high priority.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702</w:t>
      </w:r>
      <w:r>
        <w:rPr>
          <w:rFonts w:ascii="arial" w:eastAsia="arial" w:hAnsi="arial" w:cs="arial"/>
          <w:color w:val="000000"/>
          <w:sz w:val="20"/>
          <w:lang w:val="en-US" w:eastAsia="en-US" w:bidi="ar-SA"/>
        </w:rPr>
        <w:t>  Mr. Rudolph also advised that the General Superintendent of Golden Hill, Mickey Miller would be arriving on site on August 12 to assist Mr. Lyons. Mr. Rudolph also instructed Messrs. Froess and Miller to try to cooperate with Kemess in light of the difficult working conditions and that they were to do what they could do within the limits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703</w:t>
      </w:r>
      <w:r>
        <w:rPr>
          <w:rFonts w:ascii="arial" w:eastAsia="arial" w:hAnsi="arial" w:cs="arial"/>
          <w:color w:val="000000"/>
          <w:sz w:val="20"/>
          <w:lang w:val="en-US" w:eastAsia="en-US" w:bidi="ar-SA"/>
        </w:rPr>
        <w:t>  Mr. Rudolph testified that he called Mr. Koski a few days after the meeting to inquire as to what was happening with the C105 Contract and that Mr. Koski replied he still had concerns about the C101 Contract and would wait for a few days to see how things progressed.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704</w:t>
      </w:r>
      <w:r>
        <w:rPr>
          <w:rFonts w:ascii="arial" w:eastAsia="arial" w:hAnsi="arial" w:cs="arial"/>
          <w:color w:val="000000"/>
          <w:sz w:val="20"/>
          <w:lang w:val="en-US" w:eastAsia="en-US" w:bidi="ar-SA"/>
        </w:rPr>
        <w:t>  Despite all of this, Mr. Koski reported to Mr. Patel on August 9 that Golden Hill: "... having failed to address the soil and weather issues in the site preparation contract, are not considered to be in a position to accommodate the Tailings Dam Contract [C105]." The C105 Contract was eventually awarded to Tercon.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705</w:t>
      </w:r>
      <w:r>
        <w:rPr>
          <w:rFonts w:ascii="arial" w:eastAsia="arial" w:hAnsi="arial" w:cs="arial"/>
          <w:color w:val="000000"/>
          <w:sz w:val="20"/>
          <w:lang w:val="en-US" w:eastAsia="en-US" w:bidi="ar-SA"/>
        </w:rPr>
        <w:t>  From the August 9 internal memorandum between Mr. Koski and Mr. Patel, it is clear that Mr. Koski had no intention of awarding the C105 Contract to Golden Hill. Despite this, he continued to lead Golden Hill to believe that there was a possibility of that contract being awarded to Golden Hill if Golden Hill took the steps desired by Kemess regarding the C101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706</w:t>
      </w:r>
      <w:r>
        <w:rPr>
          <w:rFonts w:ascii="arial" w:eastAsia="arial" w:hAnsi="arial" w:cs="arial"/>
          <w:color w:val="000000"/>
          <w:sz w:val="20"/>
          <w:lang w:val="en-US" w:eastAsia="en-US" w:bidi="ar-SA"/>
        </w:rPr>
        <w:t>  I am satisfied that Golden Hill was led to believe that the further mobilization of equipment and the addition of a second Superintendent would be viewed favourably by Kemess when it decided which contractor would be awarded the C105 Contract. While I find that what was said and done by Mr. Koski breached the duty of good faith and fair dealing owed to Golden Hill, I am satisfied that no additional damages flow to Golden Hill as a result of this particular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707</w:t>
      </w:r>
      <w:r>
        <w:rPr>
          <w:rFonts w:ascii="arial" w:eastAsia="arial" w:hAnsi="arial" w:cs="arial"/>
          <w:color w:val="000000"/>
          <w:sz w:val="20"/>
          <w:lang w:val="en-US" w:eastAsia="en-US" w:bidi="ar-SA"/>
        </w:rPr>
        <w:t>  First, I am satisfied that the circumstances at the Site required all of the moves contemplated by Golden Hill anyway. Second, I am not satisfied that Golden Hill has proven on a balance of probabilities that the additional equipment and the second Superintendent were added solely because of the statements made by Mr. Koski regarding the possibility of Golden Hill being awarded the C105 Contract.</w:t>
      </w:r>
      <w:r>
        <w:rPr>
          <w:rFonts w:ascii="arial" w:eastAsia="arial" w:hAnsi="arial" w:cs="arial"/>
          <w:sz w:val="20"/>
          <w:lang w:val="en-US" w:eastAsia="en-US" w:bidi="ar-SA"/>
        </w:rPr>
        <w:cr/>
      </w:r>
    </w:p>
    <w:p>
      <w:pPr>
        <w:numPr>
          <w:numId w:val="2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WHITEHORSE MEETING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708</w:t>
      </w:r>
      <w:r>
        <w:rPr>
          <w:rFonts w:ascii="arial" w:eastAsia="arial" w:hAnsi="arial" w:cs="arial"/>
          <w:color w:val="000000"/>
          <w:sz w:val="20"/>
          <w:lang w:val="en-US" w:eastAsia="en-US" w:bidi="ar-SA"/>
        </w:rPr>
        <w:t>  Messrs. Koski and Rudolph met in the Whitehorse office of Golden Hill on September 18 to discuss issues that had arisen on the Project. Mr. Rudolph and Mr. Koski discussed most of the issues that were raised at their September 4 meeting as well as the need to "stop the paper war" that heated up over the past 2 to 3 weeks. Both Mr. Koski and Mr. Rudolph took notes from the meeting. The meeting probably lasted about 90 minutes.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709</w:t>
      </w:r>
      <w:r>
        <w:rPr>
          <w:rFonts w:ascii="arial" w:eastAsia="arial" w:hAnsi="arial" w:cs="arial"/>
          <w:color w:val="000000"/>
          <w:sz w:val="20"/>
          <w:lang w:val="en-US" w:eastAsia="en-US" w:bidi="ar-SA"/>
        </w:rPr>
        <w:t>  Mr. Rudolph stated that Mr. Koski told him that the memos from Golden Hill were causing Kemess to take offence and that he viewed it as Golden Hill only setting themselves up to make a claim. Mr. Rudolph said that he explained that he was only giving the notices of delay required under the Contract. Mr. Koski said that he appreciated that but there was a lot of animosity on the Site and they took it to mean something else. Mr. Rudolph reports Mr. Koski as saying that memos were not getting them anywhere but they had more important things to deal with than sending memos back and forth.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710</w:t>
      </w:r>
      <w:r>
        <w:rPr>
          <w:rFonts w:ascii="arial" w:eastAsia="arial" w:hAnsi="arial" w:cs="arial"/>
          <w:color w:val="000000"/>
          <w:sz w:val="20"/>
          <w:lang w:val="en-US" w:eastAsia="en-US" w:bidi="ar-SA"/>
        </w:rPr>
        <w:t>  Mr. Koski admitted that he asked Golden Hill to "devote as much attention as to progressing the work as to the attention applying to the correspondence." Under cross-examination, Mr. Koski also said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he wants to issue memos all day, that's his right. If his total effort is to generate correspondence to the detriment of the physical activity on the Site, then you will suggest to him that spend some of your time managing the Site, by all means keep up the memos, but address the physical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711</w:t>
      </w:r>
      <w:r>
        <w:rPr>
          <w:rFonts w:ascii="arial" w:eastAsia="arial" w:hAnsi="arial" w:cs="arial"/>
          <w:color w:val="000000"/>
          <w:sz w:val="20"/>
          <w:lang w:val="en-US" w:eastAsia="en-US" w:bidi="ar-SA"/>
        </w:rPr>
        <w:t>  Under cross-examination, Mr. Koski agreed that he told Mr. Rudolph that he "would like to be fair to Golden Hill". Mr. Koski said that there was "no question" that he would have said to Mr. Rudolph words to the effect that he "would like to see Golden Hill maintain their expected profit margin on this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712</w:t>
      </w:r>
      <w:r>
        <w:rPr>
          <w:rFonts w:ascii="arial" w:eastAsia="arial" w:hAnsi="arial" w:cs="arial"/>
          <w:color w:val="000000"/>
          <w:sz w:val="20"/>
          <w:lang w:val="en-US" w:eastAsia="en-US" w:bidi="ar-SA"/>
        </w:rPr>
        <w:t>  Mr. Rudolph testified that he relied on this expression to protect the profit margin of Golden Hill when he agreed at the Whitehorse meeting to go forward with the Work and to continue to cooperate with the representatives of Kemess "for the common good of the mine" to get the Project built.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713</w:t>
      </w:r>
      <w:r>
        <w:rPr>
          <w:rFonts w:ascii="arial" w:eastAsia="arial" w:hAnsi="arial" w:cs="arial"/>
          <w:color w:val="000000"/>
          <w:sz w:val="20"/>
          <w:lang w:val="en-US" w:eastAsia="en-US" w:bidi="ar-SA"/>
        </w:rPr>
        <w:t>  At Trial, Mr. Rudolph was asked the following questions by his counsel and gave the following answers:</w:t>
      </w:r>
      <w:r>
        <w:rPr>
          <w:rFonts w:ascii="arial" w:eastAsia="arial" w:hAnsi="arial" w:cs="arial"/>
          <w:sz w:val="20"/>
          <w:lang w:val="en-US" w:eastAsia="en-US" w:bidi="ar-SA"/>
        </w:rPr>
        <w:cr/>
      </w:r>
    </w:p>
    <w:p>
      <w:pPr>
        <w:numPr>
          <w:numId w:val="2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 you also said, sir, you said we agreed to leave things as they were and basically see how things worked out. And just where anything ended up. Can you again being as precise as possible with who said what rather than saying we agreed, can you tell His Lordship about what you recall Mr. Koski said on that topic and what you said on that topic?</w:t>
      </w:r>
    </w:p>
    <w:p>
      <w:pPr>
        <w:numPr>
          <w:numId w:val="2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Well, from what I recall, the discussion was around all the problems that had been to date with the ... with everything with the soils with the weather, with the delays. And Mr. Koski from what I recall, indicated that he realized that there had been these problems and - -and the need to go forward from this point on and the need to cooperate and he wanted to -- he wanted to leave things the way they were and to work together to go forward and to leave the issues - you know, other issues where they were as far as the contract went and see where - see where we ended up at the end once things were constructed, the amount of materials we moved, the type of thing.</w:t>
      </w:r>
    </w:p>
    <w:p>
      <w:pPr>
        <w:numPr>
          <w:numId w:val="2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 do you recall what if anything you said on that topic?</w:t>
      </w:r>
    </w:p>
    <w:p>
      <w:pPr>
        <w:numPr>
          <w:numId w:val="2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recall saying that it had been difficult for us you know, this was costing us money on these delays and the soils that we had been experiencing. He said he understood that. And basically we - we agreed to go forward, we seemed to resolve the outstanding issues and agreed to be non-confrontational with each other and try to cooperate with each other and he indicated he said that he would like to go forward from this point on and see where we ended up and then he would like to be fair to us and make sure that we maintained our profit margin. I said well that's - from what I recall, I said that's important to me too.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714</w:t>
      </w:r>
      <w:r>
        <w:rPr>
          <w:rFonts w:ascii="arial" w:eastAsia="arial" w:hAnsi="arial" w:cs="arial"/>
          <w:color w:val="000000"/>
          <w:sz w:val="20"/>
          <w:lang w:val="en-US" w:eastAsia="en-US" w:bidi="ar-SA"/>
        </w:rPr>
        <w:t>  It is important to note that the Whitehorse meeting took place after Mr. Koski had threatened to seize the equipment of Golden Hill and to replace Golden Hill with another contractor. In that context, I find that Golden Hill was entitled to rely on the statements made by Mr. Koski that negotiations at the end of the Project would take place and that Kemess would treat Golden Hill fairly.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715</w:t>
      </w:r>
      <w:r>
        <w:rPr>
          <w:rFonts w:ascii="arial" w:eastAsia="arial" w:hAnsi="arial" w:cs="arial"/>
          <w:color w:val="000000"/>
          <w:sz w:val="20"/>
          <w:lang w:val="en-US" w:eastAsia="en-US" w:bidi="ar-SA"/>
        </w:rPr>
        <w:t>  Subsequent actions by Kemess allow me to conclude that Kemess has not acted in good faith as it has not attempted to negotiate the dispute between the parties in good faith. I also find that the statement made by Mr. Koski served as an inducement to Golden Hill to stay on the Site.</w:t>
      </w:r>
      <w:r>
        <w:rPr>
          <w:rFonts w:ascii="arial" w:eastAsia="arial" w:hAnsi="arial" w:cs="arial"/>
          <w:sz w:val="20"/>
          <w:lang w:val="en-US" w:eastAsia="en-US" w:bidi="ar-SA"/>
        </w:rPr>
        <w:cr/>
      </w:r>
    </w:p>
    <w:p>
      <w:pPr>
        <w:numPr>
          <w:numId w:val="2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THERE NEGOTIATIONS IN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716</w:t>
      </w:r>
      <w:r>
        <w:rPr>
          <w:rFonts w:ascii="arial" w:eastAsia="arial" w:hAnsi="arial" w:cs="arial"/>
          <w:color w:val="000000"/>
          <w:sz w:val="20"/>
          <w:lang w:val="en-US" w:eastAsia="en-US" w:bidi="ar-SA"/>
        </w:rPr>
        <w:t xml:space="preserve">  Under GC 40.1, Golden Hill had an express right to rely on the fact that Kemess would negotiate in good faith. I am satisfied that Golden Hill was induced to enter into the Contract relying on the fact that any claims it had would be treated fairly. Golden Hill has been deprived of the opportunity to negotiate the value of its claim "... [which] reasonably would have been expected to involve some give and take, thus avoiding difficulties of proof ..." of its damages: D.W. Matheson &amp; Sons Contracting Ltd. v. Canada (A.G.) </w:t>
      </w:r>
      <w:hyperlink r:id="rId816" w:history="1">
        <w:r>
          <w:rPr>
            <w:rFonts w:ascii="arial" w:eastAsia="arial" w:hAnsi="arial" w:cs="arial"/>
            <w:i/>
            <w:color w:val="0077CC"/>
            <w:sz w:val="20"/>
            <w:u w:val="single"/>
            <w:shd w:val="clear" w:color="auto" w:fill="FFFFFF"/>
            <w:lang w:val="en-US" w:eastAsia="en-US" w:bidi="ar-SA"/>
          </w:rPr>
          <w:t>(1999), 175 N.S.R. (2d) 201</w:t>
        </w:r>
      </w:hyperlink>
      <w:r>
        <w:rPr>
          <w:rFonts w:ascii="arial" w:eastAsia="arial" w:hAnsi="arial" w:cs="arial"/>
          <w:color w:val="000000"/>
          <w:sz w:val="20"/>
          <w:lang w:val="en-US" w:eastAsia="en-US" w:bidi="ar-SA"/>
        </w:rPr>
        <w:t xml:space="preserve"> (N.S.S.C.) at para. 160 and affirmed </w:t>
      </w:r>
      <w:hyperlink r:id="rId817" w:history="1">
        <w:r>
          <w:rPr>
            <w:rFonts w:ascii="arial" w:eastAsia="arial" w:hAnsi="arial" w:cs="arial"/>
            <w:i/>
            <w:color w:val="0077CC"/>
            <w:sz w:val="20"/>
            <w:u w:val="single"/>
            <w:shd w:val="clear" w:color="auto" w:fill="FFFFFF"/>
            <w:lang w:val="en-US" w:eastAsia="en-US" w:bidi="ar-SA"/>
          </w:rPr>
          <w:t>(2000), 3 C.L.R. (3d) 22</w:t>
        </w:r>
      </w:hyperlink>
      <w:r>
        <w:rPr>
          <w:rFonts w:ascii="arial" w:eastAsia="arial" w:hAnsi="arial" w:cs="arial"/>
          <w:color w:val="000000"/>
          <w:sz w:val="20"/>
          <w:lang w:val="en-US" w:eastAsia="en-US" w:bidi="ar-SA"/>
        </w:rPr>
        <w:t xml:space="preserve"> (N.S.C.A.).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717</w:t>
      </w:r>
      <w:r>
        <w:rPr>
          <w:rFonts w:ascii="arial" w:eastAsia="arial" w:hAnsi="arial" w:cs="arial"/>
          <w:color w:val="000000"/>
          <w:sz w:val="20"/>
          <w:lang w:val="en-US" w:eastAsia="en-US" w:bidi="ar-SA"/>
        </w:rPr>
        <w:t xml:space="preserve">  In Empress Towers Ltd. v. Bank of Nova Scotia </w:t>
      </w:r>
      <w:hyperlink r:id="rId881" w:history="1">
        <w:r>
          <w:rPr>
            <w:rFonts w:ascii="arial" w:eastAsia="arial" w:hAnsi="arial" w:cs="arial"/>
            <w:i/>
            <w:color w:val="0077CC"/>
            <w:sz w:val="20"/>
            <w:u w:val="single"/>
            <w:shd w:val="clear" w:color="auto" w:fill="FFFFFF"/>
            <w:lang w:val="en-US" w:eastAsia="en-US" w:bidi="ar-SA"/>
          </w:rPr>
          <w:t>(1990), 50 B.C.L.R. (2d) 126</w:t>
        </w:r>
      </w:hyperlink>
      <w:r>
        <w:rPr>
          <w:rFonts w:ascii="arial" w:eastAsia="arial" w:hAnsi="arial" w:cs="arial"/>
          <w:color w:val="000000"/>
          <w:sz w:val="20"/>
          <w:lang w:val="en-US" w:eastAsia="en-US" w:bidi="ar-SA"/>
        </w:rPr>
        <w:t xml:space="preserve"> (B.C.C.A.); leave to appeal refused, </w:t>
      </w:r>
      <w:hyperlink r:id="rId882" w:history="1">
        <w:r>
          <w:rPr>
            <w:rFonts w:ascii="arial" w:eastAsia="arial" w:hAnsi="arial" w:cs="arial"/>
            <w:i/>
            <w:color w:val="0077CC"/>
            <w:sz w:val="20"/>
            <w:u w:val="single"/>
            <w:shd w:val="clear" w:color="auto" w:fill="FFFFFF"/>
            <w:lang w:val="en-US" w:eastAsia="en-US" w:bidi="ar-SA"/>
          </w:rPr>
          <w:t>[1990] S.C.C.A. No. 472</w:t>
        </w:r>
      </w:hyperlink>
      <w:r>
        <w:rPr>
          <w:rFonts w:ascii="arial" w:eastAsia="arial" w:hAnsi="arial" w:cs="arial"/>
          <w:color w:val="000000"/>
          <w:sz w:val="20"/>
          <w:lang w:val="en-US" w:eastAsia="en-US" w:bidi="ar-SA"/>
        </w:rPr>
        <w:t>, the Court stated that good faith requires both parties to use their best efforts to negotiate a settlement to the dispute: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this case I have said that the requirements are to negotiate in good faith and not to withhold agreement unreasonably. Those requirements carry the same degree of diligence as "best efforts". (at p. 130).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718</w:t>
      </w:r>
      <w:r>
        <w:rPr>
          <w:rFonts w:ascii="arial" w:eastAsia="arial" w:hAnsi="arial" w:cs="arial"/>
          <w:color w:val="000000"/>
          <w:sz w:val="20"/>
          <w:lang w:val="en-US" w:eastAsia="en-US" w:bidi="ar-SA"/>
        </w:rPr>
        <w:t>  After the Contract was terminated by Golden Hill and the quantities and amounts were finalized and received, Golden Hill submitted its claim in its August 4, 1997 letter to Mr. Patel stating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Golden Hill is prepared to enter into "good faith" negotiations regarding this claim, however if this claim is not resolved through a timely negotiation process Golden Hill will pursue other legal remedies.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719</w:t>
      </w:r>
      <w:r>
        <w:rPr>
          <w:rFonts w:ascii="arial" w:eastAsia="arial" w:hAnsi="arial" w:cs="arial"/>
          <w:color w:val="000000"/>
          <w:sz w:val="20"/>
          <w:lang w:val="en-US" w:eastAsia="en-US" w:bidi="ar-SA"/>
        </w:rPr>
        <w:t>  The response was that Kemess would look at the claim. Mr. Rudolph did not remember anyone from Kemess contacting him order to discuss the claim. Mr. Koski testified that he indicated to Mr. Collins of Kilborn that the claim needed to be addressed but that Mr. Collins advised him that he was too busy to deal with the claim at that time and that they would deal with it once the mine construction was completed. The evidence shows that Kemess did not have a large contingency fund to deal with claims in excess of its budget so I am satisfied that Kemess had no incentive to negotiate with Golden Hill as Kemess did not have the funds to settle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720</w:t>
      </w:r>
      <w:r>
        <w:rPr>
          <w:rFonts w:ascii="arial" w:eastAsia="arial" w:hAnsi="arial" w:cs="arial"/>
          <w:color w:val="000000"/>
          <w:sz w:val="20"/>
          <w:lang w:val="en-US" w:eastAsia="en-US" w:bidi="ar-SA"/>
        </w:rPr>
        <w:t>  While I am satisfied that the failure of Kemess to negotiate after it received the August 4, 1997 letter is a breach of the duty of good faith that Kemess owed to Golden Hill, I am satisfied that no additional damages flow to Golden Hill as a result of that breach of duty. I am satisfied that Golden Hill can be compensated for any additional costs accruing to it as a result of the failure to negotiate when the question of the costs of this litigation is decided.</w:t>
      </w:r>
      <w:r>
        <w:rPr>
          <w:rFonts w:ascii="arial" w:eastAsia="arial" w:hAnsi="arial" w:cs="arial"/>
          <w:sz w:val="20"/>
          <w:lang w:val="en-US" w:eastAsia="en-US" w:bidi="ar-SA"/>
        </w:rPr>
        <w:cr/>
      </w:r>
    </w:p>
    <w:p>
      <w:pPr>
        <w:numPr>
          <w:numId w:val="2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THERE COMPLIANCE WITH THE NOTICE PROVISIONS UNDER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721</w:t>
      </w:r>
      <w:r>
        <w:rPr>
          <w:rFonts w:ascii="arial" w:eastAsia="arial" w:hAnsi="arial" w:cs="arial"/>
          <w:color w:val="000000"/>
          <w:sz w:val="20"/>
          <w:lang w:val="en-US" w:eastAsia="en-US" w:bidi="ar-SA"/>
        </w:rPr>
        <w:t>  Kemess submits that Golden Hill breached the duty it owed under GC 13.1 and GC 40.0 by failing to give any notice of disputes until well after Golden Hill had left the Site. General Condition 13.1 is quoted above. General Condition 40.0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40.0 Disputes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the event of a dispute between the parties arising out of or relating to this contract, the parties agree to attempt to dissolve the dispute by good faith negotiation, failing which each party may resort to such remedies as may be available to it at law or in equity.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722</w:t>
      </w:r>
      <w:r>
        <w:rPr>
          <w:rFonts w:ascii="arial" w:eastAsia="arial" w:hAnsi="arial" w:cs="arial"/>
          <w:color w:val="000000"/>
          <w:sz w:val="20"/>
          <w:lang w:val="en-US" w:eastAsia="en-US" w:bidi="ar-SA"/>
        </w:rPr>
        <w:t>  Kemess submits that, because Golden Hill did not inform Kemess of the issues that it now raises, Kemess was unable to consider those claims and, if it considered them to be valid, whether there was anything that it could do to reduce the costs of Golden Hill. For instance, Kemess might have considered rescheduling Western Versatile's work to another area if Golden Hill had disagreed with the order of work at the Millsite. Kemess submits that Golden Hill was "laying in the weeds" and waiting until the Work was performed before presenting any claims whatsoever to Kemess. Kemess submits that Golden Hill was advised early in the Project that disputes should be drawn to the attention of Kemess quickly in order that they could be resolved quickly. Kemess submits that the failure of Golden Hill to draw attention to their potential claims has been to the prejudice of Kemess and is other than in accordance with General Conditions 13.1 and 40.0.</w:t>
      </w:r>
      <w:r>
        <w:rPr>
          <w:rFonts w:ascii="arial" w:eastAsia="arial" w:hAnsi="arial" w:cs="arial"/>
          <w:sz w:val="20"/>
          <w:lang w:val="en-US" w:eastAsia="en-US" w:bidi="ar-SA"/>
        </w:rPr>
        <w:cr/>
      </w:r>
    </w:p>
    <w:p>
      <w:pPr>
        <w:numPr>
          <w:numId w:val="2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SITE MEETINGS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723</w:t>
      </w:r>
      <w:r>
        <w:rPr>
          <w:rFonts w:ascii="arial" w:eastAsia="arial" w:hAnsi="arial" w:cs="arial"/>
          <w:color w:val="000000"/>
          <w:sz w:val="20"/>
          <w:lang w:val="en-US" w:eastAsia="en-US" w:bidi="ar-SA"/>
        </w:rPr>
        <w:t>  The parties typically had two site meetings per week - a contractor's weekly meeting which included representatives from other contractors and a construction meeting including only representatives of Golden Hill and Kemess. Site meeting minutes were kept by a Kemess representative. On several occasions, Golden Hill raised the accuracy of the minutes but, by and large, there is an admission that the Minutes were accurately recorded.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724</w:t>
      </w:r>
      <w:r>
        <w:rPr>
          <w:rFonts w:ascii="arial" w:eastAsia="arial" w:hAnsi="arial" w:cs="arial"/>
          <w:color w:val="000000"/>
          <w:sz w:val="20"/>
          <w:lang w:val="en-US" w:eastAsia="en-US" w:bidi="ar-SA"/>
        </w:rPr>
        <w:t>  The Minutes for the July 7 construction meeting stated in part: "Claims/Extra Work/Quantity Disagreements to be dealt with on a daily basis". The Minutes for the July 30 construction meeting provide that: "Schedule delays (if any) will be addressed at every progress meeting complete with time frame and justifiable reason". Mr. Lyons testified that he spoke with Messrs. Rempel and Wilkinson "pretty well every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725</w:t>
      </w:r>
      <w:r>
        <w:rPr>
          <w:rFonts w:ascii="arial" w:eastAsia="arial" w:hAnsi="arial" w:cs="arial"/>
          <w:color w:val="000000"/>
          <w:sz w:val="20"/>
          <w:lang w:val="en-US" w:eastAsia="en-US" w:bidi="ar-SA"/>
        </w:rPr>
        <w:t>  General Condition 36 deals with "Delays and Extension of Time" and GC 36.2 requires notice to be given of delays beyond the control of Golden Hill along with details of the cause of the delays and the anticipated results of the delay. Within 14 calendar days of the termination of the delay, Golden Hill was to give notice to Kemess setting out the actual duration of the delay and its effect upon the Amended Schedule. At the same time, Golden Hill was to request an extension of the time to complete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726</w:t>
      </w:r>
      <w:r>
        <w:rPr>
          <w:rFonts w:ascii="arial" w:eastAsia="arial" w:hAnsi="arial" w:cs="arial"/>
          <w:color w:val="000000"/>
          <w:sz w:val="20"/>
          <w:lang w:val="en-US" w:eastAsia="en-US" w:bidi="ar-SA"/>
        </w:rPr>
        <w:t>  On August 18, Golden Hill wrote to Kemess pursuant to GC 36.2 advising that, as a result of heavy rains, earthworks had ceased on August 15 and that Golden Hill did not expect to restart embankment operations until August 19. The letter outlined the work performed during the rain. The letter also noted that past rain out periods were outlined in the Daily Construction Reports which had previously been submitted to Kemess.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727</w:t>
      </w:r>
      <w:r>
        <w:rPr>
          <w:rFonts w:ascii="arial" w:eastAsia="arial" w:hAnsi="arial" w:cs="arial"/>
          <w:color w:val="000000"/>
          <w:sz w:val="20"/>
          <w:lang w:val="en-US" w:eastAsia="en-US" w:bidi="ar-SA"/>
        </w:rPr>
        <w:t>  Mr. Miller stated that he questioned the need to submit rain delay memos to Kemess because the representatives of Kemess were experiencing the same weather as Golden Hill and Golden Hill was already submitting its Daily Construction Reports. From his testimony at Trial, it is clear that Mr. Rempel was fully aware of the effect the weather was having on the Golden Hill work: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Like anybody knows that it's a heavy rain fall here, shuts down. It's a norm in the construction industry. If it rained on Golden Hill it rained on me also so I was well aware of the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728</w:t>
      </w:r>
      <w:r>
        <w:rPr>
          <w:rFonts w:ascii="arial" w:eastAsia="arial" w:hAnsi="arial" w:cs="arial"/>
          <w:color w:val="000000"/>
          <w:sz w:val="20"/>
          <w:lang w:val="en-US" w:eastAsia="en-US" w:bidi="ar-SA"/>
        </w:rPr>
        <w:t>  On August 21, Golden Hill again wrote pursuant to GC 36.2 regarding the delays from the rain and indicating that Golden Hill had ceased all embankment construction on August 18, 19 and 21. There was a further memo pursuant to GC 36.2 on August 30. Mr. Miller testified that this letter to Mr. Koski was intended to provide Kemess with the notice of delay required under GC 36.2. There were further memos on August 31 and September 1 citing GC 36.2. Mr. Miller testified that Mr. Koski did not talk to him about the letters that he had sent which made reference to GC 36.2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729</w:t>
      </w:r>
      <w:r>
        <w:rPr>
          <w:rFonts w:ascii="arial" w:eastAsia="arial" w:hAnsi="arial" w:cs="arial"/>
          <w:color w:val="000000"/>
          <w:sz w:val="20"/>
          <w:lang w:val="en-US" w:eastAsia="en-US" w:bidi="ar-SA"/>
        </w:rPr>
        <w:t>  On September 2, Mr. Rempel replied to the August 30, August 31 and September 1 memos: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regards to your memo dated Aug. 30/96, Aug. 31/96 and Sept. 1/96 about losing time to rain, under specification #02220 Job Conditions - Environmental Requirements.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states:</w:t>
      </w:r>
    </w:p>
    <w:p>
      <w:pPr>
        <w:numPr>
          <w:numId w:val="2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HOARDING, HEATING, DRYING AND ALL OTHER ACTIONS TO ENSURE CONTINUATION OF WORK DURING RAIN, SNOW, FREEZING, WEATHER OR OTHER UNSATISFACTORY CONDITIONS, IF SUCH CONTINUATION OF WORK IS NECESSARY TO SUIT THE CONTRACT SCHEDULE.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730</w:t>
      </w:r>
      <w:r>
        <w:rPr>
          <w:rFonts w:ascii="arial" w:eastAsia="arial" w:hAnsi="arial" w:cs="arial"/>
          <w:color w:val="000000"/>
          <w:sz w:val="20"/>
          <w:lang w:val="en-US" w:eastAsia="en-US" w:bidi="ar-SA"/>
        </w:rPr>
        <w:t>  When Mr. Miller received the memo, he stated that he called Mr. Rudolph and that they both agreed that they could not believe that Mr. Rempel had signed the memo in view of his years of experience. After Golden Hill received the memo from Mr. Rempel, it stopped sending memos to Kemess describing how the weather was affecting its progress. Mr. Froess stated that "it just seemed like there was no point" "any memos we had previously sent were now referred to this particular memo here which was pretty much impossible to hoard and heat and dry something so large that it seemed pointless to send memos".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731</w:t>
      </w:r>
      <w:r>
        <w:rPr>
          <w:rFonts w:ascii="arial" w:eastAsia="arial" w:hAnsi="arial" w:cs="arial"/>
          <w:color w:val="000000"/>
          <w:sz w:val="20"/>
          <w:lang w:val="en-US" w:eastAsia="en-US" w:bidi="ar-SA"/>
        </w:rPr>
        <w:t>  Mr. Koski made it clear at the Whitehorse meeting on September 18 that he did not want to receive any further memos or notices from Golden Hill. As a result of the reaction of Messrs. Miller and Rudolph to the September 2 memo from Mr. Rempel and as a result of the discussions that Mr. Rudolph had with Mr. Koski in Whitehorse, no further notices were forwarded.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732</w:t>
      </w:r>
      <w:r>
        <w:rPr>
          <w:rFonts w:ascii="arial" w:eastAsia="arial" w:hAnsi="arial" w:cs="arial"/>
          <w:color w:val="000000"/>
          <w:sz w:val="20"/>
          <w:lang w:val="en-US" w:eastAsia="en-US" w:bidi="ar-SA"/>
        </w:rPr>
        <w:t>  Kemess now complains that they were not advised that there would be claims made for changed soil conditions. By not providing notice, Kemess states that it was not in a position to document the soil conditions which were being encountered whereas Golden Hill instituted a policy of documenting its claims as early as the end of July.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733</w:t>
      </w:r>
      <w:r>
        <w:rPr>
          <w:rFonts w:ascii="arial" w:eastAsia="arial" w:hAnsi="arial" w:cs="arial"/>
          <w:color w:val="000000"/>
          <w:sz w:val="20"/>
          <w:lang w:val="en-US" w:eastAsia="en-US" w:bidi="ar-SA"/>
        </w:rPr>
        <w:t>  Kemess submits that this has caused "some glaring problems with this case" as the photographic evidence and diary entries of Messrs. Miller, Froess and Quaile are "one sided", the witnesses for Golden Hill have a much better recollection of the matters upon which its claims are based, and Kemess witnesses were never in a position to turn their minds to the issues in any more than a general way. Kemess submits that it is at a disadvantage as it must rely on the memories of witnesses many years after the fact and having no contemporaneous documents to verify or disagree with some of the claims advanced by Golden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734</w:t>
      </w:r>
      <w:r>
        <w:rPr>
          <w:rFonts w:ascii="arial" w:eastAsia="arial" w:hAnsi="arial" w:cs="arial"/>
          <w:color w:val="000000"/>
          <w:sz w:val="20"/>
          <w:lang w:val="en-US" w:eastAsia="en-US" w:bidi="ar-SA"/>
        </w:rPr>
        <w:t>  Kemess submits that preserving the evidence contemporaneously is a key to construction contract claims and that, by conducting itself the way it did, Golden Hill has been able to adduce a very one-sided case which the Court should consider when weighing the totality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735</w:t>
      </w:r>
      <w:r>
        <w:rPr>
          <w:rFonts w:ascii="arial" w:eastAsia="arial" w:hAnsi="arial" w:cs="arial"/>
          <w:color w:val="000000"/>
          <w:sz w:val="20"/>
          <w:lang w:val="en-US" w:eastAsia="en-US" w:bidi="ar-SA"/>
        </w:rPr>
        <w:t xml:space="preserve">  Courts have repeatedly recognized that the parties to construction contracts often modify and/or waive contractual provisions during construction, particularly where the contractual provisions are inconsistent with the practical circumstances of a construction project. As was noted in Colautti Construction Ltd. v. Ottawa (City) </w:t>
      </w:r>
      <w:hyperlink r:id="rId883" w:history="1">
        <w:r>
          <w:rPr>
            <w:rFonts w:ascii="arial" w:eastAsia="arial" w:hAnsi="arial" w:cs="arial"/>
            <w:i/>
            <w:color w:val="0077CC"/>
            <w:sz w:val="20"/>
            <w:u w:val="single"/>
            <w:shd w:val="clear" w:color="auto" w:fill="FFFFFF"/>
            <w:lang w:val="en-US" w:eastAsia="en-US" w:bidi="ar-SA"/>
          </w:rPr>
          <w:t>(1984), 9 D.L.R. (4th) 265</w:t>
        </w:r>
      </w:hyperlink>
      <w:r>
        <w:rPr>
          <w:rFonts w:ascii="arial" w:eastAsia="arial" w:hAnsi="arial" w:cs="arial"/>
          <w:color w:val="000000"/>
          <w:sz w:val="20"/>
          <w:lang w:val="en-US" w:eastAsia="en-US" w:bidi="ar-SA"/>
        </w:rPr>
        <w:t xml:space="preserve"> (Ont. C.A.): "The problem with contracts such as these is that they are so rigid and so restricting that the parties tend to amend them by their actions during the course of the contract" (at p. 271).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736</w:t>
      </w:r>
      <w:r>
        <w:rPr>
          <w:rFonts w:ascii="arial" w:eastAsia="arial" w:hAnsi="arial" w:cs="arial"/>
          <w:color w:val="000000"/>
          <w:sz w:val="20"/>
          <w:lang w:val="en-US" w:eastAsia="en-US" w:bidi="ar-SA"/>
        </w:rPr>
        <w:t>  The on-site modification in that case related to the requirement in the formal Contract that only written requests for extra work would be binding on the owner. Despite the fact that the requests of the City for changes in addition to the work were not made in writing, the Court rejected the defence based on the contractor's failure to comply with the formal procedures in the contract and held that the parties had, by their contract, varied the terms of the contract so that the City was required to compensate the contractor for the changes and additions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737</w:t>
      </w:r>
      <w:r>
        <w:rPr>
          <w:rFonts w:ascii="arial" w:eastAsia="arial" w:hAnsi="arial" w:cs="arial"/>
          <w:color w:val="000000"/>
          <w:sz w:val="20"/>
          <w:lang w:val="en-US" w:eastAsia="en-US" w:bidi="ar-SA"/>
        </w:rPr>
        <w:t>  It is clear that on-site modification of the notice provisions resulted in both Kemess and Golden Hill not following the notice provisions of the Contract. Kemess did not even adhere strictly to the notice provisions of the Contract as defined by the Letter of Intent. First, the Tender Documents indicated that Kilborn would be the representative of Kemess to receive notices. This Notice provision was modified and Mr. Patel of Kemess was then to receive notices. Second, when Golden Hill did provide notices under GC 36, Kemess did not respond as was required of it pursuant to GC 36.2.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738</w:t>
      </w:r>
      <w:r>
        <w:rPr>
          <w:rFonts w:ascii="arial" w:eastAsia="arial" w:hAnsi="arial" w:cs="arial"/>
          <w:color w:val="000000"/>
          <w:sz w:val="20"/>
          <w:lang w:val="en-US" w:eastAsia="en-US" w:bidi="ar-SA"/>
        </w:rPr>
        <w:t>  Kemess submits that the claims of Golden Hill ought to be dismissed because Golden Hill failed to give proper notice under the Contract. However, the only notice provision relevant to the claim of Golden Hill is the provisions in GC 36.2 dealing with delays and no form of notice is specified in GC 36.2. There are no notice provisions relating to potential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739</w:t>
      </w:r>
      <w:r>
        <w:rPr>
          <w:rFonts w:ascii="arial" w:eastAsia="arial" w:hAnsi="arial" w:cs="arial"/>
          <w:color w:val="000000"/>
          <w:sz w:val="20"/>
          <w:lang w:val="en-US" w:eastAsia="en-US" w:bidi="ar-SA"/>
        </w:rPr>
        <w:t>  Article 7.1 of Section 01300 of the General Requirements contemplates that notices of delays may be given through the submission of daily reports by Golden Hill as well as in the schedules they provided from time to time. In fact, a sample of the daily report form was included as Appendix B to the Tender.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740</w:t>
      </w:r>
      <w:r>
        <w:rPr>
          <w:rFonts w:ascii="arial" w:eastAsia="arial" w:hAnsi="arial" w:cs="arial"/>
          <w:color w:val="000000"/>
          <w:sz w:val="20"/>
          <w:lang w:val="en-US" w:eastAsia="en-US" w:bidi="ar-SA"/>
        </w:rPr>
        <w:t xml:space="preserve">  The purpose of notice clauses was set out in Doyle Construction Co. v. Carling O'Keefe Breweries of Canada Ltd. </w:t>
      </w:r>
      <w:hyperlink r:id="rId884" w:history="1">
        <w:r>
          <w:rPr>
            <w:rFonts w:ascii="arial" w:eastAsia="arial" w:hAnsi="arial" w:cs="arial"/>
            <w:i/>
            <w:color w:val="0077CC"/>
            <w:sz w:val="20"/>
            <w:u w:val="single"/>
            <w:shd w:val="clear" w:color="auto" w:fill="FFFFFF"/>
            <w:lang w:val="en-US" w:eastAsia="en-US" w:bidi="ar-SA"/>
          </w:rPr>
          <w:t>(1988), 27 B.C.L.R. (2d) 89</w:t>
        </w:r>
      </w:hyperlink>
      <w:r>
        <w:rPr>
          <w:rFonts w:ascii="arial" w:eastAsia="arial" w:hAnsi="arial" w:cs="arial"/>
          <w:color w:val="000000"/>
          <w:sz w:val="20"/>
          <w:lang w:val="en-US" w:eastAsia="en-US" w:bidi="ar-SA"/>
        </w:rPr>
        <w:t xml:space="preserve"> (B.C.C.A.):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enable the employer to consider the position and its financial consequences, and by cancelling or authorizing a variation, for example, he may be in a position to reduce his possible financial commitment if the claim is justified... (at p. 96 quoting with approval that statement from Hudson's Building and Engineering Contracts, 10th ed. (1970) at p. 313).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741</w:t>
      </w:r>
      <w:r>
        <w:rPr>
          <w:rFonts w:ascii="arial" w:eastAsia="arial" w:hAnsi="arial" w:cs="arial"/>
          <w:color w:val="000000"/>
          <w:sz w:val="20"/>
          <w:lang w:val="en-US" w:eastAsia="en-US" w:bidi="ar-SA"/>
        </w:rPr>
        <w:t>  Canadian Courts commonly reject "notice" defences raised in construction cases based on a failure of the claiming party to comply with the technical requirements of the formal procedures in the contract recognizing that, on most construction projects, the parties adopt less formal procedures more consistent with the realities of the construction project. I find that this was the case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742</w:t>
      </w:r>
      <w:r>
        <w:rPr>
          <w:rFonts w:ascii="arial" w:eastAsia="arial" w:hAnsi="arial" w:cs="arial"/>
          <w:color w:val="000000"/>
          <w:sz w:val="20"/>
          <w:lang w:val="en-US" w:eastAsia="en-US" w:bidi="ar-SA"/>
        </w:rPr>
        <w:t xml:space="preserve">  I am satisfied that I should not give effect to a "notice defence" where the notices given were sufficient to meet the purpose of the notice provisions or where the parties modify and/or waive the strict notice procedures during construction. For instance, oral notices are typically found to be sufficient so long as the owner is made aware of the potential claim: TNL Paving Ltd. v. British Columbia (Ministry of Transportation &amp; Highways) </w:t>
      </w:r>
      <w:hyperlink r:id="rId876" w:history="1">
        <w:r>
          <w:rPr>
            <w:rFonts w:ascii="arial" w:eastAsia="arial" w:hAnsi="arial" w:cs="arial"/>
            <w:i/>
            <w:color w:val="0077CC"/>
            <w:sz w:val="20"/>
            <w:u w:val="single"/>
            <w:shd w:val="clear" w:color="auto" w:fill="FFFFFF"/>
            <w:lang w:val="en-US" w:eastAsia="en-US" w:bidi="ar-SA"/>
          </w:rPr>
          <w:t>(1999), 46 C.L.R. (2d) 165</w:t>
        </w:r>
      </w:hyperlink>
      <w:r>
        <w:rPr>
          <w:rFonts w:ascii="arial" w:eastAsia="arial" w:hAnsi="arial" w:cs="arial"/>
          <w:color w:val="000000"/>
          <w:sz w:val="20"/>
          <w:lang w:val="en-US" w:eastAsia="en-US" w:bidi="ar-SA"/>
        </w:rPr>
        <w:t xml:space="preserve"> (B.C.S.C.) at p. 260 and Foundation Co. of Canada v. United Grain Growers Ltd. </w:t>
      </w:r>
      <w:hyperlink r:id="rId821" w:history="1">
        <w:r>
          <w:rPr>
            <w:rFonts w:ascii="arial" w:eastAsia="arial" w:hAnsi="arial" w:cs="arial"/>
            <w:i/>
            <w:color w:val="0077CC"/>
            <w:sz w:val="20"/>
            <w:u w:val="single"/>
            <w:shd w:val="clear" w:color="auto" w:fill="FFFFFF"/>
            <w:lang w:val="en-US" w:eastAsia="en-US" w:bidi="ar-SA"/>
          </w:rPr>
          <w:t>(1997), 34 B.C.L.R. (3d) 92</w:t>
        </w:r>
      </w:hyperlink>
      <w:r>
        <w:rPr>
          <w:rFonts w:ascii="arial" w:eastAsia="arial" w:hAnsi="arial" w:cs="arial"/>
          <w:color w:val="000000"/>
          <w:sz w:val="20"/>
          <w:lang w:val="en-US" w:eastAsia="en-US" w:bidi="ar-SA"/>
        </w:rPr>
        <w:t xml:space="preserve"> (B.C.C.A.) at p. 113.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743</w:t>
      </w:r>
      <w:r>
        <w:rPr>
          <w:rFonts w:ascii="arial" w:eastAsia="arial" w:hAnsi="arial" w:cs="arial"/>
          <w:color w:val="000000"/>
          <w:sz w:val="20"/>
          <w:lang w:val="en-US" w:eastAsia="en-US" w:bidi="ar-SA"/>
        </w:rPr>
        <w:t>  In TNL Paving Ltd., Beames, J. noted that one of the owner's representatives admitted at trial that he had actual notice of the changed conditions notwithstanding the absence of formal notice. As well, the owner had knowledge from the project documentation including diaries kept by its onsite personnel and from oral discussions between the parties at one weekly meeting. Beames, J. held that the form of notice is not determinative, so long as the notice contained enough information to satisfy the purpose for which it is required (at para. 334).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744</w:t>
      </w:r>
      <w:r>
        <w:rPr>
          <w:rFonts w:ascii="arial" w:eastAsia="arial" w:hAnsi="arial" w:cs="arial"/>
          <w:color w:val="000000"/>
          <w:sz w:val="20"/>
          <w:lang w:val="en-US" w:eastAsia="en-US" w:bidi="ar-SA"/>
        </w:rPr>
        <w:t xml:space="preserve">  In W.A. Stevenson Construction (Western) Limited v. Metro Canada Limited </w:t>
      </w:r>
      <w:hyperlink r:id="rId857" w:history="1">
        <w:r>
          <w:rPr>
            <w:rFonts w:ascii="arial" w:eastAsia="arial" w:hAnsi="arial" w:cs="arial"/>
            <w:i/>
            <w:color w:val="0077CC"/>
            <w:sz w:val="20"/>
            <w:u w:val="single"/>
            <w:shd w:val="clear" w:color="auto" w:fill="FFFFFF"/>
            <w:lang w:val="en-US" w:eastAsia="en-US" w:bidi="ar-SA"/>
          </w:rPr>
          <w:t>(1987), 27 C.L.R. 113</w:t>
        </w:r>
      </w:hyperlink>
      <w:r>
        <w:rPr>
          <w:rFonts w:ascii="arial" w:eastAsia="arial" w:hAnsi="arial" w:cs="arial"/>
          <w:color w:val="000000"/>
          <w:sz w:val="20"/>
          <w:lang w:val="en-US" w:eastAsia="en-US" w:bidi="ar-SA"/>
        </w:rPr>
        <w:t xml:space="preserve"> (B.C.S.C.), the contract required written notice of a claim within seven days after the contractor first became aware of the events or circumstances giving rise to the claim, full details of the claim were to be provided as soon as practicable thereafter and no waiver of any right or remedy of a party under the contract would be effective unless given in writing and executed by the party. The court noted that the minutes of the site meeting were sufficient notice that notice had been given to the owner through the discussions at the meeting: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reading of the minutes is very revealing: they were obviously regarded by everyone as a method of formally communicating their concerns to the other part.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there are any claims which do not happen to be covered by the specific notices, I consider they have been covered by these minutes. I have had to read most of them. Apart from any verbal complaints, and those for which letters were written, it appears to me that the contractor carefully listed his concerns, asked for action and indicated his clear intention to claim or demand the appropriate remedy at one time or another in these minutes. I consider them to be notice. (at p. 182).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745</w:t>
      </w:r>
      <w:r>
        <w:rPr>
          <w:rFonts w:ascii="arial" w:eastAsia="arial" w:hAnsi="arial" w:cs="arial"/>
          <w:color w:val="000000"/>
          <w:sz w:val="20"/>
          <w:lang w:val="en-US" w:eastAsia="en-US" w:bidi="ar-SA"/>
        </w:rPr>
        <w:t>  Under cross-examination, Mr. Rempel confirmed that Kemess was given notice of delays in a number of memos at its site meetings and he also agreed that the changing written schedules of Golden Hill indicated the impact of delays on the extended time for completion of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746</w:t>
      </w:r>
      <w:r>
        <w:rPr>
          <w:rFonts w:ascii="arial" w:eastAsia="arial" w:hAnsi="arial" w:cs="arial"/>
          <w:color w:val="000000"/>
          <w:sz w:val="20"/>
          <w:lang w:val="en-US" w:eastAsia="en-US" w:bidi="ar-SA"/>
        </w:rPr>
        <w:t xml:space="preserve">  Kemess relies on the decisions in: Diamond Willow Ranch Ltd. v. Oliver (Village) et al </w:t>
      </w:r>
      <w:hyperlink r:id="rId885" w:history="1">
        <w:r>
          <w:rPr>
            <w:rFonts w:ascii="arial" w:eastAsia="arial" w:hAnsi="arial" w:cs="arial"/>
            <w:i/>
            <w:color w:val="0077CC"/>
            <w:sz w:val="20"/>
            <w:u w:val="single"/>
            <w:shd w:val="clear" w:color="auto" w:fill="FFFFFF"/>
            <w:lang w:val="en-US" w:eastAsia="en-US" w:bidi="ar-SA"/>
          </w:rPr>
          <w:t>(1988), 31 C.L.R. 287</w:t>
        </w:r>
      </w:hyperlink>
      <w:r>
        <w:rPr>
          <w:rFonts w:ascii="arial" w:eastAsia="arial" w:hAnsi="arial" w:cs="arial"/>
          <w:color w:val="000000"/>
          <w:sz w:val="20"/>
          <w:lang w:val="en-US" w:eastAsia="en-US" w:bidi="ar-SA"/>
        </w:rPr>
        <w:t xml:space="preserve"> (B.C.S.C.); Nelson River Construction (1984) v. Winnipeg (City) </w:t>
      </w:r>
      <w:hyperlink r:id="rId886" w:history="1">
        <w:r>
          <w:rPr>
            <w:rFonts w:ascii="arial" w:eastAsia="arial" w:hAnsi="arial" w:cs="arial"/>
            <w:i/>
            <w:color w:val="0077CC"/>
            <w:sz w:val="20"/>
            <w:u w:val="single"/>
            <w:shd w:val="clear" w:color="auto" w:fill="FFFFFF"/>
            <w:lang w:val="en-US" w:eastAsia="en-US" w:bidi="ar-SA"/>
          </w:rPr>
          <w:t>(1993), 11 C.L.R. (2d) 12</w:t>
        </w:r>
      </w:hyperlink>
      <w:r>
        <w:rPr>
          <w:rFonts w:ascii="arial" w:eastAsia="arial" w:hAnsi="arial" w:cs="arial"/>
          <w:color w:val="000000"/>
          <w:sz w:val="20"/>
          <w:lang w:val="en-US" w:eastAsia="en-US" w:bidi="ar-SA"/>
        </w:rPr>
        <w:t xml:space="preserve"> (Man. Q.B.); Nordic Construction Ltd. v. Hope Brook Gold Inc. </w:t>
      </w:r>
      <w:hyperlink r:id="rId873" w:history="1">
        <w:r>
          <w:rPr>
            <w:rFonts w:ascii="arial" w:eastAsia="arial" w:hAnsi="arial" w:cs="arial"/>
            <w:i/>
            <w:color w:val="0077CC"/>
            <w:sz w:val="20"/>
            <w:u w:val="single"/>
            <w:shd w:val="clear" w:color="auto" w:fill="FFFFFF"/>
            <w:lang w:val="en-US" w:eastAsia="en-US" w:bidi="ar-SA"/>
          </w:rPr>
          <w:t>(1991), 47 C.L.R. 8</w:t>
        </w:r>
      </w:hyperlink>
      <w:r>
        <w:rPr>
          <w:rFonts w:ascii="arial" w:eastAsia="arial" w:hAnsi="arial" w:cs="arial"/>
          <w:color w:val="000000"/>
          <w:sz w:val="20"/>
          <w:lang w:val="en-US" w:eastAsia="en-US" w:bidi="ar-SA"/>
        </w:rPr>
        <w:t xml:space="preserve"> (Nfld. S.C.); Gillis Construction (Cape Breton) Ltd. v. Stora Forest Industries Ltd. </w:t>
      </w:r>
      <w:hyperlink r:id="rId887" w:history="1">
        <w:r>
          <w:rPr>
            <w:rFonts w:ascii="arial" w:eastAsia="arial" w:hAnsi="arial" w:cs="arial"/>
            <w:i/>
            <w:color w:val="0077CC"/>
            <w:sz w:val="20"/>
            <w:u w:val="single"/>
            <w:shd w:val="clear" w:color="auto" w:fill="FFFFFF"/>
            <w:lang w:val="en-US" w:eastAsia="en-US" w:bidi="ar-SA"/>
          </w:rPr>
          <w:t>(1989), 35 C.L.R. 156</w:t>
        </w:r>
      </w:hyperlink>
      <w:r>
        <w:rPr>
          <w:rFonts w:ascii="arial" w:eastAsia="arial" w:hAnsi="arial" w:cs="arial"/>
          <w:color w:val="000000"/>
          <w:sz w:val="20"/>
          <w:lang w:val="en-US" w:eastAsia="en-US" w:bidi="ar-SA"/>
        </w:rPr>
        <w:t xml:space="preserve"> (N.S.S.C. (T.D.)); and ANC Developments Inc. v. Dilcon Construction Ltd. </w:t>
      </w:r>
      <w:hyperlink r:id="rId870" w:history="1">
        <w:r>
          <w:rPr>
            <w:rFonts w:ascii="arial" w:eastAsia="arial" w:hAnsi="arial" w:cs="arial"/>
            <w:i/>
            <w:color w:val="0077CC"/>
            <w:sz w:val="20"/>
            <w:u w:val="single"/>
            <w:shd w:val="clear" w:color="auto" w:fill="FFFFFF"/>
            <w:lang w:val="en-US" w:eastAsia="en-US" w:bidi="ar-SA"/>
          </w:rPr>
          <w:t>(2000), 6 C.L.R. (3d) 34</w:t>
        </w:r>
      </w:hyperlink>
      <w:r>
        <w:rPr>
          <w:rFonts w:ascii="arial" w:eastAsia="arial" w:hAnsi="arial" w:cs="arial"/>
          <w:color w:val="000000"/>
          <w:sz w:val="20"/>
          <w:lang w:val="en-US" w:eastAsia="en-US" w:bidi="ar-SA"/>
        </w:rPr>
        <w:t xml:space="preserve"> (Alta.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747</w:t>
      </w:r>
      <w:r>
        <w:rPr>
          <w:rFonts w:ascii="arial" w:eastAsia="arial" w:hAnsi="arial" w:cs="arial"/>
          <w:color w:val="000000"/>
          <w:sz w:val="20"/>
          <w:lang w:val="en-US" w:eastAsia="en-US" w:bidi="ar-SA"/>
        </w:rPr>
        <w:t>  I am satisfied that those decisions must be distinguished on the basis that all of the contracts in those decisions required the contractor to provide written notice of a claim or change soil conditions and/or extra work. There is no requirement for written notice of claims by Golden Hill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748</w:t>
      </w:r>
      <w:r>
        <w:rPr>
          <w:rFonts w:ascii="arial" w:eastAsia="arial" w:hAnsi="arial" w:cs="arial"/>
          <w:color w:val="000000"/>
          <w:sz w:val="20"/>
          <w:lang w:val="en-US" w:eastAsia="en-US" w:bidi="ar-SA"/>
        </w:rPr>
        <w:t>  Kemess made it clear that they were no longer enforcing their strict legal rights under the Contract regarding the notice provisions. I hold that Kemess cannot rely on any alleged failure by Golden Hill to comply with GC 36.2 because Kemess also asked Golden Hill to stop sending such notices. I also find that Kemess was well aware that the cost of the Work was far in excess of the amount being paid to Golden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749</w:t>
      </w:r>
      <w:r>
        <w:rPr>
          <w:rFonts w:ascii="arial" w:eastAsia="arial" w:hAnsi="arial" w:cs="arial"/>
          <w:color w:val="000000"/>
          <w:sz w:val="20"/>
          <w:lang w:val="en-US" w:eastAsia="en-US" w:bidi="ar-SA"/>
        </w:rPr>
        <w:t xml:space="preserve">  A party to a building contract is to be deprived of a cause of action only by clear words: First City Development Corp. v. Stevenson Construction Co. </w:t>
      </w:r>
      <w:hyperlink r:id="rId888" w:history="1">
        <w:r>
          <w:rPr>
            <w:rFonts w:ascii="arial" w:eastAsia="arial" w:hAnsi="arial" w:cs="arial"/>
            <w:i/>
            <w:color w:val="0077CC"/>
            <w:sz w:val="20"/>
            <w:u w:val="single"/>
            <w:shd w:val="clear" w:color="auto" w:fill="FFFFFF"/>
            <w:lang w:val="en-US" w:eastAsia="en-US" w:bidi="ar-SA"/>
          </w:rPr>
          <w:t>(1985), 14 C.L.R. 250</w:t>
        </w:r>
      </w:hyperlink>
      <w:r>
        <w:rPr>
          <w:rFonts w:ascii="arial" w:eastAsia="arial" w:hAnsi="arial" w:cs="arial"/>
          <w:color w:val="000000"/>
          <w:sz w:val="20"/>
          <w:lang w:val="en-US" w:eastAsia="en-US" w:bidi="ar-SA"/>
        </w:rPr>
        <w:t xml:space="preserve"> (B.C.C.A.) at p. 253, leave to appeal to S.C.C. refused </w:t>
      </w:r>
      <w:hyperlink r:id="rId888" w:history="1">
        <w:r>
          <w:rPr>
            <w:rFonts w:ascii="arial" w:eastAsia="arial" w:hAnsi="arial" w:cs="arial"/>
            <w:i/>
            <w:color w:val="0077CC"/>
            <w:sz w:val="20"/>
            <w:u w:val="single"/>
            <w:shd w:val="clear" w:color="auto" w:fill="FFFFFF"/>
            <w:lang w:val="en-US" w:eastAsia="en-US" w:bidi="ar-SA"/>
          </w:rPr>
          <w:t>(1985), 14 C.L.R. 250</w:t>
        </w:r>
      </w:hyperlink>
      <w:r>
        <w:rPr>
          <w:rFonts w:ascii="arial" w:eastAsia="arial" w:hAnsi="arial" w:cs="arial"/>
          <w:color w:val="000000"/>
          <w:sz w:val="20"/>
          <w:lang w:val="en-US" w:eastAsia="en-US" w:bidi="ar-SA"/>
        </w:rPr>
        <w:t>n. General Condition 36.2 only deals with notices of delay not claims generally. Accordingly, I am satisfied that GC 36.2 does not require any notices of damages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750</w:t>
      </w:r>
      <w:r>
        <w:rPr>
          <w:rFonts w:ascii="arial" w:eastAsia="arial" w:hAnsi="arial" w:cs="arial"/>
          <w:color w:val="000000"/>
          <w:sz w:val="20"/>
          <w:lang w:val="en-US" w:eastAsia="en-US" w:bidi="ar-SA"/>
        </w:rPr>
        <w:t>  Even if there was a requirement for Golden Hill to provide notices of claims, the failure to do so did not prejudice Kemess. I am satisfied that this is not a case where a claim was unexpected. As early as July, Kemess was aware of the problems Golden Hill was facing, of the impact of the problems on the operations of Golden Hill, of the general financial impact of those problems so that Golden Hill would likely be making a claim. Mr. Rempel stated that "on quite a few occasions", Mr. Lyons told him that Golden Hill's costs were increasing and Mr. Rempel also admitted that it was apparent that in a lot of areas it was costing Golden Hill more than its unit price of $2.10 to move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751</w:t>
      </w:r>
      <w:r>
        <w:rPr>
          <w:rFonts w:ascii="arial" w:eastAsia="arial" w:hAnsi="arial" w:cs="arial"/>
          <w:color w:val="000000"/>
          <w:sz w:val="20"/>
          <w:lang w:val="en-US" w:eastAsia="en-US" w:bidi="ar-SA"/>
        </w:rPr>
        <w:t>  Mr. Koski admitted that, as early as August, he recognized a risk for cost over-runs in the C101 Contract. Mr. Stuart of Knight Piésold accompanied by Mr. Rempel of Kemess advised Mr. Miller in September that Golden Hill should seek professional help with respect to the problems Golden Hill was encountering at the Airstrip. In mid-October, Kemess paid for the mobilization of two additional scrapers and two additional bulldozers to work at the Airstrip and, while Kemess eventually paid for the mobilization, Kemess initially tried to have Golden Hill to sign a waiver stating that Golden Hill would not make claims in relation to the Airstrip. In this regard, Mr. Miller stated at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Rempel came and seen me and told me that they were going to pay the mob and demob on the two scrapers and two cats but they wanted to - they wanted us to sign a waiver stating that we would not make claims...for the Airstrip for the soils conditions or the extra work at the airport.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752</w:t>
      </w:r>
      <w:r>
        <w:rPr>
          <w:rFonts w:ascii="arial" w:eastAsia="arial" w:hAnsi="arial" w:cs="arial"/>
          <w:color w:val="000000"/>
          <w:sz w:val="20"/>
          <w:lang w:val="en-US" w:eastAsia="en-US" w:bidi="ar-SA"/>
        </w:rPr>
        <w:t>  Accordingly, not only did Kemess have notice of the potential claims of Golden Hill in relation to the soil conditions at the Airstrip, they pressured Golden Hill to waive its claims as early as October.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753</w:t>
      </w:r>
      <w:r>
        <w:rPr>
          <w:rFonts w:ascii="arial" w:eastAsia="arial" w:hAnsi="arial" w:cs="arial"/>
          <w:color w:val="000000"/>
          <w:sz w:val="20"/>
          <w:lang w:val="en-US" w:eastAsia="en-US" w:bidi="ar-SA"/>
        </w:rPr>
        <w:t>  While Mr. Rempel said that he would have kept very detailed records throughout the Project if he had known about the claim in the Fall of 1996, it was clear that Mr. Rempel did keep very detailed notes. However, those notes could not be produced by Kemess. Mr. Rempel stated that he "methodically" recorded the daily events, including meetings, he kept both a diary and a day book in which he recorded his observations and important discussions, and he kept files of correspondence. Those files were left on Site when Mr. Rempel left the Site in December, 1997 which was months after the filing of the lien and months after the commencement of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754</w:t>
      </w:r>
      <w:r>
        <w:rPr>
          <w:rFonts w:ascii="arial" w:eastAsia="arial" w:hAnsi="arial" w:cs="arial"/>
          <w:color w:val="000000"/>
          <w:sz w:val="20"/>
          <w:lang w:val="en-US" w:eastAsia="en-US" w:bidi="ar-SA"/>
        </w:rPr>
        <w:t>  I find that notices were no longer deemed necessary by the parties, that extensions of the Amended Schedule became a reality without the necessity of formal requests for extensions or a formal acceptance by Kemess of the requests, that Kemess was fully aware that claims would be forthcoming, that Kemess has in no way been prejudiced by the fact that formal notification of potential claims were not provided by Golden Hill until the lien was filed and the action was commenced, and that, by threats and inducements, Kemess kept Golden Hill on the Site by its promises that the claims of Golden Hill would be reviewed in good faith and the profit margin of Golden Hill protected.</w:t>
      </w:r>
      <w:r>
        <w:rPr>
          <w:rFonts w:ascii="arial" w:eastAsia="arial" w:hAnsi="arial" w:cs="arial"/>
          <w:sz w:val="20"/>
          <w:lang w:val="en-US" w:eastAsia="en-US" w:bidi="ar-SA"/>
        </w:rPr>
        <w:cr/>
      </w:r>
    </w:p>
    <w:p>
      <w:pPr>
        <w:numPr>
          <w:numId w:val="2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NOTICE UNDER s. 62(2) OF THE LAW AND EQUITY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755</w:t>
      </w:r>
      <w:r>
        <w:rPr>
          <w:rFonts w:ascii="arial" w:eastAsia="arial" w:hAnsi="arial" w:cs="arial"/>
          <w:color w:val="000000"/>
          <w:sz w:val="20"/>
          <w:lang w:val="en-US" w:eastAsia="en-US" w:bidi="ar-SA"/>
        </w:rPr>
        <w:t xml:space="preserve">  Kemess also submits that Golden Hill did not provide notice as set out in s. 62(2) of the Law and Equity Act, </w:t>
      </w:r>
      <w:r>
        <w:rPr>
          <w:rFonts w:ascii="arial" w:eastAsia="arial" w:hAnsi="arial" w:cs="arial"/>
          <w:i/>
          <w:color w:val="000000"/>
          <w:sz w:val="20"/>
          <w:lang w:val="en-US" w:eastAsia="en-US" w:bidi="ar-SA"/>
        </w:rPr>
        <w:t>R.S.B.C. 1996, c. 253</w:t>
      </w:r>
      <w:r>
        <w:rPr>
          <w:rFonts w:ascii="arial" w:eastAsia="arial" w:hAnsi="arial" w:cs="arial"/>
          <w:color w:val="000000"/>
          <w:sz w:val="20"/>
          <w:lang w:val="en-US" w:eastAsia="en-US" w:bidi="ar-SA"/>
        </w:rPr>
        <w:t>, which states:</w:t>
      </w:r>
      <w:r>
        <w:rPr>
          <w:rFonts w:ascii="arial" w:eastAsia="arial" w:hAnsi="arial" w:cs="arial"/>
          <w:sz w:val="20"/>
          <w:lang w:val="en-US" w:eastAsia="en-US" w:bidi="ar-SA"/>
        </w:rPr>
        <w:cr/>
      </w:r>
    </w:p>
    <w:p>
      <w:pPr>
        <w:numPr>
          <w:numId w:val="2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a dispute arises between the parties to a contract respecting the obligations of a party under the contract, the party whose obligations are disputed may elect to perform the contract in accordance with the requirements of the other party, and the electing party is then entitled to compensation from the requiring party for any</w:t>
      </w:r>
    </w:p>
    <w:p>
      <w:pPr>
        <w:numPr>
          <w:numId w:val="2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service performed,</w:t>
      </w:r>
    </w:p>
    <w:p>
      <w:pPr>
        <w:numPr>
          <w:numId w:val="2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property supplied or transferred,</w:t>
      </w:r>
    </w:p>
    <w:p>
      <w:pPr>
        <w:numPr>
          <w:numId w:val="2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liability assumed, and</w:t>
      </w:r>
    </w:p>
    <w:p>
      <w:pPr>
        <w:numPr>
          <w:numId w:val="2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money paid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by the electing party in the course of that performance beyond that which the contract required the electing party to do.</w:t>
      </w:r>
    </w:p>
    <w:p>
      <w:pPr>
        <w:numPr>
          <w:numId w:val="2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electing party is not entitled to compensation under subsection (2) unless, within a reasonable time after the electing party is informed that the performance is required, the electing party gives notice to the requiring party that the performance is under protest.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756</w:t>
      </w:r>
      <w:r>
        <w:rPr>
          <w:rFonts w:ascii="arial" w:eastAsia="arial" w:hAnsi="arial" w:cs="arial"/>
          <w:color w:val="000000"/>
          <w:sz w:val="20"/>
          <w:lang w:val="en-US" w:eastAsia="en-US" w:bidi="ar-SA"/>
        </w:rPr>
        <w:t xml:space="preserve">  Kemess relies on the following decisions in which s. 62 or its predecessor (s. 58 of the Law and Equity Act, </w:t>
      </w:r>
      <w:r>
        <w:rPr>
          <w:rFonts w:ascii="arial" w:eastAsia="arial" w:hAnsi="arial" w:cs="arial"/>
          <w:i/>
          <w:color w:val="000000"/>
          <w:sz w:val="20"/>
          <w:lang w:val="en-US" w:eastAsia="en-US" w:bidi="ar-SA"/>
        </w:rPr>
        <w:t>R.S.B.C. 1996, c. 253</w:t>
      </w:r>
      <w:r>
        <w:rPr>
          <w:rFonts w:ascii="arial" w:eastAsia="arial" w:hAnsi="arial" w:cs="arial"/>
          <w:color w:val="000000"/>
          <w:sz w:val="20"/>
          <w:lang w:val="en-US" w:eastAsia="en-US" w:bidi="ar-SA"/>
        </w:rPr>
        <w:t xml:space="preserve">) was referred to as having been invoked by a party: Mohr v. Skana Holdings Ltd., </w:t>
      </w:r>
      <w:hyperlink r:id="rId889" w:history="1">
        <w:r>
          <w:rPr>
            <w:rFonts w:ascii="arial" w:eastAsia="arial" w:hAnsi="arial" w:cs="arial"/>
            <w:i/>
            <w:color w:val="0077CC"/>
            <w:sz w:val="20"/>
            <w:u w:val="single"/>
            <w:shd w:val="clear" w:color="auto" w:fill="FFFFFF"/>
            <w:lang w:val="en-US" w:eastAsia="en-US" w:bidi="ar-SA"/>
          </w:rPr>
          <w:t>[1995] B.C.J. No. 2447</w:t>
        </w:r>
      </w:hyperlink>
      <w:r>
        <w:rPr>
          <w:rFonts w:ascii="arial" w:eastAsia="arial" w:hAnsi="arial" w:cs="arial"/>
          <w:color w:val="000000"/>
          <w:sz w:val="20"/>
          <w:lang w:val="en-US" w:eastAsia="en-US" w:bidi="ar-SA"/>
        </w:rPr>
        <w:t xml:space="preserve"> (B.C.S.C.) at p. 6; Acamar Stoney Creek Development Inc. v. Surrey (City) </w:t>
      </w:r>
      <w:hyperlink r:id="rId890" w:history="1">
        <w:r>
          <w:rPr>
            <w:rFonts w:ascii="arial" w:eastAsia="arial" w:hAnsi="arial" w:cs="arial"/>
            <w:i/>
            <w:color w:val="0077CC"/>
            <w:sz w:val="20"/>
            <w:u w:val="single"/>
            <w:shd w:val="clear" w:color="auto" w:fill="FFFFFF"/>
            <w:lang w:val="en-US" w:eastAsia="en-US" w:bidi="ar-SA"/>
          </w:rPr>
          <w:t>(1997), 39 M.P.L.R. (2d) 141</w:t>
        </w:r>
      </w:hyperlink>
      <w:r>
        <w:rPr>
          <w:rFonts w:ascii="arial" w:eastAsia="arial" w:hAnsi="arial" w:cs="arial"/>
          <w:color w:val="000000"/>
          <w:sz w:val="20"/>
          <w:lang w:val="en-US" w:eastAsia="en-US" w:bidi="ar-SA"/>
        </w:rPr>
        <w:t xml:space="preserve"> (B.C.S.C.) at para. 24; BCorp Financial Inc. v. Baseline Resort Developments Inc. </w:t>
      </w:r>
      <w:hyperlink r:id="rId891" w:history="1">
        <w:r>
          <w:rPr>
            <w:rFonts w:ascii="arial" w:eastAsia="arial" w:hAnsi="arial" w:cs="arial"/>
            <w:i/>
            <w:color w:val="0077CC"/>
            <w:sz w:val="20"/>
            <w:u w:val="single"/>
            <w:shd w:val="clear" w:color="auto" w:fill="FFFFFF"/>
            <w:lang w:val="en-US" w:eastAsia="en-US" w:bidi="ar-SA"/>
          </w:rPr>
          <w:t>[1989] B.C.J. No. 2008</w:t>
        </w:r>
      </w:hyperlink>
      <w:r>
        <w:rPr>
          <w:rFonts w:ascii="arial" w:eastAsia="arial" w:hAnsi="arial" w:cs="arial"/>
          <w:color w:val="000000"/>
          <w:sz w:val="20"/>
          <w:lang w:val="en-US" w:eastAsia="en-US" w:bidi="ar-SA"/>
        </w:rPr>
        <w:t xml:space="preserve"> (B.C.S.C.) at p. 3; and Vic Van Isle Construction Ltd. v. Central Okanagan School District No. 23 </w:t>
      </w:r>
      <w:hyperlink r:id="rId892" w:history="1">
        <w:r>
          <w:rPr>
            <w:rFonts w:ascii="arial" w:eastAsia="arial" w:hAnsi="arial" w:cs="arial"/>
            <w:i/>
            <w:color w:val="0077CC"/>
            <w:sz w:val="20"/>
            <w:u w:val="single"/>
            <w:shd w:val="clear" w:color="auto" w:fill="FFFFFF"/>
            <w:lang w:val="en-US" w:eastAsia="en-US" w:bidi="ar-SA"/>
          </w:rPr>
          <w:t>(1997), 33 C.L.R. (2d) 75</w:t>
        </w:r>
      </w:hyperlink>
      <w:r>
        <w:rPr>
          <w:rFonts w:ascii="arial" w:eastAsia="arial" w:hAnsi="arial" w:cs="arial"/>
          <w:color w:val="000000"/>
          <w:sz w:val="20"/>
          <w:lang w:val="en-US" w:eastAsia="en-US" w:bidi="ar-SA"/>
        </w:rPr>
        <w:t xml:space="preserve"> (B.C.C.A.) at para.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757</w:t>
      </w:r>
      <w:r>
        <w:rPr>
          <w:rFonts w:ascii="arial" w:eastAsia="arial" w:hAnsi="arial" w:cs="arial"/>
          <w:color w:val="000000"/>
          <w:sz w:val="20"/>
          <w:lang w:val="en-US" w:eastAsia="en-US" w:bidi="ar-SA"/>
        </w:rPr>
        <w:t>  I am satisfied that the advices that Golden Hill gave orally and in writing as well as the minutes maintained of the meetings where Golden Hill was in attendance are sufficient notices under s. 62(2) of the Law and Equity Act. I am satisfied that there is no form of notice required under that Act. At the same time, I am satisfied that it is not necessary to actually use the words "under protest" where it can be shown that a contractor is forced by an owner to proceed other than in accordance with the right to do the Work in accordance with its original plan. I am satisfied that it was not necessary for Golden Hill to provide any notices under s. 62(2) of the Law and Equity Act in view of the breaches of the Contract by Kemess and the tortious acts of Kemess.</w:t>
      </w:r>
      <w:r>
        <w:rPr>
          <w:rFonts w:ascii="arial" w:eastAsia="arial" w:hAnsi="arial" w:cs="arial"/>
          <w:sz w:val="20"/>
          <w:lang w:val="en-US" w:eastAsia="en-US" w:bidi="ar-SA"/>
        </w:rPr>
        <w:cr/>
      </w:r>
    </w:p>
    <w:p>
      <w:pPr>
        <w:numPr>
          <w:numId w:val="2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GOLDEN HILL ACT TO ITS DETRIMENT?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758</w:t>
      </w:r>
      <w:r>
        <w:rPr>
          <w:rFonts w:ascii="arial" w:eastAsia="arial" w:hAnsi="arial" w:cs="arial"/>
          <w:color w:val="000000"/>
          <w:sz w:val="20"/>
          <w:lang w:val="en-US" w:eastAsia="en-US" w:bidi="ar-SA"/>
        </w:rPr>
        <w:t>  On the question of whether the threats, if they had been carried out, would have caused damage to Golden Hill, I find that direct or indirect damage would have resulted to Golden Hill if its equipment had been seized. The Site is extremely remote and Kemess had complete control over who was allowed to enter and leave the Site. Removal of such heavy equipment did not merely involve driving it off the site. Much of the equipment would have to be dissembled and then moved out on trucks. The heavy equipment having an estimated value of $5,000,000.00 was the primary asset of Golden Hill. Had Kemess carried through with the threat of Mr. Koski to seize the equipment, the ability of Golden Hill to carry out any other jobs would have been seriously impaired. In such circumstances, it would have been unrealistic to expect Golden Hill to have resisted the threats on the basis that they were not permitted by the Contract, as it was virtually impossible for Golden Hill to adequately protect or prevent the unlawful seizure of its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759</w:t>
      </w:r>
      <w:r>
        <w:rPr>
          <w:rFonts w:ascii="arial" w:eastAsia="arial" w:hAnsi="arial" w:cs="arial"/>
          <w:color w:val="000000"/>
          <w:sz w:val="20"/>
          <w:lang w:val="en-US" w:eastAsia="en-US" w:bidi="ar-SA"/>
        </w:rPr>
        <w:t>  Golden Hill was not in a position to ignore the threats and stand by its contractual rights. Golden Hill kept working, not because the threats of Mr. Koski were not taken seriously, but because they were. It is irrelevant that Kemess did not actually carry out the threats.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760</w:t>
      </w:r>
      <w:r>
        <w:rPr>
          <w:rFonts w:ascii="arial" w:eastAsia="arial" w:hAnsi="arial" w:cs="arial"/>
          <w:color w:val="000000"/>
          <w:sz w:val="20"/>
          <w:lang w:val="en-US" w:eastAsia="en-US" w:bidi="ar-SA"/>
        </w:rPr>
        <w:t>  At the time the threats were made, Kemess knew that it was raining very heavily, that working in the poor soil conditions had caused problems for Golden Hill and that Golden Hill was losing money. Accordingly, the object and effect of the threats was to cause direct damage to Golden Hill, threats were communicated to Golden Hill, and Golden Hill, by complying with the directives, suffered damages as a result. Golden Hill was required to work under poor conditions so that there was a resulting significant additional cost over and above what was anticipated when Golden Hill submitted its bid. As a result of the threats, Golden Hill refrained from ignoring the directives received from Kemess and from proceeding to work in accordance with its original plan for the Work. Golden Hill also refrained from treating the Contract as being at an end because of the fundamental breaches of the Contract by Kemess.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761</w:t>
      </w:r>
      <w:r>
        <w:rPr>
          <w:rFonts w:ascii="arial" w:eastAsia="arial" w:hAnsi="arial" w:cs="arial"/>
          <w:color w:val="000000"/>
          <w:sz w:val="20"/>
          <w:lang w:val="en-US" w:eastAsia="en-US" w:bidi="ar-SA"/>
        </w:rPr>
        <w:t>  Golden Hill is entitled to be put in the same position it would have been had the tortious intimidation not occurred and this loss includes loss of profits. As the impact of the intimidation was that Golden Hill remained on the Site, complied with the directions of Kemess and incurred losses on the Project, the loss of Golden Hill on the Project should be available to it, subject only to any losses caused by its own fault.</w:t>
      </w:r>
      <w:r>
        <w:rPr>
          <w:rFonts w:ascii="arial" w:eastAsia="arial" w:hAnsi="arial" w:cs="arial"/>
          <w:sz w:val="20"/>
          <w:lang w:val="en-US" w:eastAsia="en-US" w:bidi="ar-SA"/>
        </w:rPr>
        <w:cr/>
      </w:r>
    </w:p>
    <w:p>
      <w:pPr>
        <w:numPr>
          <w:numId w:val="2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SUMMARY OF FINDINGS RELATING TO BREACHES OF CONTRACT AND TORTIOUS 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762</w:t>
      </w:r>
      <w:r>
        <w:rPr>
          <w:rFonts w:ascii="arial" w:eastAsia="arial" w:hAnsi="arial" w:cs="arial"/>
          <w:color w:val="000000"/>
          <w:sz w:val="20"/>
          <w:lang w:val="en-US" w:eastAsia="en-US" w:bidi="ar-SA"/>
        </w:rPr>
        <w:t>  I find that there is concurrent liability in contract and in tort for the failure of the soils sources to be adequate, the ability of Golden Hill to have the direction and control of the Work, the failure to provide permits in a timely manner, the failure to provide appropriate, timely and sufficiently complete pre tender and post tender information, the failure to designate adequate Topsoil Stockpiles, Borrow Pits and Waste Dumps, the failure to allow Golden Hill to suspend the Work when appropriate, and breach of duty of good faith and fair treatment. I find tort liability for the failure of Kemess to accurately describe the nature of the Work, the negligent misrepresentations of Mr. Rempel, and the intimidation inflicted on Golden Hill by Kemess.</w:t>
      </w:r>
      <w:r>
        <w:rPr>
          <w:rFonts w:ascii="arial" w:eastAsia="arial" w:hAnsi="arial" w:cs="arial"/>
          <w:sz w:val="20"/>
          <w:lang w:val="en-US" w:eastAsia="en-US" w:bidi="ar-SA"/>
        </w:rPr>
        <w:cr/>
      </w:r>
    </w:p>
    <w:p>
      <w:pPr>
        <w:numPr>
          <w:numId w:val="2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WAS THERE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763</w:t>
      </w:r>
      <w:r>
        <w:rPr>
          <w:rFonts w:ascii="arial" w:eastAsia="arial" w:hAnsi="arial" w:cs="arial"/>
          <w:color w:val="000000"/>
          <w:sz w:val="20"/>
          <w:lang w:val="en-US" w:eastAsia="en-US" w:bidi="ar-SA"/>
        </w:rPr>
        <w:t>  Kemess alleges that most if not all of the problems that Golden Hill experienced on the Project were caused by errors made by Golden Hill when it prepared its bid and that these errors either caused the losses or were a contributory cause to the losses claimed by Golden Hill. Kemess points to huge differences between many of the volumes found in the bid and the volumes actually handled. For instance, Golden Hill states that the amount of Waste at the Millsite increased by 1,112% and the amount of Waste at the Mancamp increased by 430%. Kemess submits that these differences have nothing to do with what it did or omitted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764</w:t>
      </w:r>
      <w:r>
        <w:rPr>
          <w:rFonts w:ascii="arial" w:eastAsia="arial" w:hAnsi="arial" w:cs="arial"/>
          <w:color w:val="000000"/>
          <w:sz w:val="20"/>
          <w:lang w:val="en-US" w:eastAsia="en-US" w:bidi="ar-SA"/>
        </w:rPr>
        <w:t>  I am satisfied that the "bidding errors" that are attributed to Golden Hill are not errors but are valid "assumptions" that Golden Hill made at Tender time that did not materialize during construction. I find that the bidding assumptions of Golden Hill were reasonable in the circumstances and compared favourably to the assumptions made by the other bidders.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765</w:t>
      </w:r>
      <w:r>
        <w:rPr>
          <w:rFonts w:ascii="arial" w:eastAsia="arial" w:hAnsi="arial" w:cs="arial"/>
          <w:color w:val="000000"/>
          <w:sz w:val="20"/>
          <w:lang w:val="en-US" w:eastAsia="en-US" w:bidi="ar-SA"/>
        </w:rPr>
        <w:t>  It should be noted that Kemess did not call evidence from the other bidders or any experts to suggest that the estimated quantities of Golden Hill were unreasonable. As well, many of the alleged bidding errors that are raised by Kemess were not put to Messrs. Rudolph or Quaile at Trial and are not supported by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766</w:t>
      </w:r>
      <w:r>
        <w:rPr>
          <w:rFonts w:ascii="arial" w:eastAsia="arial" w:hAnsi="arial" w:cs="arial"/>
          <w:color w:val="000000"/>
          <w:sz w:val="20"/>
          <w:lang w:val="en-US" w:eastAsia="en-US" w:bidi="ar-SA"/>
        </w:rPr>
        <w:t>  I am satisfied that Kemess has adopted the approach of comparing the Tender quantities to the final quantities and, where there is a significant difference, to characterize the difference as a "bidding error". A proper analysis would be to compare Golden Hill's estimated quantities with what a reasonable contractor would have estimated based on the Tender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767</w:t>
      </w:r>
      <w:r>
        <w:rPr>
          <w:rFonts w:ascii="arial" w:eastAsia="arial" w:hAnsi="arial" w:cs="arial"/>
          <w:color w:val="000000"/>
          <w:sz w:val="20"/>
          <w:lang w:val="en-US" w:eastAsia="en-US" w:bidi="ar-SA"/>
        </w:rPr>
        <w:t>  Kemess asked no expert to stand in the shoes of a reasonable contractor to review the Tender Documents and the information available to Golden Hill when it prepared the schedule of estimated quantities. The best evidence available are the bids submitted by the other bidders. With few expectations, the estimated quantities of Golden Hill are very similar to the estimates of the other bidders.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768</w:t>
      </w:r>
      <w:r>
        <w:rPr>
          <w:rFonts w:ascii="arial" w:eastAsia="arial" w:hAnsi="arial" w:cs="arial"/>
          <w:color w:val="000000"/>
          <w:sz w:val="20"/>
          <w:lang w:val="en-US" w:eastAsia="en-US" w:bidi="ar-SA"/>
        </w:rPr>
        <w:t>  Kemess alleges 14 errors by Golden Hill which it says caused or contributed to causing the losses claimed by Golden Hill.</w:t>
      </w:r>
      <w:r>
        <w:rPr>
          <w:rFonts w:ascii="arial" w:eastAsia="arial" w:hAnsi="arial" w:cs="arial"/>
          <w:sz w:val="20"/>
          <w:lang w:val="en-US" w:eastAsia="en-US" w:bidi="ar-SA"/>
        </w:rPr>
        <w:cr/>
      </w:r>
    </w:p>
    <w:p>
      <w:pPr>
        <w:numPr>
          <w:numId w:val="2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INVOLVEMENT OF MR. QUAILE IN THE BID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769</w:t>
      </w:r>
      <w:r>
        <w:rPr>
          <w:rFonts w:ascii="arial" w:eastAsia="arial" w:hAnsi="arial" w:cs="arial"/>
          <w:color w:val="000000"/>
          <w:sz w:val="20"/>
          <w:lang w:val="en-US" w:eastAsia="en-US" w:bidi="ar-SA"/>
        </w:rPr>
        <w:t>  Prior to the Golden Hill bid on this Project, Mr. Quaile had never been involved in putting together actual bid numbers for prices or for quantities. Regarding his review of the Soils Data, Mr. Quaile was neither a geotechnical engineer nor a soils technician, he had never taken any courses to learn how to analyze test pit logs and he could only say that he had read "some documentation on test pit logs and how to analyze them". There was no evidence before the Court that Mr. Quaile had any experience in evaluating soil conditions in terms of whether they would be suitable or unsuitable for use in construction. Most of his work with Golden Hill had been as a layout surveyor.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770</w:t>
      </w:r>
      <w:r>
        <w:rPr>
          <w:rFonts w:ascii="arial" w:eastAsia="arial" w:hAnsi="arial" w:cs="arial"/>
          <w:color w:val="000000"/>
          <w:sz w:val="20"/>
          <w:lang w:val="en-US" w:eastAsia="en-US" w:bidi="ar-SA"/>
        </w:rPr>
        <w:t>  Mr. Rudolph could not remember any unit price contract tenders where he was required to estimate quantities. After consultation with Mr. Rudolph, Mr. Quaile was satisfied that Kemess just wanted: "...an estimate - there is room for obviously increase and decrease in quantities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771</w:t>
      </w:r>
      <w:r>
        <w:rPr>
          <w:rFonts w:ascii="arial" w:eastAsia="arial" w:hAnsi="arial" w:cs="arial"/>
          <w:color w:val="000000"/>
          <w:sz w:val="20"/>
          <w:lang w:val="en-US" w:eastAsia="en-US" w:bidi="ar-SA"/>
        </w:rPr>
        <w:t>  Mr. Quaile described the process that he went through. Mr. Quaile confirmed that the quantity estimates set out in the Tender were his. Counsel for Kemess submits that I should give little weight to the evidence of Mr. Quaile. Having reviewed his testimony, I am satisfied that Mr. Quaile was not being evasive. He was attempting to recall what materials he had reviewed, the method that he had used to produce the estimates he provided to Mr. Rudolph, and the discussions that he had with Mr. Rudolph regarding these estimates. I found Mr. Quaile to be a credible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772</w:t>
      </w:r>
      <w:r>
        <w:rPr>
          <w:rFonts w:ascii="arial" w:eastAsia="arial" w:hAnsi="arial" w:cs="arial"/>
          <w:color w:val="000000"/>
          <w:sz w:val="20"/>
          <w:lang w:val="en-US" w:eastAsia="en-US" w:bidi="ar-SA"/>
        </w:rPr>
        <w:t>  I cannot find that what Mr. Quaile did or did not do in any way contributed to the losses of Golden Hill. I find that the bidding assumptions relating to the quantities of what would be found were reasonable in the circumstances. First, they compared favourably to the assumptions made by the other bidders. Second, no evidence was led on behalf of Kemess that a reasonable contractor reviewing the Tender Documents would have provided sufficiently different estimates of the quantities that would be encountered.</w:t>
      </w:r>
      <w:r>
        <w:rPr>
          <w:rFonts w:ascii="arial" w:eastAsia="arial" w:hAnsi="arial" w:cs="arial"/>
          <w:sz w:val="20"/>
          <w:lang w:val="en-US" w:eastAsia="en-US" w:bidi="ar-SA"/>
        </w:rPr>
        <w:cr/>
      </w:r>
    </w:p>
    <w:p>
      <w:pPr>
        <w:numPr>
          <w:numId w:val="2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LACK OF COMMUNICATION BETWEEN MESSRS. QUAILE AND RUDOLPH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773</w:t>
      </w:r>
      <w:r>
        <w:rPr>
          <w:rFonts w:ascii="arial" w:eastAsia="arial" w:hAnsi="arial" w:cs="arial"/>
          <w:color w:val="000000"/>
          <w:sz w:val="20"/>
          <w:lang w:val="en-US" w:eastAsia="en-US" w:bidi="ar-SA"/>
        </w:rPr>
        <w:t>  Mr. Rudolph only "reviewed the soils data briefly" before including the estimates of quantities of Mr. Quaile in his bid calculations.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774</w:t>
      </w:r>
      <w:r>
        <w:rPr>
          <w:rFonts w:ascii="arial" w:eastAsia="arial" w:hAnsi="arial" w:cs="arial"/>
          <w:color w:val="000000"/>
          <w:sz w:val="20"/>
          <w:lang w:val="en-US" w:eastAsia="en-US" w:bidi="ar-SA"/>
        </w:rPr>
        <w:t>  Kemess submits that the Soils Data showed a clear pattern, Mr. Quaile was aware of that pattern, Mr. Quaile was aware that there was significant quantities of material with a high silt content but that Mr. Rudolph did not take this into account when production rates and prices were 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775</w:t>
      </w:r>
      <w:r>
        <w:rPr>
          <w:rFonts w:ascii="arial" w:eastAsia="arial" w:hAnsi="arial" w:cs="arial"/>
          <w:color w:val="000000"/>
          <w:sz w:val="20"/>
          <w:lang w:val="en-US" w:eastAsia="en-US" w:bidi="ar-SA"/>
        </w:rPr>
        <w:t>  Based on his review of the Soils Data, Mr. Quaile estimated that there would be an average of one metre of weather-sensitive material (silts and clays) across the entire Millsite. Mr. Quaile also determined that this material would be Waste if Golden Hill encountered that material in wet weather but that it could be used for limited applications if encountered in good weather. Mr. Quaile estimated that 20% of this material would become Waste.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776</w:t>
      </w:r>
      <w:r>
        <w:rPr>
          <w:rFonts w:ascii="arial" w:eastAsia="arial" w:hAnsi="arial" w:cs="arial"/>
          <w:color w:val="000000"/>
          <w:sz w:val="20"/>
          <w:lang w:val="en-US" w:eastAsia="en-US" w:bidi="ar-SA"/>
        </w:rPr>
        <w:t>  Mr. Rudolph based his bid prices and production rates on the assumption that Golden Hill would be dealing with granular material at the Millsite and that this material would not be affected by weather. Mr. Rudolph was clear in his testimony that he did not expect to be moving weather-sensitive material. It was upon this assumption that the production level and prices were estimated by Mr. Rudolph and Kemess submits that this is a fundamental bidding error on the part of Golden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777</w:t>
      </w:r>
      <w:r>
        <w:rPr>
          <w:rFonts w:ascii="arial" w:eastAsia="arial" w:hAnsi="arial" w:cs="arial"/>
          <w:color w:val="000000"/>
          <w:sz w:val="20"/>
          <w:lang w:val="en-US" w:eastAsia="en-US" w:bidi="ar-SA"/>
        </w:rPr>
        <w:t>  Based on the area of the Millsite assumed by Mr. Quaile at tender time, one metre of weather-sensitive silts and clays overlaying the entire Millsite would produce 220,000 cubic metres of material or 40% of the entire amount of cut expected in the area. In addition, Mr. Quaile understood the crusher excavation area and part of the concentrator excavation area contained significant quantities of silt.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778</w:t>
      </w:r>
      <w:r>
        <w:rPr>
          <w:rFonts w:ascii="arial" w:eastAsia="arial" w:hAnsi="arial" w:cs="arial"/>
          <w:color w:val="000000"/>
          <w:sz w:val="20"/>
          <w:lang w:val="en-US" w:eastAsia="en-US" w:bidi="ar-SA"/>
        </w:rPr>
        <w:t>  Kemess submits that there is also an error with the "Cut to Stockpile Granular" estimates in the bid. Mr. Quaile assumed that the granular materials would come from either on Site or off Site and based his quantities on that assumption. On the other hand, Mr. Rudolph assumed that the materials were coming only from the Site. Therefore, Kemess submits that, when Mr. Rudolph reviewed the numbers provided by Mr. Quaile, he must have assumed that at least that much volume was available to be processed on Site and that would have affected his production estimates. Kemess submits that this would lead to the production levels assumed by Mr. Rudolph as being "overly optimistic", particularly because of the difference in haul distances.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779</w:t>
      </w:r>
      <w:r>
        <w:rPr>
          <w:rFonts w:ascii="arial" w:eastAsia="arial" w:hAnsi="arial" w:cs="arial"/>
          <w:color w:val="000000"/>
          <w:sz w:val="20"/>
          <w:lang w:val="en-US" w:eastAsia="en-US" w:bidi="ar-SA"/>
        </w:rPr>
        <w:t>  I am satisfied that both Mr. Quaile and Mr. Rudolph expected to encounter some but relatively little unsuitable material at the Millsite and expected that Golden Hill would be able to work in good granular material any time there was inclement weather. I accept the evidence of Mr. Rudolph that he expected some unsuitable material, that the unsuitable material would be relatively inconsequential, that the unsuitable material would cause Golden Hill to shut down its operations "the odd time" but that overall he expected to find significant quantities of "generally gravels, granular material" that was forgiving in wet weather. This was a reasonable expectation based on what Mr. Rempel had stated at the Site Visit and on the information provided to Mr. Rudolph by Mr. Quaile.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780</w:t>
      </w:r>
      <w:r>
        <w:rPr>
          <w:rFonts w:ascii="arial" w:eastAsia="arial" w:hAnsi="arial" w:cs="arial"/>
          <w:color w:val="000000"/>
          <w:sz w:val="20"/>
          <w:lang w:val="en-US" w:eastAsia="en-US" w:bidi="ar-SA"/>
        </w:rPr>
        <w:t>  In this regard, if Kemess thought that Golden Hill made fundamental errors through a lack of communication, they should have put that theory to Messrs. Quaile and Rudolph in cross-examination. Similarly, if Kemess thought that Golden Hill underestimated its productivity rates for "cut to stockpile granular", Kemess should have put that proposition to Mr. Rudolph in cross-examination or called evidence on the point. They did neither. Instead, counsel for Kemess raised it as a theory after the evidence was 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781</w:t>
      </w:r>
      <w:r>
        <w:rPr>
          <w:rFonts w:ascii="arial" w:eastAsia="arial" w:hAnsi="arial" w:cs="arial"/>
          <w:color w:val="000000"/>
          <w:sz w:val="20"/>
          <w:lang w:val="en-US" w:eastAsia="en-US" w:bidi="ar-SA"/>
        </w:rPr>
        <w:t xml:space="preserve">  After a review of all of the evidence, I cannot be satisfied that any failure of Mr. Quaile to fully communicate with Mr. Rudolph in any way contributed to the losses incurred by Golden Hill. I cannot be satisfied that Kemess has shown that there was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this account.</w:t>
      </w:r>
      <w:r>
        <w:rPr>
          <w:rFonts w:ascii="arial" w:eastAsia="arial" w:hAnsi="arial" w:cs="arial"/>
          <w:sz w:val="20"/>
          <w:lang w:val="en-US" w:eastAsia="en-US" w:bidi="ar-SA"/>
        </w:rPr>
        <w:cr/>
      </w:r>
    </w:p>
    <w:p>
      <w:pPr>
        <w:numPr>
          <w:numId w:val="2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BID ERRORS RELATED TO THE MILLSITE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782</w:t>
      </w:r>
      <w:r>
        <w:rPr>
          <w:rFonts w:ascii="arial" w:eastAsia="arial" w:hAnsi="arial" w:cs="arial"/>
          <w:color w:val="000000"/>
          <w:sz w:val="20"/>
          <w:lang w:val="en-US" w:eastAsia="en-US" w:bidi="ar-SA"/>
        </w:rPr>
        <w:t>  Kemess submits that Mr. Quaile made three errors in relation to the Millsite and that these errors contributed to the losses of Golden Hill: (a) calculating the size of the Millsite; (b) the volume of material to be handled; and (c) the amount of surfacing material.</w:t>
      </w:r>
      <w:r>
        <w:rPr>
          <w:rFonts w:ascii="arial" w:eastAsia="arial" w:hAnsi="arial" w:cs="arial"/>
          <w:sz w:val="20"/>
          <w:lang w:val="en-US" w:eastAsia="en-US" w:bidi="ar-SA"/>
        </w:rPr>
        <w:cr/>
      </w:r>
    </w:p>
    <w:p>
      <w:pPr>
        <w:numPr>
          <w:numId w:val="2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SIZE OF THE MILLSITE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783</w:t>
      </w:r>
      <w:r>
        <w:rPr>
          <w:rFonts w:ascii="arial" w:eastAsia="arial" w:hAnsi="arial" w:cs="arial"/>
          <w:color w:val="000000"/>
          <w:sz w:val="20"/>
          <w:lang w:val="en-US" w:eastAsia="en-US" w:bidi="ar-SA"/>
        </w:rPr>
        <w:t>  Mr. Quaile used the estimate of 22 hectares (220,000 square metres) that would have to be cleared, grubbed and stripped, with the Topsoil then stockpiled. He also assumed that one metre of material would have to be cleaned and grubbed and that one metre of Topsoil would have to be stockpiled.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784</w:t>
      </w:r>
      <w:r>
        <w:rPr>
          <w:rFonts w:ascii="arial" w:eastAsia="arial" w:hAnsi="arial" w:cs="arial"/>
          <w:color w:val="000000"/>
          <w:sz w:val="20"/>
          <w:lang w:val="en-US" w:eastAsia="en-US" w:bidi="ar-SA"/>
        </w:rPr>
        <w:t>  In fact, the area that had to be cleared and grubbed and the area that had to be stripped and Topsoil stockpiled was 33.3 hectares (333,000 square metres). Kemess submits that this creates a significant difference between bid and actual quantities so that significant extra work would be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785</w:t>
      </w:r>
      <w:r>
        <w:rPr>
          <w:rFonts w:ascii="arial" w:eastAsia="arial" w:hAnsi="arial" w:cs="arial"/>
          <w:color w:val="000000"/>
          <w:sz w:val="20"/>
          <w:lang w:val="en-US" w:eastAsia="en-US" w:bidi="ar-SA"/>
        </w:rPr>
        <w:t>  The following table compares the degree of accuracy with which each of the contractors estimated the final areas of the Millsite and the Millsite Access Road (all numbers are expressed as a percentage of the difference between the estimated and final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091"/>
        <w:gridCol w:w="1882"/>
        <w:gridCol w:w="1150"/>
        <w:gridCol w:w="1987"/>
        <w:gridCol w:w="83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048"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Golden Hill</w:t>
            </w:r>
          </w:p>
        </w:tc>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Ledcor</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North American</w:t>
            </w:r>
          </w:p>
        </w:tc>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Tercon</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9"/>
        <w:gridCol w:w="1568"/>
        <w:gridCol w:w="1150"/>
        <w:gridCol w:w="1568"/>
        <w:gridCol w:w="1673"/>
        <w:gridCol w:w="1568"/>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Access Rd.</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+16.3%</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-52.7%</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-41.9%</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-34.9%</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Millsite</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-44.9%</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- 7.3%</w:t>
            </w:r>
          </w:p>
        </w:tc>
        <w:tc>
          <w:tcPr>
            <w:tcW w:w="163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+10.3%</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+34.1%</w:t>
            </w:r>
          </w:p>
        </w:tc>
        <w:tc>
          <w:tcPr>
            <w:tcW w:w="245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 Area</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-29.9%</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-18.4%</w:t>
            </w:r>
          </w:p>
        </w:tc>
        <w:tc>
          <w:tcPr>
            <w:tcW w:w="163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- 2.5%</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+17.2%</w:t>
            </w:r>
          </w:p>
        </w:tc>
        <w:tc>
          <w:tcPr>
            <w:tcW w:w="2458"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786</w:t>
      </w:r>
      <w:r>
        <w:rPr>
          <w:rFonts w:ascii="arial" w:eastAsia="arial" w:hAnsi="arial" w:cs="arial"/>
          <w:color w:val="000000"/>
          <w:sz w:val="20"/>
          <w:lang w:val="en-US" w:eastAsia="en-US" w:bidi="ar-SA"/>
        </w:rPr>
        <w:t>  The following table compares the estimates for the various bidders for the strip and stockpile Topsoil pay item at the Millsite and the Millsite Access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091"/>
        <w:gridCol w:w="1882"/>
        <w:gridCol w:w="1150"/>
        <w:gridCol w:w="1778"/>
        <w:gridCol w:w="941"/>
        <w:gridCol w:w="941"/>
        <w:gridCol w:w="167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048"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Golden Hill</w:t>
            </w:r>
          </w:p>
        </w:tc>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Ledcor</w:t>
            </w:r>
          </w:p>
        </w:tc>
        <w:tc>
          <w:tcPr>
            <w:tcW w:w="174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 American</w:t>
            </w:r>
          </w:p>
        </w:tc>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Tercon</w:t>
            </w:r>
          </w:p>
        </w:tc>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Final</w:t>
            </w:r>
          </w:p>
        </w:tc>
        <w:tc>
          <w:tcPr>
            <w:tcW w:w="163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9"/>
        <w:gridCol w:w="1673"/>
        <w:gridCol w:w="941"/>
        <w:gridCol w:w="1568"/>
        <w:gridCol w:w="1464"/>
        <w:gridCol w:w="1568"/>
        <w:gridCol w:w="1150"/>
        <w:gridCol w:w="167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Access Rd.</w:t>
            </w:r>
          </w:p>
        </w:tc>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15.0</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4.7</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7.5</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6.7</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12.7</w:t>
            </w:r>
          </w:p>
        </w:tc>
        <w:tc>
          <w:tcPr>
            <w:tcW w:w="163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Millsite</w:t>
            </w:r>
          </w:p>
        </w:tc>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22.0</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27.0</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44.0</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53.0</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33.3</w:t>
            </w:r>
          </w:p>
        </w:tc>
        <w:tc>
          <w:tcPr>
            <w:tcW w:w="163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37.0</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31.7</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51.5</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59.7</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46.0</w:t>
            </w:r>
          </w:p>
        </w:tc>
        <w:tc>
          <w:tcPr>
            <w:tcW w:w="163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Area (In</w:t>
            </w:r>
          </w:p>
        </w:tc>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Hectares)</w:t>
            </w:r>
          </w:p>
        </w:tc>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787</w:t>
      </w:r>
      <w:r>
        <w:rPr>
          <w:rFonts w:ascii="arial" w:eastAsia="arial" w:hAnsi="arial" w:cs="arial"/>
          <w:color w:val="000000"/>
          <w:sz w:val="20"/>
          <w:lang w:val="en-US" w:eastAsia="en-US" w:bidi="ar-SA"/>
        </w:rPr>
        <w:t>  The combined estimate of Golden Hill is not the lowest, its Millsite Access Road estimate is higher than the final figure, and its estimate of Topsoil stripping at the Millsite was only five hectares lower than the estimate given by Ledcor.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788</w:t>
      </w:r>
      <w:r>
        <w:rPr>
          <w:rFonts w:ascii="arial" w:eastAsia="arial" w:hAnsi="arial" w:cs="arial"/>
          <w:color w:val="000000"/>
          <w:sz w:val="20"/>
          <w:lang w:val="en-US" w:eastAsia="en-US" w:bidi="ar-SA"/>
        </w:rPr>
        <w:t>  Kemess did not put the difference in the area of Topsoil stripping to Mr. Rudolph in cross-examination so that he was not in a position to testify about how this difference may have affected the Amended Schedule of Golden Hill or the equipment fleet of Golden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789</w:t>
      </w:r>
      <w:r>
        <w:rPr>
          <w:rFonts w:ascii="arial" w:eastAsia="arial" w:hAnsi="arial" w:cs="arial"/>
          <w:color w:val="000000"/>
          <w:sz w:val="20"/>
          <w:lang w:val="en-US" w:eastAsia="en-US" w:bidi="ar-SA"/>
        </w:rPr>
        <w:t>  After reviewing the evidence, I cannot be satisfied that Kemess has shown that the error made by Mr. Quaile contributed to the losses which were incurred by Golden Hill. It is correct to say that Golden Hill has been paid for the additional volume of Topsoil that had to be stockpiled. However, I am satisfied that any additional volume of Topsoil can be attributed to the fact that the Provincial Government environmental representatives required all Topsoil to be stockpiled rather than only to the depth of Topsoil contemplated in the Tender Documents. Accordingly, I am satisfied that the losses of Golden Hill relate to this change rather than to the error of Mr. Quaile. It is also apparent that the Tender Documents led four very experienced contractors to provide estimates which widely varied as to the hectares to be cleared and grubbed and the Topsoil to be stripped and stockpiled.</w:t>
      </w:r>
      <w:r>
        <w:rPr>
          <w:rFonts w:ascii="arial" w:eastAsia="arial" w:hAnsi="arial" w:cs="arial"/>
          <w:sz w:val="20"/>
          <w:lang w:val="en-US" w:eastAsia="en-US" w:bidi="ar-SA"/>
        </w:rPr>
        <w:cr/>
      </w:r>
    </w:p>
    <w:p>
      <w:pPr>
        <w:numPr>
          <w:numId w:val="2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QUANTITY OF MATERIAL TO BE HANDLED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790</w:t>
      </w:r>
      <w:r>
        <w:rPr>
          <w:rFonts w:ascii="arial" w:eastAsia="arial" w:hAnsi="arial" w:cs="arial"/>
          <w:color w:val="000000"/>
          <w:sz w:val="20"/>
          <w:lang w:val="en-US" w:eastAsia="en-US" w:bidi="ar-SA"/>
        </w:rPr>
        <w:t>  The design grades were provided by Kemess so that the volume of material is calculated by comparing the original ground and the design grade. The amount of bulk excavation material expected to be handled by Golden Hill would be its totals for "cut to fill common"; "cut to stockpile unsuitable"; "cut to stockpile granular"; and "borrow to fill common".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791</w:t>
      </w:r>
      <w:r>
        <w:rPr>
          <w:rFonts w:ascii="arial" w:eastAsia="arial" w:hAnsi="arial" w:cs="arial"/>
          <w:color w:val="000000"/>
          <w:sz w:val="20"/>
          <w:lang w:val="en-US" w:eastAsia="en-US" w:bidi="ar-SA"/>
        </w:rPr>
        <w:t>  Kemess submits that there are only three possible ways in which the final quantities could have been different than the estimated volumes of material contained in the bid: (a) a design change; (b) the soils were different than expected in which case there would be off-setting changes to each of the "cut to fill", "cut to waste" and "borrow to fill" volumes; or (c) the estimates were in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792</w:t>
      </w:r>
      <w:r>
        <w:rPr>
          <w:rFonts w:ascii="arial" w:eastAsia="arial" w:hAnsi="arial" w:cs="arial"/>
          <w:color w:val="000000"/>
          <w:sz w:val="20"/>
          <w:lang w:val="en-US" w:eastAsia="en-US" w:bidi="ar-SA"/>
        </w:rPr>
        <w:t>  Kemess submits that there was no significant design change but that if more Cut is added to the design and if the material is suitable to be used as Fill, then the borrow amount is reduced. If the material was suitable to use as Fill but no Fill was required, the material would be stockpiled or potentially available for processing into Granular A or Granular B. If the material was not suitable to be used as Fill or there was no need to stockpile it for granular processing, the material would have been placed in a designated disposal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793</w:t>
      </w:r>
      <w:r>
        <w:rPr>
          <w:rFonts w:ascii="arial" w:eastAsia="arial" w:hAnsi="arial" w:cs="arial"/>
          <w:color w:val="000000"/>
          <w:sz w:val="20"/>
          <w:lang w:val="en-US" w:eastAsia="en-US" w:bidi="ar-SA"/>
        </w:rPr>
        <w:t>  Conversely, if a design change resulted in less Fill being required than expected, then the borrowed Fill volume would be decreased, the Cut to Fill volume would be decreased, and either the Cut to stockpile unsuitable volume or the Cut to stockpile granular volume or both would be increased as Golden Hill would have had to dispose of the excess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794</w:t>
      </w:r>
      <w:r>
        <w:rPr>
          <w:rFonts w:ascii="arial" w:eastAsia="arial" w:hAnsi="arial" w:cs="arial"/>
          <w:color w:val="000000"/>
          <w:sz w:val="20"/>
          <w:lang w:val="en-US" w:eastAsia="en-US" w:bidi="ar-SA"/>
        </w:rPr>
        <w:t>  A design change affected the Millsite as a large Fill area above the crusher and the crusher road were deleted. This deletion from the Contract was made at the outset of the Project before any earthworks at the Millsite began. While Kemess had the right to make such a change, the deletion impacted negatively on the productivity of Golden Hill as the deletion resulted in Golden Hill having an excess of Cut material at the Millsite that it had to be stockpiled. Messrs. Quaile and Lyons confirmed that the surplus material was disposed of in an unsuitable dump and that Golden Hill was paid for moving this material to that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795</w:t>
      </w:r>
      <w:r>
        <w:rPr>
          <w:rFonts w:ascii="arial" w:eastAsia="arial" w:hAnsi="arial" w:cs="arial"/>
          <w:color w:val="000000"/>
          <w:sz w:val="20"/>
          <w:lang w:val="en-US" w:eastAsia="en-US" w:bidi="ar-SA"/>
        </w:rPr>
        <w:t>  The total volume of material that Golden Hill expected to encounter between the natural grade and the design grade at the Millsite and Millsite Access Road was 612,000 cubic metres. The total amount of material actually excavated was 956,900 cubic metres (an increase of more than 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796</w:t>
      </w:r>
      <w:r>
        <w:rPr>
          <w:rFonts w:ascii="arial" w:eastAsia="arial" w:hAnsi="arial" w:cs="arial"/>
          <w:color w:val="000000"/>
          <w:sz w:val="20"/>
          <w:lang w:val="en-US" w:eastAsia="en-US" w:bidi="ar-SA"/>
        </w:rPr>
        <w:t>  The "extra" unsuitable that Mr. Quaile should have expected if he had estimated the total area at 52.8 hectares instead of 37.0 hectares would be approximately 31,600 cubic metres (the difference of 15.8 hectares multiplied by 10,000 square metres per hectare equals an area of 158,000 square metres multiplied by an average of .20 metres of waste). I am not satisfied that this small increase in the amount of Waste alone would have caused a significant loss and certainly does not account for the difference between the estimated (612,000 cubic metres) and the actual (956,900 cubic metres) Waste.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797</w:t>
      </w:r>
      <w:r>
        <w:rPr>
          <w:rFonts w:ascii="arial" w:eastAsia="arial" w:hAnsi="arial" w:cs="arial"/>
          <w:color w:val="000000"/>
          <w:sz w:val="20"/>
          <w:lang w:val="en-US" w:eastAsia="en-US" w:bidi="ar-SA"/>
        </w:rPr>
        <w:t>  I find that any errors in the estimates of the quantity of material to be handled at the Millsite did not contribute to the losses of Golden Hill. Rather, the changes in the material actually handled came as a result of other factors. I find that Golden Hill and other bidders could expect at the Millsite: (a) an average of .3 metres of Topsoil (.15 metres of which Golden Hill expected would be removed during the grubbing operations); (b) a significant amount of good granular material that could be cut from excavation and placed in Fill; (c) a relatively small amount of silty wet material that would be taken to waste dumps; (d) a small amount of borrow to Fill placement (or none); and (e) a significant amount of good granular material that could be used to produce stockpiles for Granular A, Granular B, and concrete aggregate.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798</w:t>
      </w:r>
      <w:r>
        <w:rPr>
          <w:rFonts w:ascii="arial" w:eastAsia="arial" w:hAnsi="arial" w:cs="arial"/>
          <w:color w:val="000000"/>
          <w:sz w:val="20"/>
          <w:lang w:val="en-US" w:eastAsia="en-US" w:bidi="ar-SA"/>
        </w:rPr>
        <w:t>  What was actually found at the Millsite turned out to be: (a) significantly more than .3 metres of Topsoil (as required by the environmental officials) that had to be piled in excessively small, wet Dumps; (b) a significant amount of Cut material which was less granular that expected that had to be placed as Fill; (c) very little granular material available for "cut for stockpile"; (d) a huge quantity of unsuitable and extra material that had to be taken to excessively small, unsuitable Dumps; and (e) a small amount of borrow.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799</w:t>
      </w:r>
      <w:r>
        <w:rPr>
          <w:rFonts w:ascii="arial" w:eastAsia="arial" w:hAnsi="arial" w:cs="arial"/>
          <w:color w:val="000000"/>
          <w:sz w:val="20"/>
          <w:lang w:val="en-US" w:eastAsia="en-US" w:bidi="ar-SA"/>
        </w:rPr>
        <w:t>  The effect on productivity of these changes was a less productive Cut/Fill operation because the soils were less granular than expected and because of the replacement of an efficient Cut to stockpile granular operation with a highly inefficient Topsoil and unsuitable disposal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800</w:t>
      </w:r>
      <w:r>
        <w:rPr>
          <w:rFonts w:ascii="arial" w:eastAsia="arial" w:hAnsi="arial" w:cs="arial"/>
          <w:color w:val="000000"/>
          <w:sz w:val="20"/>
          <w:lang w:val="en-US" w:eastAsia="en-US" w:bidi="ar-SA"/>
        </w:rPr>
        <w:t>  I am satisfied that bidders could expect a roughly balanced Cut/Fill operation at the Millsite. What was experienced was very different. The following table illustrates the difference between what was expected and what was experienced. (All volumes are in cubic metres).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8"/>
        <w:gridCol w:w="5332"/>
        <w:gridCol w:w="1673"/>
        <w:gridCol w:w="198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2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Estimated</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Final</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2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Excavation Category</w:t>
            </w:r>
          </w:p>
        </w:tc>
        <w:tc>
          <w:tcPr>
            <w:tcW w:w="163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Volume</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Volume</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9"/>
        <w:gridCol w:w="5227"/>
        <w:gridCol w:w="1255"/>
        <w:gridCol w:w="1568"/>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Cut to Fill Common</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470,000</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476,813</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Cut to Stockpile Unsuitable</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40,000</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445,085</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Borrow to Fill Common</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62,000</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19,502</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Cut to Stockpile Granular</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40,000</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15,500</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 Volume of Bulk Excavation</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612,000</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956,900</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Excavation Deficit (i.e. Cut &gt; Borrow)</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(18,000)</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(441,083)</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Deficit as a percentage of Total Volume</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2.94%</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46.1%</w:t>
            </w:r>
          </w:p>
        </w:tc>
        <w:tc>
          <w:tcPr>
            <w:tcW w:w="194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801</w:t>
      </w:r>
      <w:r>
        <w:rPr>
          <w:rFonts w:ascii="arial" w:eastAsia="arial" w:hAnsi="arial" w:cs="arial"/>
          <w:color w:val="000000"/>
          <w:sz w:val="20"/>
          <w:lang w:val="en-US" w:eastAsia="en-US" w:bidi="ar-SA"/>
        </w:rPr>
        <w:t>  None of the other bidders anticipated large volumes of Cut to unsuitable material. The following table for bulk excavation at the Millsite shows those estimates in comparison to the actual volume of 956,900 cubic metres. (all volumes are expressed in cubic metres)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927"/>
        <w:gridCol w:w="1778"/>
        <w:gridCol w:w="1359"/>
        <w:gridCol w:w="1568"/>
        <w:gridCol w:w="1046"/>
        <w:gridCol w:w="1255"/>
        <w:gridCol w:w="5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Excavation Category</w:t>
            </w:r>
          </w:p>
        </w:tc>
        <w:tc>
          <w:tcPr>
            <w:tcW w:w="174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Golden Hill</w:t>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Ledcor</w:t>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 American</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Tercon</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Actual</w:t>
            </w:r>
          </w:p>
        </w:tc>
        <w:tc>
          <w:tcPr>
            <w:tcW w:w="51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928"/>
        <w:gridCol w:w="1150"/>
        <w:gridCol w:w="1568"/>
        <w:gridCol w:w="1568"/>
        <w:gridCol w:w="1568"/>
        <w:gridCol w:w="1255"/>
        <w:gridCol w:w="41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Cut to Fill Common</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470,000</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491,900</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480,000</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390,000</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476,813</w:t>
            </w:r>
          </w:p>
        </w:tc>
        <w:tc>
          <w:tcPr>
            <w:tcW w:w="41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Cut to Unsuitable</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40,000</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17,150</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1,000</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40,000</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445,085</w:t>
            </w:r>
          </w:p>
        </w:tc>
        <w:tc>
          <w:tcPr>
            <w:tcW w:w="41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Borrow to Fill</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62,000</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0</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0</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19,502</w:t>
            </w:r>
          </w:p>
        </w:tc>
        <w:tc>
          <w:tcPr>
            <w:tcW w:w="41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Cut to Granular</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80,000</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327,500</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615,000</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240,000</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15,500</w:t>
            </w:r>
          </w:p>
        </w:tc>
        <w:tc>
          <w:tcPr>
            <w:tcW w:w="41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86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 Volume</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652,000</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836,551</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1,096,000</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670,000</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956,900</w:t>
            </w:r>
          </w:p>
        </w:tc>
        <w:tc>
          <w:tcPr>
            <w:tcW w:w="410"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Variation from Final</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-31.9%</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-12.6%</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+14.5%</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-30.0%</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802</w:t>
      </w:r>
      <w:r>
        <w:rPr>
          <w:rFonts w:ascii="arial" w:eastAsia="arial" w:hAnsi="arial" w:cs="arial"/>
          <w:color w:val="000000"/>
          <w:sz w:val="20"/>
          <w:lang w:val="en-US" w:eastAsia="en-US" w:bidi="ar-SA"/>
        </w:rPr>
        <w:t>  I find that it was realistic for Golden Hill and all other bidders to expect a very low volume of "cut to unsuitable" as well as the presence of good granular material on the Site. I am satisfied that any inaccuracies in the bid of Golden Hill regarding the amount of material to be handled did not contribute to the losses occasioned by Golden Hill.</w:t>
      </w:r>
      <w:r>
        <w:rPr>
          <w:rFonts w:ascii="arial" w:eastAsia="arial" w:hAnsi="arial" w:cs="arial"/>
          <w:sz w:val="20"/>
          <w:lang w:val="en-US" w:eastAsia="en-US" w:bidi="ar-SA"/>
        </w:rPr>
        <w:cr/>
      </w:r>
    </w:p>
    <w:p>
      <w:pPr>
        <w:numPr>
          <w:numId w:val="2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OF SURFACING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803</w:t>
      </w:r>
      <w:r>
        <w:rPr>
          <w:rFonts w:ascii="arial" w:eastAsia="arial" w:hAnsi="arial" w:cs="arial"/>
          <w:color w:val="000000"/>
          <w:sz w:val="20"/>
          <w:lang w:val="en-US" w:eastAsia="en-US" w:bidi="ar-SA"/>
        </w:rPr>
        <w:t>  Mr. Quaile testified that his methodology was to take the expected area that would require granular surfacing and multiply it by .45 metres. This was the depth of the Granular B material (300 mm) plus the Granular A capping of the Granular B material (150 mm).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804</w:t>
      </w:r>
      <w:r>
        <w:rPr>
          <w:rFonts w:ascii="arial" w:eastAsia="arial" w:hAnsi="arial" w:cs="arial"/>
          <w:color w:val="000000"/>
          <w:sz w:val="20"/>
          <w:lang w:val="en-US" w:eastAsia="en-US" w:bidi="ar-SA"/>
        </w:rPr>
        <w:t>  At the Millsite, there was not enough granular material so that the specifications had to be relaxed and no Granular A was placed. Regarding the quantities to be placed at the Millsite, Kilborn had raised the problem that the surfacing area was significantly lower than other bidders. As a result, Mr. Quaile went back and changed his estimate from 20,000 square metres of surfacing to 179,000 square metres of surfacing.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805</w:t>
      </w:r>
      <w:r>
        <w:rPr>
          <w:rFonts w:ascii="arial" w:eastAsia="arial" w:hAnsi="arial" w:cs="arial"/>
          <w:color w:val="000000"/>
          <w:sz w:val="20"/>
          <w:lang w:val="en-US" w:eastAsia="en-US" w:bidi="ar-SA"/>
        </w:rPr>
        <w:t>  While this increase was incorporated by Golden Hill into its plan for the Work, there was no corresponding increase in the amount of time Golden Hill would need to do the job by the same nine fold amount. As well, even though the surfacing and granular quantities greatly increased, Golden Hill did not ask for any extension of time to the Amended Schedule.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806</w:t>
      </w:r>
      <w:r>
        <w:rPr>
          <w:rFonts w:ascii="arial" w:eastAsia="arial" w:hAnsi="arial" w:cs="arial"/>
          <w:color w:val="000000"/>
          <w:sz w:val="20"/>
          <w:lang w:val="en-US" w:eastAsia="en-US" w:bidi="ar-SA"/>
        </w:rPr>
        <w:t>  While Kemess suggests that, if Golden Hill had estimated a larger volume of Cut to granular material at the Millsite it would not have been able to meet its Amended Schedule and would have had to mobilize more equipment, this proposition was not put to Mr. Rudolph in cross-examination. As well, the equipment fleet of Golden Hill was almost the same as the fleet of North American although North American had planned on moving more than 600,000 cubic metres of granular material in roughly the same time frame that Golden Hill had planned.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807</w:t>
      </w:r>
      <w:r>
        <w:rPr>
          <w:rFonts w:ascii="arial" w:eastAsia="arial" w:hAnsi="arial" w:cs="arial"/>
          <w:color w:val="000000"/>
          <w:sz w:val="20"/>
          <w:lang w:val="en-US" w:eastAsia="en-US" w:bidi="ar-SA"/>
        </w:rPr>
        <w:t>  I am satisfied that Kemess has not proven on a balance of probabilities that Golden Hill's low estimate of the volume of Cut to stockpile granular material at the Millsite caused it to suffer any losses independent from the tortious acts and breaches of contract that Kemess committed during the course of the Work. I am satisfied that, because Golden Hill could not find any granular material at the Millsite in any event, its low estimate of the Cut to stockpile granular material at the Millsite did not cause or contribute to its losses.</w:t>
      </w:r>
      <w:r>
        <w:rPr>
          <w:rFonts w:ascii="arial" w:eastAsia="arial" w:hAnsi="arial" w:cs="arial"/>
          <w:sz w:val="20"/>
          <w:lang w:val="en-US" w:eastAsia="en-US" w:bidi="ar-SA"/>
        </w:rPr>
        <w:cr/>
      </w:r>
    </w:p>
    <w:p>
      <w:pPr>
        <w:numPr>
          <w:numId w:val="2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QUALITY OF THE SOILS AND QUANTITY OF THE EXPECTED WASTE AT THE MILLSITE</w:t>
      </w:r>
    </w:p>
    <w:p>
      <w:pPr>
        <w:numPr>
          <w:numId w:val="2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EXPECTED SOIL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808</w:t>
      </w:r>
      <w:r>
        <w:rPr>
          <w:rFonts w:ascii="arial" w:eastAsia="arial" w:hAnsi="arial" w:cs="arial"/>
          <w:color w:val="000000"/>
          <w:sz w:val="20"/>
          <w:lang w:val="en-US" w:eastAsia="en-US" w:bidi="ar-SA"/>
        </w:rPr>
        <w:t>  In coming up with the quantities, Mr. Quaile concluded that there would be an average of 1 metre of silt overlaying the entire Millsite and that approximately 20% of that silt would be waste (.2 metres). Kemess submits that this was in "far too optimistic an assessment" in view of the cool, wet Summers, cold Falls and soil conditions at the site. Also, by underestimating the size of the Millsite area, Mr. Quaile's estimate should have produced a consequential increase in the Waste which would be expected.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809</w:t>
      </w:r>
      <w:r>
        <w:rPr>
          <w:rFonts w:ascii="arial" w:eastAsia="arial" w:hAnsi="arial" w:cs="arial"/>
          <w:color w:val="000000"/>
          <w:sz w:val="20"/>
          <w:lang w:val="en-US" w:eastAsia="en-US" w:bidi="ar-SA"/>
        </w:rPr>
        <w:t>  Regarding the balance of the weather-sensitive material (.8 metres), Mr. Quaile assumed that it could be used in an embankment operation in the larger fills which would not be under the structures that would ultimately be built at the Millsite. Under cross-examination, Mr. Quaile admitted that the material would either have to be dry when Golden Hill started using it or it would have to be given sufficient time to dry out before it was handled. He also agreed that when a contractor is working in wet weather it generally expects to get a higher percentage of Waste than in dry weather. Mr. Quaile could not recall how many rain days he expected between June and November, 1996 when he was putting together his quantities.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810</w:t>
      </w:r>
      <w:r>
        <w:rPr>
          <w:rFonts w:ascii="arial" w:eastAsia="arial" w:hAnsi="arial" w:cs="arial"/>
          <w:color w:val="000000"/>
          <w:sz w:val="20"/>
          <w:lang w:val="en-US" w:eastAsia="en-US" w:bidi="ar-SA"/>
        </w:rPr>
        <w:t>  Kemess submits that this was "an aggressive approach" to the usability of the materials and was very much dependent on getting extended periods of dry weather. The level of risk that such an approach brings with it may only be acceptable to a contractor with an unlimited amount of time or where the contract was being carried out in dry climates.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811</w:t>
      </w:r>
      <w:r>
        <w:rPr>
          <w:rFonts w:ascii="arial" w:eastAsia="arial" w:hAnsi="arial" w:cs="arial"/>
          <w:color w:val="000000"/>
          <w:sz w:val="20"/>
          <w:lang w:val="en-US" w:eastAsia="en-US" w:bidi="ar-SA"/>
        </w:rPr>
        <w:t>  As to the possibility of wet weather, Mr. Quaile said that he anticipated wet weather and that during the wet weather: "we would have to move our operations to an area that contained more sand and gravel in the soils. We did not expect to have to move the silt in wet weather." In cross-examination, he confirmed that it was his view that there was good granular material below the layer of silt.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812</w:t>
      </w:r>
      <w:r>
        <w:rPr>
          <w:rFonts w:ascii="arial" w:eastAsia="arial" w:hAnsi="arial" w:cs="arial"/>
          <w:color w:val="000000"/>
          <w:sz w:val="20"/>
          <w:lang w:val="en-US" w:eastAsia="en-US" w:bidi="ar-SA"/>
        </w:rPr>
        <w:t>  Given Mr. Quaile's estimate of 1 metre of silt based on a 22 hectare Millsite area at Tender time, Kemess submits that Golden Hill should have known that it would have at least 220,000 cubic metres of weather-sensitive material to deal with and this is a "far cry" from Mr. Rudolph's professed expectations of good granular throughout the Millsite. This difference between what Mr. Quaile anticipated and what Mr. Rudolph assumed or anticipated is described by Kemess as being a "very significant" bidding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813</w:t>
      </w:r>
      <w:r>
        <w:rPr>
          <w:rFonts w:ascii="arial" w:eastAsia="arial" w:hAnsi="arial" w:cs="arial"/>
          <w:color w:val="000000"/>
          <w:sz w:val="20"/>
          <w:lang w:val="en-US" w:eastAsia="en-US" w:bidi="ar-SA"/>
        </w:rPr>
        <w:t>  Despite the submissions of Kemess, I am satisfied that the best evidence of what Golden Hill should have expected to find at the Millsite is what Kilborn, Kemess, Golden Hill, and other contractors expected to find at the Millsite, being large deposits of good granular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814</w:t>
      </w:r>
      <w:r>
        <w:rPr>
          <w:rFonts w:ascii="arial" w:eastAsia="arial" w:hAnsi="arial" w:cs="arial"/>
          <w:color w:val="000000"/>
          <w:sz w:val="20"/>
          <w:lang w:val="en-US" w:eastAsia="en-US" w:bidi="ar-SA"/>
        </w:rPr>
        <w:t>  Ledcor, North American, and Tercon as well as Golden Hill are all large and experienced earthworks contractors. They estimated that they would encounter between 80,000 to 615,000 cubic metres of "cut to granular" material at the Millsite. Golden Hill encountered only 15,500 cubic metres of that material at the Millsite.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815</w:t>
      </w:r>
      <w:r>
        <w:rPr>
          <w:rFonts w:ascii="arial" w:eastAsia="arial" w:hAnsi="arial" w:cs="arial"/>
          <w:color w:val="000000"/>
          <w:sz w:val="20"/>
          <w:lang w:val="en-US" w:eastAsia="en-US" w:bidi="ar-SA"/>
        </w:rPr>
        <w:t>  These four experienced earthworks contractors estimated that they would encounter between 1,000 cubic metres and 40,000 cubic metres of "Cut to unsuitable" whereas 445,085 cubic metres was the final figure. It is also instructive to note that the estimate of Tercon of 40,000 cubic metres of unsuitable was on the basis of 53 hectare estimate so, that while they estimated the same volume of unsuitable, Tercon estimated less unsuitable per hectare than Golden Hill. On a per hectare basis, Golden Hill had the largest estimate for Cut to unsuitable material but it was only 10% of what was eventually handled (40,000 vs. 445,085 cubic metres).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816</w:t>
      </w:r>
      <w:r>
        <w:rPr>
          <w:rFonts w:ascii="arial" w:eastAsia="arial" w:hAnsi="arial" w:cs="arial"/>
          <w:color w:val="000000"/>
          <w:sz w:val="20"/>
          <w:lang w:val="en-US" w:eastAsia="en-US" w:bidi="ar-SA"/>
        </w:rPr>
        <w:t>  I am satisfied that the opinion of Kemess that Golden Hill was "too aggressive" when Mr. Quaile estimated that 80% of the weather-sensitive material would be useable was "too aggressive" does not withstand the test of comparing the estimates of Golden Hill to the estimates of Ledcor, Tercon and North American.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817</w:t>
      </w:r>
      <w:r>
        <w:rPr>
          <w:rFonts w:ascii="arial" w:eastAsia="arial" w:hAnsi="arial" w:cs="arial"/>
          <w:color w:val="000000"/>
          <w:sz w:val="20"/>
          <w:lang w:val="en-US" w:eastAsia="en-US" w:bidi="ar-SA"/>
        </w:rPr>
        <w:t>  I also reject the submission that Golden Hill should have expected to deal with a much larger amount of weather-sensitive material. I am satisfied that this is incorrect for a number of reasons including the fact that the whole Millsite was not a cut area so that it was not necessary for Golden Hill to remove weather-sensitive material from areas designated as fill areas.</w:t>
      </w:r>
      <w:r>
        <w:rPr>
          <w:rFonts w:ascii="arial" w:eastAsia="arial" w:hAnsi="arial" w:cs="arial"/>
          <w:sz w:val="20"/>
          <w:lang w:val="en-US" w:eastAsia="en-US" w:bidi="ar-SA"/>
        </w:rPr>
        <w:cr/>
      </w:r>
    </w:p>
    <w:p>
      <w:pPr>
        <w:numPr>
          <w:numId w:val="2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MISCALCULATION OF THE EFFECT OF MOISTURE ON SOILS AT THE MILLSITE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818</w:t>
      </w:r>
      <w:r>
        <w:rPr>
          <w:rFonts w:ascii="arial" w:eastAsia="arial" w:hAnsi="arial" w:cs="arial"/>
          <w:color w:val="000000"/>
          <w:sz w:val="20"/>
          <w:lang w:val="en-US" w:eastAsia="en-US" w:bidi="ar-SA"/>
        </w:rPr>
        <w:t>  The moisture sensitivity of the material to be worked is a very significant component in determining whether it will be Waste or whether it is suitable and what production levels and costs will be realized by the contractor during the Work. Kemess submits that the expected conditions ought to have alerted Golden Hill that the stripping of Topsoil operation with the silt layer underneath would not be a high productivity operation particularly if there was rain that exposed the material and that Golden Hill ought to have planned to deal with the layer of silt being exposed to the weather despite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819</w:t>
      </w:r>
      <w:r>
        <w:rPr>
          <w:rFonts w:ascii="arial" w:eastAsia="arial" w:hAnsi="arial" w:cs="arial"/>
          <w:color w:val="000000"/>
          <w:sz w:val="20"/>
          <w:lang w:val="en-US" w:eastAsia="en-US" w:bidi="ar-SA"/>
        </w:rPr>
        <w:t>  While Kemess takes the position that Mr. Rudolph based his bid on the assumption that there would be non-weather-sensitive material at the Millsite, I find that this position is not in accord with the evidence: (a) both Messrs. Quaile and Rudolph expected to encounter relatively little unsuitable material at the Millsite and expected that Golden Hill would be able to work in good granular material during any inclement weather. Their estimate of 40,000 cubic metres of unsuitable material was consistent with what other bidders expected; and (b) Mr. Rudolph never suggested that his "entire bid" was based on the assumption that Golden Hill would be dealing with non-weather-sensitive material. Rather, he gave evidence in both direct and cross-examination that he expected to encounter unsuitable material at the Millsite but, in relation to the overall Project, he expected that the unsuitable material would be relatively minor and would only cause Golden Hill to shut down its operations "the odd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820</w:t>
      </w:r>
      <w:r>
        <w:rPr>
          <w:rFonts w:ascii="arial" w:eastAsia="arial" w:hAnsi="arial" w:cs="arial"/>
          <w:color w:val="000000"/>
          <w:sz w:val="20"/>
          <w:lang w:val="en-US" w:eastAsia="en-US" w:bidi="ar-SA"/>
        </w:rPr>
        <w:t>  I am satisfied that Golden Hill was well aware of the effect of moisture on weather-sensitive material at the Millsite and elsewhere. I find that the reasonable expectations of what unsuitable material would be in place was assessed by all four bidders as not being in excess of the estimate of Golden Hill, being 40,000 cubic metres of unsuitable material. If that amount had actually been encountered, I am satisfied that Golden Hill would have been in a position to work around that amount and would not have lost productivity as a result. Because unsuitable material amounted to almost 11 times what could be reasonably anticipated, the extraordinary weather which was experienced had a disastrous effect on the productivity of Golden Hill.</w:t>
      </w:r>
      <w:r>
        <w:rPr>
          <w:rFonts w:ascii="arial" w:eastAsia="arial" w:hAnsi="arial" w:cs="arial"/>
          <w:sz w:val="20"/>
          <w:lang w:val="en-US" w:eastAsia="en-US" w:bidi="ar-SA"/>
        </w:rPr>
        <w:cr/>
      </w:r>
    </w:p>
    <w:p>
      <w:pPr>
        <w:numPr>
          <w:numId w:val="2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QUALITY AND QUANTITIES OF MATERIALS AT THE AIRSTRIP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821</w:t>
      </w:r>
      <w:r>
        <w:rPr>
          <w:rFonts w:ascii="arial" w:eastAsia="arial" w:hAnsi="arial" w:cs="arial"/>
          <w:color w:val="000000"/>
          <w:sz w:val="20"/>
          <w:lang w:val="en-US" w:eastAsia="en-US" w:bidi="ar-SA"/>
        </w:rPr>
        <w:t>  Kemess submits that Mr. Quaile made a number of errors in attempting to quantify the quantities at the Airstrip. Mr. Quaile stated that he used "roughly the same" calculations for Waste at the Airstrip as he had used at the Millsite and that his estimate was based on the soil logs for the Millsite.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822</w:t>
      </w:r>
      <w:r>
        <w:rPr>
          <w:rFonts w:ascii="arial" w:eastAsia="arial" w:hAnsi="arial" w:cs="arial"/>
          <w:color w:val="000000"/>
          <w:sz w:val="20"/>
          <w:lang w:val="en-US" w:eastAsia="en-US" w:bidi="ar-SA"/>
        </w:rPr>
        <w:t>  The graded area of the Airstrip was 129,600 square metres, being 90 metres wide and 1,440 metres long. However, the area of stripping and stockpiling Topsoil at the Airstrip was 16 hectares or 160,000 square metres of area. The estimate of unsuitable volume in the Golden Hill bid was 20,000 cubic metres based on 16 hectares and the assumption of Mr. Quaile was that 20% of what would be encountered would be Waste. If Mr. Quaile had been consistent when he concluded that the materials of the Airstrip would be the same as what would be encountered at the Millsite, he should have calculated that the Waste would be 32,000 cubic metres made up of 16 hectares (160,000 square metres) with 20% waste.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823</w:t>
      </w:r>
      <w:r>
        <w:rPr>
          <w:rFonts w:ascii="arial" w:eastAsia="arial" w:hAnsi="arial" w:cs="arial"/>
          <w:color w:val="000000"/>
          <w:sz w:val="20"/>
          <w:lang w:val="en-US" w:eastAsia="en-US" w:bidi="ar-SA"/>
        </w:rPr>
        <w:t>  Kemess submits that Mr. Quaile should have been more conservative in his calculation of Waste than he had been at the Millsite. Instead, the calculations indicate that Mr. Quaile based his quantities on the expectation that better material would be encountered at the Airstrip than would be encountered at the Millsite. Kemess submits that this was an unreasonable way to proceed and constitutes a bidding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824</w:t>
      </w:r>
      <w:r>
        <w:rPr>
          <w:rFonts w:ascii="arial" w:eastAsia="arial" w:hAnsi="arial" w:cs="arial"/>
          <w:color w:val="000000"/>
          <w:sz w:val="20"/>
          <w:lang w:val="en-US" w:eastAsia="en-US" w:bidi="ar-SA"/>
        </w:rPr>
        <w:t>  I am satisfied that I do not have to decide whether the criticisms of Mr. Quaile's calculations are valid or not as the differences between the expected and actual quantities at the Airstrip are explained by the difference between the PCL Design which was included in the Tender Documents and the final design of Vilholth Jensen. As well, the estimates of Golden Hill for bulk excavation volumes at the Airstrip was the largest of all of the bidders: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032"/>
        <w:gridCol w:w="1778"/>
        <w:gridCol w:w="1359"/>
        <w:gridCol w:w="1568"/>
        <w:gridCol w:w="1045"/>
        <w:gridCol w:w="1255"/>
        <w:gridCol w:w="41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Excavation Category</w:t>
            </w:r>
          </w:p>
        </w:tc>
        <w:tc>
          <w:tcPr>
            <w:tcW w:w="174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Golden Hill</w:t>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Ledcor</w:t>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 American</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Tercon</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Final</w:t>
            </w:r>
          </w:p>
        </w:tc>
        <w:tc>
          <w:tcPr>
            <w:tcW w:w="41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023"/>
        <w:gridCol w:w="1146"/>
        <w:gridCol w:w="1564"/>
        <w:gridCol w:w="1564"/>
        <w:gridCol w:w="1564"/>
        <w:gridCol w:w="1355"/>
        <w:gridCol w:w="24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Cut to Fill Common</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271,000</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183,379</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210,000</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134,000</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229,225</w:t>
            </w:r>
          </w:p>
        </w:tc>
        <w:tc>
          <w:tcPr>
            <w:tcW w:w="20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Cut to Unsuitable</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20,000</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12,635</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0</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7,500</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133,063</w:t>
            </w:r>
          </w:p>
        </w:tc>
        <w:tc>
          <w:tcPr>
            <w:tcW w:w="20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Borrow to Fill</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1,000</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11,661</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0</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55,500</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93,239</w:t>
            </w:r>
          </w:p>
        </w:tc>
        <w:tc>
          <w:tcPr>
            <w:tcW w:w="20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Cut to Granular</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30,000</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0</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34,400</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0</w:t>
            </w:r>
          </w:p>
        </w:tc>
        <w:tc>
          <w:tcPr>
            <w:tcW w:w="20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9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 Volume</w:t>
            </w:r>
          </w:p>
        </w:tc>
        <w:tc>
          <w:tcPr>
            <w:tcW w:w="112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322,000</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207,676</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210,000</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231,400</w:t>
            </w:r>
          </w:p>
        </w:tc>
        <w:tc>
          <w:tcPr>
            <w:tcW w:w="133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455,527</w:t>
            </w:r>
          </w:p>
        </w:tc>
        <w:tc>
          <w:tcPr>
            <w:tcW w:w="205"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9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Variations from Final</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-29.3%</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-54.4%</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-53.9%</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-49.2%</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0%</w:t>
            </w:r>
          </w:p>
        </w:tc>
        <w:tc>
          <w:tcPr>
            <w:tcW w:w="205"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825</w:t>
      </w:r>
      <w:r>
        <w:rPr>
          <w:rFonts w:ascii="arial" w:eastAsia="arial" w:hAnsi="arial" w:cs="arial"/>
          <w:color w:val="000000"/>
          <w:sz w:val="20"/>
          <w:lang w:val="en-US" w:eastAsia="en-US" w:bidi="ar-SA"/>
        </w:rPr>
        <w:t>  I find that any bidding "error" in no way contributed to the lack of production experienced by Golden Hill when the materials at the Airstrip were found to be markedly different than what was anticipated and what was set out in the Site M Reports. The fact that the "Cut to unsuitable" was six times higher than what Golden Hill estimated, that the "borrow to fill" was 90 times higher than what Golden Hill estimated and 41% higher than the highest estimate made by a bidder (Tercon), and that the final volumes estimated by bidders ranged between 29.3% and 54.4% less than the final totals allows me to conclude that any error that Mr. Quaile may have made in his calculations in no way affected the losses of Golden Hill.</w:t>
      </w:r>
      <w:r>
        <w:rPr>
          <w:rFonts w:ascii="arial" w:eastAsia="arial" w:hAnsi="arial" w:cs="arial"/>
          <w:sz w:val="20"/>
          <w:lang w:val="en-US" w:eastAsia="en-US" w:bidi="ar-SA"/>
        </w:rPr>
        <w:cr/>
      </w:r>
    </w:p>
    <w:p>
      <w:pPr>
        <w:numPr>
          <w:numId w:val="2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FAILURE OF GOLDEN HILL TO UNDERTAKE A SITE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826</w:t>
      </w:r>
      <w:r>
        <w:rPr>
          <w:rFonts w:ascii="arial" w:eastAsia="arial" w:hAnsi="arial" w:cs="arial"/>
          <w:color w:val="000000"/>
          <w:sz w:val="20"/>
          <w:lang w:val="en-US" w:eastAsia="en-US" w:bidi="ar-SA"/>
        </w:rPr>
        <w:t>  I am satisfied that Golden Hill fulfilled all of its obligations when it undertook the Site Visit and that Golden Hill did not contribute to its losses by failing to undertake a full Site investigation. That possibility was unrealistic and Golden Hill should not be criticized for doing that which was reasonable in the circumstances. None of the other bidders conducted an independent site investigation and no bidder including Golden Hill could have been expected to do so.</w:t>
      </w:r>
      <w:r>
        <w:rPr>
          <w:rFonts w:ascii="arial" w:eastAsia="arial" w:hAnsi="arial" w:cs="arial"/>
          <w:sz w:val="20"/>
          <w:lang w:val="en-US" w:eastAsia="en-US" w:bidi="ar-SA"/>
        </w:rPr>
        <w:cr/>
      </w:r>
    </w:p>
    <w:p>
      <w:pPr>
        <w:numPr>
          <w:numId w:val="2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USE OF "BLENDED PRICES" BY GOLDEN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827</w:t>
      </w:r>
      <w:r>
        <w:rPr>
          <w:rFonts w:ascii="arial" w:eastAsia="arial" w:hAnsi="arial" w:cs="arial"/>
          <w:color w:val="000000"/>
          <w:sz w:val="20"/>
          <w:lang w:val="en-US" w:eastAsia="en-US" w:bidi="ar-SA"/>
        </w:rPr>
        <w:t>  Golden Hill was the only bidder who engaged in the practice of "blended prices" (i.e. the same price for all bulk excavation activities) when setting the unit prices in its bid. Mr. Rudolph explained that his reason for "blending prices" was to avoid problems with having surveys done for various areas when Golden Hill ran into different materials.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828</w:t>
      </w:r>
      <w:r>
        <w:rPr>
          <w:rFonts w:ascii="arial" w:eastAsia="arial" w:hAnsi="arial" w:cs="arial"/>
          <w:color w:val="000000"/>
          <w:sz w:val="20"/>
          <w:lang w:val="en-US" w:eastAsia="en-US" w:bidi="ar-SA"/>
        </w:rPr>
        <w:t>  Kemess submits that there are only two reasons why the unit price is the same: (a) the costs for handling the material were the same or at least Mr. Rudolph believed them to be the same; or (b) Mr. Rudolph did not bother calculating the costs of dealing with the different types of materials in coming up with his prices. Kemess submits that either reason results in a bidding error.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829</w:t>
      </w:r>
      <w:r>
        <w:rPr>
          <w:rFonts w:ascii="arial" w:eastAsia="arial" w:hAnsi="arial" w:cs="arial"/>
          <w:color w:val="000000"/>
          <w:sz w:val="20"/>
          <w:lang w:val="en-US" w:eastAsia="en-US" w:bidi="ar-SA"/>
        </w:rPr>
        <w:t>  Kemess submits that it is a illogical to assume that the Cut to Fill cost would be the same as the "borrow to Fill" cost as the borrow source might be a considerable distance away. In fairness to Mr. Rudolph, it should be noted it was reasonable for a bidder to assume that borrow sources would be fairly close.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830</w:t>
      </w:r>
      <w:r>
        <w:rPr>
          <w:rFonts w:ascii="arial" w:eastAsia="arial" w:hAnsi="arial" w:cs="arial"/>
          <w:color w:val="000000"/>
          <w:sz w:val="20"/>
          <w:lang w:val="en-US" w:eastAsia="en-US" w:bidi="ar-SA"/>
        </w:rPr>
        <w:t>  If it was reasonable for Golden Hill to assume that there would be enormous amounts of Waste, then the argument advanced by Kemess has some merit. However, it was reasonable for Golden Hill and all other bidders to assume that the unsuitable would be dramatically less than the amounts eventually handled.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831</w:t>
      </w:r>
      <w:r>
        <w:rPr>
          <w:rFonts w:ascii="arial" w:eastAsia="arial" w:hAnsi="arial" w:cs="arial"/>
          <w:color w:val="000000"/>
          <w:sz w:val="20"/>
          <w:lang w:val="en-US" w:eastAsia="en-US" w:bidi="ar-SA"/>
        </w:rPr>
        <w:t>  It was also the case that the unsuitable at the Millsite had to be moved to Dumps which were farther away than anticipated, smaller than required, and in areas which required special handling of the Waste.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832</w:t>
      </w:r>
      <w:r>
        <w:rPr>
          <w:rFonts w:ascii="arial" w:eastAsia="arial" w:hAnsi="arial" w:cs="arial"/>
          <w:color w:val="000000"/>
          <w:sz w:val="20"/>
          <w:lang w:val="en-US" w:eastAsia="en-US" w:bidi="ar-SA"/>
        </w:rPr>
        <w:t>  As well, if prices are not blended, it is necessary for the materials being moved to be surveyed to ascertain what is being moved and what unit price applies. The effect of using blended prices was to eliminate the need for separate surveying. Rather, Golden Hill used load counts to calculate how much of the total cut volume at the Millsite went to "cut to stockpile unsuitable", to "cut to stockpile granular" or to "common fill". This eliminated the need to re-survey the Millsite each time the soil condition changed from suitable to unsuitable or vice versa.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833</w:t>
      </w:r>
      <w:r>
        <w:rPr>
          <w:rFonts w:ascii="arial" w:eastAsia="arial" w:hAnsi="arial" w:cs="arial"/>
          <w:color w:val="000000"/>
          <w:sz w:val="20"/>
          <w:lang w:val="en-US" w:eastAsia="en-US" w:bidi="ar-SA"/>
        </w:rPr>
        <w:t>  While Kemess says that Golden Hill used blended prices because either its costs for each type of material were the same or Mr. Rudolph was careless in his bid preparation, neither proposition was put to Mr. Rudolph in cross-examination and no expert evidence was led to support this proposition. Similarly, Mr. Rudolph was not cross-examined nor was expert evidence called to support the proposition that the "real reason" for the blended prices was because Golden Hill expected that its costs for handling unsuitable material would be the same as its costs for handling common or borrow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834</w:t>
      </w:r>
      <w:r>
        <w:rPr>
          <w:rFonts w:ascii="arial" w:eastAsia="arial" w:hAnsi="arial" w:cs="arial"/>
          <w:color w:val="000000"/>
          <w:sz w:val="20"/>
          <w:lang w:val="en-US" w:eastAsia="en-US" w:bidi="ar-SA"/>
        </w:rPr>
        <w:t>  After reviewing all of the evidence, I cannot be satisfied that the use of blended prices was a bidding error or that the use of blended prices in any way contributed to the losses suffered by Golden Hill as a result of the tortious acts of Kemess.</w:t>
      </w:r>
      <w:r>
        <w:rPr>
          <w:rFonts w:ascii="arial" w:eastAsia="arial" w:hAnsi="arial" w:cs="arial"/>
          <w:sz w:val="20"/>
          <w:lang w:val="en-US" w:eastAsia="en-US" w:bidi="ar-SA"/>
        </w:rPr>
        <w:cr/>
      </w:r>
    </w:p>
    <w:p>
      <w:pPr>
        <w:numPr>
          <w:numId w:val="2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PRICES THAT MR. RUDOLPH DID NOT CALCULATE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835</w:t>
      </w:r>
      <w:r>
        <w:rPr>
          <w:rFonts w:ascii="arial" w:eastAsia="arial" w:hAnsi="arial" w:cs="arial"/>
          <w:color w:val="000000"/>
          <w:sz w:val="20"/>
          <w:lang w:val="en-US" w:eastAsia="en-US" w:bidi="ar-SA"/>
        </w:rPr>
        <w:t>  Kemess submits that I should draw an adverse inference because Golden Hill could not produce this bid work sheet so Kemess cannot review it for bid errors and "guesses" made by Mr. Rudolph. I reject the suggestion made by Kemess that I should draw an adverse inference. First, there is no suggestion that the document is available but was not produced. Second, a number of similar documents on other bids were produced and these support the evidence given by Mr. Rudolph about his bid estimating practice. Third, I am satisfied that his evidence regarding what he did should be believed.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836</w:t>
      </w:r>
      <w:r>
        <w:rPr>
          <w:rFonts w:ascii="arial" w:eastAsia="arial" w:hAnsi="arial" w:cs="arial"/>
          <w:color w:val="000000"/>
          <w:sz w:val="20"/>
          <w:lang w:val="en-US" w:eastAsia="en-US" w:bidi="ar-SA"/>
        </w:rPr>
        <w:t>  Kemess submits that there were a number of "guesses": (a) clearing and grubbing was $3,000.00 per hectare which Mr. Rudolph said was "from historical cost"; (b) the price to "scarify and compact original ground" was determined by Mr. Rudolph who "just threw a number in there" without any detailed calculations as this was not a common item; (c) the item for mechanical overhead for running repairs was not based on any calculations but was rather a number that Mr. Rudolph hoped "covers the repairs"; (d) for the freight cost, Mr. Rudolph "just threw in a number" "it's the number that I hope and from experience, covers what those costs are going to be"; (e) the carrying charges on the cost of money were described as a "lump sum amount but may cover interest costs to cover a line of credit or things like that"; (f) the amount to cover head office expenses was not truly representative of the actual overhead cost but rather was a number to help pay for some of the overhead costs; and (g) the overhead was not calculated but rather was said to be between 5% and 15% of the total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837</w:t>
      </w:r>
      <w:r>
        <w:rPr>
          <w:rFonts w:ascii="arial" w:eastAsia="arial" w:hAnsi="arial" w:cs="arial"/>
          <w:color w:val="000000"/>
          <w:sz w:val="20"/>
          <w:lang w:val="en-US" w:eastAsia="en-US" w:bidi="ar-SA"/>
        </w:rPr>
        <w:t>  I reject the submission that these were bid "errors" and were unreasonable in the circumstances. If Kemess thought that Mr. Rudolph's estimates were unreasonable, they should have called evidence to support those assertions. I find that the estimates of Golden Hill were reasonable and were based on the many years of experience that Golden Hill had in the construction industry.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838</w:t>
      </w:r>
      <w:r>
        <w:rPr>
          <w:rFonts w:ascii="arial" w:eastAsia="arial" w:hAnsi="arial" w:cs="arial"/>
          <w:color w:val="000000"/>
          <w:sz w:val="20"/>
          <w:lang w:val="en-US" w:eastAsia="en-US" w:bidi="ar-SA"/>
        </w:rPr>
        <w:t>  Kemess also criticizes the claim by Golden Hill for losses relating to clearing and grubbing. Using the internal rates provided by Golden Hill, Kemess calculates the costs of clearing and grubbing two hectares each day as being $7,758.20. Kemess submits that Golden Hill was incurring costs of $7,758.20 per day to do work for which it would be paid $6,000.00 per day. Kemess also points out that the anticipated two hectares per day of production was not reasonable, that Golden Hill did not obtain that level of production, and that this amount does not include the costs associated with getting the equipment in and out of the Site, fuel, oil, overhead, profits and flight costs for the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839</w:t>
      </w:r>
      <w:r>
        <w:rPr>
          <w:rFonts w:ascii="arial" w:eastAsia="arial" w:hAnsi="arial" w:cs="arial"/>
          <w:color w:val="000000"/>
          <w:sz w:val="20"/>
          <w:lang w:val="en-US" w:eastAsia="en-US" w:bidi="ar-SA"/>
        </w:rPr>
        <w:t>  While I am satisfied that the internal rates used by Golden Hill regarding cleaning and grubbing were too low to cover the cost of cleaning and grubbing, I also note that Golden Hill did not undertake the vast majority of the expected clearing and grubbing costs at the Millsite as this work was done by Duz Cho. Accordingly, Golden Hill saved considerable amount of money when it did not have to clear and grub the Millsite.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840</w:t>
      </w:r>
      <w:r>
        <w:rPr>
          <w:rFonts w:ascii="arial" w:eastAsia="arial" w:hAnsi="arial" w:cs="arial"/>
          <w:color w:val="000000"/>
          <w:sz w:val="20"/>
          <w:lang w:val="en-US" w:eastAsia="en-US" w:bidi="ar-SA"/>
        </w:rPr>
        <w:t>  It should also be noted that the North American bid was $2,180.00 per hectare; the Tercon bid was $2,730.00 per hectare and the Golden Hill bid was $3,000.00 per hectare. Accordingly, I cannot find that the estimate for cleaning and grubbing was in error and, even if I could, I find that the estimate of $3,000.00 per hectare was realistic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841</w:t>
      </w:r>
      <w:r>
        <w:rPr>
          <w:rFonts w:ascii="arial" w:eastAsia="arial" w:hAnsi="arial" w:cs="arial"/>
          <w:color w:val="000000"/>
          <w:sz w:val="20"/>
          <w:lang w:val="en-US" w:eastAsia="en-US" w:bidi="ar-SA"/>
        </w:rPr>
        <w:t>  The estimate for the stripping of Topsoil was $1,500.00 per hectare. Mr. Rudolph could not say how he came up with that figure other than to state that it represented historical cost. Kemess points out that Mr. Rudolph expected to be able to obtain production levels of 9,900 cubic metres per shift. Based on a spread of 1 Push Cat and three scrapers working two 10 hour shifts, Kemess submits that Golden Hill would be earning $9,990.00 but that its costs would be $10,259.66 before fuel, repairs, travel, etc. As well, this cost of $10,259.66 did not include a Waste Dump Cat even though Mr. Rudolph expected to have to use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842</w:t>
      </w:r>
      <w:r>
        <w:rPr>
          <w:rFonts w:ascii="arial" w:eastAsia="arial" w:hAnsi="arial" w:cs="arial"/>
          <w:color w:val="000000"/>
          <w:sz w:val="20"/>
          <w:lang w:val="en-US" w:eastAsia="en-US" w:bidi="ar-SA"/>
        </w:rPr>
        <w:t>  None of these calculations were put to Messrs. Rudolph, Lyons and Miller. Taking into account the many years of experience of Golden Hill and Mr. Rudolph, I cannot be satisfied that Kemess has shown that this was a bid error or that any error in any way contributed to the damages which were incurred by Golden Hill as a result of the breaches of contract and tortious acts of Kemess.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843</w:t>
      </w:r>
      <w:r>
        <w:rPr>
          <w:rFonts w:ascii="arial" w:eastAsia="arial" w:hAnsi="arial" w:cs="arial"/>
          <w:color w:val="000000"/>
          <w:sz w:val="20"/>
          <w:lang w:val="en-US" w:eastAsia="en-US" w:bidi="ar-SA"/>
        </w:rPr>
        <w:t>  As to the remaining "guesses", I am satisfied that the estimates were appropriate or, as to some of the guesses, they were not appropriate but that they will be dealt with in the general context of the overall costs claimed by Golden Hill.</w:t>
      </w:r>
      <w:r>
        <w:rPr>
          <w:rFonts w:ascii="arial" w:eastAsia="arial" w:hAnsi="arial" w:cs="arial"/>
          <w:sz w:val="20"/>
          <w:lang w:val="en-US" w:eastAsia="en-US" w:bidi="ar-SA"/>
        </w:rPr>
        <w:cr/>
      </w:r>
    </w:p>
    <w:p>
      <w:pPr>
        <w:numPr>
          <w:numId w:val="2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INCORRECT ASSUMPTIONS REGARDING PRODUCTION LEVELS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844</w:t>
      </w:r>
      <w:r>
        <w:rPr>
          <w:rFonts w:ascii="arial" w:eastAsia="arial" w:hAnsi="arial" w:cs="arial"/>
          <w:color w:val="000000"/>
          <w:sz w:val="20"/>
          <w:lang w:val="en-US" w:eastAsia="en-US" w:bidi="ar-SA"/>
        </w:rPr>
        <w:t>  Kemess submits the problem with the Golden Hill bid was that it was based on dealing with material that was not weather-sensitive and that this assumption obviously ignored the layer of weather-sensitive material at the Millsite identified from the Soils Data by Mr. Quaile. When Golden Hill encountered the very material that Mr. Quaile expected this adversely affected every aspect of the Work resulting in lower production levels than expected and higher costs to Golden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845</w:t>
      </w:r>
      <w:r>
        <w:rPr>
          <w:rFonts w:ascii="arial" w:eastAsia="arial" w:hAnsi="arial" w:cs="arial"/>
          <w:color w:val="000000"/>
          <w:sz w:val="20"/>
          <w:lang w:val="en-US" w:eastAsia="en-US" w:bidi="ar-SA"/>
        </w:rPr>
        <w:t>  While the amount of rain that was experienced had an adverse effect on the productivity of Golden Hill, I am satisfied that the original assumptions that Mr. Rudolph made regarding production rates were realistic. I am satisfied that they were within the range of what other bidders contemplated and I am also satisfied that they were appropriate in view of the Soils Data and the reasonable assumption that wet weather would only have a small impact on productivity as the amount of moisture sensitive material was relatively small and other activities could be found when the wet weather prohibited the movement of weather-sensitive materials.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846</w:t>
      </w:r>
      <w:r>
        <w:rPr>
          <w:rFonts w:ascii="arial" w:eastAsia="arial" w:hAnsi="arial" w:cs="arial"/>
          <w:color w:val="000000"/>
          <w:sz w:val="20"/>
          <w:lang w:val="en-US" w:eastAsia="en-US" w:bidi="ar-SA"/>
        </w:rPr>
        <w:t>  My review of the unit prices submitted by other bidders allows me to conclude that the assumptions made by Golden Hill were somewhat similar if not identical to the assumptions made by the other very experienced bidders. In this regard, I note: (a) the Golden Hill clearing price at the Airstrip and Millsite was $3,000/ha while North American was $2,180/ha and Tercon was $2,730/ha; (b) the Golden Hill price for stripping Topsoil at the Airstrip was $1,500/ha while Tercon was $1,200/ha; (c) the Golden Hill price for common at the Airstrip was $2.10 while Ledcor was $2.08; (d) the Golden Hill price for Cut to stockpile granular at the Airstrip was $2.10 while Tercon was $1.70; (e) the Golden Hill prices to place granular surfacing at the Airstrip were $1.50 and $1.20 while Tercon prices were $1.05 and $0.70; (f) the Golden Hill price for common at the Millsite was $2.00 while Tercon was $2.02; (g) the Golden Hill price for the common at the Mancamp was $2.00 while North American was $1.83 and Tercon was $1.81; and (h) the Golden Hill price for borrow at the Mancamp was $2.00 while Ledcor was $0.33 and North American was $1.83.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847</w:t>
      </w:r>
      <w:r>
        <w:rPr>
          <w:rFonts w:ascii="arial" w:eastAsia="arial" w:hAnsi="arial" w:cs="arial"/>
          <w:color w:val="000000"/>
          <w:sz w:val="20"/>
          <w:lang w:val="en-US" w:eastAsia="en-US" w:bidi="ar-SA"/>
        </w:rPr>
        <w:t>  Kemess also submits that a further reason why Golden Hill was overly aggressive on production rates was because Mr. Rudolph knew who his competitors were and, as a result, he knew that his bid would have to be very competitive if Golden Hill was to be the successful bidder. This proposition was never put to Mr. Rudolph and there was no evidence to support this submission. I am satisfied that Golden Hill had competed in a competitive marketplace for over 15 years and there is no suggestion that Golden Hill was any more aggressive in its bid on this Project than its bids on other projects. Likewise, there is no evidence to suggest that the other bidders were any more aggressive than usual.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848</w:t>
      </w:r>
      <w:r>
        <w:rPr>
          <w:rFonts w:ascii="arial" w:eastAsia="arial" w:hAnsi="arial" w:cs="arial"/>
          <w:color w:val="000000"/>
          <w:sz w:val="20"/>
          <w:lang w:val="en-US" w:eastAsia="en-US" w:bidi="ar-SA"/>
        </w:rPr>
        <w:t>  I am satisfied that Kemess has not shown on a balance of probabilities that the production rates assumed by Mr. Rudolph were unrealistic or that any unrealistic production rates in any way contributed to the losses of Golden Hill caused by the breaches of contract and tortious acts of Kemess.</w:t>
      </w:r>
      <w:r>
        <w:rPr>
          <w:rFonts w:ascii="arial" w:eastAsia="arial" w:hAnsi="arial" w:cs="arial"/>
          <w:sz w:val="20"/>
          <w:lang w:val="en-US" w:eastAsia="en-US" w:bidi="ar-SA"/>
        </w:rPr>
        <w:cr/>
      </w:r>
    </w:p>
    <w:p>
      <w:pPr>
        <w:numPr>
          <w:numId w:val="2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INACCURATE MOBILIZATION AND DEMOBILIZATION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849</w:t>
      </w:r>
      <w:r>
        <w:rPr>
          <w:rFonts w:ascii="arial" w:eastAsia="arial" w:hAnsi="arial" w:cs="arial"/>
          <w:color w:val="000000"/>
          <w:sz w:val="20"/>
          <w:lang w:val="en-US" w:eastAsia="en-US" w:bidi="ar-SA"/>
        </w:rPr>
        <w:t>  Kemess submits that this is another area where Mr. Rudolph did not do a detailed calculation and where the number that is provided was "simply a guess". The draft bid sheet showed $90,000.00 for mobilization and Mr. Rudolph stated: "... I don't recall exactly how I got that number". In the actual bid, the amount was increased to $110,000.00 but Mr. Rudolph testified that he did not recall why the amount was increased. As it was not the practice of Golden Hill to include an element of profit within its mobilization and demobilization prices, the prices in the bid should equal the costs of Golden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850</w:t>
      </w:r>
      <w:r>
        <w:rPr>
          <w:rFonts w:ascii="arial" w:eastAsia="arial" w:hAnsi="arial" w:cs="arial"/>
          <w:color w:val="000000"/>
          <w:sz w:val="20"/>
          <w:lang w:val="en-US" w:eastAsia="en-US" w:bidi="ar-SA"/>
        </w:rPr>
        <w:t>  Kemess also notes that Golden Hill submits that an appropriate figure for mobilization costs is $15,000.00 per unit. As the bid estimate of Golden Hill had 20 pieces of heavy equipment listed, that would be a mobilization cost of $300,000.00. Kemess submits that this should be compared to the $110,000.00 which was contained in the bid.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851</w:t>
      </w:r>
      <w:r>
        <w:rPr>
          <w:rFonts w:ascii="arial" w:eastAsia="arial" w:hAnsi="arial" w:cs="arial"/>
          <w:color w:val="000000"/>
          <w:sz w:val="20"/>
          <w:lang w:val="en-US" w:eastAsia="en-US" w:bidi="ar-SA"/>
        </w:rPr>
        <w:t>  I am satisfied that the estimates of Mr. Rudolph were reasonable in the circumstances. I note in this regard that Kemess has failed to call any evidence from its expert witnesses to contradict the position that these costs were not 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852</w:t>
      </w:r>
      <w:r>
        <w:rPr>
          <w:rFonts w:ascii="arial" w:eastAsia="arial" w:hAnsi="arial" w:cs="arial"/>
          <w:color w:val="000000"/>
          <w:sz w:val="20"/>
          <w:lang w:val="en-US" w:eastAsia="en-US" w:bidi="ar-SA"/>
        </w:rPr>
        <w:t>  However, for the equipment that Golden Hill contemplated it would be mobilizing, I am satisfied that it is appropriate for Golden Hill to be limited to mobilization and demobilization costs totalling $110,000.00. To the extent that Golden Hill is claiming mobilization and demobilization costs in excess of $110,000.00 for the equipment originally set out in its equipment list, Golden Hill will not be entitled to any additional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853</w:t>
      </w:r>
      <w:r>
        <w:rPr>
          <w:rFonts w:ascii="arial" w:eastAsia="arial" w:hAnsi="arial" w:cs="arial"/>
          <w:color w:val="000000"/>
          <w:sz w:val="20"/>
          <w:lang w:val="en-US" w:eastAsia="en-US" w:bidi="ar-SA"/>
        </w:rPr>
        <w:t>  Subsequently, the parties negotiated mobilization and demobilization costs for additional equipment. To the extent that those costs have not been paid, Golden Hill is entitled to reimbursed for the negotiated cost of mobilization and demobilization. Any amount unpaid for that additional equipment, should be added to the $110,000.00 payable.</w:t>
      </w:r>
      <w:r>
        <w:rPr>
          <w:rFonts w:ascii="arial" w:eastAsia="arial" w:hAnsi="arial" w:cs="arial"/>
          <w:sz w:val="20"/>
          <w:lang w:val="en-US" w:eastAsia="en-US" w:bidi="ar-SA"/>
        </w:rPr>
        <w:cr/>
      </w:r>
    </w:p>
    <w:p>
      <w:pPr>
        <w:numPr>
          <w:numId w:val="2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UNDERESTIMATED MAN DAYS AND LABOUR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854</w:t>
      </w:r>
      <w:r>
        <w:rPr>
          <w:rFonts w:ascii="arial" w:eastAsia="arial" w:hAnsi="arial" w:cs="arial"/>
          <w:color w:val="000000"/>
          <w:sz w:val="20"/>
          <w:lang w:val="en-US" w:eastAsia="en-US" w:bidi="ar-SA"/>
        </w:rPr>
        <w:t>  Kemess submits that Golden Hill underestimated its camp costs for the Project. The bid estimated 4,900 man days whereas Kemess calculates the personnel requirements set out in the Tender as totalling 5,810 man days. Kemess submits that, based on the evidence of Mr. Rudolph at Trial as to how long each activity was supposed to take, 830 man weeks or 5,810 man days at $50.00 per day as opposed to 4,900 man days should have been included in the bid. Kemess submits that this error amounts to $45,500.00. Kemess submits that, not only did Golden Hill underbid camp costs, but also it likely underbid all other employee-related costs such as wages, flights, etc. because it underestimated the number of days its personnel would be at the Site and the cost of getting away from the Site from time to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855</w:t>
      </w:r>
      <w:r>
        <w:rPr>
          <w:rFonts w:ascii="arial" w:eastAsia="arial" w:hAnsi="arial" w:cs="arial"/>
          <w:color w:val="000000"/>
          <w:sz w:val="20"/>
          <w:lang w:val="en-US" w:eastAsia="en-US" w:bidi="ar-SA"/>
        </w:rPr>
        <w:t>  I am satisfied that the Tender Schedule was not intended to commit Golden Hill to a certain level of personnel days. Rather, the Instruction to Tenderers was to indicate "the approximate average manpower loading per month". Mr. Rudolph rejected the suggestion that, based on the manpower loading in the Tender Schedule, Golden Hill underestimated the camp charges as he stated that manpower loading had nothing to do with his estimate of the camp charges. He stated that he based those on the number of operators that were required to run the equipment for the times that he allotted in his estimate. As well, Kemess did not call any evidence to suggest that Golden Hill's estimate of man days was not reasonable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856</w:t>
      </w:r>
      <w:r>
        <w:rPr>
          <w:rFonts w:ascii="arial" w:eastAsia="arial" w:hAnsi="arial" w:cs="arial"/>
          <w:color w:val="000000"/>
          <w:sz w:val="20"/>
          <w:lang w:val="en-US" w:eastAsia="en-US" w:bidi="ar-SA"/>
        </w:rPr>
        <w:t>  After reviewing the evidence, I cannot say that the bid estimate of 4,900 man days was inaccurate as I am satisfied that it was a realistic attempt to establish the "approximate average manpower". I am also satisfied that there was no evidence before me to suggest that Golden Hill's estimate was not reasonable in the circumstances. Accordingly, I reject the submission that there was any underestimation of the manpower requirements or that any underestimation led to Golden Hill contributing to the damages which were suffered as a result of the tortious acts of Kemess.</w:t>
      </w:r>
      <w:r>
        <w:rPr>
          <w:rFonts w:ascii="arial" w:eastAsia="arial" w:hAnsi="arial" w:cs="arial"/>
          <w:sz w:val="20"/>
          <w:lang w:val="en-US" w:eastAsia="en-US" w:bidi="ar-SA"/>
        </w:rPr>
        <w:cr/>
      </w:r>
    </w:p>
    <w:p>
      <w:pPr>
        <w:numPr>
          <w:numId w:val="2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INADEQUATE TEMPORARY FACILITIES AND INDIRECT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857</w:t>
      </w:r>
      <w:r>
        <w:rPr>
          <w:rFonts w:ascii="arial" w:eastAsia="arial" w:hAnsi="arial" w:cs="arial"/>
          <w:color w:val="000000"/>
          <w:sz w:val="20"/>
          <w:lang w:val="en-US" w:eastAsia="en-US" w:bidi="ar-SA"/>
        </w:rPr>
        <w:t>  Kemess submits that Item 8.3 was in the Contract for the "protection" of the contractors as it allowed them to cover off all of their monthly indirect, non-production related costs or fixed costs. Kemess submits that the unit prices were to cover the direct costs of the unit of work but that costs such as supervisory salaries, overhead, interest cost, man camp charges, etc. were to have been included in item 8.3.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858</w:t>
      </w:r>
      <w:r>
        <w:rPr>
          <w:rFonts w:ascii="arial" w:eastAsia="arial" w:hAnsi="arial" w:cs="arial"/>
          <w:color w:val="000000"/>
          <w:sz w:val="20"/>
          <w:lang w:val="en-US" w:eastAsia="en-US" w:bidi="ar-SA"/>
        </w:rPr>
        <w:t>  Kemess submits that it is critical to keep this in mind when looking at the unit prices of the other bidders as all of them set out significantly greater indirect amounts in their bid compared to Golden Hill: (a) Golden Hill ($25,000.00 per month); (b) Ledcor ($407,257.28 per month);(c) North American ($318,875.00 per month); and (d) Tercon ($153,200.00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859</w:t>
      </w:r>
      <w:r>
        <w:rPr>
          <w:rFonts w:ascii="arial" w:eastAsia="arial" w:hAnsi="arial" w:cs="arial"/>
          <w:color w:val="000000"/>
          <w:sz w:val="20"/>
          <w:lang w:val="en-US" w:eastAsia="en-US" w:bidi="ar-SA"/>
        </w:rPr>
        <w:t>  Mr. Rudolph testified that he did no calculations to come up with the $25,000.00 per month figure: ("I don't remember my thought process"). However, he did confirm that the $25,000.00 did not include the cost of supervisors, the cost of pick-ups, and the cost of support equipment such as the ambulance and the Hiab.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860</w:t>
      </w:r>
      <w:r>
        <w:rPr>
          <w:rFonts w:ascii="arial" w:eastAsia="arial" w:hAnsi="arial" w:cs="arial"/>
          <w:color w:val="000000"/>
          <w:sz w:val="20"/>
          <w:lang w:val="en-US" w:eastAsia="en-US" w:bidi="ar-SA"/>
        </w:rPr>
        <w:t>  Anthony R. Barke, C.A. was tendered as an expert by Kemess regarding the calculation of costs associated with construction claims using cost accounting and auditing techniques and skills. In his report and at Trial, Mr. Barke was of the opinion that the following items should have been included in Item 8.3 as they were time rather than production related: camp charges, room and board, travel, surveying, traffic control, site office, pick-ups, supervision (both foreman and superintendents), engineering, and on-site workshop and maintenance facility costs. Kemess submits that the failure to include all of these items was a bidding error on the part of Golden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861</w:t>
      </w:r>
      <w:r>
        <w:rPr>
          <w:rFonts w:ascii="arial" w:eastAsia="arial" w:hAnsi="arial" w:cs="arial"/>
          <w:color w:val="000000"/>
          <w:sz w:val="20"/>
          <w:lang w:val="en-US" w:eastAsia="en-US" w:bidi="ar-SA"/>
        </w:rPr>
        <w:t>  Kemess submits that the significance of this error is demonstrated by what it says is a comparison of what the other bidders would have been paid if they had encountered the same quantities on Site for the same length of time as Golden Hill and had charged the indirect monthly charges set out in their bids: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8"/>
        <w:gridCol w:w="2195"/>
        <w:gridCol w:w="2091"/>
        <w:gridCol w:w="2405"/>
        <w:gridCol w:w="230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15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4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35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 Which</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Difference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15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4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Monthly</w:t>
            </w:r>
          </w:p>
        </w:tc>
        <w:tc>
          <w:tcPr>
            <w:tcW w:w="235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Would Have</w:t>
            </w:r>
          </w:p>
        </w:tc>
        <w:tc>
          <w:tcPr>
            <w:tcW w:w="225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from Golden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15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Contractor</w:t>
            </w:r>
          </w:p>
        </w:tc>
        <w:tc>
          <w:tcPr>
            <w:tcW w:w="204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Indirect Cost</w:t>
            </w:r>
          </w:p>
        </w:tc>
        <w:tc>
          <w:tcPr>
            <w:tcW w:w="235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Been Paid</w:t>
            </w:r>
          </w:p>
        </w:tc>
        <w:tc>
          <w:tcPr>
            <w:tcW w:w="225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Hill</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19"/>
        <w:gridCol w:w="2091"/>
        <w:gridCol w:w="1568"/>
        <w:gridCol w:w="2510"/>
        <w:gridCol w:w="2195"/>
        <w:gridCol w:w="167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4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Golden Hill</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$175,000</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$ 6,123,484.35</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0</w:t>
            </w:r>
          </w:p>
        </w:tc>
        <w:tc>
          <w:tcPr>
            <w:tcW w:w="163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4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North American</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$2,232,125</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$ 9,446,562.14</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$3,323,077.79</w:t>
            </w:r>
          </w:p>
        </w:tc>
        <w:tc>
          <w:tcPr>
            <w:tcW w:w="163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4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Ledcor</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$2,850,000</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$14,734,168.94</w:t>
            </w:r>
          </w:p>
        </w:tc>
        <w:tc>
          <w:tcPr>
            <w:tcW w:w="2150"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$8,610,684.59</w:t>
            </w:r>
          </w:p>
        </w:tc>
        <w:tc>
          <w:tcPr>
            <w:tcW w:w="163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4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Tercon</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$1,072,400</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$ 8,012,190.16</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$1,888,705.81</w:t>
            </w:r>
          </w:p>
        </w:tc>
        <w:tc>
          <w:tcPr>
            <w:tcW w:w="1638"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862</w:t>
      </w:r>
      <w:r>
        <w:rPr>
          <w:rFonts w:ascii="arial" w:eastAsia="arial" w:hAnsi="arial" w:cs="arial"/>
          <w:color w:val="000000"/>
          <w:sz w:val="20"/>
          <w:lang w:val="en-US" w:eastAsia="en-US" w:bidi="ar-SA"/>
        </w:rPr>
        <w:t>  However, Mr. Rudolph testified that he included almost all of these fixed or indirect costs in his unit prices rather than as part of Item 8.3. I find that it was not unreasonable for Golden Hill to include some of its indirect costs in its unit rates particularly in light of the fact that there was a chance that Golden Hill's quantities would increase dramatically during the course of construction.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863</w:t>
      </w:r>
      <w:r>
        <w:rPr>
          <w:rFonts w:ascii="arial" w:eastAsia="arial" w:hAnsi="arial" w:cs="arial"/>
          <w:color w:val="000000"/>
          <w:sz w:val="20"/>
          <w:lang w:val="en-US" w:eastAsia="en-US" w:bidi="ar-SA"/>
        </w:rPr>
        <w:t>  Kemess submits that worker days and indirect costs are incurred whether or not there is production ongoing so that the appropriate place to have placed the camp costs would have been in Item 8.3 (Temporary Facilities Indirect Costs). It is odd that an owner would submit that it was appropriate for it to levy camp charges but at the same time expect that a contractor would include those camp charges as expenses in the bid.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864</w:t>
      </w:r>
      <w:r>
        <w:rPr>
          <w:rFonts w:ascii="arial" w:eastAsia="arial" w:hAnsi="arial" w:cs="arial"/>
          <w:color w:val="000000"/>
          <w:sz w:val="20"/>
          <w:lang w:val="en-US" w:eastAsia="en-US" w:bidi="ar-SA"/>
        </w:rPr>
        <w:t>  In any event, I cannot conclude that it was mandatory for Golden Hill or any other bidder to include camp costs under Item 8.3. First, this was for "monthly indirect, non-production related costs or fixed costs" and daily mancamp charges can hardly be included within that definition. Second, on the Tender Form, the phrase "temporary facilities &amp; indirect costs" is used whereas, in the accompanying explanatory notes, it is clear that each unit price shall be: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full and only amount payable by the Owner for the unit and all things directly or indirectly required to complete it in accordance with the Contract, such as but not limited to...consumable items, temporary facilities, ...setting out, ...scheduling, administrating, supervising, ... overheads and profit, except to the extent, if any, to which the list separates items for painting, dewatering, etc.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865</w:t>
      </w:r>
      <w:r>
        <w:rPr>
          <w:rFonts w:ascii="arial" w:eastAsia="arial" w:hAnsi="arial" w:cs="arial"/>
          <w:color w:val="000000"/>
          <w:sz w:val="20"/>
          <w:lang w:val="en-US" w:eastAsia="en-US" w:bidi="ar-SA"/>
        </w:rPr>
        <w:t>  As well, it was not mandatory for indirect, non-production related costs or fixed costs to be included only within the unit prices that were included within the bid. In the circumstances, I cannot be satisfied that it was a bid error made by Golden Hill to include many costs under the unit prices in its bid. I find that the failure to include various charges under Item 8.3 was not an error and that the failure to include those items in no way contributed to the damages available to Golden Hill as a result of the tortious acts of Kemess.</w:t>
      </w:r>
      <w:r>
        <w:rPr>
          <w:rFonts w:ascii="arial" w:eastAsia="arial" w:hAnsi="arial" w:cs="arial"/>
          <w:sz w:val="20"/>
          <w:lang w:val="en-US" w:eastAsia="en-US" w:bidi="ar-SA"/>
        </w:rPr>
        <w:cr/>
      </w:r>
    </w:p>
    <w:p>
      <w:pPr>
        <w:numPr>
          <w:numId w:val="2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LACK OF SUPERVISORY PERSONNEL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866</w:t>
      </w:r>
      <w:r>
        <w:rPr>
          <w:rFonts w:ascii="arial" w:eastAsia="arial" w:hAnsi="arial" w:cs="arial"/>
          <w:color w:val="000000"/>
          <w:sz w:val="20"/>
          <w:lang w:val="en-US" w:eastAsia="en-US" w:bidi="ar-SA"/>
        </w:rPr>
        <w:t>  The submission of Kemess is that Golden Hill did not have enough supervisory staff in place as one supervisor could not be at two places at once. Kemess submits that Golden Hill recognized this when, after an August 8 letter to Golden Hill, a second supervisor was added and Mr. Miller joined Mr. Lyons.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867</w:t>
      </w:r>
      <w:r>
        <w:rPr>
          <w:rFonts w:ascii="arial" w:eastAsia="arial" w:hAnsi="arial" w:cs="arial"/>
          <w:color w:val="000000"/>
          <w:sz w:val="20"/>
          <w:lang w:val="en-US" w:eastAsia="en-US" w:bidi="ar-SA"/>
        </w:rPr>
        <w:t>  I am satisfied that there was only one incident where the lack of supervision resulted in a mistake. On August 14, an unsupervised crew put in too big of a lift and did not squeeze out the mud so that the machine being used then got trapped.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868</w:t>
      </w:r>
      <w:r>
        <w:rPr>
          <w:rFonts w:ascii="arial" w:eastAsia="arial" w:hAnsi="arial" w:cs="arial"/>
          <w:color w:val="000000"/>
          <w:sz w:val="20"/>
          <w:lang w:val="en-US" w:eastAsia="en-US" w:bidi="ar-SA"/>
        </w:rPr>
        <w:t>  The underestimation of the number of supervisors needed was not put to Mr. Rudolph in cross-examination and he testified that it was only when instructions were received from Kemess to double up on the number of supervisors that a second supervisor was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869</w:t>
      </w:r>
      <w:r>
        <w:rPr>
          <w:rFonts w:ascii="arial" w:eastAsia="arial" w:hAnsi="arial" w:cs="arial"/>
          <w:color w:val="000000"/>
          <w:sz w:val="20"/>
          <w:lang w:val="en-US" w:eastAsia="en-US" w:bidi="ar-SA"/>
        </w:rPr>
        <w:t>  I am satisfied that the need for extra supervisors arose out of changed soil conditions and the decision by Kemess to accelerate parts of the Work thereby resulting in a dramatic increase in the size of the Golden Hill equipment fleet and manpower. Kemess did not cite any evidence to support the proposition that working in two areas required two supervisors.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870</w:t>
      </w:r>
      <w:r>
        <w:rPr>
          <w:rFonts w:ascii="arial" w:eastAsia="arial" w:hAnsi="arial" w:cs="arial"/>
          <w:color w:val="000000"/>
          <w:sz w:val="20"/>
          <w:lang w:val="en-US" w:eastAsia="en-US" w:bidi="ar-SA"/>
        </w:rPr>
        <w:t>  I find that the original estimate of Golden Hill for supervision was reasonable in the circumstances. First, there were a number of foremen on site and they could provide the supervision that was needed. Second, the addition of a second supervisor was a result of the direction received from Kemess not any inadequacy. Third, there is no evidence that the lack of supervision caused anything other than the smallest of additional costs.</w:t>
      </w:r>
      <w:r>
        <w:rPr>
          <w:rFonts w:ascii="arial" w:eastAsia="arial" w:hAnsi="arial" w:cs="arial"/>
          <w:sz w:val="20"/>
          <w:lang w:val="en-US" w:eastAsia="en-US" w:bidi="ar-SA"/>
        </w:rPr>
        <w:cr/>
      </w:r>
    </w:p>
    <w:p>
      <w:pPr>
        <w:numPr>
          <w:numId w:val="2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EQUIPMENT INADEQUACIES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871</w:t>
      </w:r>
      <w:r>
        <w:rPr>
          <w:rFonts w:ascii="arial" w:eastAsia="arial" w:hAnsi="arial" w:cs="arial"/>
          <w:color w:val="000000"/>
          <w:sz w:val="20"/>
          <w:lang w:val="en-US" w:eastAsia="en-US" w:bidi="ar-SA"/>
        </w:rPr>
        <w:t>  Kemess submits that Mr. Rudolph underbid his equipment list by not including the third spread necessary to do the Work in the time frame set out in the Amended Schedule. Kemess also submits that, even assuming only a three scraper spread in two areas was appropriate, the six scrapers required to achieve this production were not on the Site in a timely fashion: two scrapers arrived on July 12, two scrapers arrived on July 26, one scraper arrived on August 12 but did not work until August 24, and two scrapers (including one as a spare) did not arrive until somewhere around October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872</w:t>
      </w:r>
      <w:r>
        <w:rPr>
          <w:rFonts w:ascii="arial" w:eastAsia="arial" w:hAnsi="arial" w:cs="arial"/>
          <w:color w:val="000000"/>
          <w:sz w:val="20"/>
          <w:lang w:val="en-US" w:eastAsia="en-US" w:bidi="ar-SA"/>
        </w:rPr>
        <w:t>  Kemess submits that Golden Hill should have provided for more equipment including more excavators and trucks. I am satisfied that this submission is without merit. First, there is nothing to suggest that Golden Hill planned to devote the full forces of its earthworks or clearing operations in three areas of the Project at the same time. Second, the equipment list of Golden Hill was almost identical to the equipment list provided by at least two other bidders. In this regard, both North American and Tercon each bid the Project with only one excavator. Third, Mr. Collins of Kilborn expressed only one reservation about the equipment and that was the problem of using scrapers to finish the excavation of the bottom of the crusher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873</w:t>
      </w:r>
      <w:r>
        <w:rPr>
          <w:rFonts w:ascii="arial" w:eastAsia="arial" w:hAnsi="arial" w:cs="arial"/>
          <w:color w:val="000000"/>
          <w:sz w:val="20"/>
          <w:lang w:val="en-US" w:eastAsia="en-US" w:bidi="ar-SA"/>
        </w:rPr>
        <w:t>  Fourth, no evidence was elicited from Messrs. Koski or Rempel to suggest that the equipment list was either inadequate, unsuitable, or unsatisfactory in view of the expectation of all parties that there would be good granular material at the Site. Mr. Rempel testified that, in good material, scrapers are an ideal piece of equipment for a Cut/Fill operation and that scrapers were generally more productive in such operations than 6-wheel drive rock trucks, that he never suggested to Golden Hill that they use 6-wheel drive trucks for the Cut/Fill operation and that he only suggested that 6-wheel drive rock trucks be used to remove wet Topsoil and saturated unsuitable material prior to a scraper operation.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874</w:t>
      </w:r>
      <w:r>
        <w:rPr>
          <w:rFonts w:ascii="arial" w:eastAsia="arial" w:hAnsi="arial" w:cs="arial"/>
          <w:color w:val="000000"/>
          <w:sz w:val="20"/>
          <w:lang w:val="en-US" w:eastAsia="en-US" w:bidi="ar-SA"/>
        </w:rPr>
        <w:t>  I find that Kemess has not proven on a balance of probabilities that the equipment set out in the amended Equipment List was in any way insufficient to undertake the Work as originally planned. I also cannot conclude that any delay in mobilizing all of that equipment or any inadequacies of that equipment once the Work commenced has been shown or in any way contributed to the damages of Golden Hill as caused by the tortious acts of Kemess.</w:t>
      </w:r>
      <w:r>
        <w:rPr>
          <w:rFonts w:ascii="arial" w:eastAsia="arial" w:hAnsi="arial" w:cs="arial"/>
          <w:sz w:val="20"/>
          <w:lang w:val="en-US" w:eastAsia="en-US" w:bidi="ar-SA"/>
        </w:rPr>
        <w:cr/>
      </w:r>
    </w:p>
    <w:p>
      <w:pPr>
        <w:numPr>
          <w:numId w:val="2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SUMMARY OF FINDINGS REGARDING CONTRIBUTORY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875</w:t>
      </w:r>
      <w:r>
        <w:rPr>
          <w:rFonts w:ascii="arial" w:eastAsia="arial" w:hAnsi="arial" w:cs="arial"/>
          <w:color w:val="000000"/>
          <w:sz w:val="20"/>
          <w:lang w:val="en-US" w:eastAsia="en-US" w:bidi="ar-SA"/>
        </w:rPr>
        <w:t>  I can make no finding that the matters raised by Kemess showed that Golden Hill contributed to its own damages so that it can be said that the damages claimed were caused by something other than the breaches of contract and tortious acts of Kemess. Any losses suffered by Golden Hill were caused solely by the acts or omissions of Kemess.</w:t>
      </w:r>
      <w:r>
        <w:rPr>
          <w:rFonts w:ascii="arial" w:eastAsia="arial" w:hAnsi="arial" w:cs="arial"/>
          <w:sz w:val="20"/>
          <w:lang w:val="en-US" w:eastAsia="en-US" w:bidi="ar-SA"/>
        </w:rPr>
        <w:cr/>
      </w:r>
    </w:p>
    <w:p>
      <w:pPr>
        <w:numPr>
          <w:numId w:val="2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THERE ACCELERATION?</w:t>
      </w:r>
    </w:p>
    <w:p>
      <w:pPr>
        <w:numPr>
          <w:numId w:val="2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CONTRACT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876</w:t>
      </w:r>
      <w:r>
        <w:rPr>
          <w:rFonts w:ascii="arial" w:eastAsia="arial" w:hAnsi="arial" w:cs="arial"/>
          <w:color w:val="000000"/>
          <w:sz w:val="20"/>
          <w:lang w:val="en-US" w:eastAsia="en-US" w:bidi="ar-SA"/>
        </w:rPr>
        <w:t>  In the section headed "Schedule" in the Tender Form, Golden Hill agreed to complete the Work in accordance with "the approved Contract Schedule" on or before the completion date stipulated in the Contract. The form also required Golden Hill to have the Work "complete and ready for use by the time specified." Under the "Form of Agreement" Golden Hill agreed to: "... diligently carry out the Work and complete all of the Work, in a manner which shall be certified by the Owner as acceptable and complete on or before October 11, 1996." The Form of Agreement also provided: "time shall be deemed to be material and of the essence of this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877</w:t>
      </w:r>
      <w:r>
        <w:rPr>
          <w:rFonts w:ascii="arial" w:eastAsia="arial" w:hAnsi="arial" w:cs="arial"/>
          <w:color w:val="000000"/>
          <w:sz w:val="20"/>
          <w:lang w:val="en-US" w:eastAsia="en-US" w:bidi="ar-SA"/>
        </w:rPr>
        <w:t>  General Condition 5.3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5.3 If, in the opinion of the Owner there is undue delay in commencing Work or any phases of the Work are not progressing in accordance with the Contract Schedule or any schedule completion dates are jeopardized in any other way, then the Owner may order the Contractor to employ additional personnel and construction plant or work additional hours or by other means speed up the Work, as the Owner deems necessary, without additional payment to the Contractor. The provisions of this paragraph shall in no way relieve the contractor of his responsibility for completing the Work in accordance with the Contract Schedule and by the required substantial completion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878</w:t>
      </w:r>
      <w:r>
        <w:rPr>
          <w:rFonts w:ascii="arial" w:eastAsia="arial" w:hAnsi="arial" w:cs="arial"/>
          <w:color w:val="000000"/>
          <w:sz w:val="20"/>
          <w:lang w:val="en-US" w:eastAsia="en-US" w:bidi="ar-SA"/>
        </w:rPr>
        <w:t xml:space="preserve">  Under GC 36.2, within three calendar days of the commencement of any delay beyond the control of Golden Hill, Golden Hill was to give Kemess written notice of the delay together with details of its cause and its anticipated results of the delay. Similarly, within 14 calendar days of the termination of the delay, Golden Hill was to give Kemess written notice setting out the actual duration of the delay and its effect upon the Contract Schedule ..." Golden Hill was also to include: "... a request to the Owner for an extension of time in which to complete the Work or any portions of it." If Kemess determined that the delay was "beyond the control and without the fault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of Golden Hill and was not "foreseeable by the Contractor at the time the Contract was entered into", Kemess was to determine the duration of the delay and then: "... shall extend the time for completion and the affected portion of the Work accordingly." "No extension of time shall be considered unless written notice and request for extension have been given within the time period set out 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879</w:t>
      </w:r>
      <w:r>
        <w:rPr>
          <w:rFonts w:ascii="arial" w:eastAsia="arial" w:hAnsi="arial" w:cs="arial"/>
          <w:color w:val="000000"/>
          <w:sz w:val="20"/>
          <w:lang w:val="en-US" w:eastAsia="en-US" w:bidi="ar-SA"/>
        </w:rPr>
        <w:t>  General Condition 36.5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36.5 If pursuant to Article 36.2 hereof the Owner extends the time for completion, the Owner will be entitled nevertheless to require the Contractor to reduce or eliminate as far as possible such time by accelerating progress on the Work by all means acceptable to the Owner and available to the Contractor. The Contractor shall accelerate progress accordingly and the Contract Price will be increased by the difference, as approved in detail by the Contractor to the Owner between the costs properly and necessarily occurred by the Contractor for the accelerated parts of the Work and the costs which the Contractor would have incurred for those same parts to complete them by the extended time had the acceleration not been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880</w:t>
      </w:r>
      <w:r>
        <w:rPr>
          <w:rFonts w:ascii="arial" w:eastAsia="arial" w:hAnsi="arial" w:cs="arial"/>
          <w:color w:val="000000"/>
          <w:sz w:val="20"/>
          <w:lang w:val="en-US" w:eastAsia="en-US" w:bidi="ar-SA"/>
        </w:rPr>
        <w:t>  Accordingly, within the context of the Amended Schedule being extended, Kemess was still in a position to accelerate progress on the Work or part of the Work and, if there was an acceleration, the Contract Price was to be increased by the difference between costs "properly and necessarily incurred" for the accelerated parts of the Work and the cost which would have been incurred for the same parts if the acceleration had not been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881</w:t>
      </w:r>
      <w:r>
        <w:rPr>
          <w:rFonts w:ascii="arial" w:eastAsia="arial" w:hAnsi="arial" w:cs="arial"/>
          <w:color w:val="000000"/>
          <w:sz w:val="20"/>
          <w:lang w:val="en-US" w:eastAsia="en-US" w:bidi="ar-SA"/>
        </w:rPr>
        <w:t xml:space="preserve">  There is no particular form of directive that is required to trigger the operation of GC 36.5 as there was in similar provisions in other construction contracts: for instance, in Emil Anderson Construction Co. v. British Columbia Railway Co. </w:t>
      </w:r>
      <w:hyperlink r:id="rId893" w:history="1">
        <w:r>
          <w:rPr>
            <w:rFonts w:ascii="arial" w:eastAsia="arial" w:hAnsi="arial" w:cs="arial"/>
            <w:i/>
            <w:color w:val="0077CC"/>
            <w:sz w:val="20"/>
            <w:u w:val="single"/>
            <w:shd w:val="clear" w:color="auto" w:fill="FFFFFF"/>
            <w:lang w:val="en-US" w:eastAsia="en-US" w:bidi="ar-SA"/>
          </w:rPr>
          <w:t>(1991), 45 C.L.R. 201</w:t>
        </w:r>
      </w:hyperlink>
      <w:r>
        <w:rPr>
          <w:rFonts w:ascii="arial" w:eastAsia="arial" w:hAnsi="arial" w:cs="arial"/>
          <w:color w:val="000000"/>
          <w:sz w:val="20"/>
          <w:lang w:val="en-US" w:eastAsia="en-US" w:bidi="ar-SA"/>
        </w:rPr>
        <w:t xml:space="preserve"> (B.C.C.A.) at p. 218 where the contractual provision required a written direction to accelerate by the owner.</w:t>
      </w:r>
      <w:r>
        <w:rPr>
          <w:rFonts w:ascii="arial" w:eastAsia="arial" w:hAnsi="arial" w:cs="arial"/>
          <w:sz w:val="20"/>
          <w:lang w:val="en-US" w:eastAsia="en-US" w:bidi="ar-SA"/>
        </w:rPr>
        <w:cr/>
      </w:r>
    </w:p>
    <w:p>
      <w:pPr>
        <w:numPr>
          <w:numId w:val="2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CONTRACT SCHEDULE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882</w:t>
      </w:r>
      <w:r>
        <w:rPr>
          <w:rFonts w:ascii="arial" w:eastAsia="arial" w:hAnsi="arial" w:cs="arial"/>
          <w:color w:val="000000"/>
          <w:sz w:val="20"/>
          <w:lang w:val="en-US" w:eastAsia="en-US" w:bidi="ar-SA"/>
        </w:rPr>
        <w:t>  The original Schedule for the Project provided that all Work was to be completed by October 11, 1996. At that time, completion of the Airstrip was not mentioned. In the bid that Golden Hill submitted, demobilization was to be complete by November 15. The Amended Schedule provided that the contract would be awarded by June 21, clearing operations at the Airstrip would start on July 2, mobilization of equipment would be complete by July 15, rough grading at the Millsite would be complete by September 13, work at the Millsite would be complete by October 10 and there would be "final clean-up and completion for mid-October."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883</w:t>
      </w:r>
      <w:r>
        <w:rPr>
          <w:rFonts w:ascii="arial" w:eastAsia="arial" w:hAnsi="arial" w:cs="arial"/>
          <w:color w:val="000000"/>
          <w:sz w:val="20"/>
          <w:lang w:val="en-US" w:eastAsia="en-US" w:bidi="ar-SA"/>
        </w:rPr>
        <w:t>  General Condition 3.0 ("Contract Schedule") provides that the schedule proposed in the Tender "shall, after review by the Owner or the Engineer and incorporating revisions required by the Owner or Engineer, become the Contract Schedule." As no revisions were requested to the Amended Schedule, I find that the Amended Schedule became the "Contract Schedule".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884</w:t>
      </w:r>
      <w:r>
        <w:rPr>
          <w:rFonts w:ascii="arial" w:eastAsia="arial" w:hAnsi="arial" w:cs="arial"/>
          <w:color w:val="000000"/>
          <w:sz w:val="20"/>
          <w:lang w:val="en-US" w:eastAsia="en-US" w:bidi="ar-SA"/>
        </w:rPr>
        <w:t>  It was obviously the case that Kemess wanted the work done as quickly as possible. When first contacted, Mr. Rudolph was advised that Kilborn had been instructed to get the tenders out quickly so as to not lose the summer construction window of 1996. When he was first hired, Mr. Rempel was advised by Mr. Koski that the project was on a "fast-track" schedule. Mr. Rempel confirmed this at Trial: "Getting the project on line for production as quickly as possible" "it was an aggressive schedule." On cross-examination, Mr. Rempel testified that the schedule that Golden Hill submitted with its Tender "shows a very aggressive schedule in a short period of time." Even with the aggressive schedule, I am satisfied that Kemess constantly pressured and required Golden Hill to speed up the Work where possible. This was other than in accordance with the Contract which granted Golden Hill complete control over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885</w:t>
      </w:r>
      <w:r>
        <w:rPr>
          <w:rFonts w:ascii="arial" w:eastAsia="arial" w:hAnsi="arial" w:cs="arial"/>
          <w:color w:val="000000"/>
          <w:sz w:val="20"/>
          <w:lang w:val="en-US" w:eastAsia="en-US" w:bidi="ar-SA"/>
        </w:rPr>
        <w:t>  From time to time, Golden Hill requested extensions of time and, while the strict provisions of GC 36.2 were not followed in all circumstances, I am satisfied that the requests by Golden Hill for extensions of time were all accepted by Kemess and the Amended Schedule was extended.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886</w:t>
      </w:r>
      <w:r>
        <w:rPr>
          <w:rFonts w:ascii="arial" w:eastAsia="arial" w:hAnsi="arial" w:cs="arial"/>
          <w:color w:val="000000"/>
          <w:sz w:val="20"/>
          <w:lang w:val="en-US" w:eastAsia="en-US" w:bidi="ar-SA"/>
        </w:rPr>
        <w:t>  Follow up "bar chart Contract Schedules" were requested and were submitted by Golden Hill on the following dates showing the following new completion dates: August 7 (October 20); September 24 (October 7); October 1 (October 14); October 8 (October 21); and October 15 (some work in December with the remainder of the work in February 1997 and late April 1997). I find that the bar chart schedules setting out the overall project schedules constitute requests for extensions by Golden Hill and accepted extensions by Kemess pursuant to GC 36.2. However, I also find that there were accelerations of the Work within the extended Contract Schedule.</w:t>
      </w:r>
      <w:r>
        <w:rPr>
          <w:rFonts w:ascii="arial" w:eastAsia="arial" w:hAnsi="arial" w:cs="arial"/>
          <w:sz w:val="20"/>
          <w:lang w:val="en-US" w:eastAsia="en-US" w:bidi="ar-SA"/>
        </w:rPr>
        <w:cr/>
      </w:r>
    </w:p>
    <w:p>
      <w:pPr>
        <w:numPr>
          <w:numId w:val="2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ACCELERATIONS OF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887</w:t>
      </w:r>
      <w:r>
        <w:rPr>
          <w:rFonts w:ascii="arial" w:eastAsia="arial" w:hAnsi="arial" w:cs="arial"/>
          <w:color w:val="000000"/>
          <w:sz w:val="20"/>
          <w:lang w:val="en-US" w:eastAsia="en-US" w:bidi="ar-SA"/>
        </w:rPr>
        <w:t>  At the first on-site meeting with Kemess representatives (July 7), it was stated that the Airstrip "must be done before Aug 15/96". At that meeting, the other priorities were described as the Mancamp because the Exploration Camp was not big enough to handle construction workers and the Millsite because the job was fast-tracked and the civil contractor needed a place to start its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888</w:t>
      </w:r>
      <w:r>
        <w:rPr>
          <w:rFonts w:ascii="arial" w:eastAsia="arial" w:hAnsi="arial" w:cs="arial"/>
          <w:color w:val="000000"/>
          <w:sz w:val="20"/>
          <w:lang w:val="en-US" w:eastAsia="en-US" w:bidi="ar-SA"/>
        </w:rPr>
        <w:t>  The original plan of Golden Hill was to complete the Airstrip by late September or early October, to excavate and place common material at the Millsite from August 1 to the middle of October and to excavate and place common material at the Mancamp from the middle of September to late October. I find that the direction to complete the Airstrip by August 15 was an acceleration of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889</w:t>
      </w:r>
      <w:r>
        <w:rPr>
          <w:rFonts w:ascii="arial" w:eastAsia="arial" w:hAnsi="arial" w:cs="arial"/>
          <w:color w:val="000000"/>
          <w:sz w:val="20"/>
          <w:lang w:val="en-US" w:eastAsia="en-US" w:bidi="ar-SA"/>
        </w:rPr>
        <w:t>  The Monthly Project Construction Report dated August 1 is evidence of work at the crusher and concentrator areas of the Millsite being accelerated by one week and two days, respectively. This Report read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accelerated site preparation schedule with suitable weather should enable advancement of the schedule by 1 or 2 weeks." . . . "The immediate effort is being directed to accelerating the man camp and mill site grading to achieve scheduled mobilization for underground services, camp construction and concrete placement.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890</w:t>
      </w:r>
      <w:r>
        <w:rPr>
          <w:rFonts w:ascii="arial" w:eastAsia="arial" w:hAnsi="arial" w:cs="arial"/>
          <w:color w:val="000000"/>
          <w:sz w:val="20"/>
          <w:lang w:val="en-US" w:eastAsia="en-US" w:bidi="ar-SA"/>
        </w:rPr>
        <w:t>  Even though that report was an internal Kemess report, I am satisfied that this acceleration was communicated to Golden Hill. On cross-examination, Mr. Koski admitted that he wanted Golden Hill to accelerate its Work and that the schedule contained in that Report proposed to accelerate the work notwithstanding all of the delays experienced due to the inability of Kemess to provide permits on time and to the effect of weather on soil encountered. Mr. Koski agreed that, by the beginning of August, he had seen the Amended Schedule and that he was asking Golden Hill to perform the work at the concentrator site within the Millsite and at the Mancamp earlier than what was set out in the Amended Schedule as had been extended by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891</w:t>
      </w:r>
      <w:r>
        <w:rPr>
          <w:rFonts w:ascii="arial" w:eastAsia="arial" w:hAnsi="arial" w:cs="arial"/>
          <w:color w:val="000000"/>
          <w:sz w:val="20"/>
          <w:lang w:val="en-US" w:eastAsia="en-US" w:bidi="ar-SA"/>
        </w:rPr>
        <w:t>  As reflected in the August 3 site review meeting minutes, Golden Hill was instructed to "add/change their equipment list on site to suit the working conditions and bring the schedule back on-line to a point of acceptance". Mr. Lyons understood that the schedule was falling behind what Kemess wanted but that the extended Amended Schedule was not falling behind. Because Golden Hill was given control of the Work, it was up to Golden Hill to mobilize equipment when it thought necessary. I am satisfied that the direction received from Kemess to mobilize all equipment at that time and to change the equipment list if necessary constituted an acceleration of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892</w:t>
      </w:r>
      <w:r>
        <w:rPr>
          <w:rFonts w:ascii="arial" w:eastAsia="arial" w:hAnsi="arial" w:cs="arial"/>
          <w:color w:val="000000"/>
          <w:sz w:val="20"/>
          <w:lang w:val="en-US" w:eastAsia="en-US" w:bidi="ar-SA"/>
        </w:rPr>
        <w:t>  I find that the following directives made by Kemess on August 3 constitute an acceleration of the Work by Kemess:</w:t>
      </w:r>
      <w:r>
        <w:rPr>
          <w:rFonts w:ascii="arial" w:eastAsia="arial" w:hAnsi="arial" w:cs="arial"/>
          <w:sz w:val="20"/>
          <w:lang w:val="en-US" w:eastAsia="en-US" w:bidi="ar-SA"/>
        </w:rPr>
        <w:cr/>
      </w:r>
    </w:p>
    <w:p>
      <w:pPr>
        <w:numPr>
          <w:numId w:val="2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contractor is to immediately mobilize all of the equipment onsite which was detailed in the equipment list as part of their tender submission.</w:t>
      </w:r>
    </w:p>
    <w:p>
      <w:pPr>
        <w:numPr>
          <w:numId w:val="2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Additional equipment is to be placed in the mill site and work is to be established immediately in all three areas: the air strip, the man camp, and the mill site.</w:t>
      </w:r>
    </w:p>
    <w:p>
      <w:pPr>
        <w:numPr>
          <w:numId w:val="2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contractor is to firm up their schedule and submit a formal document work schedule clearly showing their progress to date and a plan to aggressively bring the work in all three (3) areas back to an acceptable level. This is to be submitted by Jon Rudolph, President of Golden Hill Ventures.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893</w:t>
      </w:r>
      <w:r>
        <w:rPr>
          <w:rFonts w:ascii="arial" w:eastAsia="arial" w:hAnsi="arial" w:cs="arial"/>
          <w:color w:val="000000"/>
          <w:sz w:val="20"/>
          <w:lang w:val="en-US" w:eastAsia="en-US" w:bidi="ar-SA"/>
        </w:rPr>
        <w:t>  Golden Hill was ordered to start working on all three areas of the Site at once and this was also contrary to the original plan of Work. I find that the directive to work on all three areas of the Site constituted an acceleration of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894</w:t>
      </w:r>
      <w:r>
        <w:rPr>
          <w:rFonts w:ascii="arial" w:eastAsia="arial" w:hAnsi="arial" w:cs="arial"/>
          <w:color w:val="000000"/>
          <w:sz w:val="20"/>
          <w:lang w:val="en-US" w:eastAsia="en-US" w:bidi="ar-SA"/>
        </w:rPr>
        <w:t>  In an August 4 letter, Mr. Rempel responded to the August 1 letter from Mr. Lyons dealing with weather delays and made it clear that Kemess wanted Golden Hill to make up for the delays: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Weather: It is apparent that the weather conditions are not going to disappear. Unfortunately, we have no control over these circumstances. However, what we can do is put our heads together, draw from our mutual experiences as [sic] arrive at a solution. In the end as a contractor, you must come up with a plan and overcome this obstacle. You must complete the work. This problem is beginning to create a domino effect causing work set backs for other contractors awaiting the completion of your work. We simply cannot allow this to carry on. A solution must be found.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895</w:t>
      </w:r>
      <w:r>
        <w:rPr>
          <w:rFonts w:ascii="arial" w:eastAsia="arial" w:hAnsi="arial" w:cs="arial"/>
          <w:color w:val="000000"/>
          <w:sz w:val="20"/>
          <w:lang w:val="en-US" w:eastAsia="en-US" w:bidi="ar-SA"/>
        </w:rPr>
        <w:t>  In an August 8 letter, Mr. Rudolph indicated that Golden Hill was prepared to accelerate the project: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we were awarded the tailings dam work, C105, we could mobilize some of that equipment early and use it to accelerate the Millsite works. Golden Hill will strive to be flexible to accelerate the project but would like to emphasize that earth moving activities are contingent on weather conditions and that we may not be able to utilize all of our equipment during these times....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not recall any specific target dates in contract C101 that we were required to adhere to, however, we realize your urgency in completing all phases of our contract and will work with you to ensure your needs are met. The schedule attached represents a realistic plan to complete this work. With all the delays in permitting and weather, we feel this schedule is well within the original schedule submitted without tender. Because the Millsite is so large, we will endeavour to concentrate our efforts to areas of high priority. We are striving to excel our original schedule to suit Kemess Mines' requirements and would appreciate your cooperation and thereby response as to issues as they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896</w:t>
      </w:r>
      <w:r>
        <w:rPr>
          <w:rFonts w:ascii="arial" w:eastAsia="arial" w:hAnsi="arial" w:cs="arial"/>
          <w:color w:val="000000"/>
          <w:sz w:val="20"/>
          <w:lang w:val="en-US" w:eastAsia="en-US" w:bidi="ar-SA"/>
        </w:rPr>
        <w:t>  The schedule attached indicated the Work to be completed on October 20. Accordingly, despite the acknowledged delays relating to failure to obtain permits on time and because of the effect of the weather on the soil conditions encountered, this schedule only increased the time to complete the Work by several days. At Trial, Mr. Koski stated that he understood Mr. Rudolph was taking the position that Golden Hill was being asked to accelerate. While he denied that Kemess had ordered Golden Hill to accelerate, Mr. Koski did admit: "We had asked him to increase his rate of productivity to achieve the schedule completion date." I am satisfied that the reference of Mr. Koski was to the Amended Schedule and not to the extended Amended Schedule. In the circumstances, I find that Mr. Rudolph was reacting to the order to accelerate.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897</w:t>
      </w:r>
      <w:r>
        <w:rPr>
          <w:rFonts w:ascii="arial" w:eastAsia="arial" w:hAnsi="arial" w:cs="arial"/>
          <w:color w:val="000000"/>
          <w:sz w:val="20"/>
          <w:lang w:val="en-US" w:eastAsia="en-US" w:bidi="ar-SA"/>
        </w:rPr>
        <w:t>  Mr. Koski also admitted that he did not reply to the August 8 letter to disagree with Mr. Rudolph's position regarding acceleration. In fact, Mr. Rudolph testified that no one at Kemess ever took issue with the statements in Golden Hill's letters that suggested that the Work was being accelerated.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898</w:t>
      </w:r>
      <w:r>
        <w:rPr>
          <w:rFonts w:ascii="arial" w:eastAsia="arial" w:hAnsi="arial" w:cs="arial"/>
          <w:color w:val="000000"/>
          <w:sz w:val="20"/>
          <w:lang w:val="en-US" w:eastAsia="en-US" w:bidi="ar-SA"/>
        </w:rPr>
        <w:t>  The Weekly Reports for the period August 1 through 31 indicate that Golden Hill did accelerate its work according to the express instructions given to it by Kemess: "Golden Hill efforts on permanent camp area and the millsite location were double shifted in order to meet schedule date of completion for preparation of concrete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899</w:t>
      </w:r>
      <w:r>
        <w:rPr>
          <w:rFonts w:ascii="arial" w:eastAsia="arial" w:hAnsi="arial" w:cs="arial"/>
          <w:color w:val="000000"/>
          <w:sz w:val="20"/>
          <w:lang w:val="en-US" w:eastAsia="en-US" w:bidi="ar-SA"/>
        </w:rPr>
        <w:t>  On August 27, Golden Hill wrote to Mr. Rempel stating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to our discussion yesterday, August 26, the following is a cost list of mob / demob prices to attain additional equipment to the Kemess mine site. This additional equipment is required in order to accelerate production as per our discussions.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 We would also need additional equipment (dozers, excavator, packer) which mob/demob costs are not available at this time because of availability and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900</w:t>
      </w:r>
      <w:r>
        <w:rPr>
          <w:rFonts w:ascii="arial" w:eastAsia="arial" w:hAnsi="arial" w:cs="arial"/>
          <w:color w:val="000000"/>
          <w:sz w:val="20"/>
          <w:lang w:val="en-US" w:eastAsia="en-US" w:bidi="ar-SA"/>
        </w:rPr>
        <w:t>  Mr. Koski admitted that he included the word "accelerate" when he made handwritten notes on this August 27 letter. Mr. Rudolph stated that all of the equipment mentioned in the letter was mobilized at different price rates than what had been established at the Post Tender Meeting in order to reflect that the equipment was being retrieved from different locations in order to accommodate the acceleration of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901</w:t>
      </w:r>
      <w:r>
        <w:rPr>
          <w:rFonts w:ascii="arial" w:eastAsia="arial" w:hAnsi="arial" w:cs="arial"/>
          <w:color w:val="000000"/>
          <w:sz w:val="20"/>
          <w:lang w:val="en-US" w:eastAsia="en-US" w:bidi="ar-SA"/>
        </w:rPr>
        <w:t>  Mr. Miller testified that his August 27 letter arose out of discussions that he had with Mr. Rempel on August 26 in which he was told that Kemess wanted more equipment on the site "mainly to get the Topsoil off of the Millsite". Under cross-examination, Mr. Rempel admitted that the purpose of mobilizing the new equipment was to accelerate the progress of the Work of Golden Hill so as to meet the schedule and respond to the conditions that Golden Hill was facing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902</w:t>
      </w:r>
      <w:r>
        <w:rPr>
          <w:rFonts w:ascii="arial" w:eastAsia="arial" w:hAnsi="arial" w:cs="arial"/>
          <w:color w:val="000000"/>
          <w:sz w:val="20"/>
          <w:lang w:val="en-US" w:eastAsia="en-US" w:bidi="ar-SA"/>
        </w:rPr>
        <w:t>  On August 28, Mr. Rempel sent a letter to Mr. Rudolph which included a series of written "directives": (a) provide Kemess with a performance bond for the completion of the balance of Work; (b) order Mr. Miller to remain onsite as the project superintendent; (c) submit an updated work plan, which outlined an "aggressive plan of attack"; and (d) mobilize additional equipment to the Site to ensure that the rate of progress was stepped up and maintained to meet the scheduled completion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903</w:t>
      </w:r>
      <w:r>
        <w:rPr>
          <w:rFonts w:ascii="arial" w:eastAsia="arial" w:hAnsi="arial" w:cs="arial"/>
          <w:color w:val="000000"/>
          <w:sz w:val="20"/>
          <w:lang w:val="en-US" w:eastAsia="en-US" w:bidi="ar-SA"/>
        </w:rPr>
        <w:t>  Under cross-examination, Mr. Rempel agreed that bringing in more equipment and manpower to speed up the Work was the same as acceleration and that the reason they were asked to bring in more equipment and more manpower was because the progress of the Work had been significantly delayed due to the type of soils that were being experienced and the weather. I find that the direction to mobilize new equipment was for the purpose of accelerating the progress of the Work of Golden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904</w:t>
      </w:r>
      <w:r>
        <w:rPr>
          <w:rFonts w:ascii="arial" w:eastAsia="arial" w:hAnsi="arial" w:cs="arial"/>
          <w:color w:val="000000"/>
          <w:sz w:val="20"/>
          <w:lang w:val="en-US" w:eastAsia="en-US" w:bidi="ar-SA"/>
        </w:rPr>
        <w:t>  On October 8, Mr. Rempel sent a facsimile letter to Mr. Rudolph approving the price of $100,000.00 for the mobilization and de-mobilization of additional equipment. The Kemess Daily Meeting Minutes for October 16 indicate that Mr. Patel stated that Mr. Rudolph had been informed about the increased need to finish the work at the Airstrip: "John [sic] Rudolph of Golden Hill Ventures has been advised that air strip must be ready by the end of November."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905</w:t>
      </w:r>
      <w:r>
        <w:rPr>
          <w:rFonts w:ascii="arial" w:eastAsia="arial" w:hAnsi="arial" w:cs="arial"/>
          <w:color w:val="000000"/>
          <w:sz w:val="20"/>
          <w:lang w:val="en-US" w:eastAsia="en-US" w:bidi="ar-SA"/>
        </w:rPr>
        <w:t>  The critical issue is whether the Amended Schedule as extended was compressed. If so, then acceleration occurred. If the extended Amended Schedule was not compressed, then there is no acceleration. I am satisfied that there were not only extensions of the Amended Schedule but also compressions of some of the Work under the Amended Schedule as extended. In those circumstances, Golden Hill is entitled to the compensation contemplated by GC 36.5.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906</w:t>
      </w:r>
      <w:r>
        <w:rPr>
          <w:rFonts w:ascii="arial" w:eastAsia="arial" w:hAnsi="arial" w:cs="arial"/>
          <w:color w:val="000000"/>
          <w:sz w:val="20"/>
          <w:lang w:val="en-US" w:eastAsia="en-US" w:bidi="ar-SA"/>
        </w:rPr>
        <w:t>  Kemess never invoked the provisions of GC 5.3 which gives it the right to order acceleration at the cost of Golden Hill where the actions of Golden Hill have delayed the Project. The absence of such an order should be contrasted with the fact that Kemess had no hesitation in invoking other contractual clauses in its numerous memoranda to Golden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907</w:t>
      </w:r>
      <w:r>
        <w:rPr>
          <w:rFonts w:ascii="arial" w:eastAsia="arial" w:hAnsi="arial" w:cs="arial"/>
          <w:color w:val="000000"/>
          <w:sz w:val="20"/>
          <w:lang w:val="en-US" w:eastAsia="en-US" w:bidi="ar-SA"/>
        </w:rPr>
        <w:t>  In addition to informally granting extensions of the Amended Schedule, Kemess became involved in the control of the Work by setting priorities in some areas, by insisting Golden Hill speed up its Work to meet certain "milestone" dates and by leaving other work in other areas for later. While extensions to the overall schedule may have been given de facto, parts of the Work were still accelerated because Golden Hill was required to speed up parts of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908</w:t>
      </w:r>
      <w:r>
        <w:rPr>
          <w:rFonts w:ascii="arial" w:eastAsia="arial" w:hAnsi="arial" w:cs="arial"/>
          <w:color w:val="000000"/>
          <w:sz w:val="20"/>
          <w:lang w:val="en-US" w:eastAsia="en-US" w:bidi="ar-SA"/>
        </w:rPr>
        <w:t>  I find as well that Golden Hill worked longer shifts (11 hours was increased to 12 hours), arranged for additional equipment to be brought on site, and arranged for the necessary operators, labourers and supervisory staff for support. All of this amounted to acceleration.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909</w:t>
      </w:r>
      <w:r>
        <w:rPr>
          <w:rFonts w:ascii="arial" w:eastAsia="arial" w:hAnsi="arial" w:cs="arial"/>
          <w:color w:val="000000"/>
          <w:sz w:val="20"/>
          <w:lang w:val="en-US" w:eastAsia="en-US" w:bidi="ar-SA"/>
        </w:rPr>
        <w:t>  I am satisfied that the unanticipated weather and soils conditions are "occurrences beyond the control" of Golden Hill. It is not possible to argue otherwise as it is clear that Golden Hill would have no control over the weather and would have no control over the soil conditions which were actually found on the Site. For what could not be anticipated and was therefore delays "beyond the control of" either party, Golden Hill was entitled to and did receive extensions to the Amended Schedule. However, there was then acceleration and Golden Hill is entitled to compensation for that acceleration. As well, Golden Hill is entitled to damages for delays or failure of performance by Kemess which were within the control of Kemess.</w:t>
      </w:r>
      <w:r>
        <w:rPr>
          <w:rFonts w:ascii="arial" w:eastAsia="arial" w:hAnsi="arial" w:cs="arial"/>
          <w:sz w:val="20"/>
          <w:lang w:val="en-US" w:eastAsia="en-US" w:bidi="ar-SA"/>
        </w:rPr>
        <w:cr/>
      </w:r>
    </w:p>
    <w:p>
      <w:pPr>
        <w:numPr>
          <w:numId w:val="2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CASE AUTHORITIES DEALING WITH ACCELERATION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910</w:t>
      </w:r>
      <w:r>
        <w:rPr>
          <w:rFonts w:ascii="arial" w:eastAsia="arial" w:hAnsi="arial" w:cs="arial"/>
          <w:color w:val="000000"/>
          <w:sz w:val="20"/>
          <w:lang w:val="en-US" w:eastAsia="en-US" w:bidi="ar-SA"/>
        </w:rPr>
        <w:t>  A number of decisions have considered the concept of acceleration. There can be "Actual Acceleration" as well "Constructive Acceleration". For Actual Acceleration to be compensable, the owner must order the contractor to recover time lost as a result of excusable delay to complete before the extended completion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911</w:t>
      </w:r>
      <w:r>
        <w:rPr>
          <w:rFonts w:ascii="arial" w:eastAsia="arial" w:hAnsi="arial" w:cs="arial"/>
          <w:color w:val="000000"/>
          <w:sz w:val="20"/>
          <w:lang w:val="en-US" w:eastAsia="en-US" w:bidi="ar-SA"/>
        </w:rPr>
        <w:t>  Constructive Acceleration can arise when time has been lost as a result of excusable delay which the owner does not accept or when the owner insists on the original completion date. Constructive Acceleration can also occur if the schedule is extended as a result of excusable delay but the owner only accepts part of the delay.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912</w:t>
      </w:r>
      <w:r>
        <w:rPr>
          <w:rFonts w:ascii="arial" w:eastAsia="arial" w:hAnsi="arial" w:cs="arial"/>
          <w:color w:val="000000"/>
          <w:sz w:val="20"/>
          <w:lang w:val="en-US" w:eastAsia="en-US" w:bidi="ar-SA"/>
        </w:rPr>
        <w:t>  Two decisions have dealt with the concept of Actual Acceleration. In Morrison-Knudsen Company v. British Columbia Hydro &amp; Power Authority (December 6, 1974) S.C.B.C. Action No. 2572/67 (Vancouver Registry) (B.C.S.C.), Macdonald, J. defined "acceleration" in the construction context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By acceleration I mean speeding up the work - increasing the rate of performance of the work - in order to overcome delays and complete by the dates specified in the contract work which has fallen behind schedule. Acceleration may be undertaken in order to finish by the contract dates work which has fallen behind schedule due to: (1) delays for which the contractor is solely responsible; (2) delays attributable entirely to the owner; and (3) delays which are a combination of the two, that is, delays for which both contractor and owner are responsible.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S. 1.02.02, which requires completion of the work by specified dates, empowers the Engineer to allow extensions of time ... He is not required to grant extensions no matter what the cause of the delay. If he should decide against an extension of time, in a clear case of Owner caused delay, the result is that the Contractor remains legally bound to complete by the Contract dates. That may involve acceleration - at additional cost - to overcome the delay. In such circumstances fair treatment would require the Owner to pay that extra cost.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extensions of time for Owner caused delays are refused, and a contractor accelerates to overcome those delays plus others which are solely his responsibility, he is entitled to be paid the portion of his acceleration costs attributable to the Owner's default.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Throughout, the plaintiffs were pressed to complete their work by the dates specified in the contract. The Chairman's two letters . . . called on the Contractor to take all necessary steps to achieve completion by the Contract date and made it plain that failure to do so was unacceptable to the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(at Part 11, pp. 2-4)</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913</w:t>
      </w:r>
      <w:r>
        <w:rPr>
          <w:rFonts w:ascii="arial" w:eastAsia="arial" w:hAnsi="arial" w:cs="arial"/>
          <w:color w:val="000000"/>
          <w:sz w:val="20"/>
          <w:lang w:val="en-US" w:eastAsia="en-US" w:bidi="ar-SA"/>
        </w:rPr>
        <w:t xml:space="preserve">  In W.A. Stevenson Construction (Western) Ltd. v. Metro Canada Ltd. </w:t>
      </w:r>
      <w:hyperlink r:id="rId857" w:history="1">
        <w:r>
          <w:rPr>
            <w:rFonts w:ascii="arial" w:eastAsia="arial" w:hAnsi="arial" w:cs="arial"/>
            <w:i/>
            <w:color w:val="0077CC"/>
            <w:sz w:val="20"/>
            <w:u w:val="single"/>
            <w:shd w:val="clear" w:color="auto" w:fill="FFFFFF"/>
            <w:lang w:val="en-US" w:eastAsia="en-US" w:bidi="ar-SA"/>
          </w:rPr>
          <w:t>(1987), 27 C.L.R. 113</w:t>
        </w:r>
      </w:hyperlink>
      <w:r>
        <w:rPr>
          <w:rFonts w:ascii="arial" w:eastAsia="arial" w:hAnsi="arial" w:cs="arial"/>
          <w:color w:val="000000"/>
          <w:sz w:val="20"/>
          <w:lang w:val="en-US" w:eastAsia="en-US" w:bidi="ar-SA"/>
        </w:rPr>
        <w:t xml:space="preserve"> (B.C.S.C.), Locke, J., as he then was, referred to the concept of acceleration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Throughout this job the contractor was told he had to meet the milestone dates in the contract. Conditions of work which delayed the execution of the contract were forced on it by the owner (e.g. non-removal of buildings). Weather conditions plainly impaired the ability to perform. If the owner insisted on performance by the contract date, the slowed work had to be made up with extra resources of capital and labour. This compression in time is one definition of acceleration. Like the Red Queen, the contract had to run faster just to stay where it was in relation to the time frame of the contract.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case at bar, there were two concepts in relation to time: a mandatory contractual obligation to extend time for third party acts or acts of God, and a discretionary power to pay in the case of an owner-caused delay or failure to do an act together with a date adjustment. In my opinion, the owner failed to do its duty as to the first obligation and is in breach of contract, and having failed to make any proper financial adjustment for the second, must bear proven monetary consequences. (at pp. 178-9).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914</w:t>
      </w:r>
      <w:r>
        <w:rPr>
          <w:rFonts w:ascii="arial" w:eastAsia="arial" w:hAnsi="arial" w:cs="arial"/>
          <w:color w:val="000000"/>
          <w:sz w:val="20"/>
          <w:lang w:val="en-US" w:eastAsia="en-US" w:bidi="ar-SA"/>
        </w:rPr>
        <w:t>  In Morrison-Knudsen and W.A. Stevenson Construction, both owners maintained a rigid completion date notwithstanding the fact that it was their delays which would ordinarily have entitled the contractor to extensions in time. In both, the owners required the contractors to meet the original contract schedule without expressly referring to acceleration and the owners were required to indemnify the contractors for the costs the contractors incurred in applying more equipment and personnel in order to speed up the completion of the contract. In W.A. Stevenson Construction, the Court found that the owner did not provide the clear work space called for in the contract, failed to provide time extensions the general contractor was entitled to, and found that the conditions of work delayed the execution of the contractor's work including owner-caused delay and weather.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915</w:t>
      </w:r>
      <w:r>
        <w:rPr>
          <w:rFonts w:ascii="arial" w:eastAsia="arial" w:hAnsi="arial" w:cs="arial"/>
          <w:color w:val="000000"/>
          <w:sz w:val="20"/>
          <w:lang w:val="en-US" w:eastAsia="en-US" w:bidi="ar-SA"/>
        </w:rPr>
        <w:t xml:space="preserve">  General Condition 36.5 refers to compensation "for the accelerated parts for the work" (Emphasis added). Acceleration of </w:t>
      </w:r>
      <w:r>
        <w:rPr>
          <w:rFonts w:ascii="arial" w:eastAsia="arial" w:hAnsi="arial" w:cs="arial"/>
          <w:color w:val="000000"/>
          <w:sz w:val="20"/>
          <w:u w:val="single"/>
          <w:lang w:val="en-US" w:eastAsia="en-US" w:bidi="ar-SA"/>
        </w:rPr>
        <w:t>parts</w:t>
      </w:r>
      <w:r>
        <w:rPr>
          <w:rFonts w:ascii="arial" w:eastAsia="arial" w:hAnsi="arial" w:cs="arial"/>
          <w:color w:val="000000"/>
          <w:sz w:val="20"/>
          <w:lang w:val="en-US" w:eastAsia="en-US" w:bidi="ar-SA"/>
        </w:rPr>
        <w:t xml:space="preserve"> of the Work is sufficient to trigger an obligation to compensate Golden Hill for the application of more resources in order to allow parts of the Work to be completed earlier than there otherwise would be under the extended Amended Schedule. Had Kemess not required Golden Hill to work despite unsatisfactory conditions and to apply additional resources to the Project, the Project would undoubtedly taken even longer to 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916</w:t>
      </w:r>
      <w:r>
        <w:rPr>
          <w:rFonts w:ascii="arial" w:eastAsia="arial" w:hAnsi="arial" w:cs="arial"/>
          <w:color w:val="000000"/>
          <w:sz w:val="20"/>
          <w:lang w:val="en-US" w:eastAsia="en-US" w:bidi="ar-SA"/>
        </w:rPr>
        <w:t>  I am satisfied that there has been both actual acceleration and constructive acceleration. Kemess ordered Golden Hill to recover time lost as a result of delays not caused by Golden Hill in order to complete parts of the Work before the contemplated extended date for the completion of that particular part of the Work. I am also satisfied that there has been constructive acceleration as Kemess did not accept that matters beyond the control of Golden Hill should result in more time being available to Golden Hill to complete that part of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917</w:t>
      </w:r>
      <w:r>
        <w:rPr>
          <w:rFonts w:ascii="arial" w:eastAsia="arial" w:hAnsi="arial" w:cs="arial"/>
          <w:color w:val="000000"/>
          <w:sz w:val="20"/>
          <w:lang w:val="en-US" w:eastAsia="en-US" w:bidi="ar-SA"/>
        </w:rPr>
        <w:t>  Despite the attempts to exclude the possibility of compensation for delays that were caused by Kemess, GC 36.1 does give rise to claims for loss, damage or expenses incurred by Golden Hill as a result of delays and failure of performance that were caused by occurrences which were within the control of Kemess. I am satisfied that the principle of contra proferentum should be applied and that the attempt to exclude liability set out in GC 36.0 must be strictly construed and I am satisfied that the interpretation I have given to GC 36.0 must be implied at law as this interpretation is a necessary condition to the contractual relationship between owner and contractor.</w:t>
      </w:r>
      <w:r>
        <w:rPr>
          <w:rFonts w:ascii="arial" w:eastAsia="arial" w:hAnsi="arial" w:cs="arial"/>
          <w:sz w:val="20"/>
          <w:lang w:val="en-US" w:eastAsia="en-US" w:bidi="ar-SA"/>
        </w:rPr>
        <w:cr/>
      </w:r>
    </w:p>
    <w:p>
      <w:pPr>
        <w:numPr>
          <w:numId w:val="2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CALCULATION OF DAMAGES FOR ACCELERATION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918</w:t>
      </w:r>
      <w:r>
        <w:rPr>
          <w:rFonts w:ascii="arial" w:eastAsia="arial" w:hAnsi="arial" w:cs="arial"/>
          <w:color w:val="000000"/>
          <w:sz w:val="20"/>
          <w:lang w:val="en-US" w:eastAsia="en-US" w:bidi="ar-SA"/>
        </w:rPr>
        <w:t>  Under GC 36.5, the cost must be "proven in detail by the contractor to the owner". Kemess submits that no acceleration claim was made at the time the alleged acceleration occurred and no detailed claim for acceleration costs has been put forward by Golden Hill. Golden Hill acknowledges that it is not able to provide calculations of the costs of acceleration.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919</w:t>
      </w:r>
      <w:r>
        <w:rPr>
          <w:rFonts w:ascii="arial" w:eastAsia="arial" w:hAnsi="arial" w:cs="arial"/>
          <w:color w:val="000000"/>
          <w:sz w:val="20"/>
          <w:lang w:val="en-US" w:eastAsia="en-US" w:bidi="ar-SA"/>
        </w:rPr>
        <w:t xml:space="preserve">  The failure to set out costs in detail is said by Kemess to be "fatal" to the acceleration claim of Golden Hill as Kemess submits that this is not a situation where the Court can "do its best" to calculate an award. Rather, this is a situation where Golden Hill is specifically responsible to account to Kemess for the costs of acceleration and it is not done so. In the circumstances, Golden Hill has failed to discharge its onus of proof: British Columbia Hydro &amp; Power Authority v. Canada (Minister of Public Works and Government Services), </w:t>
      </w:r>
      <w:hyperlink r:id="rId894" w:history="1">
        <w:r>
          <w:rPr>
            <w:rFonts w:ascii="arial" w:eastAsia="arial" w:hAnsi="arial" w:cs="arial"/>
            <w:i/>
            <w:color w:val="0077CC"/>
            <w:sz w:val="20"/>
            <w:u w:val="single"/>
            <w:shd w:val="clear" w:color="auto" w:fill="FFFFFF"/>
            <w:lang w:val="en-US" w:eastAsia="en-US" w:bidi="ar-SA"/>
          </w:rPr>
          <w:t>[1996] B.C.J. No. 2131</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920</w:t>
      </w:r>
      <w:r>
        <w:rPr>
          <w:rFonts w:ascii="arial" w:eastAsia="arial" w:hAnsi="arial" w:cs="arial"/>
          <w:color w:val="000000"/>
          <w:sz w:val="20"/>
          <w:lang w:val="en-US" w:eastAsia="en-US" w:bidi="ar-SA"/>
        </w:rPr>
        <w:t>  There is nothing in GC 36.5 which requires an acceleration claim to be made immediately after acceleration has occurred. I am satisfied that the detailing of the costs can be done at a date which is convenient to Golden Hill. Accordingly, the issue then raised is whether the lack of detail is "fatal" to the acceleration claim of Golden Hill. I am satisfied that it is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921</w:t>
      </w:r>
      <w:r>
        <w:rPr>
          <w:rFonts w:ascii="arial" w:eastAsia="arial" w:hAnsi="arial" w:cs="arial"/>
          <w:color w:val="000000"/>
          <w:sz w:val="20"/>
          <w:lang w:val="en-US" w:eastAsia="en-US" w:bidi="ar-SA"/>
        </w:rPr>
        <w:t>  I am satisfied that Golden Hill has provided sufficient detail with respect to the costs it claims and has proved its losses due to acceleration with reasonable certainty. The types of additional costs necessarily incurred by Golden Hill as a result of the acceleration of the Work include: (a) the cost of additional overtime associated with the shifts which were longer than 10 hours after the end of August; (b) additional supervisory costs as a result of the direction to increase supervisory staff and to work in three areas of the Site at once; (c) extra survey crew mobilized in August; (d) the lost productivity and additional cost of applying an accelerated effort in wet silty conditions, with limited Waste and Topsoil Dumps, rather than allowing Golden Hill to wait until the poor soils materials had partially frozen as Mr. Miller testified he wanted to do once he became aware of the actual soils conditions; and (e) performing the Work at a slower rate using different procedures and special equipment as well as the creation of additional work because of the double-handling of material, more Waste being created, cutting out Waste materials from what had previously been filled and the reconstruction of haul roads.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922</w:t>
      </w:r>
      <w:r>
        <w:rPr>
          <w:rFonts w:ascii="arial" w:eastAsia="arial" w:hAnsi="arial" w:cs="arial"/>
          <w:color w:val="000000"/>
          <w:sz w:val="20"/>
          <w:lang w:val="en-US" w:eastAsia="en-US" w:bidi="ar-SA"/>
        </w:rPr>
        <w:t>  Because the breaches of the Contract by Kemess, the tortious acts of Kemess, and the acceleration of parts of the Work by Kemess are numerous, it would be impossible to segregate what costs are attributable to what breach, what act, or direction to accelerate. In those circumstances and taking into account what has been provided by Golden Hill, I am satisfied that Golden Hill has provided "in detail ... the costs properly and necessarily incurred... for the accelerated parts of the Work and the costs which [Golden Hill]... would have incurred for those same parts to complete them by the extended time had the acceleration not been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923</w:t>
      </w:r>
      <w:r>
        <w:rPr>
          <w:rFonts w:ascii="arial" w:eastAsia="arial" w:hAnsi="arial" w:cs="arial"/>
          <w:color w:val="000000"/>
          <w:sz w:val="20"/>
          <w:lang w:val="en-US" w:eastAsia="en-US" w:bidi="ar-SA"/>
        </w:rPr>
        <w:t>  Some commercial reality must be given to GC 36.5. If nothing else changes, it may well be possible to contemporaneously provide the necessary detail so that the costs "properly and necessarily incurred" can be compared against the costs which the contractor "would have incurred" for those parts that were accelerated if the contractor had been able to complete those parts within the extended time given and acceleration had not been required. However, it will rarely be the case that it will be possible to isolate those costs in a way which would satisfy an owner that the difference had been "proved in detail" for each separate requirement of acceleration.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924</w:t>
      </w:r>
      <w:r>
        <w:rPr>
          <w:rFonts w:ascii="arial" w:eastAsia="arial" w:hAnsi="arial" w:cs="arial"/>
          <w:color w:val="000000"/>
          <w:sz w:val="20"/>
          <w:lang w:val="en-US" w:eastAsia="en-US" w:bidi="ar-SA"/>
        </w:rPr>
        <w:t>  The proof is made even more difficult when other breaches of contract or tortious acts are contributing to the increased costs of undertaking the accelerated parts of the Work. It would be impossible to compare the cost of acceleration against the cost to complete the same parts of the Work if there had not been acceleration as the original cost of doing that part of the Work has been increased by the expenses caused by the breaches of contract and the tortious 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925</w:t>
      </w:r>
      <w:r>
        <w:rPr>
          <w:rFonts w:ascii="arial" w:eastAsia="arial" w:hAnsi="arial" w:cs="arial"/>
          <w:color w:val="000000"/>
          <w:sz w:val="20"/>
          <w:lang w:val="en-US" w:eastAsia="en-US" w:bidi="ar-SA"/>
        </w:rPr>
        <w:t>  I am not satisfied that the damages available to Golden Hill for the breaches of contract and tortious acts of Kemess must be calculated in accordance with the principles set out by the following passage relied upon by Kemess: I.N.D. Wallace, Construction Contracts: Principles and Policies in Tort and Contract (London: Sweet &amp; Maxwell, 1986), where the learned author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fact, it will usually not be easy to establish an acceleration loss, since against his immediate additional expenditure, the contractor will require to give credit for the additional output achieved - in other words, a loss will only arise if he can, first, prove that as a fact he did increase plant and labour, and secondly, that the output so achieved was less, per unit of plant and labour, than would have been achieved without acceleration and using the originally planned labour or plant. Consequently, whether the contractor finishes on time (or late but earlier than would otherwise have been the case) there is in reality little or no difference between this claim and an ordinary loss of productivity claim due to disturbance - but in each case, of course, it will be necessary to show that the loss follows from an event for which the owner is legally responsible, such as change or breach of contract. (at p. 144).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926</w:t>
      </w:r>
      <w:r>
        <w:rPr>
          <w:rFonts w:ascii="arial" w:eastAsia="arial" w:hAnsi="arial" w:cs="arial"/>
          <w:color w:val="000000"/>
          <w:sz w:val="20"/>
          <w:lang w:val="en-US" w:eastAsia="en-US" w:bidi="ar-SA"/>
        </w:rPr>
        <w:t>  Rather, I am satisfied that the usual provisions dealing with damages relating from breaches of contract or tortious acts should apply. In the circumstances of this case, I am satisfied that it is appropriate to limit the scope of GC 36.5 to a situation where damages accruing from concurrent breaches of contract or tortious acts are not present and to a situation where only one part of the work is accelerated. To do otherwise, would launch Golden Hill or any other contractor into an impossible accounting exercise. Accordingly, it will be necessary to review the damages which are available to Golden Hill as a result of the breaches by Kemess of the Contract, the tortious acts of Kemess, and the acceleration which took place of the Work.</w:t>
      </w:r>
      <w:r>
        <w:rPr>
          <w:rFonts w:ascii="arial" w:eastAsia="arial" w:hAnsi="arial" w:cs="arial"/>
          <w:sz w:val="20"/>
          <w:lang w:val="en-US" w:eastAsia="en-US" w:bidi="ar-SA"/>
        </w:rPr>
        <w:cr/>
      </w:r>
    </w:p>
    <w:p>
      <w:pPr>
        <w:numPr>
          <w:numId w:val="2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w:t>
      </w:r>
    </w:p>
    <w:p>
      <w:pPr>
        <w:numPr>
          <w:numId w:val="2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 - CALCULATION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927</w:t>
      </w:r>
      <w:r>
        <w:rPr>
          <w:rFonts w:ascii="arial" w:eastAsia="arial" w:hAnsi="arial" w:cs="arial"/>
          <w:color w:val="000000"/>
          <w:sz w:val="20"/>
          <w:lang w:val="en-US" w:eastAsia="en-US" w:bidi="ar-SA"/>
        </w:rPr>
        <w:t>  Golden Hill claims that it has suffered losses as a result of numerous wrongful acts of Kemess, some of which constituted failures to pay amounts owing under the Contract, some of which constituted breaches of Contract, some of which constituted tortious acts, and some of which can be characterized as both a breach of contract and a tortious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928</w:t>
      </w:r>
      <w:r>
        <w:rPr>
          <w:rFonts w:ascii="arial" w:eastAsia="arial" w:hAnsi="arial" w:cs="arial"/>
          <w:color w:val="000000"/>
          <w:sz w:val="20"/>
          <w:lang w:val="en-US" w:eastAsia="en-US" w:bidi="ar-SA"/>
        </w:rPr>
        <w:t xml:space="preserve">  Where Golden Hill has made concurrent claims against Kemess in contract and tort, it is entitled to the greater of the contract measure and the tort measure of damages: Cassels, Remedies: The Law of Damages, (Toronto: Irwin Law, 2000) at pp. 60-62; Central Trust Co. v. Rafuse </w:t>
      </w:r>
      <w:hyperlink r:id="rId810" w:history="1">
        <w:r>
          <w:rPr>
            <w:rFonts w:ascii="arial" w:eastAsia="arial" w:hAnsi="arial" w:cs="arial"/>
            <w:i/>
            <w:color w:val="0077CC"/>
            <w:sz w:val="20"/>
            <w:u w:val="single"/>
            <w:shd w:val="clear" w:color="auto" w:fill="FFFFFF"/>
            <w:lang w:val="en-US" w:eastAsia="en-US" w:bidi="ar-SA"/>
          </w:rPr>
          <w:t>(1986), 31 D.L.R. (4th) 481</w:t>
        </w:r>
      </w:hyperlink>
      <w:r>
        <w:rPr>
          <w:rFonts w:ascii="arial" w:eastAsia="arial" w:hAnsi="arial" w:cs="arial"/>
          <w:color w:val="000000"/>
          <w:sz w:val="20"/>
          <w:lang w:val="en-US" w:eastAsia="en-US" w:bidi="ar-SA"/>
        </w:rPr>
        <w:t xml:space="preserve"> (S.C.C.) at p. 522; B.G. Checo International Limited v. British Columbia Hydro and Power Authority </w:t>
      </w:r>
      <w:hyperlink r:id="rId811" w:history="1">
        <w:r>
          <w:rPr>
            <w:rFonts w:ascii="arial" w:eastAsia="arial" w:hAnsi="arial" w:cs="arial"/>
            <w:i/>
            <w:color w:val="0077CC"/>
            <w:sz w:val="20"/>
            <w:u w:val="single"/>
            <w:shd w:val="clear" w:color="auto" w:fill="FFFFFF"/>
            <w:lang w:val="en-US" w:eastAsia="en-US" w:bidi="ar-SA"/>
          </w:rPr>
          <w:t>(1993), 75 B.C.L.R. (2d) 145</w:t>
        </w:r>
      </w:hyperlink>
      <w:r>
        <w:rPr>
          <w:rFonts w:ascii="arial" w:eastAsia="arial" w:hAnsi="arial" w:cs="arial"/>
          <w:color w:val="000000"/>
          <w:sz w:val="20"/>
          <w:lang w:val="en-US" w:eastAsia="en-US" w:bidi="ar-SA"/>
        </w:rPr>
        <w:t xml:space="preserve"> (S.C.C.) at para. 37; and B.G. Checo International Ltd. v. British Columbia Hydro &amp; Power Authority </w:t>
      </w:r>
      <w:hyperlink r:id="rId895" w:history="1">
        <w:r>
          <w:rPr>
            <w:rFonts w:ascii="arial" w:eastAsia="arial" w:hAnsi="arial" w:cs="arial"/>
            <w:i/>
            <w:color w:val="0077CC"/>
            <w:sz w:val="20"/>
            <w:u w:val="single"/>
            <w:shd w:val="clear" w:color="auto" w:fill="FFFFFF"/>
            <w:lang w:val="en-US" w:eastAsia="en-US" w:bidi="ar-SA"/>
          </w:rPr>
          <w:t>(1994), 109 D.L.R. (4th) 1</w:t>
        </w:r>
      </w:hyperlink>
      <w:r>
        <w:rPr>
          <w:rFonts w:ascii="arial" w:eastAsia="arial" w:hAnsi="arial" w:cs="arial"/>
          <w:color w:val="000000"/>
          <w:sz w:val="20"/>
          <w:lang w:val="en-US" w:eastAsia="en-US" w:bidi="ar-SA"/>
        </w:rPr>
        <w:t xml:space="preserve"> (B.C.S.C.) at p.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929</w:t>
      </w:r>
      <w:r>
        <w:rPr>
          <w:rFonts w:ascii="arial" w:eastAsia="arial" w:hAnsi="arial" w:cs="arial"/>
          <w:color w:val="000000"/>
          <w:sz w:val="20"/>
          <w:lang w:val="en-US" w:eastAsia="en-US" w:bidi="ar-SA"/>
        </w:rPr>
        <w:t>  In view of my findings relating to the concurrent liability in contract and in tort for a number of the matters complained of by Golden Hill, I am satisfied that Golden Hill is entitled to the tort measure of damages. Virtually all of what caused damage to Golden Hill arose as a result of breaches of contract as well as tortious acts. In those circumstances, I have not attempted to distinguish between the damages which would be available by virtue of the breaches of the Contract and the damages which would be available by virtue of the tortious acts. As well, I have found no liability for damages where there was a breach of contract but where there was not a tortious act. To the contrary, I have found either both occurred concurrently or that there were tortious acts but not concurrent breaches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930</w:t>
      </w:r>
      <w:r>
        <w:rPr>
          <w:rFonts w:ascii="arial" w:eastAsia="arial" w:hAnsi="arial" w:cs="arial"/>
          <w:color w:val="000000"/>
          <w:sz w:val="20"/>
          <w:lang w:val="en-US" w:eastAsia="en-US" w:bidi="ar-SA"/>
        </w:rPr>
        <w:t>  The complexity of the relationship among countless small events which occur on a large project renders it difficult if not impossible to calculate with mathematical precision the financial impact of one particular wrongful act. The task becomes virtually impossible when numerous wrongful acts combine in a complex matrix with other contributing factors to cause overlapping and interrelated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931</w:t>
      </w:r>
      <w:r>
        <w:rPr>
          <w:rFonts w:ascii="arial" w:eastAsia="arial" w:hAnsi="arial" w:cs="arial"/>
          <w:color w:val="000000"/>
          <w:sz w:val="20"/>
          <w:lang w:val="en-US" w:eastAsia="en-US" w:bidi="ar-SA"/>
        </w:rPr>
        <w:t xml:space="preserve">  It is a long standing principle of law that, where liability is established and a loss is proved, the fact that it may be difficult to accurately calculate the loss does not relieve the wrongdoer from having to pay damages: Chaplin v. Hicks, [1911] 2 K.B. 786 (C.A.) at pp. 792-795; and Penvidic Contracting Co. v. International Nickel Co. of Canada </w:t>
      </w:r>
      <w:hyperlink r:id="rId855" w:history="1">
        <w:r>
          <w:rPr>
            <w:rFonts w:ascii="arial" w:eastAsia="arial" w:hAnsi="arial" w:cs="arial"/>
            <w:i/>
            <w:color w:val="0077CC"/>
            <w:sz w:val="20"/>
            <w:u w:val="single"/>
            <w:shd w:val="clear" w:color="auto" w:fill="FFFFFF"/>
            <w:lang w:val="en-US" w:eastAsia="en-US" w:bidi="ar-SA"/>
          </w:rPr>
          <w:t>(1975), 53 D.L.R. (3d) 748</w:t>
        </w:r>
      </w:hyperlink>
      <w:r>
        <w:rPr>
          <w:rFonts w:ascii="arial" w:eastAsia="arial" w:hAnsi="arial" w:cs="arial"/>
          <w:color w:val="000000"/>
          <w:sz w:val="20"/>
          <w:lang w:val="en-US" w:eastAsia="en-US" w:bidi="ar-SA"/>
        </w:rPr>
        <w:t xml:space="preserve"> (S.C.C.) at p. 756.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932</w:t>
      </w:r>
      <w:r>
        <w:rPr>
          <w:rFonts w:ascii="arial" w:eastAsia="arial" w:hAnsi="arial" w:cs="arial"/>
          <w:color w:val="000000"/>
          <w:sz w:val="20"/>
          <w:lang w:val="en-US" w:eastAsia="en-US" w:bidi="ar-SA"/>
        </w:rPr>
        <w:t xml:space="preserve">  Davies, J. on behalf of the Court in Wood v. Grand Valley Railway (1915), 22 D.L.R. 614 (S.C.C.) at p. 618 and McEachern, C.J.B.C. in Scarff v. Wilson </w:t>
      </w:r>
      <w:hyperlink r:id="rId896" w:history="1">
        <w:r>
          <w:rPr>
            <w:rFonts w:ascii="arial" w:eastAsia="arial" w:hAnsi="arial" w:cs="arial"/>
            <w:i/>
            <w:color w:val="0077CC"/>
            <w:sz w:val="20"/>
            <w:u w:val="single"/>
            <w:shd w:val="clear" w:color="auto" w:fill="FFFFFF"/>
            <w:lang w:val="en-US" w:eastAsia="en-US" w:bidi="ar-SA"/>
          </w:rPr>
          <w:t>(1988), 33 B.C.L.R. (2d) 290</w:t>
        </w:r>
      </w:hyperlink>
      <w:r>
        <w:rPr>
          <w:rFonts w:ascii="arial" w:eastAsia="arial" w:hAnsi="arial" w:cs="arial"/>
          <w:color w:val="000000"/>
          <w:sz w:val="20"/>
          <w:lang w:val="en-US" w:eastAsia="en-US" w:bidi="ar-SA"/>
        </w:rPr>
        <w:t xml:space="preserve"> (B.C.C.A.) at p. 294 both observed that a difficulty in approaching damages cannot relieve the wrongdoer of the necessity of paying damages and that the judge must do "the best that he or she can". In Scarff, supra, McEachern, C.J. stated: "I call this the judge's common sense jurisdiction" (at p. 294).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933</w:t>
      </w:r>
      <w:r>
        <w:rPr>
          <w:rFonts w:ascii="arial" w:eastAsia="arial" w:hAnsi="arial" w:cs="arial"/>
          <w:color w:val="000000"/>
          <w:sz w:val="20"/>
          <w:lang w:val="en-US" w:eastAsia="en-US" w:bidi="ar-SA"/>
        </w:rPr>
        <w:t xml:space="preserve">  This principle is frequently applied in construction cases by British Columbia Courts: TNL Paving Ltd. v. British Columbia (Ministry of Transportion and Highways) </w:t>
      </w:r>
      <w:hyperlink r:id="rId876" w:history="1">
        <w:r>
          <w:rPr>
            <w:rFonts w:ascii="arial" w:eastAsia="arial" w:hAnsi="arial" w:cs="arial"/>
            <w:i/>
            <w:color w:val="0077CC"/>
            <w:sz w:val="20"/>
            <w:u w:val="single"/>
            <w:shd w:val="clear" w:color="auto" w:fill="FFFFFF"/>
            <w:lang w:val="en-US" w:eastAsia="en-US" w:bidi="ar-SA"/>
          </w:rPr>
          <w:t>(1999), 46 C.L.R. (2d) 165</w:t>
        </w:r>
      </w:hyperlink>
      <w:r>
        <w:rPr>
          <w:rFonts w:ascii="arial" w:eastAsia="arial" w:hAnsi="arial" w:cs="arial"/>
          <w:color w:val="000000"/>
          <w:sz w:val="20"/>
          <w:lang w:val="en-US" w:eastAsia="en-US" w:bidi="ar-SA"/>
        </w:rPr>
        <w:t xml:space="preserve"> (B.C.S.C.) at p. 284; British Columbia Hydro &amp; Power Authority v. Canada (Minister of Public Works and Government Services), </w:t>
      </w:r>
      <w:hyperlink r:id="rId894" w:history="1">
        <w:r>
          <w:rPr>
            <w:rFonts w:ascii="arial" w:eastAsia="arial" w:hAnsi="arial" w:cs="arial"/>
            <w:i/>
            <w:color w:val="0077CC"/>
            <w:sz w:val="20"/>
            <w:u w:val="single"/>
            <w:shd w:val="clear" w:color="auto" w:fill="FFFFFF"/>
            <w:lang w:val="en-US" w:eastAsia="en-US" w:bidi="ar-SA"/>
          </w:rPr>
          <w:t>[1996] B.C.J. No. 2131</w:t>
        </w:r>
      </w:hyperlink>
      <w:r>
        <w:rPr>
          <w:rFonts w:ascii="arial" w:eastAsia="arial" w:hAnsi="arial" w:cs="arial"/>
          <w:color w:val="000000"/>
          <w:sz w:val="20"/>
          <w:lang w:val="en-US" w:eastAsia="en-US" w:bidi="ar-SA"/>
        </w:rPr>
        <w:t xml:space="preserve"> (B.C.S.C.) at p. 7; and British Columbia Hydro &amp; Power Authority v. Marathon Realty Co. </w:t>
      </w:r>
      <w:hyperlink r:id="rId897" w:history="1">
        <w:r>
          <w:rPr>
            <w:rFonts w:ascii="arial" w:eastAsia="arial" w:hAnsi="arial" w:cs="arial"/>
            <w:i/>
            <w:color w:val="0077CC"/>
            <w:sz w:val="20"/>
            <w:u w:val="single"/>
            <w:shd w:val="clear" w:color="auto" w:fill="FFFFFF"/>
            <w:lang w:val="en-US" w:eastAsia="en-US" w:bidi="ar-SA"/>
          </w:rPr>
          <w:t>(1992), 89 D.L.R. (4th) 419</w:t>
        </w:r>
      </w:hyperlink>
      <w:r>
        <w:rPr>
          <w:rFonts w:ascii="arial" w:eastAsia="arial" w:hAnsi="arial" w:cs="arial"/>
          <w:color w:val="000000"/>
          <w:sz w:val="20"/>
          <w:lang w:val="en-US" w:eastAsia="en-US" w:bidi="ar-SA"/>
        </w:rPr>
        <w:t xml:space="preserve"> (B.C.C.A.) at pp. 424-5.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934</w:t>
      </w:r>
      <w:r>
        <w:rPr>
          <w:rFonts w:ascii="arial" w:eastAsia="arial" w:hAnsi="arial" w:cs="arial"/>
          <w:color w:val="000000"/>
          <w:sz w:val="20"/>
          <w:lang w:val="en-US" w:eastAsia="en-US" w:bidi="ar-SA"/>
        </w:rPr>
        <w:t>  It is common in construction cases for trial judges to be called upon to:</w:t>
      </w:r>
      <w:r>
        <w:rPr>
          <w:rFonts w:ascii="arial" w:eastAsia="arial" w:hAnsi="arial" w:cs="arial"/>
          <w:sz w:val="20"/>
          <w:lang w:val="en-US" w:eastAsia="en-US" w:bidi="ar-SA"/>
        </w:rPr>
        <w:cr/>
      </w:r>
    </w:p>
    <w:p>
      <w:pPr>
        <w:numPr>
          <w:numId w:val="2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allocate responsibility for the cost overruns on a project between the plaintiff and the defendant in rough percentages based upon the totality of the evidence, without having been provided with a detailed breakdown of the overrun: TNL, supra, at pp. 283 and 287 (where the Court assessed damages at $1,250,000.00, based on a total cost overrun of $1,924,000.00 and a conclusion that the plaintiff had contributed to some unquantified extent to its losses); Opron Construction Co. v. Alberta </w:t>
      </w:r>
      <w:hyperlink r:id="rId826" w:history="1">
        <w:r>
          <w:rPr>
            <w:rFonts w:ascii="arial" w:eastAsia="arial" w:hAnsi="arial" w:cs="arial"/>
            <w:i/>
            <w:color w:val="0077CC"/>
            <w:sz w:val="20"/>
            <w:u w:val="single"/>
            <w:shd w:val="clear" w:color="auto" w:fill="FFFFFF"/>
            <w:lang w:val="en-US" w:eastAsia="en-US" w:bidi="ar-SA"/>
          </w:rPr>
          <w:t>(1994), 14 C.L.R. (2d) 97</w:t>
        </w:r>
      </w:hyperlink>
      <w:r>
        <w:rPr>
          <w:rFonts w:ascii="arial" w:eastAsia="arial" w:hAnsi="arial" w:cs="arial"/>
          <w:color w:val="000000"/>
          <w:sz w:val="20"/>
          <w:lang w:val="en-US" w:eastAsia="en-US" w:bidi="ar-SA"/>
        </w:rPr>
        <w:t xml:space="preserve"> (Alta. Q.B.) at pp. 298-9.</w:t>
      </w:r>
    </w:p>
    <w:p>
      <w:pPr>
        <w:numPr>
          <w:numId w:val="2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determine the approximate percentage of the total delays on a project which were caused by the defendant's conduct: TNL, supra at p. 287 and Foundation Co. of Canada v. United Grain Growers Ltd. </w:t>
      </w:r>
      <w:hyperlink r:id="rId821" w:history="1">
        <w:r>
          <w:rPr>
            <w:rFonts w:ascii="arial" w:eastAsia="arial" w:hAnsi="arial" w:cs="arial"/>
            <w:i/>
            <w:color w:val="0077CC"/>
            <w:sz w:val="20"/>
            <w:u w:val="single"/>
            <w:shd w:val="clear" w:color="auto" w:fill="FFFFFF"/>
            <w:lang w:val="en-US" w:eastAsia="en-US" w:bidi="ar-SA"/>
          </w:rPr>
          <w:t>(1997), 34 B.C.L.R. (3d) 92</w:t>
        </w:r>
      </w:hyperlink>
      <w:r>
        <w:rPr>
          <w:rFonts w:ascii="arial" w:eastAsia="arial" w:hAnsi="arial" w:cs="arial"/>
          <w:color w:val="000000"/>
          <w:sz w:val="20"/>
          <w:lang w:val="en-US" w:eastAsia="en-US" w:bidi="ar-SA"/>
        </w:rPr>
        <w:t xml:space="preserve"> (B.C.C.A.) at p. 101;</w:t>
      </w:r>
    </w:p>
    <w:p>
      <w:pPr>
        <w:numPr>
          <w:numId w:val="2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allocate fault for a particular loss between the plaintiff and the defendant: B.G. Checo, supra, at p. 9-10 (50% of a claim was held to be recoverable based on a witness's evidence that "he would say half" of a particular delay was caused by the claimable event as opposed to other delays.)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935</w:t>
      </w:r>
      <w:r>
        <w:rPr>
          <w:rFonts w:ascii="arial" w:eastAsia="arial" w:hAnsi="arial" w:cs="arial"/>
          <w:color w:val="000000"/>
          <w:sz w:val="20"/>
          <w:lang w:val="en-US" w:eastAsia="en-US" w:bidi="ar-SA"/>
        </w:rPr>
        <w:t>  In Opron, supra, Feehan, J. concluded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put a figure on each of these causes of loss is impossible. Any attempt to calculate the plaintiff's claimable loss is so fraught with pitfalls that I would be foolish to attempt it. Small things and minor decisions become major elements. There are so many contingencies that no matter how often I attack the problem, the final figures vary. I cannot put an exact figure on how much the plaintiff harmed itself with bid errors, unbalancing the bid, errors in production, errors in supervision, errors in labour and equipment utilizations, errors in scheduling, errors in subcontracting, errors relating to the plaintiff's misrepresentation of the weather conditions, as well as many other actions or lack thereof which caused the plaintiff to lose money. I know that Opron's claimable loss is under one million dollars ($1,000,000). I know that it is somewhere above $750,000. I know that I will have to use round figures and approximates. I set Opron's claimable loss at $875,000.00. (at para. 923)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936</w:t>
      </w:r>
      <w:r>
        <w:rPr>
          <w:rFonts w:ascii="arial" w:eastAsia="arial" w:hAnsi="arial" w:cs="arial"/>
          <w:color w:val="000000"/>
          <w:sz w:val="20"/>
          <w:lang w:val="en-US" w:eastAsia="en-US" w:bidi="ar-SA"/>
        </w:rPr>
        <w:t xml:space="preserve">  Kemess summarizes its submission with the following passage from Foundation Co. of Canada v. United Grain Growers Ltd. </w:t>
      </w:r>
      <w:hyperlink r:id="rId820" w:history="1">
        <w:r>
          <w:rPr>
            <w:rFonts w:ascii="arial" w:eastAsia="arial" w:hAnsi="arial" w:cs="arial"/>
            <w:i/>
            <w:color w:val="0077CC"/>
            <w:sz w:val="20"/>
            <w:u w:val="single"/>
            <w:shd w:val="clear" w:color="auto" w:fill="FFFFFF"/>
            <w:lang w:val="en-US" w:eastAsia="en-US" w:bidi="ar-SA"/>
          </w:rPr>
          <w:t>(1995), 25 C.L.R. (2d) 1</w:t>
        </w:r>
      </w:hyperlink>
      <w:r>
        <w:rPr>
          <w:rFonts w:ascii="arial" w:eastAsia="arial" w:hAnsi="arial" w:cs="arial"/>
          <w:color w:val="000000"/>
          <w:sz w:val="20"/>
          <w:lang w:val="en-US" w:eastAsia="en-US" w:bidi="ar-SA"/>
        </w:rPr>
        <w:t xml:space="preserve"> (B.C.S.C.):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Even if the party discharges its burden of proof and establishes liability, the quality of that proof may make it difficult or impossible for the Court to award the full measure of damages sought. The consequence of that is that damages will be awarded in an amount that can be supported by the evidence that has been adduced, rather than the damages that might have been recovered had evidence in appropriate detail been maintained by the parties and available to the Court. (at p.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937</w:t>
      </w:r>
      <w:r>
        <w:rPr>
          <w:rFonts w:ascii="arial" w:eastAsia="arial" w:hAnsi="arial" w:cs="arial"/>
          <w:color w:val="000000"/>
          <w:sz w:val="20"/>
          <w:lang w:val="en-US" w:eastAsia="en-US" w:bidi="ar-SA"/>
        </w:rPr>
        <w:t>  Kemess submits that there should be an expression of judicial disapproval of the method by which plaintiffs such as Golden Hill present damages claims. Kemess relies on the following extract from I.N.D. Wallace, Construction Contracts: Principles and Policies in Tort &amp; Contract (London: Sweet &amp; Maxwell, 1986) in that regard: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Regrettably the Penvidic case appears to show a laxity in applying first principles and the rules of pleading, and a readiness to rescue contractors from the consequences of putting forward damages claims in a form widely known to be unacceptable. It must be a question whether such a judicial attitude does not amount to a continuing encouragement for the advancement of unjustified monetary claims in construction disputes behind the screen of an alleged total loss. This impedes the desirable process of sensible resolution and settlement of those claims, encourages unnecessary litigation, and places the defendants in any proceedings at a serious disadvantage. ... The Penvidic case is not, of course, a total loss case, since that approach was explicitly rejected. The objection to it is that a figure which was no more than an assertion unsupported by credible evidence was accepted as the correct figure for damage, when the failure to provide proper evidence lay solely at the plaintiff's door. (at p. 140)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938</w:t>
      </w:r>
      <w:r>
        <w:rPr>
          <w:rFonts w:ascii="arial" w:eastAsia="arial" w:hAnsi="arial" w:cs="arial"/>
          <w:color w:val="000000"/>
          <w:sz w:val="20"/>
          <w:lang w:val="en-US" w:eastAsia="en-US" w:bidi="ar-SA"/>
        </w:rPr>
        <w:t xml:space="preserve">  I am not prepared to make the expression of judicial approval sought by Kemess. First, I am satisfied that there is ample authority to support Golden Hill's position that such a detailed calculation is not necessary to prove damages: Begro Construction Ltd. v. St. Mary River Irrigation District </w:t>
      </w:r>
      <w:hyperlink r:id="rId825" w:history="1">
        <w:r>
          <w:rPr>
            <w:rFonts w:ascii="arial" w:eastAsia="arial" w:hAnsi="arial" w:cs="arial"/>
            <w:i/>
            <w:color w:val="0077CC"/>
            <w:sz w:val="20"/>
            <w:u w:val="single"/>
            <w:shd w:val="clear" w:color="auto" w:fill="FFFFFF"/>
            <w:lang w:val="en-US" w:eastAsia="en-US" w:bidi="ar-SA"/>
          </w:rPr>
          <w:t>(1994), 15 C.L.R. (2d) 150</w:t>
        </w:r>
      </w:hyperlink>
      <w:r>
        <w:rPr>
          <w:rFonts w:ascii="arial" w:eastAsia="arial" w:hAnsi="arial" w:cs="arial"/>
          <w:color w:val="000000"/>
          <w:sz w:val="20"/>
          <w:lang w:val="en-US" w:eastAsia="en-US" w:bidi="ar-SA"/>
        </w:rPr>
        <w:t xml:space="preserve"> (Alta. Q.B.) at p. 200; and Opron, supra. Second, the British Columbia Court of Appeal has recently referred to Penvidic and employed its approach to damages: Cadbury Schweppes Inc. v. FBI Foods Ltd. </w:t>
      </w:r>
      <w:hyperlink r:id="rId898" w:history="1">
        <w:r>
          <w:rPr>
            <w:rFonts w:ascii="arial" w:eastAsia="arial" w:hAnsi="arial" w:cs="arial"/>
            <w:i/>
            <w:color w:val="0077CC"/>
            <w:sz w:val="20"/>
            <w:u w:val="single"/>
            <w:shd w:val="clear" w:color="auto" w:fill="FFFFFF"/>
            <w:lang w:val="en-US" w:eastAsia="en-US" w:bidi="ar-SA"/>
          </w:rPr>
          <w:t>(1999), 167 D.L.R. (4th) 577</w:t>
        </w:r>
      </w:hyperlink>
      <w:r>
        <w:rPr>
          <w:rFonts w:ascii="arial" w:eastAsia="arial" w:hAnsi="arial" w:cs="arial"/>
          <w:color w:val="000000"/>
          <w:sz w:val="20"/>
          <w:lang w:val="en-US" w:eastAsia="en-US" w:bidi="ar-SA"/>
        </w:rPr>
        <w:t xml:space="preserve"> (S.C.C.) and Miller Dredging Ltd. v. The "Dorothy Mackenzie" </w:t>
      </w:r>
      <w:hyperlink r:id="rId899" w:history="1">
        <w:r>
          <w:rPr>
            <w:rFonts w:ascii="arial" w:eastAsia="arial" w:hAnsi="arial" w:cs="arial"/>
            <w:i/>
            <w:color w:val="0077CC"/>
            <w:sz w:val="20"/>
            <w:u w:val="single"/>
            <w:shd w:val="clear" w:color="auto" w:fill="FFFFFF"/>
            <w:lang w:val="en-US" w:eastAsia="en-US" w:bidi="ar-SA"/>
          </w:rPr>
          <w:t>(1994), 98 B.C.L.R. (2d) 71</w:t>
        </w:r>
      </w:hyperlink>
      <w:r>
        <w:rPr>
          <w:rFonts w:ascii="arial" w:eastAsia="arial" w:hAnsi="arial" w:cs="arial"/>
          <w:color w:val="000000"/>
          <w:sz w:val="20"/>
          <w:lang w:val="en-US" w:eastAsia="en-US" w:bidi="ar-SA"/>
        </w:rPr>
        <w:t xml:space="preserve"> (B.C.C.A.). Third, I am satisfied that it would be inappropriate to disentitle Golden Hill to the damages properly attributable to Kemess even though it may be impossible to specify the direct costs flowing from the specific breach of contract, the tortious act or particular acceleration. I am satisfied that the "common sense jurisdiction" should prevail. Fourth, the task is made easier as I have found that Golden Hill did not contribute to the losses incurred as a result of the tortious acts of Kemess.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939</w:t>
      </w:r>
      <w:r>
        <w:rPr>
          <w:rFonts w:ascii="arial" w:eastAsia="arial" w:hAnsi="arial" w:cs="arial"/>
          <w:color w:val="000000"/>
          <w:sz w:val="20"/>
          <w:lang w:val="en-US" w:eastAsia="en-US" w:bidi="ar-SA"/>
        </w:rPr>
        <w:t>  In the circumstances, the interests of Kemess are protected by the approach which has been taken by it. Kemess has attacked many of the specific costs claimed by Golden Hill within its total costs approach and, where appropriate, deductions have been made where inappropriate costs have been included in the total costs approach taken by Golden Hill. While the onus is on Golden Hill to prove its damages, the approach taken by Kemess specifically probes the weaknesses of all of the costs claimed so that Golden Hill has been required to specifically prove what has been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940</w:t>
      </w:r>
      <w:r>
        <w:rPr>
          <w:rFonts w:ascii="arial" w:eastAsia="arial" w:hAnsi="arial" w:cs="arial"/>
          <w:color w:val="000000"/>
          <w:sz w:val="20"/>
          <w:lang w:val="en-US" w:eastAsia="en-US" w:bidi="ar-SA"/>
        </w:rPr>
        <w:t>  In the calculation of damages in cases where there are multiple inter-related breaches, I am satisfied that it is appropriate to use the total cost overrun for the Project as a "starting point" for the assessment of damages.</w:t>
      </w:r>
      <w:r>
        <w:rPr>
          <w:rFonts w:ascii="arial" w:eastAsia="arial" w:hAnsi="arial" w:cs="arial"/>
          <w:sz w:val="20"/>
          <w:lang w:val="en-US" w:eastAsia="en-US" w:bidi="ar-SA"/>
        </w:rPr>
        <w:cr/>
      </w:r>
    </w:p>
    <w:p>
      <w:pPr>
        <w:numPr>
          <w:numId w:val="2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MEASURE OF DAMAGES IN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941</w:t>
      </w:r>
      <w:r>
        <w:rPr>
          <w:rFonts w:ascii="arial" w:eastAsia="arial" w:hAnsi="arial" w:cs="arial"/>
          <w:color w:val="000000"/>
          <w:sz w:val="20"/>
          <w:lang w:val="en-US" w:eastAsia="en-US" w:bidi="ar-SA"/>
        </w:rPr>
        <w:t xml:space="preserve">  The measure of damages in contract is that amount necessary to put a plaintiff in the position it would have been had the contract been performed as agreed. A plaintiff is entitled to recover all direct costs flowing from the specific breach, any consequential indirect costs incurred by the plaintiff if other aspects of the work were affected by the breach, and the loss of projected profits on the contract, if the breach related directly to the performance of work under the contract: B.G. Checo International Limited v. British Columbia Hydro &amp; Power Authority </w:t>
      </w:r>
      <w:hyperlink r:id="rId811" w:history="1">
        <w:r>
          <w:rPr>
            <w:rFonts w:ascii="arial" w:eastAsia="arial" w:hAnsi="arial" w:cs="arial"/>
            <w:i/>
            <w:color w:val="0077CC"/>
            <w:sz w:val="20"/>
            <w:u w:val="single"/>
            <w:shd w:val="clear" w:color="auto" w:fill="FFFFFF"/>
            <w:lang w:val="en-US" w:eastAsia="en-US" w:bidi="ar-SA"/>
          </w:rPr>
          <w:t>(1993), 75 B.C.L.R. (2d) 145</w:t>
        </w:r>
      </w:hyperlink>
      <w:r>
        <w:rPr>
          <w:rFonts w:ascii="arial" w:eastAsia="arial" w:hAnsi="arial" w:cs="arial"/>
          <w:color w:val="000000"/>
          <w:sz w:val="20"/>
          <w:lang w:val="en-US" w:eastAsia="en-US" w:bidi="ar-SA"/>
        </w:rPr>
        <w:t xml:space="preserve">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942</w:t>
      </w:r>
      <w:r>
        <w:rPr>
          <w:rFonts w:ascii="arial" w:eastAsia="arial" w:hAnsi="arial" w:cs="arial"/>
          <w:color w:val="000000"/>
          <w:sz w:val="20"/>
          <w:lang w:val="en-US" w:eastAsia="en-US" w:bidi="ar-SA"/>
        </w:rPr>
        <w:t>  If the only breach of contract had been the breach by Kemess of the contractual term to disclose all relevant soils information, the purpose of a damages award would be to put Golden Hill, not in the position it would have been had there been good granular soils material all over the Site, but rather in the position it would have been had it known at the bid time that the soils at the Site would be silty and wet.</w:t>
      </w:r>
      <w:r>
        <w:rPr>
          <w:rFonts w:ascii="arial" w:eastAsia="arial" w:hAnsi="arial" w:cs="arial"/>
          <w:sz w:val="20"/>
          <w:lang w:val="en-US" w:eastAsia="en-US" w:bidi="ar-SA"/>
        </w:rPr>
        <w:cr/>
      </w:r>
    </w:p>
    <w:p>
      <w:pPr>
        <w:numPr>
          <w:numId w:val="2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 MEASURE OF DAMAGES IN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943</w:t>
      </w:r>
      <w:r>
        <w:rPr>
          <w:rFonts w:ascii="arial" w:eastAsia="arial" w:hAnsi="arial" w:cs="arial"/>
          <w:color w:val="000000"/>
          <w:sz w:val="20"/>
          <w:lang w:val="en-US" w:eastAsia="en-US" w:bidi="ar-SA"/>
        </w:rPr>
        <w:t xml:space="preserve">  The purpose of a tort damage award is to place the plaintiff in the position it would have been had the tortious act not occurred. The Court considers what out of pocket losses (including indirect losses) the plaintiff would have avoided had the plaintiff known the true facts. These indirect losses may include acceleration costs which flow from the misrepresentation: B.G. Checo International Limited v. British Columbia Hydro and Power Authority </w:t>
      </w:r>
      <w:hyperlink r:id="rId811" w:history="1">
        <w:r>
          <w:rPr>
            <w:rFonts w:ascii="arial" w:eastAsia="arial" w:hAnsi="arial" w:cs="arial"/>
            <w:i/>
            <w:color w:val="0077CC"/>
            <w:sz w:val="20"/>
            <w:u w:val="single"/>
            <w:shd w:val="clear" w:color="auto" w:fill="FFFFFF"/>
            <w:lang w:val="en-US" w:eastAsia="en-US" w:bidi="ar-SA"/>
          </w:rPr>
          <w:t>(1993), 75 B.C.L.R. (2d) 145</w:t>
        </w:r>
      </w:hyperlink>
      <w:r>
        <w:rPr>
          <w:rFonts w:ascii="arial" w:eastAsia="arial" w:hAnsi="arial" w:cs="arial"/>
          <w:color w:val="000000"/>
          <w:sz w:val="20"/>
          <w:lang w:val="en-US" w:eastAsia="en-US" w:bidi="ar-SA"/>
        </w:rPr>
        <w:t xml:space="preserve"> (S.C.C.) at pp. 164-165.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944</w:t>
      </w:r>
      <w:r>
        <w:rPr>
          <w:rFonts w:ascii="arial" w:eastAsia="arial" w:hAnsi="arial" w:cs="arial"/>
          <w:color w:val="000000"/>
          <w:sz w:val="20"/>
          <w:lang w:val="en-US" w:eastAsia="en-US" w:bidi="ar-SA"/>
        </w:rPr>
        <w:t xml:space="preserve">  Once a loss has been established by showing the plaintiff's reliance on a misrepresentation resulted in damages, if a defendant wishes to allege that a plaintiff would have entered into a transaction on different terms (terms which are usually hypothetical or speculative), the defendant has the burden of proof and the evidence to rebut this presumption in favour of the "no transaction" scenario must be concrete and not merely speculative: Rainbow Industrial Caterers Ltd. v. Canadian National Railway Co., </w:t>
      </w:r>
      <w:hyperlink r:id="rId900" w:history="1">
        <w:r>
          <w:rPr>
            <w:rFonts w:ascii="arial" w:eastAsia="arial" w:hAnsi="arial" w:cs="arial"/>
            <w:i/>
            <w:color w:val="0077CC"/>
            <w:sz w:val="20"/>
            <w:u w:val="single"/>
            <w:shd w:val="clear" w:color="auto" w:fill="FFFFFF"/>
            <w:lang w:val="en-US" w:eastAsia="en-US" w:bidi="ar-SA"/>
          </w:rPr>
          <w:t>[1989] 1 W.W.R. 714</w:t>
        </w:r>
      </w:hyperlink>
      <w:r>
        <w:rPr>
          <w:rFonts w:ascii="arial" w:eastAsia="arial" w:hAnsi="arial" w:cs="arial"/>
          <w:color w:val="000000"/>
          <w:sz w:val="20"/>
          <w:lang w:val="en-US" w:eastAsia="en-US" w:bidi="ar-SA"/>
        </w:rPr>
        <w:t xml:space="preserve"> (B.C.S.C.) at pp. 721-2; Webster v. Ernst &amp; Young </w:t>
      </w:r>
      <w:hyperlink r:id="rId901" w:history="1">
        <w:r>
          <w:rPr>
            <w:rFonts w:ascii="arial" w:eastAsia="arial" w:hAnsi="arial" w:cs="arial"/>
            <w:i/>
            <w:color w:val="0077CC"/>
            <w:sz w:val="20"/>
            <w:u w:val="single"/>
            <w:shd w:val="clear" w:color="auto" w:fill="FFFFFF"/>
            <w:lang w:val="en-US" w:eastAsia="en-US" w:bidi="ar-SA"/>
          </w:rPr>
          <w:t>(2000), 75 B.C.L.R. (3d) 169</w:t>
        </w:r>
      </w:hyperlink>
      <w:r>
        <w:rPr>
          <w:rFonts w:ascii="arial" w:eastAsia="arial" w:hAnsi="arial" w:cs="arial"/>
          <w:color w:val="000000"/>
          <w:sz w:val="20"/>
          <w:lang w:val="en-US" w:eastAsia="en-US" w:bidi="ar-SA"/>
        </w:rPr>
        <w:t xml:space="preserve"> (B.C.C.A.); and Hodgkinson v. Simms </w:t>
      </w:r>
      <w:hyperlink r:id="rId902" w:history="1">
        <w:r>
          <w:rPr>
            <w:rFonts w:ascii="arial" w:eastAsia="arial" w:hAnsi="arial" w:cs="arial"/>
            <w:i/>
            <w:color w:val="0077CC"/>
            <w:sz w:val="20"/>
            <w:u w:val="single"/>
            <w:shd w:val="clear" w:color="auto" w:fill="FFFFFF"/>
            <w:lang w:val="en-US" w:eastAsia="en-US" w:bidi="ar-SA"/>
          </w:rPr>
          <w:t>(1994), 117 D.L.R. (4th) 161</w:t>
        </w:r>
      </w:hyperlink>
      <w:r>
        <w:rPr>
          <w:rFonts w:ascii="arial" w:eastAsia="arial" w:hAnsi="arial" w:cs="arial"/>
          <w:color w:val="000000"/>
          <w:sz w:val="20"/>
          <w:lang w:val="en-US" w:eastAsia="en-US" w:bidi="ar-SA"/>
        </w:rPr>
        <w:t xml:space="preserve"> (S.C.C.) at p. 200.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945</w:t>
      </w:r>
      <w:r>
        <w:rPr>
          <w:rFonts w:ascii="arial" w:eastAsia="arial" w:hAnsi="arial" w:cs="arial"/>
          <w:color w:val="000000"/>
          <w:sz w:val="20"/>
          <w:lang w:val="en-US" w:eastAsia="en-US" w:bidi="ar-SA"/>
        </w:rPr>
        <w:t>  A plaintiff need not state in evidence that he or she would not have entered into the contract had they known the true facts. If a plaintiff shows negligent misstatement, reliance, inducement and detriment, the plaintiff is entitled to all damages suffered: Rainbow Industrial Caterers Ltd., supra, at pp. 721-2.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946</w:t>
      </w:r>
      <w:r>
        <w:rPr>
          <w:rFonts w:ascii="arial" w:eastAsia="arial" w:hAnsi="arial" w:cs="arial"/>
          <w:color w:val="000000"/>
          <w:sz w:val="20"/>
          <w:lang w:val="en-US" w:eastAsia="en-US" w:bidi="ar-SA"/>
        </w:rPr>
        <w:t>  In B.G. Checo, supra, the damages include B.G. Checo's direct losses (including overhead of 10 percent and profit of 5 percent) and indirect losses (acceleration costs). The difference between this measure of damages and the contract measure of damages in that case was the profit on the additional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947</w:t>
      </w:r>
      <w:r>
        <w:rPr>
          <w:rFonts w:ascii="arial" w:eastAsia="arial" w:hAnsi="arial" w:cs="arial"/>
          <w:color w:val="000000"/>
          <w:sz w:val="20"/>
          <w:lang w:val="en-US" w:eastAsia="en-US" w:bidi="ar-SA"/>
        </w:rPr>
        <w:t>  If I was to find that Golden Hill would not have submitted a bid if the true facts were known, Golden Hill is entitled to all of its losses on the Project including overhead (even losses causes by its own poor performance if any) but not to lost profits: Rainbow Industrial Caterers Ltd., supra, at pp. 721-2. I cannot make that finding. I am satisfied that Golden Hill would have entered into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948</w:t>
      </w:r>
      <w:r>
        <w:rPr>
          <w:rFonts w:ascii="arial" w:eastAsia="arial" w:hAnsi="arial" w:cs="arial"/>
          <w:color w:val="000000"/>
          <w:sz w:val="20"/>
          <w:lang w:val="en-US" w:eastAsia="en-US" w:bidi="ar-SA"/>
        </w:rPr>
        <w:t xml:space="preserve">  I find that Golden Hill would have increased its bid on the Contract had it known the true state of affairs. Therefore, Golden Hill is entitled to direct and indirect losses flowing from the tortious acts including overhead and profit. As I have concluded that none of its losses were caused by its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no reduction of damages is warranted. Indirect losses would include such items as impact on other work of the additional work necessitated by the true situation.</w:t>
      </w:r>
      <w:r>
        <w:rPr>
          <w:rFonts w:ascii="arial" w:eastAsia="arial" w:hAnsi="arial" w:cs="arial"/>
          <w:sz w:val="20"/>
          <w:lang w:val="en-US" w:eastAsia="en-US" w:bidi="ar-SA"/>
        </w:rPr>
        <w:cr/>
      </w:r>
    </w:p>
    <w:p>
      <w:pPr>
        <w:numPr>
          <w:numId w:val="2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 FOR LOSS OF PRODUCTIVITY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949</w:t>
      </w:r>
      <w:r>
        <w:rPr>
          <w:rFonts w:ascii="arial" w:eastAsia="arial" w:hAnsi="arial" w:cs="arial"/>
          <w:color w:val="000000"/>
          <w:sz w:val="20"/>
          <w:lang w:val="en-US" w:eastAsia="en-US" w:bidi="ar-SA"/>
        </w:rPr>
        <w:t xml:space="preserve">  Loss of productivity can refer to a failure to meet the projected production rate but, in a more general sense, it can also refer to a loss of efficiency in the performance of the work due to "constant changes in the planned sequence of work, increased over time worked, overmanning and congestion": Dilcon Constructors Ltd. v. ANC Developments Inc. </w:t>
      </w:r>
      <w:hyperlink r:id="rId869" w:history="1">
        <w:r>
          <w:rPr>
            <w:rFonts w:ascii="arial" w:eastAsia="arial" w:hAnsi="arial" w:cs="arial"/>
            <w:i/>
            <w:color w:val="0077CC"/>
            <w:sz w:val="20"/>
            <w:u w:val="single"/>
            <w:shd w:val="clear" w:color="auto" w:fill="FFFFFF"/>
            <w:lang w:val="en-US" w:eastAsia="en-US" w:bidi="ar-SA"/>
          </w:rPr>
          <w:t>(1996), 28 C.L.R. (2d) 209</w:t>
        </w:r>
      </w:hyperlink>
      <w:r>
        <w:rPr>
          <w:rFonts w:ascii="arial" w:eastAsia="arial" w:hAnsi="arial" w:cs="arial"/>
          <w:color w:val="000000"/>
          <w:sz w:val="20"/>
          <w:lang w:val="en-US" w:eastAsia="en-US" w:bidi="ar-SA"/>
        </w:rPr>
        <w:t xml:space="preserve"> (Alta. Q.B.) overturned in part on other grounds, </w:t>
      </w:r>
      <w:hyperlink r:id="rId870" w:history="1">
        <w:r>
          <w:rPr>
            <w:rFonts w:ascii="arial" w:eastAsia="arial" w:hAnsi="arial" w:cs="arial"/>
            <w:i/>
            <w:color w:val="0077CC"/>
            <w:sz w:val="20"/>
            <w:u w:val="single"/>
            <w:shd w:val="clear" w:color="auto" w:fill="FFFFFF"/>
            <w:lang w:val="en-US" w:eastAsia="en-US" w:bidi="ar-SA"/>
          </w:rPr>
          <w:t>(2000), 6 C.L.R. (3d) 34</w:t>
        </w:r>
      </w:hyperlink>
      <w:r>
        <w:rPr>
          <w:rFonts w:ascii="arial" w:eastAsia="arial" w:hAnsi="arial" w:cs="arial"/>
          <w:color w:val="000000"/>
          <w:sz w:val="20"/>
          <w:lang w:val="en-US" w:eastAsia="en-US" w:bidi="ar-SA"/>
        </w:rPr>
        <w:t xml:space="preserve"> (Alta.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950</w:t>
      </w:r>
      <w:r>
        <w:rPr>
          <w:rFonts w:ascii="arial" w:eastAsia="arial" w:hAnsi="arial" w:cs="arial"/>
          <w:color w:val="000000"/>
          <w:sz w:val="20"/>
          <w:lang w:val="en-US" w:eastAsia="en-US" w:bidi="ar-SA"/>
        </w:rPr>
        <w:t xml:space="preserve">  As well, loss of productivity encompasses a loss of opportunity to better the original plan: Dilcon, supra, at p. 300; W.A. Stevenson Construction (Western) Limited v. Metro Canada Limited </w:t>
      </w:r>
      <w:hyperlink r:id="rId857" w:history="1">
        <w:r>
          <w:rPr>
            <w:rFonts w:ascii="arial" w:eastAsia="arial" w:hAnsi="arial" w:cs="arial"/>
            <w:i/>
            <w:color w:val="0077CC"/>
            <w:sz w:val="20"/>
            <w:u w:val="single"/>
            <w:shd w:val="clear" w:color="auto" w:fill="FFFFFF"/>
            <w:lang w:val="en-US" w:eastAsia="en-US" w:bidi="ar-SA"/>
          </w:rPr>
          <w:t>(1987), 27 C.L.R. 113</w:t>
        </w:r>
      </w:hyperlink>
      <w:r>
        <w:rPr>
          <w:rFonts w:ascii="arial" w:eastAsia="arial" w:hAnsi="arial" w:cs="arial"/>
          <w:color w:val="000000"/>
          <w:sz w:val="20"/>
          <w:lang w:val="en-US" w:eastAsia="en-US" w:bidi="ar-SA"/>
        </w:rPr>
        <w:t xml:space="preserve"> (B.C.S.C.) at p. 202.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951</w:t>
      </w:r>
      <w:r>
        <w:rPr>
          <w:rFonts w:ascii="arial" w:eastAsia="arial" w:hAnsi="arial" w:cs="arial"/>
          <w:color w:val="000000"/>
          <w:sz w:val="20"/>
          <w:lang w:val="en-US" w:eastAsia="en-US" w:bidi="ar-SA"/>
        </w:rPr>
        <w:t xml:space="preserve">  A loss of productivity is often estimated by a trial judge doing the best he or she can on a percentage basis based on the evidence in general regarding the impact of the wrongful acts of the defendants on productivity: W.A. Stevenson, supra, at p. 195 and Precision Industrial Contractors Corp. v. Solid Rock Steel Fabricating Co. </w:t>
      </w:r>
      <w:hyperlink r:id="rId903" w:history="1">
        <w:r>
          <w:rPr>
            <w:rFonts w:ascii="arial" w:eastAsia="arial" w:hAnsi="arial" w:cs="arial"/>
            <w:i/>
            <w:color w:val="0077CC"/>
            <w:sz w:val="20"/>
            <w:u w:val="single"/>
            <w:shd w:val="clear" w:color="auto" w:fill="FFFFFF"/>
            <w:lang w:val="en-US" w:eastAsia="en-US" w:bidi="ar-SA"/>
          </w:rPr>
          <w:t>(1992), 2 C.L.R. (2d) 239</w:t>
        </w:r>
      </w:hyperlink>
      <w:r>
        <w:rPr>
          <w:rFonts w:ascii="arial" w:eastAsia="arial" w:hAnsi="arial" w:cs="arial"/>
          <w:color w:val="000000"/>
          <w:sz w:val="20"/>
          <w:lang w:val="en-US" w:eastAsia="en-US" w:bidi="ar-SA"/>
        </w:rPr>
        <w:t xml:space="preserve"> (B.C.S.C.) at pp. 256-7.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952</w:t>
      </w:r>
      <w:r>
        <w:rPr>
          <w:rFonts w:ascii="arial" w:eastAsia="arial" w:hAnsi="arial" w:cs="arial"/>
          <w:color w:val="000000"/>
          <w:sz w:val="20"/>
          <w:lang w:val="en-US" w:eastAsia="en-US" w:bidi="ar-SA"/>
        </w:rPr>
        <w:t>  In Dilcon, supra, McMahon, J.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Quantification of losses arising from inefficiency or lack of productivity is always difficult. Once a wrong and resulting damage is proven, however, the quantum of those damages need not be measured by too fine a standard. Neither absolute precision nor absolute certainty will be achievable in the measurement of such damages. Difficulty in assessment is not a reason for denial of damages. (at p. 303)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953</w:t>
      </w:r>
      <w:r>
        <w:rPr>
          <w:rFonts w:ascii="arial" w:eastAsia="arial" w:hAnsi="arial" w:cs="arial"/>
          <w:color w:val="000000"/>
          <w:sz w:val="20"/>
          <w:lang w:val="en-US" w:eastAsia="en-US" w:bidi="ar-SA"/>
        </w:rPr>
        <w:t xml:space="preserve">  Kemess submits that there is a "judicial disinclination" to award damages for loss of productivity as evidenced by the following statement in Foundation Co. of Canada v. United Grain Growers Ltd. </w:t>
      </w:r>
      <w:hyperlink r:id="rId820" w:history="1">
        <w:r>
          <w:rPr>
            <w:rFonts w:ascii="arial" w:eastAsia="arial" w:hAnsi="arial" w:cs="arial"/>
            <w:i/>
            <w:color w:val="0077CC"/>
            <w:sz w:val="20"/>
            <w:u w:val="single"/>
            <w:shd w:val="clear" w:color="auto" w:fill="FFFFFF"/>
            <w:lang w:val="en-US" w:eastAsia="en-US" w:bidi="ar-SA"/>
          </w:rPr>
          <w:t>(1995), 25 C.L.R. (2d) 1</w:t>
        </w:r>
      </w:hyperlink>
      <w:r>
        <w:rPr>
          <w:rFonts w:ascii="arial" w:eastAsia="arial" w:hAnsi="arial" w:cs="arial"/>
          <w:color w:val="000000"/>
          <w:sz w:val="20"/>
          <w:lang w:val="en-US" w:eastAsia="en-US" w:bidi="ar-SA"/>
        </w:rPr>
        <w:t xml:space="preserve"> (B.C.S.C.):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Macdonald J's language [in Emil Anderson Construction Co. v. British Columbia Railway Co. </w:t>
      </w:r>
      <w:hyperlink r:id="rId904" w:history="1">
        <w:r>
          <w:rPr>
            <w:rFonts w:ascii="arial" w:eastAsia="arial" w:hAnsi="arial" w:cs="arial"/>
            <w:i/>
            <w:color w:val="0077CC"/>
            <w:sz w:val="20"/>
            <w:u w:val="single"/>
            <w:shd w:val="clear" w:color="auto" w:fill="FFFFFF"/>
            <w:lang w:val="en-US" w:eastAsia="en-US" w:bidi="ar-SA"/>
          </w:rPr>
          <w:t>(1988), 28 C.L.R. 90</w:t>
        </w:r>
      </w:hyperlink>
      <w:r>
        <w:rPr>
          <w:rFonts w:ascii="arial" w:eastAsia="arial" w:hAnsi="arial" w:cs="arial"/>
          <w:color w:val="000000"/>
          <w:sz w:val="20"/>
          <w:lang w:val="en-US" w:eastAsia="en-US" w:bidi="ar-SA"/>
        </w:rPr>
        <w:t>] illustrates the difficult nature of this type of claim. As opposed to an extras or an acceleration claim, a productivity claim is a claim for the marginal cost increases suffered by a contractor because of the faults of others. It is a claim that must be calculated by comparing what might have been or what productivity might have been achieved with what in fact occurred. The judicial disinclination to award damages for lost productivity is no doubt founded on the inherent unreliability of this type of analysis. (at para. 721).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954</w:t>
      </w:r>
      <w:r>
        <w:rPr>
          <w:rFonts w:ascii="arial" w:eastAsia="arial" w:hAnsi="arial" w:cs="arial"/>
          <w:color w:val="000000"/>
          <w:sz w:val="20"/>
          <w:lang w:val="en-US" w:eastAsia="en-US" w:bidi="ar-SA"/>
        </w:rPr>
        <w:t>  Kemess submits that, to the extent that Golden Hill failed to keep the necessary contemporaneous evidence of the impact of the factors which it says caused it to lose productivity, Golden Hill must bear the consequences of such lack of proof. To the extent that there is evidence that establishes that the acts or omissions of Kemess were the proximate cause of loss of productivity, the Court must then assess that loss as best it is able on the evidence which is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955</w:t>
      </w:r>
      <w:r>
        <w:rPr>
          <w:rFonts w:ascii="arial" w:eastAsia="arial" w:hAnsi="arial" w:cs="arial"/>
          <w:color w:val="000000"/>
          <w:sz w:val="20"/>
          <w:lang w:val="en-US" w:eastAsia="en-US" w:bidi="ar-SA"/>
        </w:rPr>
        <w:t>  Golden Hill submits that its loss of productivity can be ascertained by comparing its expected productivity to its actual productivity achieved if the Court makes a finding that Golden Hill's productivity expectations were reasonable or achievable. At the time of the Tender, Mr. Rudolph used an average expected rate of 300 loads per shift for a one scraper spread for the Millsite Access Road and 330 loads per shift for each one scraper spread for the balance of the Project. Those expected production rates took into account factors such as expected soils, expected hall lengths, and weather.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956</w:t>
      </w:r>
      <w:r>
        <w:rPr>
          <w:rFonts w:ascii="arial" w:eastAsia="arial" w:hAnsi="arial" w:cs="arial"/>
          <w:color w:val="000000"/>
          <w:sz w:val="20"/>
          <w:lang w:val="en-US" w:eastAsia="en-US" w:bidi="ar-SA"/>
        </w:rPr>
        <w:t>  It was the evidence of Mr. Miller that, with good granular material and in good conditions, his scraper spreads can each load, haul and unload 450 to 500 loads of soil per shift. The process of planning, calculating and adjusting productivity rates is something Mr. Miller has done on a daily basis for almost 30 years and I am satisfied that his testimony in this regard should be accepted.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957</w:t>
      </w:r>
      <w:r>
        <w:rPr>
          <w:rFonts w:ascii="arial" w:eastAsia="arial" w:hAnsi="arial" w:cs="arial"/>
          <w:color w:val="000000"/>
          <w:sz w:val="20"/>
          <w:lang w:val="en-US" w:eastAsia="en-US" w:bidi="ar-SA"/>
        </w:rPr>
        <w:t>  I find that the average productivity rates at bid time were conservative in relation to the capabilities of the resources of Golden Hill. In this regard, there was no evidence critical of Golden Hill's expected production rates adduced from any persons who had been on the Site during the operations of Golden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958</w:t>
      </w:r>
      <w:r>
        <w:rPr>
          <w:rFonts w:ascii="arial" w:eastAsia="arial" w:hAnsi="arial" w:cs="arial"/>
          <w:color w:val="000000"/>
          <w:sz w:val="20"/>
          <w:lang w:val="en-US" w:eastAsia="en-US" w:bidi="ar-SA"/>
        </w:rPr>
        <w:t>  Kemess sought to qualify Olav Naas as an expert in construction tendering practice, construction estimating and construction operations. I subsequently ruled that Mr. Naas was not qualified to give expert evidence about construction operations. With respect to construction estimating, Mr. Naas was qualified as an expert but with the caveat that I was less than satisfied that he had "... current familiarity or habitual familiarity in the 1990s with the component parts of putting together those bids and tenders ...." Mr. Naas was critical of the assumptions of Golden Hill and Mr. Rudolph. I do not share his criticisms.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959</w:t>
      </w:r>
      <w:r>
        <w:rPr>
          <w:rFonts w:ascii="arial" w:eastAsia="arial" w:hAnsi="arial" w:cs="arial"/>
          <w:color w:val="000000"/>
          <w:sz w:val="20"/>
          <w:lang w:val="en-US" w:eastAsia="en-US" w:bidi="ar-SA"/>
        </w:rPr>
        <w:t>  I am satisfied that considerable weight must be given to the expected productivity of other bidders on the C101 Contract. Because of the expertise of those other bidders and because of the more extensive current knowledge of Mr. Miller, I have no hesitation in giving greater weight to the evidence that is presented from these sources in preference to the opinion of Mr. Naas. Attached as Appendix 10 to the submissions of Golden Hill was a calculation of the approximate expected productivity of all of the other bidders using the data summarized in the Kilborn "rationalization" sheets. These comparisons show that the expected productivity of Golden Hill was not "out of line with" the expectations of the other bidders.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960</w:t>
      </w:r>
      <w:r>
        <w:rPr>
          <w:rFonts w:ascii="arial" w:eastAsia="arial" w:hAnsi="arial" w:cs="arial"/>
          <w:color w:val="000000"/>
          <w:sz w:val="20"/>
          <w:lang w:val="en-US" w:eastAsia="en-US" w:bidi="ar-SA"/>
        </w:rPr>
        <w:t>  That comparison shows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927"/>
        <w:gridCol w:w="1778"/>
        <w:gridCol w:w="2196"/>
        <w:gridCol w:w="1255"/>
        <w:gridCol w:w="1150"/>
        <w:gridCol w:w="115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86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74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Golden Hill</w:t>
            </w:r>
          </w:p>
        </w:tc>
        <w:tc>
          <w:tcPr>
            <w:tcW w:w="215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North American</w:t>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Tercon</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Ledcor</w:t>
            </w:r>
          </w:p>
        </w:tc>
        <w:tc>
          <w:tcPr>
            <w:tcW w:w="112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1569"/>
        <w:gridCol w:w="1882"/>
        <w:gridCol w:w="2091"/>
        <w:gridCol w:w="1568"/>
        <w:gridCol w:w="7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 Cubic Metres</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1,577,803</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1,652,590</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1,346,235</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1,550,753</w:t>
            </w:r>
          </w:p>
        </w:tc>
        <w:tc>
          <w:tcPr>
            <w:tcW w:w="717"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of Material</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405"/>
        <w:gridCol w:w="1255"/>
        <w:gridCol w:w="1882"/>
        <w:gridCol w:w="2091"/>
        <w:gridCol w:w="1568"/>
        <w:gridCol w:w="12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35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 man days</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4,900</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5,640</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2,792</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3,600</w:t>
            </w:r>
          </w:p>
        </w:tc>
        <w:tc>
          <w:tcPr>
            <w:tcW w:w="122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719"/>
        <w:gridCol w:w="941"/>
        <w:gridCol w:w="1882"/>
        <w:gridCol w:w="2091"/>
        <w:gridCol w:w="1568"/>
        <w:gridCol w:w="125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66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Productivity (cubic</w:t>
            </w:r>
          </w:p>
        </w:tc>
        <w:tc>
          <w:tcPr>
            <w:tcW w:w="92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316.2</w:t>
            </w:r>
          </w:p>
        </w:tc>
        <w:tc>
          <w:tcPr>
            <w:tcW w:w="1843"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293.0</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482.2</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430.8</w:t>
            </w:r>
          </w:p>
        </w:tc>
        <w:tc>
          <w:tcPr>
            <w:tcW w:w="1229"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66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metres per day)</w:t>
            </w:r>
          </w:p>
        </w:tc>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961</w:t>
      </w:r>
      <w:r>
        <w:rPr>
          <w:rFonts w:ascii="arial" w:eastAsia="arial" w:hAnsi="arial" w:cs="arial"/>
          <w:color w:val="000000"/>
          <w:sz w:val="20"/>
          <w:lang w:val="en-US" w:eastAsia="en-US" w:bidi="ar-SA"/>
        </w:rPr>
        <w:t>  While there is no evidence regarding the production rates assumed by the other bidders, whether some of the man days related to non-production versus production days, and while the comparison does not take into account the fact that the unit prices of the other bidders were significantly higher, this comparison does provide assistance. I am satisfied that it shows that the productivity contemplated by Golden Hill is at the low end of the productivity contemplated by the other bidders all of whom are experienced bidders and all of whom would be expected to have realistic productivity estimates.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962</w:t>
      </w:r>
      <w:r>
        <w:rPr>
          <w:rFonts w:ascii="arial" w:eastAsia="arial" w:hAnsi="arial" w:cs="arial"/>
          <w:color w:val="000000"/>
          <w:sz w:val="20"/>
          <w:lang w:val="en-US" w:eastAsia="en-US" w:bidi="ar-SA"/>
        </w:rPr>
        <w:t>  While there was considerable variation between the bidders relating to the anticipated volume of material at the fives areas at the Project, the overall comparison of total anticipated volumes shows that Golden Hill's expected productivity was the second lowest of the four bidders.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963</w:t>
      </w:r>
      <w:r>
        <w:rPr>
          <w:rFonts w:ascii="arial" w:eastAsia="arial" w:hAnsi="arial" w:cs="arial"/>
          <w:color w:val="000000"/>
          <w:sz w:val="20"/>
          <w:lang w:val="en-US" w:eastAsia="en-US" w:bidi="ar-SA"/>
        </w:rPr>
        <w:t>  I am satisfied that Golden Hill was correct in describing the attempts of Mr. Naas to discredit the estimated productivity figures of Golden Hill as having "been based on outdated information and limited experience with modern scrapers".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964</w:t>
      </w:r>
      <w:r>
        <w:rPr>
          <w:rFonts w:ascii="arial" w:eastAsia="arial" w:hAnsi="arial" w:cs="arial"/>
          <w:color w:val="000000"/>
          <w:sz w:val="20"/>
          <w:lang w:val="en-US" w:eastAsia="en-US" w:bidi="ar-SA"/>
        </w:rPr>
        <w:t>  The actual production of Golden Hill varied from day to day but a summary of loads taken from Daily Construction Reports shows the following average number of loads per shift per spread of equipment was: 87.4 (August); 115.7 (September); 137.2 (October), 117.8 (November), and 110.9 (December).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965</w:t>
      </w:r>
      <w:r>
        <w:rPr>
          <w:rFonts w:ascii="arial" w:eastAsia="arial" w:hAnsi="arial" w:cs="arial"/>
          <w:color w:val="000000"/>
          <w:sz w:val="20"/>
          <w:lang w:val="en-US" w:eastAsia="en-US" w:bidi="ar-SA"/>
        </w:rPr>
        <w:t>  Taking into account that Golden Hill usually had two spreads of equipment working at any particular time, these production rates are considerably less than 50% of the expected rates. The actual time spent to accomplish most of the Work was more than double the time Mr. Rudolph estimated and expected his personnel would spend on the Work. Since the vast majority of the costs of Golden Hill on this Project were time-related, the financial impact of the loss of productivity produced costs that were more than double than what was realistically expected. Coincidentally, Golden Hill is claiming approximately double what it originally bid and what it has been paid to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966</w:t>
      </w:r>
      <w:r>
        <w:rPr>
          <w:rFonts w:ascii="arial" w:eastAsia="arial" w:hAnsi="arial" w:cs="arial"/>
          <w:color w:val="000000"/>
          <w:sz w:val="20"/>
          <w:lang w:val="en-US" w:eastAsia="en-US" w:bidi="ar-SA"/>
        </w:rPr>
        <w:t>  Another way of reviewing this matter is the anticipated man days to complete the Project. Golden Hill anticipated spending 4,900 man days. 8,490 man days were actually spent to perform the Work. Even after taking into account some deletions of Work, the failure of Golden Hill to complete all of the Work and the fact that man days include times when the personnel were not actually working, the number of man days is again roughly double what was originally estimated by Mr. Rudolph.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967</w:t>
      </w:r>
      <w:r>
        <w:rPr>
          <w:rFonts w:ascii="arial" w:eastAsia="arial" w:hAnsi="arial" w:cs="arial"/>
          <w:color w:val="000000"/>
          <w:sz w:val="20"/>
          <w:lang w:val="en-US" w:eastAsia="en-US" w:bidi="ar-SA"/>
        </w:rPr>
        <w:t>  The cause of the loss of productivity is best illustrated by the amounts of Waste that were encountered as opposed to the Waste that was estimated taking into account that Golden Hill's estimates of Waste were higher on average than what was contained in the other bids. The Waste comparison is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2614"/>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Airstrip</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Expected Waste</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20,000 m3</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Actual Waste</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133,063 m3 or 665% of</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expected waste</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2614"/>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Millsite</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Expected Waste</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40,000 m3</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Actual Waste</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445,085 m3 or 1112.71%</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of expected waste</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987"/>
        <w:gridCol w:w="2614"/>
        <w:gridCol w:w="418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Campsite</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Expected Waste</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3,000m3</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Actual Waste</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12,900 m3 or 430% of</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expected waste</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968</w:t>
      </w:r>
      <w:r>
        <w:rPr>
          <w:rFonts w:ascii="arial" w:eastAsia="arial" w:hAnsi="arial" w:cs="arial"/>
          <w:color w:val="000000"/>
          <w:sz w:val="20"/>
          <w:lang w:val="en-US" w:eastAsia="en-US" w:bidi="ar-SA"/>
        </w:rPr>
        <w:t>  I am satisfied that the loss of productivity can be attributed to the actual soil conditions encountered, the weather, the breaches of contract by Kemess, the tortious acts of Kemess, the acceleration of part of the Work by Kemess and the need for Golden Hill to attempt to work with the material found on the Site because of the directions received from Kemess.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969</w:t>
      </w:r>
      <w:r>
        <w:rPr>
          <w:rFonts w:ascii="arial" w:eastAsia="arial" w:hAnsi="arial" w:cs="arial"/>
          <w:color w:val="000000"/>
          <w:sz w:val="20"/>
          <w:lang w:val="en-US" w:eastAsia="en-US" w:bidi="ar-SA"/>
        </w:rPr>
        <w:t>  At the Airstrip, Mr. Miller estimated that the top-loading of scrapers was taking four to six times the time anticipated (3 to 4 minutes rather than 40 seconds). At the "unloading" stage, Waste could not be spread by scrapers but had to be dumped into piles by trucks or scrapers and then spread out in the Waste Dumps with a bulldozer. Because of the small size of the Topsoil and Waste Dumps, the Waste then had to be "stacked" in the Waste Dumps using one or sometimes even two excavators.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970</w:t>
      </w:r>
      <w:r>
        <w:rPr>
          <w:rFonts w:ascii="arial" w:eastAsia="arial" w:hAnsi="arial" w:cs="arial"/>
          <w:color w:val="000000"/>
          <w:sz w:val="20"/>
          <w:lang w:val="en-US" w:eastAsia="en-US" w:bidi="ar-SA"/>
        </w:rPr>
        <w:t>  Because payment under the Contract was for material moved, the more equipment that was involved in handling the Waste after it had been taken out of the excavation and the slower the process to get it to its final location in the dump, the greater the cost to Golden Hill in dealing with the Waste. Golden Hill was not paid for this additional work. As well, Golden Hill was not paid to move material that had been placed as Fill but subsequently had to be removed as it had deteriorated due to its silty nature and the impact of the weather.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971</w:t>
      </w:r>
      <w:r>
        <w:rPr>
          <w:rFonts w:ascii="arial" w:eastAsia="arial" w:hAnsi="arial" w:cs="arial"/>
          <w:color w:val="000000"/>
          <w:sz w:val="20"/>
          <w:lang w:val="en-US" w:eastAsia="en-US" w:bidi="ar-SA"/>
        </w:rPr>
        <w:t>  The loss of productivity caused by the acts of Kemess resulted in a significant portion of the Work being performed in winter conditions even though Golden Hill had been required to accelerate its efforts. While this allowed Golden Hill to work more efficiently with some of the silty wet soils that were now frozen, Golden Hill did not bid the Project on that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972</w:t>
      </w:r>
      <w:r>
        <w:rPr>
          <w:rFonts w:ascii="arial" w:eastAsia="arial" w:hAnsi="arial" w:cs="arial"/>
          <w:color w:val="000000"/>
          <w:sz w:val="20"/>
          <w:lang w:val="en-US" w:eastAsia="en-US" w:bidi="ar-SA"/>
        </w:rPr>
        <w:t>  Golden Hill could not take into account the additional time and costs associated with working in winter conditions including factors such as: (a) the need to constantly remove snow from work areas; (b) the need to "rip" frozen material; (c) the additional compaction effort required to achieve compaction densities; (d) the freezing of scraper bowls with damp material requiring removal of frozen material with bars and sledgehammers roughly twice a shift; and (e) the increased equipment starting and breakdown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973</w:t>
      </w:r>
      <w:r>
        <w:rPr>
          <w:rFonts w:ascii="arial" w:eastAsia="arial" w:hAnsi="arial" w:cs="arial"/>
          <w:color w:val="000000"/>
          <w:sz w:val="20"/>
          <w:lang w:val="en-US" w:eastAsia="en-US" w:bidi="ar-SA"/>
        </w:rPr>
        <w:t xml:space="preserve">  In D.W. Matheson &amp; Sons Contracting Ltd. v. Canada (A.G.) </w:t>
      </w:r>
      <w:hyperlink r:id="rId816" w:history="1">
        <w:r>
          <w:rPr>
            <w:rFonts w:ascii="arial" w:eastAsia="arial" w:hAnsi="arial" w:cs="arial"/>
            <w:i/>
            <w:color w:val="0077CC"/>
            <w:sz w:val="20"/>
            <w:u w:val="single"/>
            <w:shd w:val="clear" w:color="auto" w:fill="FFFFFF"/>
            <w:lang w:val="en-US" w:eastAsia="en-US" w:bidi="ar-SA"/>
          </w:rPr>
          <w:t>(1999), 175 N.S.R. (2d) 201</w:t>
        </w:r>
      </w:hyperlink>
      <w:r>
        <w:rPr>
          <w:rFonts w:ascii="arial" w:eastAsia="arial" w:hAnsi="arial" w:cs="arial"/>
          <w:color w:val="000000"/>
          <w:sz w:val="20"/>
          <w:lang w:val="en-US" w:eastAsia="en-US" w:bidi="ar-SA"/>
        </w:rPr>
        <w:t xml:space="preserve"> (N.S.S.C.) [aff'd </w:t>
      </w:r>
      <w:hyperlink r:id="rId817" w:history="1">
        <w:r>
          <w:rPr>
            <w:rFonts w:ascii="arial" w:eastAsia="arial" w:hAnsi="arial" w:cs="arial"/>
            <w:i/>
            <w:color w:val="0077CC"/>
            <w:sz w:val="20"/>
            <w:u w:val="single"/>
            <w:shd w:val="clear" w:color="auto" w:fill="FFFFFF"/>
            <w:lang w:val="en-US" w:eastAsia="en-US" w:bidi="ar-SA"/>
          </w:rPr>
          <w:t>(2000), 3 C.L.R. (3d) 22</w:t>
        </w:r>
      </w:hyperlink>
      <w:r>
        <w:rPr>
          <w:rFonts w:ascii="arial" w:eastAsia="arial" w:hAnsi="arial" w:cs="arial"/>
          <w:color w:val="000000"/>
          <w:sz w:val="20"/>
          <w:lang w:val="en-US" w:eastAsia="en-US" w:bidi="ar-SA"/>
        </w:rPr>
        <w:t xml:space="preserve"> (N.S.C.A.)], Moir, J.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added cost of performing under winter conditions is well within the limits imposed by the rule respecting remoteness.... The expense of performance was increased to the extent that winter work was less efficient and more costly to Matheson. It's expenditures for the additional labour and the additional cost of operating equipment are, therefore, recoverable as out-of-pocket expenses occasioned by the Government's breach.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(at para. 150).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974</w:t>
      </w:r>
      <w:r>
        <w:rPr>
          <w:rFonts w:ascii="arial" w:eastAsia="arial" w:hAnsi="arial" w:cs="arial"/>
          <w:color w:val="000000"/>
          <w:sz w:val="20"/>
          <w:lang w:val="en-US" w:eastAsia="en-US" w:bidi="ar-SA"/>
        </w:rPr>
        <w:t>  I am satisfied that the loss of productivity resulted in a loss of efficiency in the performance of the Work as well as the loss of the opportunity by Golden Hill to improve upon the original plan for the Work. Subject to the deductions that I make regarding the total costs approach taken by Golden Hill, I am satisfied that the total costs approach taken by Golden Hill is the only way that damages can be established given the complicated matrix of breaches, acts and acceleration orders which I have found.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975</w:t>
      </w:r>
      <w:r>
        <w:rPr>
          <w:rFonts w:ascii="arial" w:eastAsia="arial" w:hAnsi="arial" w:cs="arial"/>
          <w:color w:val="000000"/>
          <w:sz w:val="20"/>
          <w:lang w:val="en-US" w:eastAsia="en-US" w:bidi="ar-SA"/>
        </w:rPr>
        <w:t>  Accordingly, I start with the propositions that the total costs of Golden Hill on this job were $14,429,481.61 as claimed by Golden Hill and that Golden Hill has been paid a total of $6,010,293.09 (excluding G.S.T.) to date. The damages to which Golden Hill is entitled will be the difference between the two figures less any reductions in the total costs claimed by Golden Hill which are not appropriately charged to this Project.</w:t>
      </w:r>
      <w:r>
        <w:rPr>
          <w:rFonts w:ascii="arial" w:eastAsia="arial" w:hAnsi="arial" w:cs="arial"/>
          <w:sz w:val="20"/>
          <w:lang w:val="en-US" w:eastAsia="en-US" w:bidi="ar-SA"/>
        </w:rPr>
        <w:cr/>
      </w:r>
    </w:p>
    <w:p>
      <w:pPr>
        <w:numPr>
          <w:numId w:val="2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TOTAL COSTS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976</w:t>
      </w:r>
      <w:r>
        <w:rPr>
          <w:rFonts w:ascii="arial" w:eastAsia="arial" w:hAnsi="arial" w:cs="arial"/>
          <w:color w:val="000000"/>
          <w:sz w:val="20"/>
          <w:lang w:val="en-US" w:eastAsia="en-US" w:bidi="ar-SA"/>
        </w:rPr>
        <w:t>  The total cost approach is based on the premise that all of the costs of Golden Hill over and above payments received are costs which are properly claimed from Kemess. However, from the total costs claimed, cost over-runs which were not caused by Kemess must be subtracted. Ordinarily, the first set of costs to be subtracted would be those costs associated with losses caused by Golden Hill. I find that those damages are nil so that no such subtraction should be made. The second type of damages which should also be subtracted are those which are properly not chargeable by Golden Hill against the Project. Kemess has raised a number of those expenses in that second category and so it will be necessary to review those proposed adjustments. Before doing so, I will first review the recordkeeping system of Golden Hill.</w:t>
      </w:r>
      <w:r>
        <w:rPr>
          <w:rFonts w:ascii="arial" w:eastAsia="arial" w:hAnsi="arial" w:cs="arial"/>
          <w:sz w:val="20"/>
          <w:lang w:val="en-US" w:eastAsia="en-US" w:bidi="ar-SA"/>
        </w:rPr>
        <w:cr/>
      </w:r>
    </w:p>
    <w:p>
      <w:pPr>
        <w:numPr>
          <w:numId w:val="2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CONAC SYSTEM OF GOLDEN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977</w:t>
      </w:r>
      <w:r>
        <w:rPr>
          <w:rFonts w:ascii="arial" w:eastAsia="arial" w:hAnsi="arial" w:cs="arial"/>
          <w:color w:val="000000"/>
          <w:sz w:val="20"/>
          <w:lang w:val="en-US" w:eastAsia="en-US" w:bidi="ar-SA"/>
        </w:rPr>
        <w:t>  Golden Hill used the CONAC Accounting System. The system is an integrated computer software package commonly used as a management tool by construction companies to simultaneously perform multiple accounting functions such as payroll, accounts payable and tracking of project costs. Under the CONAC System, when data entries for payroll or accounts payable were made, those entries were coded simultaneously to a project number so that the project cost could be tracked. The data entries were also coded to cost categories, activities and sub-activities. The cost categories employed by Golden Hill are: CA (Camp); CS (Casual Labour); FR (Freight); GA (Gas); IN (Insurance/Permits); LA (Labour); MA (Material); OF (Office); RB (Room and Board); RE (Rental); RM (Repair and Maintenance); SC (Subcontractors); SS (Supplies and Small Tools; TR (Travel).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978</w:t>
      </w:r>
      <w:r>
        <w:rPr>
          <w:rFonts w:ascii="arial" w:eastAsia="arial" w:hAnsi="arial" w:cs="arial"/>
          <w:color w:val="000000"/>
          <w:sz w:val="20"/>
          <w:lang w:val="en-US" w:eastAsia="en-US" w:bidi="ar-SA"/>
        </w:rPr>
        <w:t>  There are two source documents for the data entry: invoices and employee time cards. Regarding the invoices, it was the practice of Mr. Rudolph to personally open all of the Golden Hill mail. He testified that he conducted an initial review of each invoice to determine whether it was appropriate for payment, he gave all payable invoices to the accounts payable clerk to be marked with a hand written code and to be entered into the CONAC System, cheques were then generated on a monthly basis based on the data entered into the CONAC System, a manual verification of the amounts was performed by the accounts payable clerk, and cheques and invoices were reviewed by Mr. Rudolph before the cheques were signed by him. To the extent that the invoice represents legitimate charges from third parties to Golden Hill, I find that the data entered into the CONAC System was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979</w:t>
      </w:r>
      <w:r>
        <w:rPr>
          <w:rFonts w:ascii="arial" w:eastAsia="arial" w:hAnsi="arial" w:cs="arial"/>
          <w:color w:val="000000"/>
          <w:sz w:val="20"/>
          <w:lang w:val="en-US" w:eastAsia="en-US" w:bidi="ar-SA"/>
        </w:rPr>
        <w:t>  Regarding the time cards, the source of the data for the CONAC System is employee time cards which form the basis of payment of the wages and salaries of Golden Hill employees. Time cards are filled out by employees on a daily basis. Employees write in their name, the date, the hours worked, some description of the work undertaken, and (sometimes) the project number. Those time cards were forwarded to the Whitehorse Office of Golden Hill on a weekly basis. The payroll clerk in Whitehorse received the time cards and entered some or all of the following information in the CONAC System: The project number, the equipment number, activity code and sub-activity code. If there is no project number on a time card when it arrived, the payroll clerk manually entered it on the time card after speaking to the superintendent to ensure that the correct project number was recorded. At the end of each pay period, a pay cheque was generated based on the data entered into the CONAC System and previously inputted information regarding wage or salary rate, percentage of holiday pay, basis of over-time pay and percentage of source deductions. Each cheque and the back up cards was then reviewed by Mr. Rudolph before he signed the pay cheques. To the extent of the names, the dates, the hours worked and some description of the work undertaken, I find that the data entered into the CONAC System was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980</w:t>
      </w:r>
      <w:r>
        <w:rPr>
          <w:rFonts w:ascii="arial" w:eastAsia="arial" w:hAnsi="arial" w:cs="arial"/>
          <w:color w:val="000000"/>
          <w:sz w:val="20"/>
          <w:lang w:val="en-US" w:eastAsia="en-US" w:bidi="ar-SA"/>
        </w:rPr>
        <w:t>  Richard Purcell, CA is the former auditor for Golden Hill. Mr. Purcell was called as a witness for Golden Hill. He had recommended the purchase of the CONAC Accounting system to Golden Hill. He stated that it was used by other contractors and that he considers it a good, reliable system. However, he confirmed that his ability to track costs and revenue was only as accurate as the data inputted.</w:t>
      </w:r>
      <w:r>
        <w:rPr>
          <w:rFonts w:ascii="arial" w:eastAsia="arial" w:hAnsi="arial" w:cs="arial"/>
          <w:sz w:val="20"/>
          <w:lang w:val="en-US" w:eastAsia="en-US" w:bidi="ar-SA"/>
        </w:rPr>
        <w:cr/>
      </w:r>
    </w:p>
    <w:p>
      <w:pPr>
        <w:numPr>
          <w:numId w:val="2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TOTAL EQUIPMENT HOURS OF EQUIPMENT OWNED BY GOLDEN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981</w:t>
      </w:r>
      <w:r>
        <w:rPr>
          <w:rFonts w:ascii="arial" w:eastAsia="arial" w:hAnsi="arial" w:cs="arial"/>
          <w:color w:val="000000"/>
          <w:sz w:val="20"/>
          <w:lang w:val="en-US" w:eastAsia="en-US" w:bidi="ar-SA"/>
        </w:rPr>
        <w:t>  There are a number of inconsistencies between the figures produced by the CONAC System and the submissions made by Golden Hill regarding the total equipment hours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982</w:t>
      </w:r>
      <w:r>
        <w:rPr>
          <w:rFonts w:ascii="arial" w:eastAsia="arial" w:hAnsi="arial" w:cs="arial"/>
          <w:color w:val="000000"/>
          <w:sz w:val="20"/>
          <w:lang w:val="en-US" w:eastAsia="en-US" w:bidi="ar-SA"/>
        </w:rPr>
        <w:t>  Golden Hill urges the Court to conclude that the total equipment costs recorded in the CONAC System ought not to be given any weight and that the court should prefer the summary of equipment costs prepared for the specific purpose of this litigation even though those costs are approximately $660,000.00 higher than what is reflected in the CONAC System. Golden Hill submits that the higher figure should be preferred because the CONAC numbers are based on time cards which may not be reliable, the CONAC numbers include rental units resulting in double counting of costs, and there is a more reliable source for the hours namely the Daily Construction Reports which are completed by supervisory staff.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983</w:t>
      </w:r>
      <w:r>
        <w:rPr>
          <w:rFonts w:ascii="arial" w:eastAsia="arial" w:hAnsi="arial" w:cs="arial"/>
          <w:color w:val="000000"/>
          <w:sz w:val="20"/>
          <w:lang w:val="en-US" w:eastAsia="en-US" w:bidi="ar-SA"/>
        </w:rPr>
        <w:t>  However, while all of the time cards in evidence have equipment numbers recorded on them, there are a number of errors on the Daily Construction Reports. Kemess submits that this should cast doubts on the submission of Golden Hill that the Daily Construction Reports are a more accurate reflection of hours than the information which is recorded in the CONAC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984</w:t>
      </w:r>
      <w:r>
        <w:rPr>
          <w:rFonts w:ascii="arial" w:eastAsia="arial" w:hAnsi="arial" w:cs="arial"/>
          <w:color w:val="000000"/>
          <w:sz w:val="20"/>
          <w:lang w:val="en-US" w:eastAsia="en-US" w:bidi="ar-SA"/>
        </w:rPr>
        <w:t>  There was an agreement between the parties that "the hours recorded in the Equipment Summary Sheet reflect the hours recorded into the Daily Construction Reports and are the actual hours that Golden Hill's equipment worked, subject to issues regarding coffee breaks and equipment maintenance breaks within the shift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985</w:t>
      </w:r>
      <w:r>
        <w:rPr>
          <w:rFonts w:ascii="arial" w:eastAsia="arial" w:hAnsi="arial" w:cs="arial"/>
          <w:color w:val="000000"/>
          <w:sz w:val="20"/>
          <w:lang w:val="en-US" w:eastAsia="en-US" w:bidi="ar-SA"/>
        </w:rPr>
        <w:t>  I ruled that Kemess could not resile from the portion of the agreement that the Equipment Summary Sheet reflected the hours recorded in the Daily Construction Reports but that it was open to Kemess to challenge the accuracy of the summary and to urge upon the Court that there was a different, more reliable source for the equipment hours. That was not subsequently undertaken or accomplished by Kemess.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986</w:t>
      </w:r>
      <w:r>
        <w:rPr>
          <w:rFonts w:ascii="arial" w:eastAsia="arial" w:hAnsi="arial" w:cs="arial"/>
          <w:color w:val="000000"/>
          <w:sz w:val="20"/>
          <w:lang w:val="en-US" w:eastAsia="en-US" w:bidi="ar-SA"/>
        </w:rPr>
        <w:t>  Accordingly, pursuant to the agreement reached between the parties and to the evidence, I am satisfied that the hours recorded in the "Equipment Summary Sheet" reflecting the hours recorded in the Daily Construction Reports accurately sets out the actual hours that Golden Hill's equipment worked on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987</w:t>
      </w:r>
      <w:r>
        <w:rPr>
          <w:rFonts w:ascii="arial" w:eastAsia="arial" w:hAnsi="arial" w:cs="arial"/>
          <w:color w:val="000000"/>
          <w:sz w:val="20"/>
          <w:lang w:val="en-US" w:eastAsia="en-US" w:bidi="ar-SA"/>
        </w:rPr>
        <w:t>  The "Equipment Summary Sheet" itemizes each piece of equipment and sets out the total hours that the particular piece of equipment worked on the Project. The total equipment hours are 40,441 which, when multiplied by the internal rates used by Golden Hill, amounts to an operating cost of $3,152,470.00. The total hours and operating costs for rented equipment are also shown. The total hours amounted to 16,301.5 hours for total operating costs for rented equipment of $1,922,352.74. The total hours and costs for all equipment are 56,742.5 hours and $5,074,822.74.</w:t>
      </w:r>
      <w:r>
        <w:rPr>
          <w:rFonts w:ascii="arial" w:eastAsia="arial" w:hAnsi="arial" w:cs="arial"/>
          <w:sz w:val="20"/>
          <w:lang w:val="en-US" w:eastAsia="en-US" w:bidi="ar-SA"/>
        </w:rPr>
        <w:cr/>
      </w:r>
    </w:p>
    <w:p>
      <w:pPr>
        <w:numPr>
          <w:numId w:val="2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RENTAL EQUIPMENT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988</w:t>
      </w:r>
      <w:r>
        <w:rPr>
          <w:rFonts w:ascii="arial" w:eastAsia="arial" w:hAnsi="arial" w:cs="arial"/>
          <w:color w:val="000000"/>
          <w:sz w:val="20"/>
          <w:lang w:val="en-US" w:eastAsia="en-US" w:bidi="ar-SA"/>
        </w:rPr>
        <w:t>  Regarding the rental equipment, Kemess points out that a comparison of the hours billed by third party rental companies for the time based charges with the Daily Construction Report Summary of hours prepared by Golden Hill for litigation purposes shows that the summary is not an accurate reflection of the time spent by each rented machine.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989</w:t>
      </w:r>
      <w:r>
        <w:rPr>
          <w:rFonts w:ascii="arial" w:eastAsia="arial" w:hAnsi="arial" w:cs="arial"/>
          <w:color w:val="000000"/>
          <w:sz w:val="20"/>
          <w:lang w:val="en-US" w:eastAsia="en-US" w:bidi="ar-SA"/>
        </w:rPr>
        <w:t>  Kemess submits that I should prefer the Job Cost Report generated by the CONAC System as this Report would have used the actual equipment hours and internal rates in effect at the time Golden Hill was bidding and undertaking the Work, as the records were made and kept in the ordinary course of business, as there was no reason to inflate anything at the time the records were made, and as Golden Hill's own internal accounting system ought to be preferred over the summary that was prepared for trial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990</w:t>
      </w:r>
      <w:r>
        <w:rPr>
          <w:rFonts w:ascii="arial" w:eastAsia="arial" w:hAnsi="arial" w:cs="arial"/>
          <w:color w:val="000000"/>
          <w:sz w:val="20"/>
          <w:lang w:val="en-US" w:eastAsia="en-US" w:bidi="ar-SA"/>
        </w:rPr>
        <w:t>  Taking into account these differences, Kemess submits that the total equipment hours should be 51,923.9 hours rather than 56,742.5 and that the total equipment costs should be reduced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991</w:t>
      </w:r>
      <w:r>
        <w:rPr>
          <w:rFonts w:ascii="arial" w:eastAsia="arial" w:hAnsi="arial" w:cs="arial"/>
          <w:color w:val="000000"/>
          <w:sz w:val="20"/>
          <w:lang w:val="en-US" w:eastAsia="en-US" w:bidi="ar-SA"/>
        </w:rPr>
        <w:t>  The agreement reached between the parties dealt with the equipment owned by Golden Hill as well as equipment rented by Golden Hill. As no application was made by Kemess to withdraw the admission made, in view of the agreement reached between the parties, and after a review of the evidence, I hold that Golden Hill is entitled to proceed on the basis of the agreement 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992</w:t>
      </w:r>
      <w:r>
        <w:rPr>
          <w:rFonts w:ascii="arial" w:eastAsia="arial" w:hAnsi="arial" w:cs="arial"/>
          <w:color w:val="000000"/>
          <w:sz w:val="20"/>
          <w:lang w:val="en-US" w:eastAsia="en-US" w:bidi="ar-SA"/>
        </w:rPr>
        <w:t>  To do otherwise would be to allow Golden Hill to re-open its case in order to call evidence that was not called on the assumption that Kemess might later apply to withdraw its admission. Accordingly, I find that the total hours and operating costs for Golden Hill equipment as well as the total rental costs of rented equipment are 56,742.5 hours and $5,074,822.74, which are the amounts claimed by Golden Hill.</w:t>
      </w:r>
      <w:r>
        <w:rPr>
          <w:rFonts w:ascii="arial" w:eastAsia="arial" w:hAnsi="arial" w:cs="arial"/>
          <w:sz w:val="20"/>
          <w:lang w:val="en-US" w:eastAsia="en-US" w:bidi="ar-SA"/>
        </w:rPr>
        <w:cr/>
      </w:r>
    </w:p>
    <w:p>
      <w:pPr>
        <w:numPr>
          <w:numId w:val="2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ADJUSTMENTS WHICH SHOULD BE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993</w:t>
      </w:r>
      <w:r>
        <w:rPr>
          <w:rFonts w:ascii="arial" w:eastAsia="arial" w:hAnsi="arial" w:cs="arial"/>
          <w:color w:val="000000"/>
          <w:sz w:val="20"/>
          <w:lang w:val="en-US" w:eastAsia="en-US" w:bidi="ar-SA"/>
        </w:rPr>
        <w:t>  Golden Hill submits that certain adjustments should be made to the total costs claimed and Kemess submits that certain amounts should be subtracted. Over and above the direct costs owing, Golden Hill claims entitlement to profit of 5%. The adjustments requested are reviewed as follows.</w:t>
      </w:r>
      <w:r>
        <w:rPr>
          <w:rFonts w:ascii="arial" w:eastAsia="arial" w:hAnsi="arial" w:cs="arial"/>
          <w:sz w:val="20"/>
          <w:lang w:val="en-US" w:eastAsia="en-US" w:bidi="ar-SA"/>
        </w:rPr>
        <w:cr/>
      </w:r>
    </w:p>
    <w:p>
      <w:pPr>
        <w:numPr>
          <w:numId w:val="2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G.S.T. IN THE CONAC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994</w:t>
      </w:r>
      <w:r>
        <w:rPr>
          <w:rFonts w:ascii="arial" w:eastAsia="arial" w:hAnsi="arial" w:cs="arial"/>
          <w:color w:val="000000"/>
          <w:sz w:val="20"/>
          <w:lang w:val="en-US" w:eastAsia="en-US" w:bidi="ar-SA"/>
        </w:rPr>
        <w:t>  Golden Hill states that the costs captured in the CONAC System exclude G.S.T. but Kemess points to a number of examples where it submits that G.S.T. appears to have been included.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995</w:t>
      </w:r>
      <w:r>
        <w:rPr>
          <w:rFonts w:ascii="arial" w:eastAsia="arial" w:hAnsi="arial" w:cs="arial"/>
          <w:color w:val="000000"/>
          <w:sz w:val="20"/>
          <w:lang w:val="en-US" w:eastAsia="en-US" w:bidi="ar-SA"/>
        </w:rPr>
        <w:t>  After reviewing the invoices said not to separate out G.S.T., I am satisfied that G.S.T. was separated as a matter of course. I am satisfied that an amount for G.S.T. was not included in the costs summarized in the CONAC System. I am satisfied that only figures net of G.S.T. were added into the total cost claims advanced by Golden Hill.</w:t>
      </w:r>
      <w:r>
        <w:rPr>
          <w:rFonts w:ascii="arial" w:eastAsia="arial" w:hAnsi="arial" w:cs="arial"/>
          <w:sz w:val="20"/>
          <w:lang w:val="en-US" w:eastAsia="en-US" w:bidi="ar-SA"/>
        </w:rPr>
        <w:cr/>
      </w:r>
    </w:p>
    <w:p>
      <w:pPr>
        <w:numPr>
          <w:numId w:val="2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LABOUR COSTS ($213,345.40 CLAIMED BY GOLDEN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996</w:t>
      </w:r>
      <w:r>
        <w:rPr>
          <w:rFonts w:ascii="arial" w:eastAsia="arial" w:hAnsi="arial" w:cs="arial"/>
          <w:color w:val="000000"/>
          <w:sz w:val="20"/>
          <w:lang w:val="en-US" w:eastAsia="en-US" w:bidi="ar-SA"/>
        </w:rPr>
        <w:t>  Golden Hill submits that the costs included in the labour codes in the CONAC accounting system are the gross wages but do not include the employer's contributions for CPP, UI, and WCB which are 1 percent, 1.4 percent and 6.48 percent respectively. In addition to the total labour costs of $2,402,538.30, Golden Hill claims a further employer's payroll cost of $213,345.40. Golden Hill submits that this amount would have been included within the overhead allowance of 10% of direct costs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997</w:t>
      </w:r>
      <w:r>
        <w:rPr>
          <w:rFonts w:ascii="arial" w:eastAsia="arial" w:hAnsi="arial" w:cs="arial"/>
          <w:color w:val="000000"/>
          <w:sz w:val="20"/>
          <w:lang w:val="en-US" w:eastAsia="en-US" w:bidi="ar-SA"/>
        </w:rPr>
        <w:t xml:space="preserve">  This payroll burden is a recognized component of wage costs in the construction industry. Golden Hill submits that it is appropriate to allow this mark up for actual wages before adding an overhead allowance: British Columbia Hydro &amp; Power Authority v. Canada (Minister of Public Works and Government Services), </w:t>
      </w:r>
      <w:hyperlink r:id="rId894" w:history="1">
        <w:r>
          <w:rPr>
            <w:rFonts w:ascii="arial" w:eastAsia="arial" w:hAnsi="arial" w:cs="arial"/>
            <w:i/>
            <w:color w:val="0077CC"/>
            <w:sz w:val="20"/>
            <w:u w:val="single"/>
            <w:shd w:val="clear" w:color="auto" w:fill="FFFFFF"/>
            <w:lang w:val="en-US" w:eastAsia="en-US" w:bidi="ar-SA"/>
          </w:rPr>
          <w:t>[1996] B.C.J. No. 2131</w:t>
        </w:r>
      </w:hyperlink>
      <w:r>
        <w:rPr>
          <w:rFonts w:ascii="arial" w:eastAsia="arial" w:hAnsi="arial" w:cs="arial"/>
          <w:color w:val="000000"/>
          <w:sz w:val="20"/>
          <w:lang w:val="en-US" w:eastAsia="en-US" w:bidi="ar-SA"/>
        </w:rPr>
        <w:t xml:space="preserve"> (B.C.S.C.) and D.W. Matheson &amp; Sons Contracting Ltd. v. Canada (A.G.) </w:t>
      </w:r>
      <w:hyperlink r:id="rId816" w:history="1">
        <w:r>
          <w:rPr>
            <w:rFonts w:ascii="arial" w:eastAsia="arial" w:hAnsi="arial" w:cs="arial"/>
            <w:i/>
            <w:color w:val="0077CC"/>
            <w:sz w:val="20"/>
            <w:u w:val="single"/>
            <w:shd w:val="clear" w:color="auto" w:fill="FFFFFF"/>
            <w:lang w:val="en-US" w:eastAsia="en-US" w:bidi="ar-SA"/>
          </w:rPr>
          <w:t>(1999), 175 N.S.R. (2d) 201</w:t>
        </w:r>
      </w:hyperlink>
      <w:r>
        <w:rPr>
          <w:rFonts w:ascii="arial" w:eastAsia="arial" w:hAnsi="arial" w:cs="arial"/>
          <w:color w:val="000000"/>
          <w:sz w:val="20"/>
          <w:lang w:val="en-US" w:eastAsia="en-US" w:bidi="ar-SA"/>
        </w:rPr>
        <w:t xml:space="preserve"> (N.S.S.C.) affirmed </w:t>
      </w:r>
      <w:hyperlink r:id="rId817" w:history="1">
        <w:r>
          <w:rPr>
            <w:rFonts w:ascii="arial" w:eastAsia="arial" w:hAnsi="arial" w:cs="arial"/>
            <w:i/>
            <w:color w:val="0077CC"/>
            <w:sz w:val="20"/>
            <w:u w:val="single"/>
            <w:shd w:val="clear" w:color="auto" w:fill="FFFFFF"/>
            <w:lang w:val="en-US" w:eastAsia="en-US" w:bidi="ar-SA"/>
          </w:rPr>
          <w:t>(2000), 3 C.L.R. (3d) 22</w:t>
        </w:r>
      </w:hyperlink>
      <w:r>
        <w:rPr>
          <w:rFonts w:ascii="arial" w:eastAsia="arial" w:hAnsi="arial" w:cs="arial"/>
          <w:color w:val="000000"/>
          <w:sz w:val="20"/>
          <w:lang w:val="en-US" w:eastAsia="en-US" w:bidi="ar-SA"/>
        </w:rPr>
        <w:t xml:space="preserve"> (N.S.C.A.).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998</w:t>
      </w:r>
      <w:r>
        <w:rPr>
          <w:rFonts w:ascii="arial" w:eastAsia="arial" w:hAnsi="arial" w:cs="arial"/>
          <w:color w:val="000000"/>
          <w:sz w:val="20"/>
          <w:lang w:val="en-US" w:eastAsia="en-US" w:bidi="ar-SA"/>
        </w:rPr>
        <w:t>  Kemess submits that Golden Hill has not led evidence as to how much it expected to pay for these items in its bid (either in a global sense or even as a percentage of wages) so that the Court is unable to determine how much of this was expected at bid time. Kemess also submits that Mr. Rudolph could only "guess" what the WCB rate was when he stated that he "believed" it was either 6.38% or 6.4%, that the papers of the auditor of Golden Hill reflect a WCB rate of 3.65% and that neither of the cases cited by Golden Hill involved a bid which provided for the "overhead" allowance to already include mark ups for payroll burdens.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999</w:t>
      </w:r>
      <w:r>
        <w:rPr>
          <w:rFonts w:ascii="arial" w:eastAsia="arial" w:hAnsi="arial" w:cs="arial"/>
          <w:color w:val="000000"/>
          <w:sz w:val="20"/>
          <w:lang w:val="en-US" w:eastAsia="en-US" w:bidi="ar-SA"/>
        </w:rPr>
        <w:t>  There was an agreement between the parties that the narrative statements contained in the auditor's report were not admissible as business records and, accordingly, I am satisfied that I should treat WCB rates as being 6.38%. However, I am not satisfied that the sum of $213,345.40 should be added to the direct costs of Golden Hill while, at the same time, allowing 10% of that amount in any allowance for overhead. Golden Hill should be bound by the testimony of Mr. Rudolph that these labour costs were included within the overhead allowance in the bid. Golden Hill has not proven on a balance of probabilities that it intended that the 10% overhead allowance was to apply against this component of wage costs. Accordingly, the sum of $213,345.40 should be subtracted from the costs claimed by Golden Hill.</w:t>
      </w:r>
      <w:r>
        <w:rPr>
          <w:rFonts w:ascii="arial" w:eastAsia="arial" w:hAnsi="arial" w:cs="arial"/>
          <w:sz w:val="20"/>
          <w:lang w:val="en-US" w:eastAsia="en-US" w:bidi="ar-SA"/>
        </w:rPr>
        <w:cr/>
      </w:r>
    </w:p>
    <w:p>
      <w:pPr>
        <w:numPr>
          <w:numId w:val="2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FREIGHT COSTS ($100,000.00 CLAIMED BY GOLDEN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1000</w:t>
      </w:r>
      <w:r>
        <w:rPr>
          <w:rFonts w:ascii="arial" w:eastAsia="arial" w:hAnsi="arial" w:cs="arial"/>
          <w:color w:val="000000"/>
          <w:sz w:val="20"/>
          <w:lang w:val="en-US" w:eastAsia="en-US" w:bidi="ar-SA"/>
        </w:rPr>
        <w:t>  Golden Hill submits that the Job Cost Reports do not capture any equipment costs associated with the use of Golden Hill's trucks and trailers to transport the construction equipment to be used on the Project to and from the Project (a distance of about 1,000 miles). The Job Cost Reports record the labour component which is paid by the hour for off-highway travel and by the mile for on-highway travel. However, the Job Cost Reports are said to include the off-highway but not the on-highway portion cost to mobilize and demobilize. As well, the Job Cost Reports do not include the cost of any fuel removed from the Golden Hill fuel tanks in Whitehorse or from other Golden Hill project sites on the way to the Project. In this regard, drivers were instructed to use this fuel as it would cost less than fuel purchased at commercial stations.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1001</w:t>
      </w:r>
      <w:r>
        <w:rPr>
          <w:rFonts w:ascii="arial" w:eastAsia="arial" w:hAnsi="arial" w:cs="arial"/>
          <w:color w:val="000000"/>
          <w:sz w:val="20"/>
          <w:lang w:val="en-US" w:eastAsia="en-US" w:bidi="ar-SA"/>
        </w:rPr>
        <w:t>  Golden Hill has no ability to track these two types of costs but they are estimated by Mr. Rudolph to have been about $100,000.00 (based on his knowledge of the Project). Golden Hill points out that this amount was not challenged in cross-examination. Golden Hill claims that this amount should be included within the direct costs and that the 10% overhead claimed should then be based on the direct costs including this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1002</w:t>
      </w:r>
      <w:r>
        <w:rPr>
          <w:rFonts w:ascii="arial" w:eastAsia="arial" w:hAnsi="arial" w:cs="arial"/>
          <w:color w:val="000000"/>
          <w:sz w:val="20"/>
          <w:lang w:val="en-US" w:eastAsia="en-US" w:bidi="ar-SA"/>
        </w:rPr>
        <w:t>  I am satisfied that Golden Hill has not proven the $100,000.00 amount on a balance of probabilities. First, I am satisfied that Golden Hill should be kept to its original bid costs and subsequently negotiated rates for mobilization and demobilization. Second, there was no evidence that this cost was not included within the original mobilization and demobilization cost within the bid or as subsequently paid by Kemess for the additional equipment which was mobilized. Third, there was no real evidence before me to substantiate the claim of $100,000.00. As well, it was the evidence of Mr. Rudolph that this amount would be included within the overhead percentage claimed. Accordingly, it is not appropriate to include the $100,000.00 as a direct cost before applying the claimed 10% overhead.</w:t>
      </w:r>
      <w:r>
        <w:rPr>
          <w:rFonts w:ascii="arial" w:eastAsia="arial" w:hAnsi="arial" w:cs="arial"/>
          <w:sz w:val="20"/>
          <w:lang w:val="en-US" w:eastAsia="en-US" w:bidi="ar-SA"/>
        </w:rPr>
        <w:cr/>
      </w:r>
    </w:p>
    <w:p>
      <w:pPr>
        <w:numPr>
          <w:numId w:val="2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EQUIPMENT COST ($1,455,292.00 REDUCTION CLAIMED BY KEMESS)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1003</w:t>
      </w:r>
      <w:r>
        <w:rPr>
          <w:rFonts w:ascii="arial" w:eastAsia="arial" w:hAnsi="arial" w:cs="arial"/>
          <w:color w:val="000000"/>
          <w:sz w:val="20"/>
          <w:lang w:val="en-US" w:eastAsia="en-US" w:bidi="ar-SA"/>
        </w:rPr>
        <w:t>  The agreement reached by the parties was that the equipment of Golden Hill (40,441 hours) and the rented equipment (16,301.5 hours) was an accurate reflection of the hours that the equipment worked but that agreement was "subject to issues regarding coffee breaks and equipment maintenance breaks within the shift period". The question which arises is whether the equipment was being operated for the full 11 hours of the shift which included a 30 minute lunch break, for 10.5 hours which excluded the 30 minute lunch break but included two 15 minute coffee breaks, or for only 10 hours per shift.</w:t>
      </w:r>
      <w:r>
        <w:rPr>
          <w:rFonts w:ascii="arial" w:eastAsia="arial" w:hAnsi="arial" w:cs="arial"/>
          <w:sz w:val="20"/>
          <w:lang w:val="en-US" w:eastAsia="en-US" w:bidi="ar-SA"/>
        </w:rPr>
        <w:cr/>
      </w:r>
    </w:p>
    <w:p>
      <w:pPr>
        <w:numPr>
          <w:numId w:val="2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EQUIPMENT RUNNING TIME EACH SHIFT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1004</w:t>
      </w:r>
      <w:r>
        <w:rPr>
          <w:rFonts w:ascii="arial" w:eastAsia="arial" w:hAnsi="arial" w:cs="arial"/>
          <w:color w:val="000000"/>
          <w:sz w:val="20"/>
          <w:lang w:val="en-US" w:eastAsia="en-US" w:bidi="ar-SA"/>
        </w:rPr>
        <w:t>  Golden Hill points out that the operators left their equipment running during the 2 coffee breaks and often during the lunch breaks and in colder weather even between shifts. When the equipment was running, the meters on the equipment which were recording hours were also running. Golden Hill also submits that the equipment was serviced between shifts and that, prior to the start of each shift, operators spent approximately 5 minutes to perform a "walk-around" inspection of their equipment so that this equipment running time would not be recorded. Against this, any down time due to mechanical breakdowns was not recorded in the Daily Construction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1005</w:t>
      </w:r>
      <w:r>
        <w:rPr>
          <w:rFonts w:ascii="arial" w:eastAsia="arial" w:hAnsi="arial" w:cs="arial"/>
          <w:color w:val="000000"/>
          <w:sz w:val="20"/>
          <w:lang w:val="en-US" w:eastAsia="en-US" w:bidi="ar-SA"/>
        </w:rPr>
        <w:t>  Because the equipment of Golden Hill was running during the coffee breaks, Golden Hill submits that it is appropriate that the full 10.5 hours recorded in the Daily Construction Reports be employed to calculate the equipment hours for the Project. In fact, Golden Hill submits that its claimed hours are actually understated by at least 5% (the 1/2 hour lunch break for each 10 hour shift) resulting in an understatement of Golden Hill's equipment costs of $160,000.00.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1006</w:t>
      </w:r>
      <w:r>
        <w:rPr>
          <w:rFonts w:ascii="arial" w:eastAsia="arial" w:hAnsi="arial" w:cs="arial"/>
          <w:color w:val="000000"/>
          <w:sz w:val="20"/>
          <w:lang w:val="en-US" w:eastAsia="en-US" w:bidi="ar-SA"/>
        </w:rPr>
        <w:t>  I reject the submission of Kemess that Mr. Rudolph allocated his costs on the basis of when the machine was being employed in the Work as I am satisfied that he allocated his costs on the basis of when the machine was running. However, I am not satisfied that it is appropriate to reflect equipment running for the full 10.5 hours per shift. While I find that some of the equipment was running during coffee breaks and lunch breaks, that equipment was often left running between shifts in colder weather, and that there was some additional running time at the beginning of shifts, I cannot be satisfied that Golden Hill has proven on a balance of probabilities that this extra running time would be equal to 30 minutes for each piece of equipment for each shift.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1007</w:t>
      </w:r>
      <w:r>
        <w:rPr>
          <w:rFonts w:ascii="arial" w:eastAsia="arial" w:hAnsi="arial" w:cs="arial"/>
          <w:color w:val="000000"/>
          <w:sz w:val="20"/>
          <w:lang w:val="en-US" w:eastAsia="en-US" w:bidi="ar-SA"/>
        </w:rPr>
        <w:t>  I am satisfied that the Daily Construction Reports do not present sufficient precision to allow the daily inclusion of another half hour of equipment running time for each shift for each piece of equipment. I am also not satisfied that I received sufficient evidence from those who were actually supervising the workers on the Project regarding the average working hours per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1008</w:t>
      </w:r>
      <w:r>
        <w:rPr>
          <w:rFonts w:ascii="arial" w:eastAsia="arial" w:hAnsi="arial" w:cs="arial"/>
          <w:color w:val="000000"/>
          <w:sz w:val="20"/>
          <w:lang w:val="en-US" w:eastAsia="en-US" w:bidi="ar-SA"/>
        </w:rPr>
        <w:t>  Accordingly, I am satisfied that the total number of hours should be adjusted to reflect 10.0 hours per shift rather than 10.5 hours per shift. The total number of hours for each piece of equipment was multiplied by the "internal rates" used by Golden Hill. Accordingly, the total number of equipment hours of 56,742.5 should be reduced to reflect 10.0 hours per shift rather than 10.5 hours per shift. The adjusted amount then should be multiplied by the internal rates which were in operation. I will do that calculation after dealing with the question of whether the internal rates used by Golden Hill are appropriate or not.</w:t>
      </w:r>
      <w:r>
        <w:rPr>
          <w:rFonts w:ascii="arial" w:eastAsia="arial" w:hAnsi="arial" w:cs="arial"/>
          <w:sz w:val="20"/>
          <w:lang w:val="en-US" w:eastAsia="en-US" w:bidi="ar-SA"/>
        </w:rPr>
        <w:cr/>
      </w:r>
    </w:p>
    <w:p>
      <w:pPr>
        <w:numPr>
          <w:numId w:val="2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USE OF "INTERNAL 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1009</w:t>
      </w:r>
      <w:r>
        <w:rPr>
          <w:rFonts w:ascii="arial" w:eastAsia="arial" w:hAnsi="arial" w:cs="arial"/>
          <w:color w:val="000000"/>
          <w:sz w:val="20"/>
          <w:lang w:val="en-US" w:eastAsia="en-US" w:bidi="ar-SA"/>
        </w:rPr>
        <w:t>  Much of the claim of Golden Hill is premised on the use of its "internal rates" as it is these rates which are multiplied by the hours that each of their pieces of equipment was in operation in order to produce the $3,152,470.00 which is claimed for Golden Hill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1010</w:t>
      </w:r>
      <w:r>
        <w:rPr>
          <w:rFonts w:ascii="arial" w:eastAsia="arial" w:hAnsi="arial" w:cs="arial"/>
          <w:color w:val="000000"/>
          <w:sz w:val="20"/>
          <w:lang w:val="en-US" w:eastAsia="en-US" w:bidi="ar-SA"/>
        </w:rPr>
        <w:t xml:space="preserve">  Kemess agrees that the internal rates of Golden Hill are a reasonable basis on which to determine its costs providing two conditions are met: (a) those were the rates used by Golden Hill in its bid; and (b) the rates are accurate, in the sense of being a "fair approximation of the actual cost of providing and operating equipment at a normal construction site." (per the decision in D.W. Matheson &amp; Sons Contracting Ltd. v. Canada (A.G.) </w:t>
      </w:r>
      <w:hyperlink r:id="rId816" w:history="1">
        <w:r>
          <w:rPr>
            <w:rFonts w:ascii="arial" w:eastAsia="arial" w:hAnsi="arial" w:cs="arial"/>
            <w:i/>
            <w:color w:val="0077CC"/>
            <w:sz w:val="20"/>
            <w:u w:val="single"/>
            <w:shd w:val="clear" w:color="auto" w:fill="FFFFFF"/>
            <w:lang w:val="en-US" w:eastAsia="en-US" w:bidi="ar-SA"/>
          </w:rPr>
          <w:t>(1999), 175 N.S.R. (2d) 201</w:t>
        </w:r>
      </w:hyperlink>
      <w:r>
        <w:rPr>
          <w:rFonts w:ascii="arial" w:eastAsia="arial" w:hAnsi="arial" w:cs="arial"/>
          <w:color w:val="000000"/>
          <w:sz w:val="20"/>
          <w:lang w:val="en-US" w:eastAsia="en-US" w:bidi="ar-SA"/>
        </w:rPr>
        <w:t xml:space="preserve"> (N.S.S.C.) affirmed </w:t>
      </w:r>
      <w:hyperlink r:id="rId817" w:history="1">
        <w:r>
          <w:rPr>
            <w:rFonts w:ascii="arial" w:eastAsia="arial" w:hAnsi="arial" w:cs="arial"/>
            <w:i/>
            <w:color w:val="0077CC"/>
            <w:sz w:val="20"/>
            <w:u w:val="single"/>
            <w:shd w:val="clear" w:color="auto" w:fill="FFFFFF"/>
            <w:lang w:val="en-US" w:eastAsia="en-US" w:bidi="ar-SA"/>
          </w:rPr>
          <w:t>(2000), 3 C.L.R. (3d) 22</w:t>
        </w:r>
      </w:hyperlink>
      <w:r>
        <w:rPr>
          <w:rFonts w:ascii="arial" w:eastAsia="arial" w:hAnsi="arial" w:cs="arial"/>
          <w:color w:val="000000"/>
          <w:sz w:val="20"/>
          <w:lang w:val="en-US" w:eastAsia="en-US" w:bidi="ar-SA"/>
        </w:rPr>
        <w:t xml:space="preserve"> (N.S.C.A.).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1011</w:t>
      </w:r>
      <w:r>
        <w:rPr>
          <w:rFonts w:ascii="arial" w:eastAsia="arial" w:hAnsi="arial" w:cs="arial"/>
          <w:color w:val="000000"/>
          <w:sz w:val="20"/>
          <w:lang w:val="en-US" w:eastAsia="en-US" w:bidi="ar-SA"/>
        </w:rPr>
        <w:t>  Golden Hill has been using hourly internal rates for bidding and cost tracking purposes since the late 1980s. The internal equipment rates set out in the CONAC System are established pursuant to instructions received from Mr. Rudolph who stated that he reviewed the rates periodically and changed them from time to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1012</w:t>
      </w:r>
      <w:r>
        <w:rPr>
          <w:rFonts w:ascii="arial" w:eastAsia="arial" w:hAnsi="arial" w:cs="arial"/>
          <w:color w:val="000000"/>
          <w:sz w:val="20"/>
          <w:lang w:val="en-US" w:eastAsia="en-US" w:bidi="ar-SA"/>
        </w:rPr>
        <w:t>  Mr. Rudolph testified that the purpose of the internal equipment rates was to internally record the cost of using Golden Hill owned equipment on a project. He stated that internal rates are intended to include costs during the life of the equipment such as ownership costs, depreciation, major component replacement and the ultimate replacement of the equipment. It was also the testimony of Mr. Rudolph that, on this bid, he also included within his unit rates many of the costs that the other bidders included within their estimates for monthly charges. He confirmed that his estimate of $25,000.00 per month for indirect costs was based on this premise.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1013</w:t>
      </w:r>
      <w:r>
        <w:rPr>
          <w:rFonts w:ascii="arial" w:eastAsia="arial" w:hAnsi="arial" w:cs="arial"/>
          <w:color w:val="000000"/>
          <w:sz w:val="20"/>
          <w:lang w:val="en-US" w:eastAsia="en-US" w:bidi="ar-SA"/>
        </w:rPr>
        <w:t>  Mr. Rudolph testified that he does not undertake a detailed calculation of components based on actual or expected costs in order to set his internal equipment rates because, until each piece of equipment is sold, Golden Hill would not know its actual costs. Rather, the rates are based on the past experience of Mr. Rudolph as well as reference to rental rates charged by equipment rental companies for equivalent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1014</w:t>
      </w:r>
      <w:r>
        <w:rPr>
          <w:rFonts w:ascii="arial" w:eastAsia="arial" w:hAnsi="arial" w:cs="arial"/>
          <w:color w:val="000000"/>
          <w:sz w:val="20"/>
          <w:lang w:val="en-US" w:eastAsia="en-US" w:bidi="ar-SA"/>
        </w:rPr>
        <w:t>  Mr. Rudolph stated that he usually tried to be "a little lower than" or "close to" rental rates charged by equipment rental companies. He referred to these external rental rates as a "double check of the industry standards". While he recognized that outside rental rates would include profit, he also was of the belief that this profit was offset by the fact that rental companies could purchase equipment more inexpensively than could Golden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1015</w:t>
      </w:r>
      <w:r>
        <w:rPr>
          <w:rFonts w:ascii="arial" w:eastAsia="arial" w:hAnsi="arial" w:cs="arial"/>
          <w:color w:val="000000"/>
          <w:sz w:val="20"/>
          <w:lang w:val="en-US" w:eastAsia="en-US" w:bidi="ar-SA"/>
        </w:rPr>
        <w:t>  In my view, Kemess gave unnecessary attention to the fact that Golden Hill reviews its internal rates against what it would have to pay an outside agency to rent similar equipment. Kemess submitted that Mr. Rudolph confirmed that the internal rates are really "rental rates" designed to approximate what an outside rental agency would charge Golden Hill. However, that is not exactly what Mr. Rudolph stated at Trial. He was asked the following question and gave the following answers: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that's not an exact science of what the costs are. I mean, that's a number that I put in there that's somewhat representative of a rental rate, which would include covering your costs of that machine. But it has some flexibility depending on the type of job and things like that, so it's -- I don't use an exact science of you know adding it up and being exactly precise.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when you say somewhat representative of a rental rate, what you're indicating is that is the rate that you would have to pay if you went out and rented a piece of that machinery?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similar rate, something close to an outside rental.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1016</w:t>
      </w:r>
      <w:r>
        <w:rPr>
          <w:rFonts w:ascii="arial" w:eastAsia="arial" w:hAnsi="arial" w:cs="arial"/>
          <w:color w:val="000000"/>
          <w:sz w:val="20"/>
          <w:lang w:val="en-US" w:eastAsia="en-US" w:bidi="ar-SA"/>
        </w:rPr>
        <w:t>  I am satisfied that Mr. Rudolph did not merely assign the cost of Golden Hill renting a piece of equipment from an outside agency when setting his internal rates. Rather, I am satisfied that it was merely a means by which Mr. Rudolph attempted to verify that the internal rates that he was using were realistic.</w:t>
      </w:r>
      <w:r>
        <w:rPr>
          <w:rFonts w:ascii="arial" w:eastAsia="arial" w:hAnsi="arial" w:cs="arial"/>
          <w:sz w:val="20"/>
          <w:lang w:val="en-US" w:eastAsia="en-US" w:bidi="ar-SA"/>
        </w:rPr>
        <w:cr/>
      </w:r>
    </w:p>
    <w:p>
      <w:pPr>
        <w:numPr>
          <w:numId w:val="2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REPLACEMENT COSTS BE INCLUDED?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1017</w:t>
      </w:r>
      <w:r>
        <w:rPr>
          <w:rFonts w:ascii="arial" w:eastAsia="arial" w:hAnsi="arial" w:cs="arial"/>
          <w:color w:val="000000"/>
          <w:sz w:val="20"/>
          <w:lang w:val="en-US" w:eastAsia="en-US" w:bidi="ar-SA"/>
        </w:rPr>
        <w:t>  Mr. Rudolph created considerable confusion regarding what was and what was not included within the internal rates of Golden Hill. At one point in his testimony, he stated that it included "ownership costs, ownership depreciation, replacement, as well as major component replacement". In another place, he stated that: "The ownership costs are the costs to go out and buy that piece of equipment and then the depreciation is part of that, and you have to have a reserve at the end of its useful life to be able to replace that piece of equipment. So there is an ownership cost associated with that, of the actual cost to replace that machine". In another place, he stated that it was "not necessarily the purchase price that I paid for that machine. All I was saying was in generics that you include the price of the machine to be able to go out and purchase that machine".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1018</w:t>
      </w:r>
      <w:r>
        <w:rPr>
          <w:rFonts w:ascii="arial" w:eastAsia="arial" w:hAnsi="arial" w:cs="arial"/>
          <w:color w:val="000000"/>
          <w:sz w:val="20"/>
          <w:lang w:val="en-US" w:eastAsia="en-US" w:bidi="ar-SA"/>
        </w:rPr>
        <w:t>  Later he indicated that the cost did not include a "reserve component". Mr. Rudolph confirmed that, while it was intended to provide a reserve of funds available to replace the piece of machinery at the end of its useful life, Golden Hill has not replaced any of the machinery that it used on the Kemess job and had neither a financial nor an internal account set up to allocate or collect this reserve.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1019</w:t>
      </w:r>
      <w:r>
        <w:rPr>
          <w:rFonts w:ascii="arial" w:eastAsia="arial" w:hAnsi="arial" w:cs="arial"/>
          <w:color w:val="000000"/>
          <w:sz w:val="20"/>
          <w:lang w:val="en-US" w:eastAsia="en-US" w:bidi="ar-SA"/>
        </w:rPr>
        <w:t>  The former Golden Hill auditor, Mr. Purcell, testified that he had never had any discussions with Mr. Rudolph about setting aside money for replacing of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1020</w:t>
      </w:r>
      <w:r>
        <w:rPr>
          <w:rFonts w:ascii="arial" w:eastAsia="arial" w:hAnsi="arial" w:cs="arial"/>
          <w:color w:val="000000"/>
          <w:sz w:val="20"/>
          <w:lang w:val="en-US" w:eastAsia="en-US" w:bidi="ar-SA"/>
        </w:rPr>
        <w:t>  Mr. Rudolph stated that the cost of replacing major components was not generally coded to a particular project in the CONAC accounting system. Rather, it was coded to a particular equipment unit number. Major components include such items as engines, transmissions, differentials, scraper hitches, and tractor under-carriages. Major component costs for heavy construction equipment are not insignificant.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1021</w:t>
      </w:r>
      <w:r>
        <w:rPr>
          <w:rFonts w:ascii="arial" w:eastAsia="arial" w:hAnsi="arial" w:cs="arial"/>
          <w:color w:val="000000"/>
          <w:sz w:val="20"/>
          <w:lang w:val="en-US" w:eastAsia="en-US" w:bidi="ar-SA"/>
        </w:rPr>
        <w:t>  Mr. Rudolph agreed that some of the internal equipment rates used in its submissions were not accurate. For instance, unit 408 should have been $62.00 per hour not $80.00 per hour and unit 709 should have been $35.00 per hour not $70.00 per hour. As a result, Golden Hill amended the amounts claimed for equipment costs set out in its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1022</w:t>
      </w:r>
      <w:r>
        <w:rPr>
          <w:rFonts w:ascii="arial" w:eastAsia="arial" w:hAnsi="arial" w:cs="arial"/>
          <w:color w:val="000000"/>
          <w:sz w:val="20"/>
          <w:lang w:val="en-US" w:eastAsia="en-US" w:bidi="ar-SA"/>
        </w:rPr>
        <w:t xml:space="preserve">  There was considerable evidence led regarding the question of whether or not the unit rates should include the funds that must be set aside to eventually replace equipment. Golden Hill submits that the use of internal equipment rates to include a means to set aside funds out of revenue to replace equipment as required at the end of the useful life of equipment was approved by Brenner, J., as he then was, in Tercon Contractors Ltd. v. British Columbia (Ministry of Transportation &amp; Highways), </w:t>
      </w:r>
      <w:hyperlink r:id="rId837" w:history="1">
        <w:r>
          <w:rPr>
            <w:rFonts w:ascii="arial" w:eastAsia="arial" w:hAnsi="arial" w:cs="arial"/>
            <w:i/>
            <w:color w:val="0077CC"/>
            <w:sz w:val="20"/>
            <w:u w:val="single"/>
            <w:shd w:val="clear" w:color="auto" w:fill="FFFFFF"/>
            <w:lang w:val="en-US" w:eastAsia="en-US" w:bidi="ar-SA"/>
          </w:rPr>
          <w:t>[1994] B.C.J. No. 1636</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1023</w:t>
      </w:r>
      <w:r>
        <w:rPr>
          <w:rFonts w:ascii="arial" w:eastAsia="arial" w:hAnsi="arial" w:cs="arial"/>
          <w:color w:val="000000"/>
          <w:sz w:val="20"/>
          <w:lang w:val="en-US" w:eastAsia="en-US" w:bidi="ar-SA"/>
        </w:rPr>
        <w:t>  Kemess points out that the effect of including a "replacement reserve" is to allow a profit to the contractor over and above its cost for that machine with this profit allocated to buying the next machine but available in general revenue for distribution to the shareholders. Kemess submits that Golden Hill is asking Kemess not only to pay for the machines used on the job but also to pay for their replacements. Kemess submits that this is not a "cost" which should be born by Kemess.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1024</w:t>
      </w:r>
      <w:r>
        <w:rPr>
          <w:rFonts w:ascii="arial" w:eastAsia="arial" w:hAnsi="arial" w:cs="arial"/>
          <w:color w:val="000000"/>
          <w:sz w:val="20"/>
          <w:lang w:val="en-US" w:eastAsia="en-US" w:bidi="ar-SA"/>
        </w:rPr>
        <w:t xml:space="preserve">  Kemess distinguishes the decision in Tercon Contractors Ltd. v. British Columbia (Ministry of Transportation and Highways), </w:t>
      </w:r>
      <w:hyperlink r:id="rId837" w:history="1">
        <w:r>
          <w:rPr>
            <w:rFonts w:ascii="arial" w:eastAsia="arial" w:hAnsi="arial" w:cs="arial"/>
            <w:i/>
            <w:color w:val="0077CC"/>
            <w:sz w:val="20"/>
            <w:u w:val="single"/>
            <w:shd w:val="clear" w:color="auto" w:fill="FFFFFF"/>
            <w:lang w:val="en-US" w:eastAsia="en-US" w:bidi="ar-SA"/>
          </w:rPr>
          <w:t>[1994] B.C.J. No. 1636</w:t>
        </w:r>
      </w:hyperlink>
      <w:r>
        <w:rPr>
          <w:rFonts w:ascii="arial" w:eastAsia="arial" w:hAnsi="arial" w:cs="arial"/>
          <w:color w:val="000000"/>
          <w:sz w:val="20"/>
          <w:lang w:val="en-US" w:eastAsia="en-US" w:bidi="ar-SA"/>
        </w:rPr>
        <w:t xml:space="preserve"> (B.C.S.C.) on the basis that the case involved a lost tender and therefore the issue was what revenue Tercon would have received compared to its costs. Kemess points out that the case at bar is not one of lost opportunities but it is one of alleged damages. Kemess submits that damages should not include any portion of the internal rental rate that constitutes the "replacement reserve" if the Court accepts Mr. Rudolph's evidence that some portion of his internal rate was intended for that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1025</w:t>
      </w:r>
      <w:r>
        <w:rPr>
          <w:rFonts w:ascii="arial" w:eastAsia="arial" w:hAnsi="arial" w:cs="arial"/>
          <w:color w:val="000000"/>
          <w:sz w:val="20"/>
          <w:lang w:val="en-US" w:eastAsia="en-US" w:bidi="ar-SA"/>
        </w:rPr>
        <w:t>  Mr. Barke provided an opinion on behalf of Kemess as to the appropriate internal rates that should be used for the equipment of Golden Hill and was of the opinion that the internal rates should not include a replacement component in the rates because it was not a real cost because it was based on a future event which might not happen. Mr. Barke was of the opinion that a replacement cost only became an actual cost when the piece of equipment was replaced. However, he did agree that the depreciation component should be included even though it was not an actual cost but rather an accounting deduction.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1026</w:t>
      </w:r>
      <w:r>
        <w:rPr>
          <w:rFonts w:ascii="arial" w:eastAsia="arial" w:hAnsi="arial" w:cs="arial"/>
          <w:color w:val="000000"/>
          <w:sz w:val="20"/>
          <w:lang w:val="en-US" w:eastAsia="en-US" w:bidi="ar-SA"/>
        </w:rPr>
        <w:t>  Mr. Ostermann was called as a rebuttal witness on behalf of Golden Hill. The rates projected by Mr. Ostermann included a "technological advancement factor" which took into account that replacement equipment usually represented considerable technological improvement over the equipment that was being replaced. Under cross-examination, Mr. Ostermann admitted that he was not trying to calculate the actual costs of Golden Hill but was using an internal rate system that his former employer had adopted in order to review whether or not the internal rates used by Golden Hill were reasonable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1027</w:t>
      </w:r>
      <w:r>
        <w:rPr>
          <w:rFonts w:ascii="arial" w:eastAsia="arial" w:hAnsi="arial" w:cs="arial"/>
          <w:color w:val="000000"/>
          <w:sz w:val="20"/>
          <w:lang w:val="en-US" w:eastAsia="en-US" w:bidi="ar-SA"/>
        </w:rPr>
        <w:t>  After reviewing the evidence of Mr. Rudolph, I am satisfied that he did include a replacement component within his internal rates. After reviewing the testimony of Messrs. Rudolph, Ostermann and Barke, I am satisfied that it was appropriate to do so. Mr. Ostermann was also called as an expert witness in the Tercon Contractors Ltd., supra, trial. In that decision, the Court accepted the evidence of Mr. Ostermann that equipment costs include the following elements: (a) equipment replacement cost accrual; (b) cost of deferred disposal or interest on invested capital; (c) reduction in salvage value if the company was going out of business; and (d) fixed ownership costs. In the context of work that was lost to Tercon, the Court held that Tercon was entitled to be compensated for "rental" as well as "margin" revenue which Tercon would have received in respect of its equipment had it performed the work: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Tercon was deprived of the opportunity to recover those 'costs' and to set aside the appropriate portion of the revenues from this contract for the purposes identified by Ostermann. Internal rental is not an out of pocket cost of performing the work; rather, it is the amount out of revenue which Tercon would have received and which it would have been able to set aside for all of the purposes identified by Ostermann. (at para. 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1028</w:t>
      </w:r>
      <w:r>
        <w:rPr>
          <w:rFonts w:ascii="arial" w:eastAsia="arial" w:hAnsi="arial" w:cs="arial"/>
          <w:color w:val="000000"/>
          <w:sz w:val="20"/>
          <w:lang w:val="en-US" w:eastAsia="en-US" w:bidi="ar-SA"/>
        </w:rPr>
        <w:t>  In this case, Golden Hill was deprived of revenue not available for a number of corporate purposes including being earmarked for equipment replacement cost if the internal rates of Golden Hill reflected only the fixed ownership costs of running the equipment while it was on the Site. I am satisfied that it is appropriate for the internal rates of a contractor to reflect a component to be set aside for the ultimate replacement cost of the equipment being used. A reserve account for replacement cost is a legitimate expense or cost of doing business although it is not necessarily an actual cash outflow in any particular year. It is an item like depreciation.</w:t>
      </w:r>
      <w:r>
        <w:rPr>
          <w:rFonts w:ascii="arial" w:eastAsia="arial" w:hAnsi="arial" w:cs="arial"/>
          <w:sz w:val="20"/>
          <w:lang w:val="en-US" w:eastAsia="en-US" w:bidi="ar-SA"/>
        </w:rPr>
        <w:cr/>
      </w:r>
    </w:p>
    <w:p>
      <w:pPr>
        <w:numPr>
          <w:numId w:val="2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RATES WERE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1029</w:t>
      </w:r>
      <w:r>
        <w:rPr>
          <w:rFonts w:ascii="arial" w:eastAsia="arial" w:hAnsi="arial" w:cs="arial"/>
          <w:color w:val="000000"/>
          <w:sz w:val="20"/>
          <w:lang w:val="en-US" w:eastAsia="en-US" w:bidi="ar-SA"/>
        </w:rPr>
        <w:t>  In reviewing the claim of Golden Hill, Kemess notes that Mr. Rudolph admitted during cross-examination that the equipment rates he used in his bids "may not coincide" with Golden Hill's internal rate and that the best he could say was that they were "similar". Kemess submits that the direct examination of Mr. Rudolph when he was testifying how he prepared his bid for the job made it apparent that Mr. Rudolph did not use the internal rates now being claimed but that he used lower numbers. Kemess submits that, unless Golden Hill can prove to the Court on a balance of probabilities that it bid the job on the basis of the present internal rates, it would be "manifestly unfair to make an award based on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1030</w:t>
      </w:r>
      <w:r>
        <w:rPr>
          <w:rFonts w:ascii="arial" w:eastAsia="arial" w:hAnsi="arial" w:cs="arial"/>
          <w:color w:val="000000"/>
          <w:sz w:val="20"/>
          <w:lang w:val="en-US" w:eastAsia="en-US" w:bidi="ar-SA"/>
        </w:rPr>
        <w:t>  Kemess points out that there were various versions of the internal rates depending on which documents are reviewed. Kemess points out that Mr. Rudolph could not say whether the rates in the computer now were the same as the rates that were in the computer in 1996. He could only say that "I don't believe they were changed" However, it appears to have come out in cross-examination that these rates changed considerably since Golden Hill bid the project in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1031</w:t>
      </w:r>
      <w:r>
        <w:rPr>
          <w:rFonts w:ascii="arial" w:eastAsia="arial" w:hAnsi="arial" w:cs="arial"/>
          <w:color w:val="000000"/>
          <w:sz w:val="20"/>
          <w:lang w:val="en-US" w:eastAsia="en-US" w:bidi="ar-SA"/>
        </w:rPr>
        <w:t>  As a result of document production orders made during the course of the Trial, various computer printouts and "equipment inquiry reports" were produced. Kemess submits that these documents show that Golden Hill had different equipment rates for units depending on what activity the units were undertaking and that the claimed internal rates were inflated for trial purposes as the rates which were actually in the CONAC System at the time of the Kemess job were lower than those now being claimed. The differences were summarized in Appendix 9 of the Submissions of Kemess and are said to total an overstatement of $414,872.00. It was the testimony of Mr. Rudolph that one of the rates (Unit number 515) was incorrect so that the overstatement submitted by Kemess should be reduced to $283,765.00. I cannot conclude that Mr. Rudolph is correct in that regard and, accordingly, I accept the calculations of Kemess.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1032</w:t>
      </w:r>
      <w:r>
        <w:rPr>
          <w:rFonts w:ascii="arial" w:eastAsia="arial" w:hAnsi="arial" w:cs="arial"/>
          <w:color w:val="000000"/>
          <w:sz w:val="20"/>
          <w:lang w:val="en-US" w:eastAsia="en-US" w:bidi="ar-SA"/>
        </w:rPr>
        <w:t>  There were considerable differences between the pre-C101 Contract internal rates and the materials that were presented on behalf of Golden Hill relating to the internal rates used to calculate the damages of Golden Hill. I am satisfied that the pre-C101 Contract internal rates should be used as there is no evidence before me that the rates changed between the time of the bid and the completion of the Work by Golden Hill or that the parties agreed that the equipment rates would change during the currency of the Contract. In the circumstances, I find that the equipment costs claimed by Golden Hill for its equipment used on the Project should be reduced by $414,872.00.</w:t>
      </w:r>
      <w:r>
        <w:rPr>
          <w:rFonts w:ascii="arial" w:eastAsia="arial" w:hAnsi="arial" w:cs="arial"/>
          <w:sz w:val="20"/>
          <w:lang w:val="en-US" w:eastAsia="en-US" w:bidi="ar-SA"/>
        </w:rPr>
        <w:cr/>
      </w:r>
    </w:p>
    <w:p>
      <w:pPr>
        <w:numPr>
          <w:numId w:val="2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RATES INCLUDE PROFIT?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1033</w:t>
      </w:r>
      <w:r>
        <w:rPr>
          <w:rFonts w:ascii="arial" w:eastAsia="arial" w:hAnsi="arial" w:cs="arial"/>
          <w:color w:val="000000"/>
          <w:sz w:val="20"/>
          <w:lang w:val="en-US" w:eastAsia="en-US" w:bidi="ar-SA"/>
        </w:rPr>
        <w:t>  Kemess submits that the internal rates generate sufficient funds to purchase the equipment in the first instance, to pay all of the repair and maintenance costs throughout including major overhaul items as well as producing significant profit to Golden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1034</w:t>
      </w:r>
      <w:r>
        <w:rPr>
          <w:rFonts w:ascii="arial" w:eastAsia="arial" w:hAnsi="arial" w:cs="arial"/>
          <w:color w:val="000000"/>
          <w:sz w:val="20"/>
          <w:lang w:val="en-US" w:eastAsia="en-US" w:bidi="ar-SA"/>
        </w:rPr>
        <w:t>  Kemess submits that this latter fact is made even more significant by the fact that Golden Hill still has all of the equipment working. Kemess submits that the results summarized in Appendix 10 of their Submissions strongly suggest that the "internal rates" of Golden Hill include a very significant profit component in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1035</w:t>
      </w:r>
      <w:r>
        <w:rPr>
          <w:rFonts w:ascii="arial" w:eastAsia="arial" w:hAnsi="arial" w:cs="arial"/>
          <w:color w:val="000000"/>
          <w:sz w:val="20"/>
          <w:lang w:val="en-US" w:eastAsia="en-US" w:bidi="ar-SA"/>
        </w:rPr>
        <w:t>  Kemess also has compared the original purchase price and the recovery requested by Golden Hill to show that what Golden Hill wishes to recover is far in excess of the original purchase price plus all repair and maintenance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1568"/>
        <w:gridCol w:w="1673"/>
        <w:gridCol w:w="1359"/>
        <w:gridCol w:w="1359"/>
        <w:gridCol w:w="1778"/>
        <w:gridCol w:w="73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 &amp; M</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Agreed to</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Gross Cost</w:t>
            </w:r>
          </w:p>
        </w:tc>
        <w:tc>
          <w:tcPr>
            <w:tcW w:w="163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Expenses</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Net Cost</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Purchase</w:t>
            </w:r>
          </w:p>
        </w:tc>
        <w:tc>
          <w:tcPr>
            <w:tcW w:w="174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Excess</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Total</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EQ.#</w:t>
            </w:r>
          </w:p>
        </w:tc>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Recovery</w:t>
            </w:r>
          </w:p>
        </w:tc>
        <w:tc>
          <w:tcPr>
            <w:tcW w:w="163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(gross-net)</w:t>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Recovery</w:t>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Price</w:t>
            </w:r>
          </w:p>
        </w:tc>
        <w:tc>
          <w:tcPr>
            <w:tcW w:w="174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Recovery</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Recovery</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568"/>
        <w:gridCol w:w="1464"/>
        <w:gridCol w:w="1464"/>
        <w:gridCol w:w="1255"/>
        <w:gridCol w:w="1987"/>
        <w:gridCol w:w="1464"/>
        <w:gridCol w:w="62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302</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$120,142</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-$73,264</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46,878</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235,000</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-188,121.52</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-$188,122</w:t>
            </w:r>
          </w:p>
        </w:tc>
        <w:tc>
          <w:tcPr>
            <w:tcW w:w="61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404</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$763,778</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-$126,000</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637,778</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235,000</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402,778.00</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$402,778</w:t>
            </w:r>
          </w:p>
        </w:tc>
        <w:tc>
          <w:tcPr>
            <w:tcW w:w="61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408</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$345,280</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-$39,217</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306,063</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283,123</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22,940.00</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$208,940</w:t>
            </w:r>
          </w:p>
        </w:tc>
        <w:tc>
          <w:tcPr>
            <w:tcW w:w="61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501</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$288,755</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-$73,529</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215,226</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58,315</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156,910.71</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$156,911</w:t>
            </w:r>
          </w:p>
        </w:tc>
        <w:tc>
          <w:tcPr>
            <w:tcW w:w="61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504</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$418,277</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-$208,107</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210,170</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140,000</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70,170.00</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$70,170</w:t>
            </w:r>
          </w:p>
        </w:tc>
        <w:tc>
          <w:tcPr>
            <w:tcW w:w="61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508</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$1,593,328</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-$597,354</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995,974</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130,840</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865,134.00</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$865,134</w:t>
            </w:r>
          </w:p>
        </w:tc>
        <w:tc>
          <w:tcPr>
            <w:tcW w:w="61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511</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$939,778</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-$354,626</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585,152</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683,540</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-98,388.00</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$276,612</w:t>
            </w:r>
          </w:p>
        </w:tc>
        <w:tc>
          <w:tcPr>
            <w:tcW w:w="61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513</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$968,035</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-$304,191</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663,844</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447,200</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216,644.00</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$216,644</w:t>
            </w:r>
          </w:p>
        </w:tc>
        <w:tc>
          <w:tcPr>
            <w:tcW w:w="61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514</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$405,552</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-$90,072</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315,480</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336,311</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-20,831.00</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-$20,831</w:t>
            </w:r>
          </w:p>
        </w:tc>
        <w:tc>
          <w:tcPr>
            <w:tcW w:w="61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515</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$932,430</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-$356,775</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575,655</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422,000</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153,655.00</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$153,655</w:t>
            </w:r>
          </w:p>
        </w:tc>
        <w:tc>
          <w:tcPr>
            <w:tcW w:w="61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604</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$199,070</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-$87,763</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111,307</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107,000</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4,307.16</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$4,307</w:t>
            </w:r>
          </w:p>
        </w:tc>
        <w:tc>
          <w:tcPr>
            <w:tcW w:w="61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606</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$300,975</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-$36,131</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264,844</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112,000</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152,843.57</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$152,844</w:t>
            </w:r>
          </w:p>
        </w:tc>
        <w:tc>
          <w:tcPr>
            <w:tcW w:w="61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610</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$140,005</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-$49,259</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90,746</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171,766</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-81,019.60</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-$81,020</w:t>
            </w:r>
          </w:p>
        </w:tc>
        <w:tc>
          <w:tcPr>
            <w:tcW w:w="61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6905</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$346,425</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-$120,528</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225,897</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67,557</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158,340.00</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$158,340</w:t>
            </w:r>
          </w:p>
        </w:tc>
        <w:tc>
          <w:tcPr>
            <w:tcW w:w="61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6906</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$368,690</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-$170,056</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198,634</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65,000</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133,634.00</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$133,634</w:t>
            </w:r>
          </w:p>
        </w:tc>
        <w:tc>
          <w:tcPr>
            <w:tcW w:w="61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704</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$593,530</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-$134,363</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459,167</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209,379</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249,788.10</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$249,788</w:t>
            </w:r>
          </w:p>
        </w:tc>
        <w:tc>
          <w:tcPr>
            <w:tcW w:w="61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706</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$839,410</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-$211,999</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627,411</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372,500</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254,911.45</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$254,911</w:t>
            </w:r>
          </w:p>
        </w:tc>
        <w:tc>
          <w:tcPr>
            <w:tcW w:w="61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709</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$448,246</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-$30,321</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417,924</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146,500</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271,424.44</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$271,424</w:t>
            </w:r>
          </w:p>
        </w:tc>
        <w:tc>
          <w:tcPr>
            <w:tcW w:w="61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713/</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$452,270</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-$130,503</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321,767</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438,250</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-116,483.00</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-$116,483</w:t>
            </w:r>
          </w:p>
        </w:tc>
        <w:tc>
          <w:tcPr>
            <w:tcW w:w="61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707</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807</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$996,428</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-$247,282</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749,146</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200,000</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549,146.00</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$549,146</w:t>
            </w:r>
          </w:p>
        </w:tc>
        <w:tc>
          <w:tcPr>
            <w:tcW w:w="61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813</w:t>
            </w:r>
          </w:p>
        </w:tc>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$775,396</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-$156,178</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619,218</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155,000</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464,218.00</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$464,218</w:t>
            </w:r>
          </w:p>
        </w:tc>
        <w:tc>
          <w:tcPr>
            <w:tcW w:w="61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814</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$859,688</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-$210,571</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649,117</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155,000</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494,117.00</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$494,117</w:t>
            </w:r>
          </w:p>
        </w:tc>
        <w:tc>
          <w:tcPr>
            <w:tcW w:w="61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1036</w:t>
      </w:r>
      <w:r>
        <w:rPr>
          <w:rFonts w:ascii="arial" w:eastAsia="arial" w:hAnsi="arial" w:cs="arial"/>
          <w:color w:val="000000"/>
          <w:sz w:val="20"/>
          <w:lang w:val="en-US" w:eastAsia="en-US" w:bidi="ar-SA"/>
        </w:rPr>
        <w:t>  Once a piece of equipment has been sold, its total cost can be calculated with precision. Unit 501 was sold for $186,000.00 and unit 511 was sold for $375,000.00. Accordingly, the total recovery is $208,940.00 for unit 501 and $276,612.00 for unit 511. It is clear that the total recoveries noted above are far in excess of what would be produced for appropriate internal rates that include only internal costs of the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1037</w:t>
      </w:r>
      <w:r>
        <w:rPr>
          <w:rFonts w:ascii="arial" w:eastAsia="arial" w:hAnsi="arial" w:cs="arial"/>
          <w:color w:val="000000"/>
          <w:sz w:val="20"/>
          <w:lang w:val="en-US" w:eastAsia="en-US" w:bidi="ar-SA"/>
        </w:rPr>
        <w:t>  Mr. Barke provided his opinion about the appropriate internal rate that should have been used for Golden Hill's equipment. For the two units that were sold, Mr. Barke derived an ownership cost of $16.85 per hour for unit 408 (instead of $62.00 per hour) and somewhere between $21.57 and $24.48 per hour for unit 511 (as opposed to $125.00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1038</w:t>
      </w:r>
      <w:r>
        <w:rPr>
          <w:rFonts w:ascii="arial" w:eastAsia="arial" w:hAnsi="arial" w:cs="arial"/>
          <w:color w:val="000000"/>
          <w:sz w:val="20"/>
          <w:lang w:val="en-US" w:eastAsia="en-US" w:bidi="ar-SA"/>
        </w:rPr>
        <w:t>  The submissions of Kemess and the opinion of Mr. Barke overlook the testimony of Mr. Rudolph that the internal rates used in the bid reflected amounts that other bidders included within Item 8.3 (Temporary Facilities and Indirect Costs). I accept his evidence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1039</w:t>
      </w:r>
      <w:r>
        <w:rPr>
          <w:rFonts w:ascii="arial" w:eastAsia="arial" w:hAnsi="arial" w:cs="arial"/>
          <w:color w:val="000000"/>
          <w:sz w:val="20"/>
          <w:lang w:val="en-US" w:eastAsia="en-US" w:bidi="ar-SA"/>
        </w:rPr>
        <w:t>  His rate for Item 8.3 was $25,000.00 per month or $100,000.00 for the four months that Golden Hill anticipated that they would be undertaking the Work. While I accept the evidence presented that the internal rates cover more than the internal cost of the equipment of Golden Hill, I also accept that the rates used by Mr. Rudolph were not intended to cover only the actual cost of the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1040</w:t>
      </w:r>
      <w:r>
        <w:rPr>
          <w:rFonts w:ascii="arial" w:eastAsia="arial" w:hAnsi="arial" w:cs="arial"/>
          <w:color w:val="000000"/>
          <w:sz w:val="20"/>
          <w:lang w:val="en-US" w:eastAsia="en-US" w:bidi="ar-SA"/>
        </w:rPr>
        <w:t>  While Mr. Barke came to the conclusion that the equipment cost claimed represented an overstatement of ownership costs of $1,455,292.00, I cannot come to that conclusion. First, Mr. Barke did not include a component for major overhaul as he assumed that those costs were accounted for in the Job Cost Reports. Second, Mr. Barke did not include any amount to account for the rising cost of replacement of equipment or for the replacement cost itself. Third, he was not asked to nor did he deal with the question of what the appropriate internal rates for this equipment should be if most of the "Temporary Facilities and Indirect Costs" were to be recovered by the equipment rates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1041</w:t>
      </w:r>
      <w:r>
        <w:rPr>
          <w:rFonts w:ascii="arial" w:eastAsia="arial" w:hAnsi="arial" w:cs="arial"/>
          <w:color w:val="000000"/>
          <w:sz w:val="20"/>
          <w:lang w:val="en-US" w:eastAsia="en-US" w:bidi="ar-SA"/>
        </w:rPr>
        <w:t>  In the circumstances, the equipment costs relating to the equipment owned by Golden Hill should be reduced from $3,152,470.00 to $2,737,598.00 to reflect the deduction for the difference between the internal rates claimed at Trial and the actual internal rates which were in effect at the time of the bid and during the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1042</w:t>
      </w:r>
      <w:r>
        <w:rPr>
          <w:rFonts w:ascii="arial" w:eastAsia="arial" w:hAnsi="arial" w:cs="arial"/>
          <w:color w:val="000000"/>
          <w:sz w:val="20"/>
          <w:lang w:val="en-US" w:eastAsia="en-US" w:bidi="ar-SA"/>
        </w:rPr>
        <w:t>  There should be a further reduction from that $2,737,598.00 figure to reflect the fact that the equipment was in use 10 hours rather than 10.5 hours. Accordingly, I find that the equipment costs of Golden Hill equipment on the job should be allowed at $2,607,236.10 so that the amount claimed should be reduced by $545,233.90.</w:t>
      </w:r>
      <w:r>
        <w:rPr>
          <w:rFonts w:ascii="arial" w:eastAsia="arial" w:hAnsi="arial" w:cs="arial"/>
          <w:sz w:val="20"/>
          <w:lang w:val="en-US" w:eastAsia="en-US" w:bidi="ar-SA"/>
        </w:rPr>
        <w:cr/>
      </w:r>
    </w:p>
    <w:p>
      <w:pPr>
        <w:numPr>
          <w:numId w:val="2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RENTAL EQUIPMENT COST REDUCTION ($930,314.80)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1043</w:t>
      </w:r>
      <w:r>
        <w:rPr>
          <w:rFonts w:ascii="arial" w:eastAsia="arial" w:hAnsi="arial" w:cs="arial"/>
          <w:color w:val="000000"/>
          <w:sz w:val="20"/>
          <w:lang w:val="en-US" w:eastAsia="en-US" w:bidi="ar-SA"/>
        </w:rPr>
        <w:t>  The total amount paid for rental of outside equipment was $1,922,352.74. It was common for Golden Hill to rent equipment on a lease to purchase basis. Any purchase price to Golden Hill was calculated by giving Golden Hill credit for the principal amount of the lease payments it made. The lease payments were included in the "LR-Rental" costs category in the "Job Cost Report". In the list of Golden Hill equipment there is some equipment which was initially leased but ultimately purchased by Golden Hill. In order to eliminate duplication of total costs claimed, the principal portions of lease payments made during the Project for pieces of equipment which were subsequently purchased should be calculated and then deducted from the Project cost. The parties agree that it is appropriate for credit to be given to Kemess for $930,314.80 against the claimed cost of $1,922,352.74.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1044</w:t>
      </w:r>
      <w:r>
        <w:rPr>
          <w:rFonts w:ascii="arial" w:eastAsia="arial" w:hAnsi="arial" w:cs="arial"/>
          <w:color w:val="000000"/>
          <w:sz w:val="20"/>
          <w:lang w:val="en-US" w:eastAsia="en-US" w:bidi="ar-SA"/>
        </w:rPr>
        <w:t>  While Kemess takes no issue with the $1,922,352.74 amount, it does take issue with whether any of this rental cost should be included. Kemess submits this amount relates to additional equipment brought to the Site by Golden Hill which was not specified in the Tender list.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1045</w:t>
      </w:r>
      <w:r>
        <w:rPr>
          <w:rFonts w:ascii="arial" w:eastAsia="arial" w:hAnsi="arial" w:cs="arial"/>
          <w:color w:val="000000"/>
          <w:sz w:val="20"/>
          <w:lang w:val="en-US" w:eastAsia="en-US" w:bidi="ar-SA"/>
        </w:rPr>
        <w:t>  I am satisfied that Golden Hill should be entitled to the sum of $992,037.94 being the difference between the cost of renting the equipment used on the Project and the rental costs later applied against the purchase price of equipment still owned by Golden Hill. This amount reflects the cost to Golden Hill of equipment used by it on the Project and for which it is entitled to receive the net cost to it of renting the equipment. While this equipment was not on the Expanded Tender List of equipment, the need for the equipment arose as a result of a combination of acceleration and the breaches of contract and ortuous acts of Kemess.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1046</w:t>
      </w:r>
      <w:r>
        <w:rPr>
          <w:rFonts w:ascii="arial" w:eastAsia="arial" w:hAnsi="arial" w:cs="arial"/>
          <w:color w:val="000000"/>
          <w:sz w:val="20"/>
          <w:lang w:val="en-US" w:eastAsia="en-US" w:bidi="ar-SA"/>
        </w:rPr>
        <w:t>  Accordingly, I am satisfied that these costs are not only legitimate costs within the total cost calculations submitted by Golden Hill but also attributable to the specific breach of contract relating to the failure of Kemess to provide the Site M Reports.</w:t>
      </w:r>
      <w:r>
        <w:rPr>
          <w:rFonts w:ascii="arial" w:eastAsia="arial" w:hAnsi="arial" w:cs="arial"/>
          <w:sz w:val="20"/>
          <w:lang w:val="en-US" w:eastAsia="en-US" w:bidi="ar-SA"/>
        </w:rPr>
        <w:cr/>
      </w:r>
    </w:p>
    <w:p>
      <w:pPr>
        <w:numPr>
          <w:numId w:val="2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REPAIR AND MAINTENANCE COSTS ($779,280.47 CLAIMED BY GOLDEN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1047</w:t>
      </w:r>
      <w:r>
        <w:rPr>
          <w:rFonts w:ascii="arial" w:eastAsia="arial" w:hAnsi="arial" w:cs="arial"/>
          <w:color w:val="000000"/>
          <w:sz w:val="20"/>
          <w:lang w:val="en-US" w:eastAsia="en-US" w:bidi="ar-SA"/>
        </w:rPr>
        <w:t>  When an invoice was received by Golden Hill for a repair maintenance item it was coded in a number of ways in the CONAC System: (a) to a project number which was what Golden Hill did if the expense could not be attributed to a particular unit of equipment; (b) to an equipment unit number and then to a project number which was generally what Golden Hill did if the expense could be attributed to a particular piece of equipment and was considered a running repair relating to a particular project; (c) to an equipment unit number and to a major component number like "spare engine" but not to a project number which was generally what Golden Hill did if it was a major component replacement cost and not attributable to a particular project; or (d) to a general shop code if the expense was not attributable to either a project or a particular equipment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1048</w:t>
      </w:r>
      <w:r>
        <w:rPr>
          <w:rFonts w:ascii="arial" w:eastAsia="arial" w:hAnsi="arial" w:cs="arial"/>
          <w:color w:val="000000"/>
          <w:sz w:val="20"/>
          <w:lang w:val="en-US" w:eastAsia="en-US" w:bidi="ar-SA"/>
        </w:rPr>
        <w:t>  The data for the RM (Repair and Maintenance) costs category from the CONAC System that are coded to a particular piece of equipment do not show up on the Job Cost Report. The RM cost category for costs coded to the Project which were not coded to a particular equipment unit number amounts to $223,318.59.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1049</w:t>
      </w:r>
      <w:r>
        <w:rPr>
          <w:rFonts w:ascii="arial" w:eastAsia="arial" w:hAnsi="arial" w:cs="arial"/>
          <w:color w:val="000000"/>
          <w:sz w:val="20"/>
          <w:lang w:val="en-US" w:eastAsia="en-US" w:bidi="ar-SA"/>
        </w:rPr>
        <w:t>  In order to ascertain the RM costs coded to particular equipment units, an "Equipment Inquiry" must be produced. This inquiry produced expenses totalling $571,560.06 for RM costs which were coded to both specific equipment units and to the Kemess Project number. The sum of these two figures totals $794,888.65 which includes P.S.T. The labour component for repair and maintenance is accounted for separately under the "LA" category in the Job Cost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1050</w:t>
      </w:r>
      <w:r>
        <w:rPr>
          <w:rFonts w:ascii="arial" w:eastAsia="arial" w:hAnsi="arial" w:cs="arial"/>
          <w:color w:val="000000"/>
          <w:sz w:val="20"/>
          <w:lang w:val="en-US" w:eastAsia="en-US" w:bidi="ar-SA"/>
        </w:rPr>
        <w:t>  Some repair and maintenance costs were identified in the Equipment Inquiry as having been coded to the Kemess Project but also to two equipment unit numbers which were not employed at the Project. Deductions for those invoices totalling $9,587.42 have been made from what Golden Hill claims. An additional sum of $6,020.76 for tracks was also miscoded and has been removed from the total costs of Golden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1051</w:t>
      </w:r>
      <w:r>
        <w:rPr>
          <w:rFonts w:ascii="arial" w:eastAsia="arial" w:hAnsi="arial" w:cs="arial"/>
          <w:color w:val="000000"/>
          <w:sz w:val="20"/>
          <w:lang w:val="en-US" w:eastAsia="en-US" w:bidi="ar-SA"/>
        </w:rPr>
        <w:t>  Accordingly, the total amount claimed by Golden Hill for RM costs is $779,280.47 made up of $223,318.59 (Job Cost Report) plus $571,570.06 (Equipment Inquiry) less $9,587.42 and $6,020.76.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1052</w:t>
      </w:r>
      <w:r>
        <w:rPr>
          <w:rFonts w:ascii="arial" w:eastAsia="arial" w:hAnsi="arial" w:cs="arial"/>
          <w:color w:val="000000"/>
          <w:sz w:val="20"/>
          <w:lang w:val="en-US" w:eastAsia="en-US" w:bidi="ar-SA"/>
        </w:rPr>
        <w:t>  Kemess submits that the ability to advise the Court as to which portion of the approximately $779,280.47 of costs relates to major component overhaul lies solely with Golden Hill and that Golden Hill has not taken the time to break those expenses out and remove them from RM. Kemess suggests that all amounts coded to the "major component categories" in these reports should be removed but points out that this would still not address the problem that the other categories also containing major overhaul costs which should not be charged to this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1053</w:t>
      </w:r>
      <w:r>
        <w:rPr>
          <w:rFonts w:ascii="arial" w:eastAsia="arial" w:hAnsi="arial" w:cs="arial"/>
          <w:color w:val="000000"/>
          <w:sz w:val="20"/>
          <w:lang w:val="en-US" w:eastAsia="en-US" w:bidi="ar-SA"/>
        </w:rPr>
        <w:t>  Kemess also submits that the labour component of the claim of Golden Hill also includes labour associated with major component overhaul but this has not been broken down 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1054</w:t>
      </w:r>
      <w:r>
        <w:rPr>
          <w:rFonts w:ascii="arial" w:eastAsia="arial" w:hAnsi="arial" w:cs="arial"/>
          <w:color w:val="000000"/>
          <w:sz w:val="20"/>
          <w:lang w:val="en-US" w:eastAsia="en-US" w:bidi="ar-SA"/>
        </w:rPr>
        <w:t>  While it is clear that Repair and Maintenance Costs totalling $779,280.47 were incurred, it is impossible to ascertain with certainty what portion of that related to major component overhaul which should not be charged to the Project and what should be RM costs which should be charged to the Project. The "Equipment Inquiry" ($571,570.06) is 198 pages long and details expenditures of anywhere between several dollars and thousands of dollars.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1055</w:t>
      </w:r>
      <w:r>
        <w:rPr>
          <w:rFonts w:ascii="arial" w:eastAsia="arial" w:hAnsi="arial" w:cs="arial"/>
          <w:color w:val="000000"/>
          <w:sz w:val="20"/>
          <w:lang w:val="en-US" w:eastAsia="en-US" w:bidi="ar-SA"/>
        </w:rPr>
        <w:t>  My review of the Equipment Inquiry allows me to conclude that approximately two-thirds of the expenses are properly attributed to RM costs of equipment on the Project whereas approximately one-third of the costs are associated with major component overhauls which should not be charged to Kemess merely because the overhauls happened to have taken place when the particular piece of equipment was on the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1056</w:t>
      </w:r>
      <w:r>
        <w:rPr>
          <w:rFonts w:ascii="arial" w:eastAsia="arial" w:hAnsi="arial" w:cs="arial"/>
          <w:color w:val="000000"/>
          <w:sz w:val="20"/>
          <w:lang w:val="en-US" w:eastAsia="en-US" w:bidi="ar-SA"/>
        </w:rPr>
        <w:t>  Doing the best that I can, I therefore find that, of the $779,280.47 claimed for RM, Golden Hill should only be entitled to $520,000.00.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1057</w:t>
      </w:r>
      <w:r>
        <w:rPr>
          <w:rFonts w:ascii="arial" w:eastAsia="arial" w:hAnsi="arial" w:cs="arial"/>
          <w:color w:val="000000"/>
          <w:sz w:val="20"/>
          <w:lang w:val="en-US" w:eastAsia="en-US" w:bidi="ar-SA"/>
        </w:rPr>
        <w:t>  I am also satisfied that a certain portion of the labour cost claimed related to work associated with major component overhauls which should not be charged to Kemess. As I have no way of calculating the percentage of the total labour component used for this purpose, I have arbitrarily reduced the labour component by $50,000.00. I therefore find that the RM expense and the LA expense should be reduced by $309,280.47.</w:t>
      </w:r>
      <w:r>
        <w:rPr>
          <w:rFonts w:ascii="arial" w:eastAsia="arial" w:hAnsi="arial" w:cs="arial"/>
          <w:sz w:val="20"/>
          <w:lang w:val="en-US" w:eastAsia="en-US" w:bidi="ar-SA"/>
        </w:rPr>
        <w:cr/>
      </w:r>
    </w:p>
    <w:p>
      <w:pPr>
        <w:numPr>
          <w:numId w:val="2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P.S.T. ($152,633.13 CLAIMED BY GOLDEN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1058</w:t>
      </w:r>
      <w:r>
        <w:rPr>
          <w:rFonts w:ascii="arial" w:eastAsia="arial" w:hAnsi="arial" w:cs="arial"/>
          <w:color w:val="000000"/>
          <w:sz w:val="20"/>
          <w:lang w:val="en-US" w:eastAsia="en-US" w:bidi="ar-SA"/>
        </w:rPr>
        <w:t>  Golden Hill claims recovery of a liability to the British Columbia Government for P.S.T. in connection with the use of its own equipment on the Project. Counsel for Golden Hill concedes that Mr. Rudolph did not contemplate the payment of any P.S.T. when he prepared the bid. The Contract clearly required that the prices of Golden Hill would include all applicable taxes except G.S.T. (pursuant to GC 31). As well, the Tender form specifically stated: "The prices include all applicable taxes, except the G.S.T.")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1059</w:t>
      </w:r>
      <w:r>
        <w:rPr>
          <w:rFonts w:ascii="arial" w:eastAsia="arial" w:hAnsi="arial" w:cs="arial"/>
          <w:color w:val="000000"/>
          <w:sz w:val="20"/>
          <w:lang w:val="en-US" w:eastAsia="en-US" w:bidi="ar-SA"/>
        </w:rPr>
        <w:t>  The original assessment from the Government was $200,000.00 but, after negotiations, the Government has effectively reduced the assessment to $152,633.13. Mr. Purcell met with Government officials and an agreement was reached that, upon receipt of a cheque for $152,633.13 from Golden Hill, the Provincial Government would reverse the $200,000.00 assessment and recalculate the penalties and interest. In his opinion, Mr. Barke agreed that the P.S.T. charge was a "claimable event" but was of the opinion that it was not a cost of the Project because he did not believe that it would ever be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1060</w:t>
      </w:r>
      <w:r>
        <w:rPr>
          <w:rFonts w:ascii="arial" w:eastAsia="arial" w:hAnsi="arial" w:cs="arial"/>
          <w:color w:val="000000"/>
          <w:sz w:val="20"/>
          <w:lang w:val="en-US" w:eastAsia="en-US" w:bidi="ar-SA"/>
        </w:rPr>
        <w:t>  The $152,633.13 includes P.S.T. for equipment on the original Tender Equipment list as well as equipment which Golden Hill brought to the Site as a result of the conduct of Kemess.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1061</w:t>
      </w:r>
      <w:r>
        <w:rPr>
          <w:rFonts w:ascii="arial" w:eastAsia="arial" w:hAnsi="arial" w:cs="arial"/>
          <w:color w:val="000000"/>
          <w:sz w:val="20"/>
          <w:lang w:val="en-US" w:eastAsia="en-US" w:bidi="ar-SA"/>
        </w:rPr>
        <w:t>  Kemess submits that there is no causal connection between anything done or omitted to be done by Kemess which would give rise to this liability for this item. Kemess submits that Golden Hill did not expect to pay this P.S.T. and, because it was not built into the bid of Golden Hill, it ought not now to be recoverable from Kemess. Alternatively, P.S.T. should be included within the "head office expenses" where Mr. Rudolph included expenses such as "general office overhead", "taxes", and "things like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1062</w:t>
      </w:r>
      <w:r>
        <w:rPr>
          <w:rFonts w:ascii="arial" w:eastAsia="arial" w:hAnsi="arial" w:cs="arial"/>
          <w:color w:val="000000"/>
          <w:sz w:val="20"/>
          <w:lang w:val="en-US" w:eastAsia="en-US" w:bidi="ar-SA"/>
        </w:rPr>
        <w:t>  Mr. Purcell stated that he had been advised by the internal accountant for Golden Hill that Golden Hill had paid Forsyth Equipment Ltd. ("Forsyth") P.S.T. totalling $209,798.20 in respect of Units 515, 610 and 801 through 804. Mr. Purcell confirmed in his testimony that Golden Hill would be entitled to a refund of $209,798.20 after paying the total of $152,633.13 said to be 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1063</w:t>
      </w:r>
      <w:r>
        <w:rPr>
          <w:rFonts w:ascii="arial" w:eastAsia="arial" w:hAnsi="arial" w:cs="arial"/>
          <w:color w:val="000000"/>
          <w:sz w:val="20"/>
          <w:lang w:val="en-US" w:eastAsia="en-US" w:bidi="ar-SA"/>
        </w:rPr>
        <w:t>  In the circumstances, I am satisfied that no amounts should be recoverable for P.S.T. First, no amount for P.S.T. was included in the original bid and, accordingly, I am satisfied that it should not now be recoverable. Second, Golden Hill should not have the possibility of recovering $152,633.13 and then be in a position to receive a rebate from the Provincial Government for $209,798.20. Third, I am not satisfied that Golden Hill has proven on a balance of probabilities that this $152,633.13 is a cost which should be added as I cannot be satisfied that it will ever be incurred by Golden Hill. Even if I am incorrect in this finding, I am satisfied that any payment of P.S.T. should be included within the overhead allowance claimed by Golden Hill but not within the total costs claimed against which the overhead allowance will be calculated.</w:t>
      </w:r>
      <w:r>
        <w:rPr>
          <w:rFonts w:ascii="arial" w:eastAsia="arial" w:hAnsi="arial" w:cs="arial"/>
          <w:sz w:val="20"/>
          <w:lang w:val="en-US" w:eastAsia="en-US" w:bidi="ar-SA"/>
        </w:rPr>
        <w:cr/>
      </w:r>
    </w:p>
    <w:p>
      <w:pPr>
        <w:numPr>
          <w:numId w:val="2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ON SCRAPERS ($616,942.72 CLAIMED BY GOLDEN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1064</w:t>
      </w:r>
      <w:r>
        <w:rPr>
          <w:rFonts w:ascii="arial" w:eastAsia="arial" w:hAnsi="arial" w:cs="arial"/>
          <w:color w:val="000000"/>
          <w:sz w:val="20"/>
          <w:lang w:val="en-US" w:eastAsia="en-US" w:bidi="ar-SA"/>
        </w:rPr>
        <w:t>  As a result of learning that it had been awarded the C101 Contract, Golden Hill acquired new equipment including four Caterpillar 631E Scrapers (which were designated as Units 801 through 804). These Units were acquired on a lease to purchase basis under an agreement dated July 8, 1996 with Forsyth. Under that agreement, Golden Hill agreed to rent the scrapers for a 7 month period expiring February 21, 1997. At the end of the rental period, Golden Hill had the option to purchase the scrapers. When the 7 month rental period for the scrapers expired, Golden Hill exercised the purchase option of approximately $1,600,000.00.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1065</w:t>
      </w:r>
      <w:r>
        <w:rPr>
          <w:rFonts w:ascii="arial" w:eastAsia="arial" w:hAnsi="arial" w:cs="arial"/>
          <w:color w:val="000000"/>
          <w:sz w:val="20"/>
          <w:lang w:val="en-US" w:eastAsia="en-US" w:bidi="ar-SA"/>
        </w:rPr>
        <w:t>  Golden Hill submits that it was later forced to sell the units at a loss as it could not afford to keep the units due to the significant costs incurred on the Project that were not paid by Kemess. Golden Hill agreed that Forsyth would sell the scrapers on its behalf and, when the scrapers were sold at the end of October, 1997, a loss of $616,942.72 was incurred by Golden Hill. Golden Hill claims this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1066</w:t>
      </w:r>
      <w:r>
        <w:rPr>
          <w:rFonts w:ascii="arial" w:eastAsia="arial" w:hAnsi="arial" w:cs="arial"/>
          <w:color w:val="000000"/>
          <w:sz w:val="20"/>
          <w:lang w:val="en-US" w:eastAsia="en-US" w:bidi="ar-SA"/>
        </w:rPr>
        <w:t xml:space="preserve">  Golden submits that its recovery of this loss is not barred by either of the applicable limiting principals of causation or remoteness: Williamson Bros. Construction Ltd. v. British Columbia </w:t>
      </w:r>
      <w:hyperlink r:id="rId905" w:history="1">
        <w:r>
          <w:rPr>
            <w:rFonts w:ascii="arial" w:eastAsia="arial" w:hAnsi="arial" w:cs="arial"/>
            <w:i/>
            <w:color w:val="0077CC"/>
            <w:sz w:val="20"/>
            <w:u w:val="single"/>
            <w:shd w:val="clear" w:color="auto" w:fill="FFFFFF"/>
            <w:lang w:val="en-US" w:eastAsia="en-US" w:bidi="ar-SA"/>
          </w:rPr>
          <w:t>(1990), 41 C.L.R. 192</w:t>
        </w:r>
      </w:hyperlink>
      <w:r>
        <w:rPr>
          <w:rFonts w:ascii="arial" w:eastAsia="arial" w:hAnsi="arial" w:cs="arial"/>
          <w:color w:val="000000"/>
          <w:sz w:val="20"/>
          <w:lang w:val="en-US" w:eastAsia="en-US" w:bidi="ar-SA"/>
        </w:rPr>
        <w:t xml:space="preserve"> (B.C.S.C.) at pp. 240-1. Golden Hill submits that, but for the breaches of Kemess under the Contract, the loss would not have occurred as it was the evidence of Mr. Rudolph that Golden Hill would not have sold the scrapers at a loss but for the cost overruns incurred on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1067</w:t>
      </w:r>
      <w:r>
        <w:rPr>
          <w:rFonts w:ascii="arial" w:eastAsia="arial" w:hAnsi="arial" w:cs="arial"/>
          <w:color w:val="000000"/>
          <w:sz w:val="20"/>
          <w:lang w:val="en-US" w:eastAsia="en-US" w:bidi="ar-SA"/>
        </w:rPr>
        <w:t>  On the remoteness test, Golden Hill submits that Kemess is responsible for a loss if that loss can be said to be within the reasonable contemplation at the time of entering into the Contract. In practice, losses must be "not unlikely" for them to pass the test of remoteness: J. Cassels, Remedies: The Law of Damages, (Toronto: Irwin Law, 2000) at pp. 312-6. Golden Hill submits that Kemess knew that Golden Hill planned to carry out the Project with two scrapper spreads, knew that Golden Hill had effectively doubled its equipment spread and knew that Golden Hill was incurring significant losses on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1068</w:t>
      </w:r>
      <w:r>
        <w:rPr>
          <w:rFonts w:ascii="arial" w:eastAsia="arial" w:hAnsi="arial" w:cs="arial"/>
          <w:color w:val="000000"/>
          <w:sz w:val="20"/>
          <w:lang w:val="en-US" w:eastAsia="en-US" w:bidi="ar-SA"/>
        </w:rPr>
        <w:t>  There was no evidence led on the issue of refinancing. Mr. Rudolph gave evidence that Golden Hill paid financing costs at the rate of prime plus 1.5% between February and October, 1997 but no documents were ever produced with regard to those costs. Mr. Rudolph could not state the amount that Golden Hill had paid, there was no written agreement regarding the payment of interest and the Golden Hill financial statements do not refer to any interest charges. In fact, the 1997 financial statements specifically state that the amount owing was without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1069</w:t>
      </w:r>
      <w:r>
        <w:rPr>
          <w:rFonts w:ascii="arial" w:eastAsia="arial" w:hAnsi="arial" w:cs="arial"/>
          <w:color w:val="000000"/>
          <w:sz w:val="20"/>
          <w:lang w:val="en-US" w:eastAsia="en-US" w:bidi="ar-SA"/>
        </w:rPr>
        <w:t>  I find that any loss on the premature sale of some heavy equipment flows from a lack of work after the Project and not from the failure of Kemess to pay what the Court may find as owing to Golden Hill. In his testimony, Mr. Rudolph admitted the following:</w:t>
      </w:r>
      <w:r>
        <w:rPr>
          <w:rFonts w:ascii="arial" w:eastAsia="arial" w:hAnsi="arial" w:cs="arial"/>
          <w:sz w:val="20"/>
          <w:lang w:val="en-US" w:eastAsia="en-US" w:bidi="ar-SA"/>
        </w:rPr>
        <w:cr/>
      </w:r>
    </w:p>
    <w:p>
      <w:pPr>
        <w:numPr>
          <w:numId w:val="2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am going to suggest to you, sir, that scrapers 801 to 804 when you sold them in October... 1997, were surplus to your needs at that time?</w:t>
      </w:r>
    </w:p>
    <w:p>
      <w:pPr>
        <w:numPr>
          <w:numId w:val="2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That's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1070</w:t>
      </w:r>
      <w:r>
        <w:rPr>
          <w:rFonts w:ascii="arial" w:eastAsia="arial" w:hAnsi="arial" w:cs="arial"/>
          <w:color w:val="000000"/>
          <w:sz w:val="20"/>
          <w:lang w:val="en-US" w:eastAsia="en-US" w:bidi="ar-SA"/>
        </w:rPr>
        <w:t>  Three of the machines sat idle between December, 1996 and October, 1997 and the fourth machine was idle between February, 1997 and October, 1997. There is no evidence which would suggest that Golden Hill tried to sell the machines in early 1997 but could not do so until October, 1997. If Golden Hill was suffering financially as much as it now suggests, Golden Hill should have sold the scrapers as soon as the equipment could have been demobilized from the Site. It did not do so. I am satisfied that this supports Mr. Rudolph's testimony that the reason Golden Hill sold this equipment was because they were surplus to the needs of Golden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1071</w:t>
      </w:r>
      <w:r>
        <w:rPr>
          <w:rFonts w:ascii="arial" w:eastAsia="arial" w:hAnsi="arial" w:cs="arial"/>
          <w:color w:val="000000"/>
          <w:sz w:val="20"/>
          <w:lang w:val="en-US" w:eastAsia="en-US" w:bidi="ar-SA"/>
        </w:rPr>
        <w:t>  As well, the scrapers were to have been used for 4-1/2 months but the lease was for 7 months. At a rate of $48,000.00 per month plus taxes, this meant that, unless Golden Hill was able to secure other work for the scrapers during the winter season it would be faced with a cost of $120,000.00 plus taxes without work to cover the cost of that further 2 1/2 months. Mr. Rudolph testified that he did not build this cost into his bid.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1072</w:t>
      </w:r>
      <w:r>
        <w:rPr>
          <w:rFonts w:ascii="arial" w:eastAsia="arial" w:hAnsi="arial" w:cs="arial"/>
          <w:color w:val="000000"/>
          <w:sz w:val="20"/>
          <w:lang w:val="en-US" w:eastAsia="en-US" w:bidi="ar-SA"/>
        </w:rPr>
        <w:t>  There is nothing to suggest that the price received for the 4 units was anything less than fair market value. There is no evidence that, if the units were held longer, they could have been sold for more, or that there was lost revenue or even a loss of opportunity to earn revenue from the 4 units.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1073</w:t>
      </w:r>
      <w:r>
        <w:rPr>
          <w:rFonts w:ascii="arial" w:eastAsia="arial" w:hAnsi="arial" w:cs="arial"/>
          <w:color w:val="000000"/>
          <w:sz w:val="20"/>
          <w:lang w:val="en-US" w:eastAsia="en-US" w:bidi="ar-SA"/>
        </w:rPr>
        <w:t>  Golden Hill was owed $2,758,867.00 from two other companies. It cannot be said with any degree of probability that anything done or admitted to be done by Kemess resulted in Golden Hill having to sell the scrapers. I am satisfied that the need of Golden Hill to sell the equipment is more likely based on lack of work and the monies owing from two other companies than the failure of Kemess to pay the sums that Golden Hill says are 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1074</w:t>
      </w:r>
      <w:r>
        <w:rPr>
          <w:rFonts w:ascii="arial" w:eastAsia="arial" w:hAnsi="arial" w:cs="arial"/>
          <w:color w:val="000000"/>
          <w:sz w:val="20"/>
          <w:lang w:val="en-US" w:eastAsia="en-US" w:bidi="ar-SA"/>
        </w:rPr>
        <w:t>  I am satisfied that the losses are too remote to be claimed against Kemess. I am satisfied that, at the time of the contract being formed, the parties could not have reasonably contemplated that this type of loss would be suffered given their knowledge of each other's affairs. At the time of the Tender, Golden Hill represented to Kemess that it had "an extremely large fleet of heavy equipment from which to draw from, if additional equipment is required". As well, there is no evidence that Mr. Rudolph told anyone at Kemess at any time that Golden Hill was undertaking or would undertake the purchase of this new equipment. In light of that, Kemess could not have reasonably foreseen that Golden Hill was acquiring the new equipment and that its breaches or ortuous acts would lead to Golden Hill having to sell the scrapers at a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1075</w:t>
      </w:r>
      <w:r>
        <w:rPr>
          <w:rFonts w:ascii="arial" w:eastAsia="arial" w:hAnsi="arial" w:cs="arial"/>
          <w:color w:val="000000"/>
          <w:sz w:val="20"/>
          <w:lang w:val="en-US" w:eastAsia="en-US" w:bidi="ar-SA"/>
        </w:rPr>
        <w:t>  I am satisfied that the four units were purchased as Golden Hill wished to upgrade its fleet and saw this as an opportunity to do so. Mr. Rudolph must have contemplated that there would be contracts during the 1997 construction season which would allow the four units to be used profitably on other projects. I am satisfied that any losses occurring are not attributable to anything done or not done by Kemess. Accordingly, nothing is allowed for losses on the four scrapers that were purchased so that the sum of $616,942.72 must be subtracted from the total costs claimed by Golden Hill.</w:t>
      </w:r>
      <w:r>
        <w:rPr>
          <w:rFonts w:ascii="arial" w:eastAsia="arial" w:hAnsi="arial" w:cs="arial"/>
          <w:sz w:val="20"/>
          <w:lang w:val="en-US" w:eastAsia="en-US" w:bidi="ar-SA"/>
        </w:rPr>
        <w:cr/>
      </w:r>
    </w:p>
    <w:p>
      <w:pPr>
        <w:numPr>
          <w:numId w:val="2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NUWAY CRUSHING (CREDIT OF $26,050.00 CLAIMED BY KEMESS)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1076</w:t>
      </w:r>
      <w:r>
        <w:rPr>
          <w:rFonts w:ascii="arial" w:eastAsia="arial" w:hAnsi="arial" w:cs="arial"/>
          <w:color w:val="000000"/>
          <w:sz w:val="20"/>
          <w:lang w:val="en-US" w:eastAsia="en-US" w:bidi="ar-SA"/>
        </w:rPr>
        <w:t>  Golden Hill claims costs relating to invoices from its subcontractor Nuway. Kemess submits that a review of the Nuway invoices rendered to Golden Hill demonstrates that there were "substantial over-billing of the volumes processed by Nuway". Having reviewed the Progress Draws as well as the Nuway invoices, I am satisfied that the evidence does not support the proposition that Golden Hill has over-charged Kemess for the work done by Nuway. As well, the possibility of overcharging was not put to Mr. Rudolph in cross-examination and the amounts charged by Nuway were approved by Kemess at the time the charges were presented.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1077</w:t>
      </w:r>
      <w:r>
        <w:rPr>
          <w:rFonts w:ascii="arial" w:eastAsia="arial" w:hAnsi="arial" w:cs="arial"/>
          <w:color w:val="000000"/>
          <w:sz w:val="20"/>
          <w:lang w:val="en-US" w:eastAsia="en-US" w:bidi="ar-SA"/>
        </w:rPr>
        <w:t>  Kemess also submits that Golden Hill has not sought to be reimbursed by Nuway for camp charges paid by Golden Hill on its behalf or for the cost of demobilizing the Nuway loader from the Site back to Whitehorse. These amounts should have been invoiced to Nuway and available to Golden Hill to reduce the amount of its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1078</w:t>
      </w:r>
      <w:r>
        <w:rPr>
          <w:rFonts w:ascii="arial" w:eastAsia="arial" w:hAnsi="arial" w:cs="arial"/>
          <w:color w:val="000000"/>
          <w:sz w:val="20"/>
          <w:lang w:val="en-US" w:eastAsia="en-US" w:bidi="ar-SA"/>
        </w:rPr>
        <w:t>  The parties agree that $23,050.00 before G.S.T. should have been billed to Nuway for camp charges and that $3,000.00 before G.S.T. is a reasonable charge for Golden Hill to have demobilized the loader of Nuway to Whitehorse.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1079</w:t>
      </w:r>
      <w:r>
        <w:rPr>
          <w:rFonts w:ascii="arial" w:eastAsia="arial" w:hAnsi="arial" w:cs="arial"/>
          <w:color w:val="000000"/>
          <w:sz w:val="20"/>
          <w:lang w:val="en-US" w:eastAsia="en-US" w:bidi="ar-SA"/>
        </w:rPr>
        <w:t>  I am satisfied that the total costs of Golden Hill should be reduced by the sum of $26,050.00 as this amount should be available to Golden Hill from Nuway either by way of direct payment to Golden Hill or by way of setoff by Golden Hill against the balances which may remain owing by Golden Hill to Nuway.</w:t>
      </w:r>
      <w:r>
        <w:rPr>
          <w:rFonts w:ascii="arial" w:eastAsia="arial" w:hAnsi="arial" w:cs="arial"/>
          <w:sz w:val="20"/>
          <w:lang w:val="en-US" w:eastAsia="en-US" w:bidi="ar-SA"/>
        </w:rPr>
        <w:cr/>
      </w:r>
    </w:p>
    <w:p>
      <w:pPr>
        <w:numPr>
          <w:numId w:val="2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SUPPLIES AND SMALL TOOLS ($223,118.14 CLAIMED BY GOLDEN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1080</w:t>
      </w:r>
      <w:r>
        <w:rPr>
          <w:rFonts w:ascii="arial" w:eastAsia="arial" w:hAnsi="arial" w:cs="arial"/>
          <w:color w:val="000000"/>
          <w:sz w:val="20"/>
          <w:lang w:val="en-US" w:eastAsia="en-US" w:bidi="ar-SA"/>
        </w:rPr>
        <w:t>  Some of the supplies and small tools (SS) cost relates to "consumables" that were used at the Project while some of it relates to items purchased by Golden Hill which are still in the possession of Golden Hill. Kemess submits that it should not be liable for the cost of purchasing these items when their retention has led to the enrichment of Golden Hill. In a similar vein, the cost of a clearing rake purchased ($1,368.00) should also be deducted.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1081</w:t>
      </w:r>
      <w:r>
        <w:rPr>
          <w:rFonts w:ascii="arial" w:eastAsia="arial" w:hAnsi="arial" w:cs="arial"/>
          <w:color w:val="000000"/>
          <w:sz w:val="20"/>
          <w:lang w:val="en-US" w:eastAsia="en-US" w:bidi="ar-SA"/>
        </w:rPr>
        <w:t>  The breakdown between supplies and small tools which is in evidence indicates that supplies totalled $217,118.14 and small tools represents the remaining $5,000.00 of the balance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1082</w:t>
      </w:r>
      <w:r>
        <w:rPr>
          <w:rFonts w:ascii="arial" w:eastAsia="arial" w:hAnsi="arial" w:cs="arial"/>
          <w:color w:val="000000"/>
          <w:sz w:val="20"/>
          <w:lang w:val="en-US" w:eastAsia="en-US" w:bidi="ar-SA"/>
        </w:rPr>
        <w:t>  Golden Hill points out that a certain number of "consumables" were brought to the Site by Golden Hill, consumables were used, were replaced, and some consumables were then taken from the Site. While the value of the consumables used on the Site was not coded to the Project, I find that those amounts are proper expenses which can be charged to the Project. I am prepared to find that the consumables taken from the Site roughly equalled the consumables brought to and used at the Site. Kemess has had the benefit of those supplies and I am satisfied that these are direct costs of Golden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1083</w:t>
      </w:r>
      <w:r>
        <w:rPr>
          <w:rFonts w:ascii="arial" w:eastAsia="arial" w:hAnsi="arial" w:cs="arial"/>
          <w:color w:val="000000"/>
          <w:sz w:val="20"/>
          <w:lang w:val="en-US" w:eastAsia="en-US" w:bidi="ar-SA"/>
        </w:rPr>
        <w:t>  Regarding tools which were taken to the Site, there is no evidence of their value and there is no evidence of what was rendered useless and therefore had to be replaced. As I cannot be satisfied that the $5,000.00 spent on small tools does not represent assets which remain with Golden Hill, I am satisfied that this amount is not properly claimable against the Project. Accordingly, Golden Hill will be only entitled to the sum of $217,118.14 for supplies used on the Site. The total costs of Golden Hill will be reduced by $5,000.00.</w:t>
      </w:r>
      <w:r>
        <w:rPr>
          <w:rFonts w:ascii="arial" w:eastAsia="arial" w:hAnsi="arial" w:cs="arial"/>
          <w:sz w:val="20"/>
          <w:lang w:val="en-US" w:eastAsia="en-US" w:bidi="ar-SA"/>
        </w:rPr>
        <w:cr/>
      </w:r>
    </w:p>
    <w:p>
      <w:pPr>
        <w:numPr>
          <w:numId w:val="2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DELETED WORK (DELETION OF $12,717.00 CLAIMED BY KEMESS)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1084</w:t>
      </w:r>
      <w:r>
        <w:rPr>
          <w:rFonts w:ascii="arial" w:eastAsia="arial" w:hAnsi="arial" w:cs="arial"/>
          <w:color w:val="000000"/>
          <w:sz w:val="20"/>
          <w:lang w:val="en-US" w:eastAsia="en-US" w:bidi="ar-SA"/>
        </w:rPr>
        <w:t>  Golden Hill claims for work carried out prior to any order being received from Kemess requesting a deletion of the work being undertaken. General Condition 27.0 ("Changes in the Work") provided that Kemess could make changes without invalidating the Contract by "altering, adding to, or deducting from the Work" with the Contract price being adjusted accordingly. General Condition 27.0 further provided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Contractor shall not claim for loss of profits or anticipated profits or damages at any time due to any decision to reduce or delete any part of the Work, provided that the Contractor will be compensated for any materials brought to the Site and Work carried out prior to the order requesting the reduction or deletion.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1085</w:t>
      </w:r>
      <w:r>
        <w:rPr>
          <w:rFonts w:ascii="arial" w:eastAsia="arial" w:hAnsi="arial" w:cs="arial"/>
          <w:color w:val="000000"/>
          <w:sz w:val="20"/>
          <w:lang w:val="en-US" w:eastAsia="en-US" w:bidi="ar-SA"/>
        </w:rPr>
        <w:t>  Ultimately, the Airstrip Access Road was deleted from the Work. Kemess submits that Golden Hill was informed at the July construction meeting that Kemess was investigating a new access road to the Airport and says that a July 10 letter from Mr. Lyons is evidence that Golden Hill was aware of the deletion.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1086</w:t>
      </w:r>
      <w:r>
        <w:rPr>
          <w:rFonts w:ascii="arial" w:eastAsia="arial" w:hAnsi="arial" w:cs="arial"/>
          <w:color w:val="000000"/>
          <w:sz w:val="20"/>
          <w:lang w:val="en-US" w:eastAsia="en-US" w:bidi="ar-SA"/>
        </w:rPr>
        <w:t>  I find that the July 10 letter does not constitute a deletion as what is contemplated in the letter is merely a relocation of the road. The July 10 letter merely substantiates a claim by Golden Hill for "extra work" relating to that change. While GC 27.0 contemplates and requires a "written order from the Owner", there appears to have been no such written notice around July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1087</w:t>
      </w:r>
      <w:r>
        <w:rPr>
          <w:rFonts w:ascii="arial" w:eastAsia="arial" w:hAnsi="arial" w:cs="arial"/>
          <w:color w:val="000000"/>
          <w:sz w:val="20"/>
          <w:lang w:val="en-US" w:eastAsia="en-US" w:bidi="ar-SA"/>
        </w:rPr>
        <w:t>  I find that the deletion did not occur until August 30 so that all costs incurred before that date are recoverable. Golden Hill is entitled to its equipment costs and labour costs totalling $12,717.00 which were incurred prior to August 31.</w:t>
      </w:r>
      <w:r>
        <w:rPr>
          <w:rFonts w:ascii="arial" w:eastAsia="arial" w:hAnsi="arial" w:cs="arial"/>
          <w:sz w:val="20"/>
          <w:lang w:val="en-US" w:eastAsia="en-US" w:bidi="ar-SA"/>
        </w:rPr>
        <w:cr/>
      </w:r>
    </w:p>
    <w:p>
      <w:pPr>
        <w:numPr>
          <w:numId w:val="2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APPROVED EXTRA WORK ($54,006.00 PLUS G.S.T. CLAIMED BY GOLDEN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1088</w:t>
      </w:r>
      <w:r>
        <w:rPr>
          <w:rFonts w:ascii="arial" w:eastAsia="arial" w:hAnsi="arial" w:cs="arial"/>
          <w:color w:val="000000"/>
          <w:sz w:val="20"/>
          <w:lang w:val="en-US" w:eastAsia="en-US" w:bidi="ar-SA"/>
        </w:rPr>
        <w:t>  General Condition 27.0 provides that Kemess is entitled to make changes to the Work and that the Contract price would then be adjusted accordingly. General Condition 28.0 establishes the procedure for determining the value of the changes made by Kemess.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1089</w:t>
      </w:r>
      <w:r>
        <w:rPr>
          <w:rFonts w:ascii="arial" w:eastAsia="arial" w:hAnsi="arial" w:cs="arial"/>
          <w:color w:val="000000"/>
          <w:sz w:val="20"/>
          <w:lang w:val="en-US" w:eastAsia="en-US" w:bidi="ar-SA"/>
        </w:rPr>
        <w:t>  The procedure set out under GC 27.0 and GC 28.0 were not followed by the parties during the Project. Rather, the procedure which was adopted was that Kemess would orally request that Golden Hill perform additional work, Golden Hill would perform the work and, on a daily basis, submit a "Daily Forecast Account Sheet" recording the cost of the work. Mr. Rempel would then sign the sheet on behalf of Kemess and Golden Hill would attach these sheets on a regular basis to a change order that would be signed by Kemess and then paid by Kemess.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1090</w:t>
      </w:r>
      <w:r>
        <w:rPr>
          <w:rFonts w:ascii="arial" w:eastAsia="arial" w:hAnsi="arial" w:cs="arial"/>
          <w:color w:val="000000"/>
          <w:sz w:val="20"/>
          <w:lang w:val="en-US" w:eastAsia="en-US" w:bidi="ar-SA"/>
        </w:rPr>
        <w:t>  Kemess does not dispute that the sum of $54,006.00 plus G.S.T. is owing for this outstanding extra work. Accordingly Golden Hill is entitled to the sum of $54,006.00 plus G.S.T.</w:t>
      </w:r>
      <w:r>
        <w:rPr>
          <w:rFonts w:ascii="arial" w:eastAsia="arial" w:hAnsi="arial" w:cs="arial"/>
          <w:sz w:val="20"/>
          <w:lang w:val="en-US" w:eastAsia="en-US" w:bidi="ar-SA"/>
        </w:rPr>
        <w:cr/>
      </w:r>
    </w:p>
    <w:p>
      <w:pPr>
        <w:numPr>
          <w:numId w:val="2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ADDITIONAL EQUIPMENT COSTS ($300,000.00 CLAIMED BY GOLDEN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1091</w:t>
      </w:r>
      <w:r>
        <w:rPr>
          <w:rFonts w:ascii="arial" w:eastAsia="arial" w:hAnsi="arial" w:cs="arial"/>
          <w:color w:val="000000"/>
          <w:sz w:val="20"/>
          <w:lang w:val="en-US" w:eastAsia="en-US" w:bidi="ar-SA"/>
        </w:rPr>
        <w:t>  Golden Hill claims for equipment costs associated with using Golden Hill equipment where those costs are not listed in the Daily Construction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1092</w:t>
      </w:r>
      <w:r>
        <w:rPr>
          <w:rFonts w:ascii="arial" w:eastAsia="arial" w:hAnsi="arial" w:cs="arial"/>
          <w:color w:val="000000"/>
          <w:sz w:val="20"/>
          <w:lang w:val="en-US" w:eastAsia="en-US" w:bidi="ar-SA"/>
        </w:rPr>
        <w:t>  Those costs relate to ancillary or support equipment including pick-ups, mechanics' trucks, Hiab trucks, the loader, the crew van, the parts van, fuel trucks, welding trucks, light towers, the office trailer, generators, pumps and other small equipment. Mr. Rudolph estimated that this amounted to somewhere between $200,000.00 and $400,000.00 but Golden Hill claims $300,000.00.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1093</w:t>
      </w:r>
      <w:r>
        <w:rPr>
          <w:rFonts w:ascii="arial" w:eastAsia="arial" w:hAnsi="arial" w:cs="arial"/>
          <w:color w:val="000000"/>
          <w:sz w:val="20"/>
          <w:lang w:val="en-US" w:eastAsia="en-US" w:bidi="ar-SA"/>
        </w:rPr>
        <w:t>  I cannot be satisfied that Golden Hill has proven on a balance of probabilities that the sum of $300,000.00 was a direct cost to the Project. At the same time, I accept Mr. Rudolph's evidence that it was intended that the overhead allowance of 10% of the costs of the Project would cover this equipment cost. Accordingly, I cannot find that the $300,000.00 constitutes a direct cost, against which the overhead allowance should be applied.</w:t>
      </w:r>
      <w:r>
        <w:rPr>
          <w:rFonts w:ascii="arial" w:eastAsia="arial" w:hAnsi="arial" w:cs="arial"/>
          <w:sz w:val="20"/>
          <w:lang w:val="en-US" w:eastAsia="en-US" w:bidi="ar-SA"/>
        </w:rPr>
        <w:cr/>
      </w:r>
    </w:p>
    <w:p>
      <w:pPr>
        <w:numPr>
          <w:numId w:val="2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USE OF A GRADER BY KEMESS ($14,030.00 CLAIMED BY GOLDEN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1094</w:t>
      </w:r>
      <w:r>
        <w:rPr>
          <w:rFonts w:ascii="arial" w:eastAsia="arial" w:hAnsi="arial" w:cs="arial"/>
          <w:color w:val="000000"/>
          <w:sz w:val="20"/>
          <w:lang w:val="en-US" w:eastAsia="en-US" w:bidi="ar-SA"/>
        </w:rPr>
        <w:t>  In the spring of 1997, Mr. Rempel asked if Kemess could borrow a grader that Golden Hill had left on the Site. Golden Hill issued an invoice to Kemess on May 29, 1997 for 122 hours of use based on the hours metre on the machine. This amounted to $14,030.00 not including G.S.T. Although Kemess took issue with the hours of use, no evidence was called by Kemess to explain that position. Under cross-examination, Mr. Rempel did admit that Kemess had agreed to pay for at least 58 hours of the use of this grader.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1095</w:t>
      </w:r>
      <w:r>
        <w:rPr>
          <w:rFonts w:ascii="arial" w:eastAsia="arial" w:hAnsi="arial" w:cs="arial"/>
          <w:color w:val="000000"/>
          <w:sz w:val="20"/>
          <w:lang w:val="en-US" w:eastAsia="en-US" w:bidi="ar-SA"/>
        </w:rPr>
        <w:t>  I am satisfied that Golden Hill is entitled to the sum of $14,030.00 as at July 9, 1997, being 30 days after the invoice that was forwarded to Kemess. I am satisfied that this amount should be included within the total costs claimed as I am satisfied that it is irrelevant that the grader was used by Kemess rather than by Golden Hill personnel. At the same time, I am satisfied that the amount should be included within the lien claimed by Golden Hill.</w:t>
      </w:r>
      <w:r>
        <w:rPr>
          <w:rFonts w:ascii="arial" w:eastAsia="arial" w:hAnsi="arial" w:cs="arial"/>
          <w:sz w:val="20"/>
          <w:lang w:val="en-US" w:eastAsia="en-US" w:bidi="ar-SA"/>
        </w:rPr>
        <w:cr/>
      </w:r>
    </w:p>
    <w:p>
      <w:pPr>
        <w:numPr>
          <w:numId w:val="3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SUMMARY OF CLAIMED TOTAL COSTS, ADJUSTMENTS REQUESTED, AND RULINGS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495"/>
        <w:gridCol w:w="49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40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 costs claimed</w:t>
            </w:r>
          </w:p>
        </w:tc>
        <w:tc>
          <w:tcPr>
            <w:tcW w:w="481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$14,429,481.61</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Adjustments: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450"/>
        <w:gridCol w:w="3660"/>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Labour costs</w:t>
            </w:r>
          </w:p>
        </w:tc>
        <w:tc>
          <w:tcPr>
            <w:tcW w:w="358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&lt;$213,345.40&gt;</w:t>
            </w:r>
          </w:p>
        </w:tc>
        <w:tc>
          <w:tcPr>
            <w:tcW w:w="1946"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Freight costs</w:t>
            </w:r>
          </w:p>
        </w:tc>
        <w:tc>
          <w:tcPr>
            <w:tcW w:w="358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&lt;$100,000.00&gt;</w:t>
            </w:r>
          </w:p>
        </w:tc>
        <w:tc>
          <w:tcPr>
            <w:tcW w:w="19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4392"/>
        <w:gridCol w:w="2718"/>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w:t>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Golden Hill owned equipment</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&lt;$414,872.00&gt;</w:t>
            </w:r>
          </w:p>
        </w:tc>
        <w:tc>
          <w:tcPr>
            <w:tcW w:w="19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4915"/>
        <w:gridCol w:w="2195"/>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w:t>
            </w:r>
          </w:p>
        </w:tc>
        <w:tc>
          <w:tcPr>
            <w:tcW w:w="481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Reduction in hours of equipment use</w:t>
            </w:r>
          </w:p>
        </w:tc>
        <w:tc>
          <w:tcPr>
            <w:tcW w:w="215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&lt;$130,361.90&gt;</w:t>
            </w:r>
          </w:p>
        </w:tc>
        <w:tc>
          <w:tcPr>
            <w:tcW w:w="19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3"/>
        <w:gridCol w:w="4182"/>
        <w:gridCol w:w="2927"/>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Rented equipment credit</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&lt;$930,314.80&gt;</w:t>
            </w:r>
          </w:p>
        </w:tc>
        <w:tc>
          <w:tcPr>
            <w:tcW w:w="19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5437"/>
        <w:gridCol w:w="261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(f)</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Repair and maintenance costs</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including labour component</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&lt;$309,280.47&gt;</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137"/>
        <w:gridCol w:w="3973"/>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w:t>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P.S.T.</w:t>
            </w:r>
          </w:p>
        </w:tc>
        <w:tc>
          <w:tcPr>
            <w:tcW w:w="389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&lt;$152,633.13&gt;</w:t>
            </w:r>
          </w:p>
        </w:tc>
        <w:tc>
          <w:tcPr>
            <w:tcW w:w="19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764"/>
        <w:gridCol w:w="3346"/>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w:t>
            </w:r>
          </w:p>
        </w:tc>
        <w:tc>
          <w:tcPr>
            <w:tcW w:w="368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on scrapers</w:t>
            </w:r>
          </w:p>
        </w:tc>
        <w:tc>
          <w:tcPr>
            <w:tcW w:w="327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&lt;$616,942.72&gt;</w:t>
            </w:r>
          </w:p>
        </w:tc>
        <w:tc>
          <w:tcPr>
            <w:tcW w:w="19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660"/>
        <w:gridCol w:w="3450"/>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w:t>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Nuway Crushing</w:t>
            </w:r>
          </w:p>
        </w:tc>
        <w:tc>
          <w:tcPr>
            <w:tcW w:w="337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&lt;$26,050.00&gt;</w:t>
            </w:r>
          </w:p>
        </w:tc>
        <w:tc>
          <w:tcPr>
            <w:tcW w:w="19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4392"/>
        <w:gridCol w:w="2718"/>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w:t>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Supplies and small tools</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&lt;$5,000.00&gt;</w:t>
            </w:r>
          </w:p>
        </w:tc>
        <w:tc>
          <w:tcPr>
            <w:tcW w:w="19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5437"/>
        <w:gridCol w:w="261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(k)</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Equipment costs not listed in</w:t>
            </w:r>
          </w:p>
        </w:tc>
        <w:tc>
          <w:tcPr>
            <w:tcW w:w="256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Daily Construction Reports</w:t>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&lt;$300,000.00&gt;</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3659"/>
        <w:gridCol w:w="4392"/>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 Reduction</w:t>
            </w:r>
          </w:p>
        </w:tc>
        <w:tc>
          <w:tcPr>
            <w:tcW w:w="430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$3,198,800.42</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1096</w:t>
      </w:r>
      <w:r>
        <w:rPr>
          <w:rFonts w:ascii="arial" w:eastAsia="arial" w:hAnsi="arial" w:cs="arial"/>
          <w:color w:val="000000"/>
          <w:sz w:val="20"/>
          <w:lang w:val="en-US" w:eastAsia="en-US" w:bidi="ar-SA"/>
        </w:rPr>
        <w:t>  I find that there should be a reduction of $3,198,800.42 from the total costs claimed by Golden Hill. I therefore find that the total costs of Golden Hill total $11,230,681.19. Golden Hill then claims 10% overhead against that amount.</w:t>
      </w:r>
      <w:r>
        <w:rPr>
          <w:rFonts w:ascii="arial" w:eastAsia="arial" w:hAnsi="arial" w:cs="arial"/>
          <w:sz w:val="20"/>
          <w:lang w:val="en-US" w:eastAsia="en-US" w:bidi="ar-SA"/>
        </w:rPr>
        <w:cr/>
      </w:r>
    </w:p>
    <w:p>
      <w:pPr>
        <w:numPr>
          <w:numId w:val="3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OVERHEAD (10% CLAIMED BY GOLDEN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1097</w:t>
      </w:r>
      <w:r>
        <w:rPr>
          <w:rFonts w:ascii="arial" w:eastAsia="arial" w:hAnsi="arial" w:cs="arial"/>
          <w:color w:val="000000"/>
          <w:sz w:val="20"/>
          <w:lang w:val="en-US" w:eastAsia="en-US" w:bidi="ar-SA"/>
        </w:rPr>
        <w:t>  Golden Hill claims an overhead allowance of 10% of its direct costs to cover the costs of the Project not captured in the Job Cost Reports and on account of Head Office costs associated with performing the Work. The uncaptured job costs it claims include employer's deductions on labour costs ($213,345.40); equipment cost of using Golden Hill's trucks and trailers for on-highway transportation of equipment to and from the Project plus fuel used ($100,000.00); and equipment costs associated with using Golden Hill equipment not listed in the Daily Construction Reports being ancillary or support equipment including pick-ups, mechanics, trucks, the crew van, the parts van, fuel trucks etc. ($300,000.00).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1098</w:t>
      </w:r>
      <w:r>
        <w:rPr>
          <w:rFonts w:ascii="arial" w:eastAsia="arial" w:hAnsi="arial" w:cs="arial"/>
          <w:color w:val="000000"/>
          <w:sz w:val="20"/>
          <w:lang w:val="en-US" w:eastAsia="en-US" w:bidi="ar-SA"/>
        </w:rPr>
        <w:t>  The office overhead allowance was intended to cover administrative expenses such as head office payroll, office and repair facilities expenses including mortgage, rent, utilities, office equipment, shop equipment and general office and shop expenses; financing charges and general insurance and licences including construction liability insurance, vehicle insurance, and equipment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1099</w:t>
      </w:r>
      <w:r>
        <w:rPr>
          <w:rFonts w:ascii="arial" w:eastAsia="arial" w:hAnsi="arial" w:cs="arial"/>
          <w:color w:val="000000"/>
          <w:sz w:val="20"/>
          <w:lang w:val="en-US" w:eastAsia="en-US" w:bidi="ar-SA"/>
        </w:rPr>
        <w:t xml:space="preserve">  Golden Hill submits that, where a plaintiff suffers a loss for which the defendant is liable, the plaintiff is entitled to recover a reasonable sum for overhead costs: Hydro-Electric Power Commission of Ontario v. Mather, </w:t>
      </w:r>
      <w:hyperlink r:id="rId906" w:history="1">
        <w:r>
          <w:rPr>
            <w:rFonts w:ascii="arial" w:eastAsia="arial" w:hAnsi="arial" w:cs="arial"/>
            <w:i/>
            <w:color w:val="0077CC"/>
            <w:sz w:val="20"/>
            <w:u w:val="single"/>
            <w:shd w:val="clear" w:color="auto" w:fill="FFFFFF"/>
            <w:lang w:val="en-US" w:eastAsia="en-US" w:bidi="ar-SA"/>
          </w:rPr>
          <w:t>[1954] O.J. No. 79</w:t>
        </w:r>
      </w:hyperlink>
      <w:r>
        <w:rPr>
          <w:rFonts w:ascii="arial" w:eastAsia="arial" w:hAnsi="arial" w:cs="arial"/>
          <w:color w:val="000000"/>
          <w:sz w:val="20"/>
          <w:lang w:val="en-US" w:eastAsia="en-US" w:bidi="ar-SA"/>
        </w:rPr>
        <w:t xml:space="preserve"> (Ont. C.A.); C.P.R. Co. v. Fumagalli </w:t>
      </w:r>
      <w:hyperlink r:id="rId907" w:history="1">
        <w:r>
          <w:rPr>
            <w:rFonts w:ascii="arial" w:eastAsia="arial" w:hAnsi="arial" w:cs="arial"/>
            <w:i/>
            <w:color w:val="0077CC"/>
            <w:sz w:val="20"/>
            <w:u w:val="single"/>
            <w:shd w:val="clear" w:color="auto" w:fill="FFFFFF"/>
            <w:lang w:val="en-US" w:eastAsia="en-US" w:bidi="ar-SA"/>
          </w:rPr>
          <w:t>(1962), 38 D.L.R. (2d) 110</w:t>
        </w:r>
      </w:hyperlink>
      <w:r>
        <w:rPr>
          <w:rFonts w:ascii="arial" w:eastAsia="arial" w:hAnsi="arial" w:cs="arial"/>
          <w:color w:val="000000"/>
          <w:sz w:val="20"/>
          <w:lang w:val="en-US" w:eastAsia="en-US" w:bidi="ar-SA"/>
        </w:rPr>
        <w:t xml:space="preserve"> (B.C.C.A.); British Columbia Hydro &amp; Power Authority v. Marathon Realty Co. </w:t>
      </w:r>
      <w:hyperlink r:id="rId897" w:history="1">
        <w:r>
          <w:rPr>
            <w:rFonts w:ascii="arial" w:eastAsia="arial" w:hAnsi="arial" w:cs="arial"/>
            <w:i/>
            <w:color w:val="0077CC"/>
            <w:sz w:val="20"/>
            <w:u w:val="single"/>
            <w:shd w:val="clear" w:color="auto" w:fill="FFFFFF"/>
            <w:lang w:val="en-US" w:eastAsia="en-US" w:bidi="ar-SA"/>
          </w:rPr>
          <w:t>(1992), 89 D.L.R. (4th) 419</w:t>
        </w:r>
      </w:hyperlink>
      <w:r>
        <w:rPr>
          <w:rFonts w:ascii="arial" w:eastAsia="arial" w:hAnsi="arial" w:cs="arial"/>
          <w:color w:val="000000"/>
          <w:sz w:val="20"/>
          <w:lang w:val="en-US" w:eastAsia="en-US" w:bidi="ar-SA"/>
        </w:rPr>
        <w:t xml:space="preserve"> (B.C.C.A.); Shore &amp; Horowitz Construction Co. v. Franki of Canada Limited, </w:t>
      </w:r>
      <w:hyperlink r:id="rId908" w:history="1">
        <w:r>
          <w:rPr>
            <w:rFonts w:ascii="arial" w:eastAsia="arial" w:hAnsi="arial" w:cs="arial"/>
            <w:i/>
            <w:color w:val="0077CC"/>
            <w:sz w:val="20"/>
            <w:u w:val="single"/>
            <w:shd w:val="clear" w:color="auto" w:fill="FFFFFF"/>
            <w:lang w:val="en-US" w:eastAsia="en-US" w:bidi="ar-SA"/>
          </w:rPr>
          <w:t>[1964] S.C.R. 589</w:t>
        </w:r>
      </w:hyperlink>
      <w:r>
        <w:rPr>
          <w:rFonts w:ascii="arial" w:eastAsia="arial" w:hAnsi="arial" w:cs="arial"/>
          <w:color w:val="000000"/>
          <w:sz w:val="20"/>
          <w:lang w:val="en-US" w:eastAsia="en-US" w:bidi="ar-SA"/>
        </w:rPr>
        <w:t xml:space="preserve">; and Miller Dredging Ltd. V. The "Dorothy MacKenzie" </w:t>
      </w:r>
      <w:hyperlink r:id="rId899" w:history="1">
        <w:r>
          <w:rPr>
            <w:rFonts w:ascii="arial" w:eastAsia="arial" w:hAnsi="arial" w:cs="arial"/>
            <w:i/>
            <w:color w:val="0077CC"/>
            <w:sz w:val="20"/>
            <w:u w:val="single"/>
            <w:shd w:val="clear" w:color="auto" w:fill="FFFFFF"/>
            <w:lang w:val="en-US" w:eastAsia="en-US" w:bidi="ar-SA"/>
          </w:rPr>
          <w:t>(1994), 98 B.C.L.R. (2d) 71</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1100</w:t>
      </w:r>
      <w:r>
        <w:rPr>
          <w:rFonts w:ascii="arial" w:eastAsia="arial" w:hAnsi="arial" w:cs="arial"/>
          <w:color w:val="000000"/>
          <w:sz w:val="20"/>
          <w:lang w:val="en-US" w:eastAsia="en-US" w:bidi="ar-SA"/>
        </w:rPr>
        <w:t>  In Fumageli, supra,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would appear to be uncontroversial that certain expenses in the nature of the cost of superintendence and office expenses and overhead...are a natural consequence arising from the act complained of in this instance...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very nature of a business such as that of the respondent there must be certain preliminaries and superintendence involved which, in turn, involve the cost of clerks and stenographers. I am unable to hold that such costs are so remote from the damage as to fall within the category of costs that cannot be allowed as compensation. (at p. 111).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1101</w:t>
      </w:r>
      <w:r>
        <w:rPr>
          <w:rFonts w:ascii="arial" w:eastAsia="arial" w:hAnsi="arial" w:cs="arial"/>
          <w:color w:val="000000"/>
          <w:sz w:val="20"/>
          <w:lang w:val="en-US" w:eastAsia="en-US" w:bidi="ar-SA"/>
        </w:rPr>
        <w:t>  In Shore &amp; Horowitz, supra, Spence, J. specifically approved a percentage representing the average of the "actual overhead taken as a percentage of direct cost..." (at p. 591). In Miller Dredging, supra, the Court allowed the plaintiff to calculate its overhead costs in a similar manner. In that decision, the Court of Appeal rejected a number of cases which purported to limit recovery of overhead to items bearing a "definite relation to the particular work performed".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1102</w:t>
      </w:r>
      <w:r>
        <w:rPr>
          <w:rFonts w:ascii="arial" w:eastAsia="arial" w:hAnsi="arial" w:cs="arial"/>
          <w:color w:val="000000"/>
          <w:sz w:val="20"/>
          <w:lang w:val="en-US" w:eastAsia="en-US" w:bidi="ar-SA"/>
        </w:rPr>
        <w:t>  Similarly, in Marathon Realty Co., supra, Seaton, J.A. on behalf of the Court said that it was unreasonable to attempt to set a value on "each letter, each phone call, each intervention". "It is not practical to calculate different amounts for different tasks" (at pp. 424-5). As well, Goldie, J.A. in dismissing the appeal in Miller Dredging, supra, stated that it was appropriate to calculate overhead by looking at "...the relationship historical expenditures not directly charged or allocated bore to the historical total of wages and salaries..." (at para.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1103</w:t>
      </w:r>
      <w:r>
        <w:rPr>
          <w:rFonts w:ascii="arial" w:eastAsia="arial" w:hAnsi="arial" w:cs="arial"/>
          <w:color w:val="000000"/>
          <w:sz w:val="20"/>
          <w:lang w:val="en-US" w:eastAsia="en-US" w:bidi="ar-SA"/>
        </w:rPr>
        <w:t>  Mr. Rudolph testified that it was his practice to add an amount of between 5% and 15% for overhead and that, traditionally, Golden Hill has incurred general overhead expenses of 8% to 10% of its project costs on its financial statements.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1104</w:t>
      </w:r>
      <w:r>
        <w:rPr>
          <w:rFonts w:ascii="arial" w:eastAsia="arial" w:hAnsi="arial" w:cs="arial"/>
          <w:color w:val="000000"/>
          <w:sz w:val="20"/>
          <w:lang w:val="en-US" w:eastAsia="en-US" w:bidi="ar-SA"/>
        </w:rPr>
        <w:t>  Employing the method approved by the Supreme Court of Canada in Shore, supra, and by the British Columbia Court of Appeal in Miller Dredging, supra, Golden Hill submits that its cost of sales for the Project in its financial statements was $9,069,709.43 (or 42% of its total cost of sales for the year), so that 42% of its expenses would be $1,727,379.78. Golden Hill points out that this is approximately $600,000.00 greater than its claim for overhead.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1105</w:t>
      </w:r>
      <w:r>
        <w:rPr>
          <w:rFonts w:ascii="arial" w:eastAsia="arial" w:hAnsi="arial" w:cs="arial"/>
          <w:color w:val="000000"/>
          <w:sz w:val="20"/>
          <w:lang w:val="en-US" w:eastAsia="en-US" w:bidi="ar-SA"/>
        </w:rPr>
        <w:t>  Kemess submits that this is a simplistic approach and that, unless Mr. Rudolph can say that his bid was based on a particular percentage, it would be inappropriate to provide Golden Hill with compensation on that basis. Rather, the benefit of the doubt should be given to Kemess and a 5% overhead allocation would be an appropriate amount if any is to be awarded. As to the calculation used to the financial statements, Kemess points out that, after subtracting amortization expense, the overhead is 6.5% of the cost of the sales.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1106</w:t>
      </w:r>
      <w:r>
        <w:rPr>
          <w:rFonts w:ascii="arial" w:eastAsia="arial" w:hAnsi="arial" w:cs="arial"/>
          <w:color w:val="000000"/>
          <w:sz w:val="20"/>
          <w:lang w:val="en-US" w:eastAsia="en-US" w:bidi="ar-SA"/>
        </w:rPr>
        <w:t>  I am satisfied that Golden Hill is entitled to an overhead allowance of 10%. This is the average amount reflected in the financial statements of Golden Hill and considerably less than the overhead which would be ascribed to this Project if overhead was allocated on the basis of the relationship of the costs of this Project in relation to the total costs of sale as reflected in the financial statements of Golden Hill. Accordingly, I allow the sum of $1,123,068.12 for overhead.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627"/>
        <w:gridCol w:w="1046"/>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(X)</w:t>
            </w:r>
          </w:p>
        </w:tc>
        <w:tc>
          <w:tcPr>
            <w:tcW w:w="102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STANDBY</w:t>
            </w:r>
          </w:p>
        </w:tc>
        <w:tc>
          <w:tcPr>
            <w:tcW w:w="604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CHARGES ($482,440.00 CLAIMED</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BY GOLDEN HILL)</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1107</w:t>
      </w:r>
      <w:r>
        <w:rPr>
          <w:rFonts w:ascii="arial" w:eastAsia="arial" w:hAnsi="arial" w:cs="arial"/>
          <w:color w:val="000000"/>
          <w:sz w:val="20"/>
          <w:lang w:val="en-US" w:eastAsia="en-US" w:bidi="ar-SA"/>
        </w:rPr>
        <w:t>  General Condition 37.1 allowed Kemess to suspend the operations of Golden Hill under the Contract in whole or in part. General Condition 37.2 provided that, if the Work is suspended, Kemess shall reimburse Golden Hill for (a) expenses incurred for employees necessarily retained by Golden Hill during the period of suspension who could not be usefully employed by Golden Hill on any portion of the Work not under suspension: (b) standby rental charges incurred for equipment furnished by Golden Hill necessarily idle during the period of suspension and which could not reasonably be removed from the Site ("such charges to be determined in accordance with the Contract"); and (c) reasonable demobilization and remobilization charges on a basis approved by Kemess. General Condition 37.2 also provided that Kemess was not to be held liable for any other "...loss, damage or expenses incurred by the Contractor on account of suspension of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1108</w:t>
      </w:r>
      <w:r>
        <w:rPr>
          <w:rFonts w:ascii="arial" w:eastAsia="arial" w:hAnsi="arial" w:cs="arial"/>
          <w:color w:val="000000"/>
          <w:sz w:val="20"/>
          <w:lang w:val="en-US" w:eastAsia="en-US" w:bidi="ar-SA"/>
        </w:rPr>
        <w:t>  Kemess suspended the Work at the Airstrip in December, 1996 because they wanted the final grading to be performed by Golden Hill after the Spring break-up in 1997. This was not what Golden Hill had originally intended. Golden Hill had performed an extensive amount of survey work to stake the final grade of the Airstrip in late 1996. This work was a wasted effort when the decision was taken by Kemess that the work would not be finished in 1996. Golden Hill was never paid for the survey work since it did not complete the final grading and was not paid the unit prices for the final grading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1109</w:t>
      </w:r>
      <w:r>
        <w:rPr>
          <w:rFonts w:ascii="arial" w:eastAsia="arial" w:hAnsi="arial" w:cs="arial"/>
          <w:color w:val="000000"/>
          <w:sz w:val="20"/>
          <w:lang w:val="en-US" w:eastAsia="en-US" w:bidi="ar-SA"/>
        </w:rPr>
        <w:t>  Golden Hill required belly dumps, packers, graders and a water truck to finish placing Granular A on the Airstrip and bulldozers to finish the cleanup work at the Site generally. When it left the Site in December, 1996, Golden Hill left this considerable equipment on the Site. Golden Hill returned to the Site to complete the Millsite Access Road in February, 1997 and then left the Site again on March 4, 1997. Golden Hill asked Kemess for permission to demobilize some of its equipment. Further equipment was demobilized but, at the direction of Kemess, two bulldozers, two packers, two excavators and one grader were left on Site from March 2, 1997 to the end of June,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1110</w:t>
      </w:r>
      <w:r>
        <w:rPr>
          <w:rFonts w:ascii="arial" w:eastAsia="arial" w:hAnsi="arial" w:cs="arial"/>
          <w:color w:val="000000"/>
          <w:sz w:val="20"/>
          <w:lang w:val="en-US" w:eastAsia="en-US" w:bidi="ar-SA"/>
        </w:rPr>
        <w:t>  The standby rates in the Contract for these pieces of equipment were equal to 25% of the monthly double shift rate shown in Statement C. 1 of the C101 Tender. Golden Hill submits that the standby charges for this equipment using those rates amounts to $482,440.00. Golden Hill claims that amount from Kemess.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1111</w:t>
      </w:r>
      <w:r>
        <w:rPr>
          <w:rFonts w:ascii="arial" w:eastAsia="arial" w:hAnsi="arial" w:cs="arial"/>
          <w:color w:val="000000"/>
          <w:sz w:val="20"/>
          <w:lang w:val="en-US" w:eastAsia="en-US" w:bidi="ar-SA"/>
        </w:rPr>
        <w:t>  Kemess submits that the Post Tender Meeting Minutes limit the Standby Charges that can be claimed by Golden Hill: "There will be no stand by charges for equipment left on site at GHV's convenience." Kemess submits that the equipment left on Site between December, 1996 and March, 1997 was left on Site for the convenience of Golden Hill and, accordingly, Standby Charges for that period cannot be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1112</w:t>
      </w:r>
      <w:r>
        <w:rPr>
          <w:rFonts w:ascii="arial" w:eastAsia="arial" w:hAnsi="arial" w:cs="arial"/>
          <w:color w:val="000000"/>
          <w:sz w:val="20"/>
          <w:lang w:val="en-US" w:eastAsia="en-US" w:bidi="ar-SA"/>
        </w:rPr>
        <w:t>  I agree. I am satisfied that equipment left on the Site was left merely for the convenience of Golden Hill and at the suggestion of Golden Hill. First, there is no evidence that the equipment was required elsewhere. The evidence was that Golden Hill would usually store its equipment over the winter months as it had no need for its equipment during the non-construction period in Northern B.C. and the Yukon. Second, the schedule which saw certain of the work delayed until the Spring of 1997 was proposed by Golden Hill and not by Kemess. Accordingly, I find that no standby charges are payable for the period December, 1996 through March,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1113</w:t>
      </w:r>
      <w:r>
        <w:rPr>
          <w:rFonts w:ascii="arial" w:eastAsia="arial" w:hAnsi="arial" w:cs="arial"/>
          <w:color w:val="000000"/>
          <w:sz w:val="20"/>
          <w:lang w:val="en-US" w:eastAsia="en-US" w:bidi="ar-SA"/>
        </w:rPr>
        <w:t>  Regarding the period March through June, 1997 for which Golden Hill claims standby charges, Kemess submits that suspension of Work could only arise when and if Kemess decided that the Work should be delayed. No request or order was ever forwarded by Kemess to Golden Hill for a suspension of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1114</w:t>
      </w:r>
      <w:r>
        <w:rPr>
          <w:rFonts w:ascii="arial" w:eastAsia="arial" w:hAnsi="arial" w:cs="arial"/>
          <w:color w:val="000000"/>
          <w:sz w:val="20"/>
          <w:lang w:val="en-US" w:eastAsia="en-US" w:bidi="ar-SA"/>
        </w:rPr>
        <w:t>  However, it is important to note that the General Conditions distinguish between "delays" and "suspension of work". General Condition 36.2 dealing with "delays" requires notice to be given by Golden Hill whereas GC 37.0 dealing with "suspension of work" contains no provision dealing with how Golden Hill is to be notified of any decision taken by Kemess to suspend operations under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1115</w:t>
      </w:r>
      <w:r>
        <w:rPr>
          <w:rFonts w:ascii="arial" w:eastAsia="arial" w:hAnsi="arial" w:cs="arial"/>
          <w:color w:val="000000"/>
          <w:sz w:val="20"/>
          <w:lang w:val="en-US" w:eastAsia="en-US" w:bidi="ar-SA"/>
        </w:rPr>
        <w:t>  In the absence of a notice provision, I am satisfied that it was not necessary for a written notice of suspension to be provided by Kemess to Golden Hill or for Golden Hill to request a suspension of the Work. Nothing about GC 37.0 allows me to conclude that it was incumbent upon Golden Hill to make such a request.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1116</w:t>
      </w:r>
      <w:r>
        <w:rPr>
          <w:rFonts w:ascii="arial" w:eastAsia="arial" w:hAnsi="arial" w:cs="arial"/>
          <w:color w:val="000000"/>
          <w:sz w:val="20"/>
          <w:lang w:val="en-US" w:eastAsia="en-US" w:bidi="ar-SA"/>
        </w:rPr>
        <w:t>  It is clear that GC 37.0 leaves it to Kemess to decide whether or not work should be suspended "in whole or in part". That is clearly set out in the first part of GC 37.1. The issue which arises is whether Kemess did or did not suspend the Work. On the basis of the following answers given by Mr. Rempel under cross-examination, I am satisfied that Kemess formed the intention to suspend operations and that this intention was conveyed to Golden Hill:</w:t>
      </w:r>
      <w:r>
        <w:rPr>
          <w:rFonts w:ascii="arial" w:eastAsia="arial" w:hAnsi="arial" w:cs="arial"/>
          <w:sz w:val="20"/>
          <w:lang w:val="en-US" w:eastAsia="en-US" w:bidi="ar-SA"/>
        </w:rPr>
        <w:cr/>
      </w:r>
    </w:p>
    <w:p>
      <w:pPr>
        <w:numPr>
          <w:numId w:val="3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December of 1996 or late November, 1996, Sir, you reached the conclusion that it would be of some benefit to leave the final grading of the Airstrip to the Spring of 1997?</w:t>
      </w:r>
    </w:p>
    <w:p>
      <w:pPr>
        <w:numPr>
          <w:numId w:val="3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That's correct.</w:t>
      </w:r>
    </w:p>
    <w:p>
      <w:pPr>
        <w:numPr>
          <w:numId w:val="3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 you asked Golden Hill to not complete the Airstrip in 1996 and to leave that final grading until after Spring break up in 1997?</w:t>
      </w:r>
    </w:p>
    <w:p>
      <w:pPr>
        <w:numPr>
          <w:numId w:val="3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That's correct.</w:t>
      </w:r>
    </w:p>
    <w:p>
      <w:pPr>
        <w:numPr>
          <w:numId w:val="3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 they agreed to that?</w:t>
      </w:r>
    </w:p>
    <w:p>
      <w:pPr>
        <w:numPr>
          <w:numId w:val="3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1117</w:t>
      </w:r>
      <w:r>
        <w:rPr>
          <w:rFonts w:ascii="arial" w:eastAsia="arial" w:hAnsi="arial" w:cs="arial"/>
          <w:color w:val="000000"/>
          <w:sz w:val="20"/>
          <w:lang w:val="en-US" w:eastAsia="en-US" w:bidi="ar-SA"/>
        </w:rPr>
        <w:t>  Mr. Rempel confirmed that Golden Hill had sought permission to demobilize equipment in early 1997 and that he wrote them on February 6, 1997 setting out that Kemess thought the equipment and the personnel: "should remain for the outstanding work". Mr Rempel also advised: "Please be advised that if additional equipment is required to complete the outstanding work as per the submitted 1997 Construction Schedule; the added cost for mobilization will be at the Contractor's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1118</w:t>
      </w:r>
      <w:r>
        <w:rPr>
          <w:rFonts w:ascii="arial" w:eastAsia="arial" w:hAnsi="arial" w:cs="arial"/>
          <w:color w:val="000000"/>
          <w:sz w:val="20"/>
          <w:lang w:val="en-US" w:eastAsia="en-US" w:bidi="ar-SA"/>
        </w:rPr>
        <w:t>  While the agreement reached was a mutual agreement, it is clear and I find that Kemess suspended work in March, 1997 so that the remaining work at the Millsite and the Airstrip including the placement of Granular surfacing of 150mm at the Millsite and the Airstrip could be finished after the Spring break-up. The Proposed Construction Schedule (1997) referred to by Mr. Rempel in his February 6, 1997 letter sets out an April 27 start on the work at the Airstrip and a May 11 start on the work at the Millsite.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1119</w:t>
      </w:r>
      <w:r>
        <w:rPr>
          <w:rFonts w:ascii="arial" w:eastAsia="arial" w:hAnsi="arial" w:cs="arial"/>
          <w:color w:val="000000"/>
          <w:sz w:val="20"/>
          <w:lang w:val="en-US" w:eastAsia="en-US" w:bidi="ar-SA"/>
        </w:rPr>
        <w:t>  Golden Hill will be entitled to standby charges for the equipment left on Site at the request of Kemess for the period March through June, 1997 calculated in accordance with the formula established in GC 37.0 and at the Post Tender Meeting, being 25% of the monthly double shift rate for the equipment which was on Site as outlined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5"/>
        <w:gridCol w:w="1355"/>
        <w:gridCol w:w="4170"/>
        <w:gridCol w:w="240"/>
        <w:gridCol w:w="2085"/>
        <w:gridCol w:w="198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D8K</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25% x $70,000/month x 4 months</w:t>
            </w:r>
          </w:p>
        </w:tc>
        <w:tc>
          <w:tcPr>
            <w:tcW w:w="20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$ 70,000.00</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D8N</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25% x $98,000/month x 4 months</w:t>
            </w:r>
          </w:p>
        </w:tc>
        <w:tc>
          <w:tcPr>
            <w:tcW w:w="20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$ 98,000.00</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EX400</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25% x $123,200/month x 4 months</w:t>
            </w:r>
          </w:p>
        </w:tc>
        <w:tc>
          <w:tcPr>
            <w:tcW w:w="20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$123,200.00</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EX200</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25% x $54,040/month x 4 months</w:t>
            </w:r>
          </w:p>
        </w:tc>
        <w:tc>
          <w:tcPr>
            <w:tcW w:w="20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$ 54,040.00</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Packers</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25% x $33,600/month x 4 months</w:t>
            </w:r>
          </w:p>
        </w:tc>
        <w:tc>
          <w:tcPr>
            <w:tcW w:w="20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$ 33,600.00</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25% x $50,400/month x 4 months</w:t>
            </w:r>
          </w:p>
        </w:tc>
        <w:tc>
          <w:tcPr>
            <w:tcW w:w="20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204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$ 50,400.00</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Grader</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25% x $53,200/month x 4 months</w:t>
            </w:r>
          </w:p>
        </w:tc>
        <w:tc>
          <w:tcPr>
            <w:tcW w:w="20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$ 53,200.00</w:t>
            </w:r>
          </w:p>
        </w:tc>
        <w:tc>
          <w:tcPr>
            <w:tcW w:w="194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2823"/>
        <w:gridCol w:w="460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450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$482,440.00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1120</w:t>
      </w:r>
      <w:r>
        <w:rPr>
          <w:rFonts w:ascii="arial" w:eastAsia="arial" w:hAnsi="arial" w:cs="arial"/>
          <w:color w:val="000000"/>
          <w:sz w:val="20"/>
          <w:lang w:val="en-US" w:eastAsia="en-US" w:bidi="ar-SA"/>
        </w:rPr>
        <w:t>  No amount is set in the Contract for an Ex 200 excavator, but the blue book hourly rate plus 10% is $96.50 (Exhibit 25, Tab 7, p. 1). Golden Hill's monthly rate for the EX 400 excavator on Statement C. 1 was 560 times the hourly rate, so I find that a reasonable monthly rate for an Ex 200 is $96.50 x 560.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1121</w:t>
      </w:r>
      <w:r>
        <w:rPr>
          <w:rFonts w:ascii="arial" w:eastAsia="arial" w:hAnsi="arial" w:cs="arial"/>
          <w:color w:val="000000"/>
          <w:sz w:val="20"/>
          <w:lang w:val="en-US" w:eastAsia="en-US" w:bidi="ar-SA"/>
        </w:rPr>
        <w:t>  Golden Hill will have judgment for the amount of $482,440.00 plus overhead of 10% but will not be entitled to claim profit on those amounts as I am satisfied that the parties agreed under GC 37 that no profit would be available on amounts payable.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1122</w:t>
      </w:r>
      <w:r>
        <w:rPr>
          <w:rFonts w:ascii="arial" w:eastAsia="arial" w:hAnsi="arial" w:cs="arial"/>
          <w:color w:val="000000"/>
          <w:sz w:val="20"/>
          <w:lang w:val="en-US" w:eastAsia="en-US" w:bidi="ar-SA"/>
        </w:rPr>
        <w:t>  At the same time, it is not appropriate for standby charges to be included within the lien amount of Golden Hill as it cannot be said that the $482,440.00 relates to "work on" or materials supplied to the Project.</w:t>
      </w:r>
      <w:r>
        <w:rPr>
          <w:rFonts w:ascii="arial" w:eastAsia="arial" w:hAnsi="arial" w:cs="arial"/>
          <w:sz w:val="20"/>
          <w:lang w:val="en-US" w:eastAsia="en-US" w:bidi="ar-SA"/>
        </w:rPr>
        <w:cr/>
      </w:r>
    </w:p>
    <w:p>
      <w:pPr>
        <w:numPr>
          <w:numId w:val="3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PROFIT ON WORK PERFORMED (5% CLAIMED BY GOLDEN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1123</w:t>
      </w:r>
      <w:r>
        <w:rPr>
          <w:rFonts w:ascii="arial" w:eastAsia="arial" w:hAnsi="arial" w:cs="arial"/>
          <w:color w:val="000000"/>
          <w:sz w:val="20"/>
          <w:lang w:val="en-US" w:eastAsia="en-US" w:bidi="ar-SA"/>
        </w:rPr>
        <w:t xml:space="preserve">  Where a breach of contract by the owner occasions additional expenditure, profit on that additional expenditure will not be recoverable: I.N.D. Wallace, Construction Contracts: Principles and Policies in Tort and Contract (London: Sweet &amp; Maxwell, 1986) at p. 118; B.G. Checo International Limited v. British Columbia Hydro and Power Authority </w:t>
      </w:r>
      <w:hyperlink r:id="rId811" w:history="1">
        <w:r>
          <w:rPr>
            <w:rFonts w:ascii="arial" w:eastAsia="arial" w:hAnsi="arial" w:cs="arial"/>
            <w:i/>
            <w:color w:val="0077CC"/>
            <w:sz w:val="20"/>
            <w:u w:val="single"/>
            <w:shd w:val="clear" w:color="auto" w:fill="FFFFFF"/>
            <w:lang w:val="en-US" w:eastAsia="en-US" w:bidi="ar-SA"/>
          </w:rPr>
          <w:t>(1993), 75 B.C.L.R. (2d) 145</w:t>
        </w:r>
      </w:hyperlink>
      <w:r>
        <w:rPr>
          <w:rFonts w:ascii="arial" w:eastAsia="arial" w:hAnsi="arial" w:cs="arial"/>
          <w:color w:val="000000"/>
          <w:sz w:val="20"/>
          <w:lang w:val="en-US" w:eastAsia="en-US" w:bidi="ar-SA"/>
        </w:rPr>
        <w:t xml:space="preserve"> (S.C.C.) at p. 154; and Opron Construction Co. v. Alberta </w:t>
      </w:r>
      <w:hyperlink r:id="rId826" w:history="1">
        <w:r>
          <w:rPr>
            <w:rFonts w:ascii="arial" w:eastAsia="arial" w:hAnsi="arial" w:cs="arial"/>
            <w:i/>
            <w:color w:val="0077CC"/>
            <w:sz w:val="20"/>
            <w:u w:val="single"/>
            <w:shd w:val="clear" w:color="auto" w:fill="FFFFFF"/>
            <w:lang w:val="en-US" w:eastAsia="en-US" w:bidi="ar-SA"/>
          </w:rPr>
          <w:t>(1994), 14 C.L.R. (2d) 97</w:t>
        </w:r>
      </w:hyperlink>
      <w:r>
        <w:rPr>
          <w:rFonts w:ascii="arial" w:eastAsia="arial" w:hAnsi="arial" w:cs="arial"/>
          <w:color w:val="000000"/>
          <w:sz w:val="20"/>
          <w:lang w:val="en-US" w:eastAsia="en-US" w:bidi="ar-SA"/>
        </w:rPr>
        <w:t xml:space="preserve"> (Alta. Q.B.) at p. 294.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1124</w:t>
      </w:r>
      <w:r>
        <w:rPr>
          <w:rFonts w:ascii="arial" w:eastAsia="arial" w:hAnsi="arial" w:cs="arial"/>
          <w:color w:val="000000"/>
          <w:sz w:val="20"/>
          <w:lang w:val="en-US" w:eastAsia="en-US" w:bidi="ar-SA"/>
        </w:rPr>
        <w:t>  If the effect of the breach is to delay completion, a profit may be recoverable on the basis of the loss of the opportunity to earn a profit elsewhere. However, there is no evidence that Golden Hill had other available work and, accordingly, Golden Hill should not be entitled to profit on that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1125</w:t>
      </w:r>
      <w:r>
        <w:rPr>
          <w:rFonts w:ascii="arial" w:eastAsia="arial" w:hAnsi="arial" w:cs="arial"/>
          <w:color w:val="000000"/>
          <w:sz w:val="20"/>
          <w:lang w:val="en-US" w:eastAsia="en-US" w:bidi="ar-SA"/>
        </w:rPr>
        <w:t>  However, Golden Hill is entitled to profit on the basis of the costs flowing from the tortious acts of Kemortuousthough Mr. Rudolph could not recall the precise amount he put into the bid for profit, on the basis of his evidence about the general level of profit he expected to make on the Project at bid time, Golden Hill submits that it should be allowed profit of 5% of its cost of the work performed.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1126</w:t>
      </w:r>
      <w:r>
        <w:rPr>
          <w:rFonts w:ascii="arial" w:eastAsia="arial" w:hAnsi="arial" w:cs="arial"/>
          <w:color w:val="000000"/>
          <w:sz w:val="20"/>
          <w:lang w:val="en-US" w:eastAsia="en-US" w:bidi="ar-SA"/>
        </w:rPr>
        <w:t>  Golden Hills submits that the amount of profit is based on a number of factors including Golden Hill's competitors on the Tender, the fact that Golden Hill was "not desperate for work" but was interested in mine development projects, the large size of the Project and the expectation that Kilborn would be reasonable in its administration of the Project.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1127</w:t>
      </w:r>
      <w:r>
        <w:rPr>
          <w:rFonts w:ascii="arial" w:eastAsia="arial" w:hAnsi="arial" w:cs="arial"/>
          <w:color w:val="000000"/>
          <w:sz w:val="20"/>
          <w:lang w:val="en-US" w:eastAsia="en-US" w:bidi="ar-SA"/>
        </w:rPr>
        <w:t>  Golden Hill submits that the claim of 5% profit is at the low end of the range of the profits Golden Hill expects when bidding earthworks projects (5% to 15%) and that the reasonableness of this claim can be tested by referring to its profits as a percentage of costs of sales on its financial statements. For instance, in the year proceeding this Project (1995), the profit Golden Hill made was 6.5%. However, the average for the previous 3 years was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1128</w:t>
      </w:r>
      <w:r>
        <w:rPr>
          <w:rFonts w:ascii="arial" w:eastAsia="arial" w:hAnsi="arial" w:cs="arial"/>
          <w:color w:val="000000"/>
          <w:sz w:val="20"/>
          <w:lang w:val="en-US" w:eastAsia="en-US" w:bidi="ar-SA"/>
        </w:rPr>
        <w:t>  Kemess submits that the only profit that can be claimed is on those items where Mr. Rudolph intended to make a profit so that no profit was intended or added to: (a) mobilization and demobilization costs; (b) temporary facilities and indirect costs; (c) insurance; (d) mobilization and demobilization charges of Nuway; (e) the crushing plant Monthly Indirect Costs which were actually charged by Nuway; (f) likely all of the costs relating to aggregate production (as the profit was already built into the rate that Golden Hill put into its bid sheet which reflected a mark up from the rate that Nuway was charging to Golden Hill; and (g) possibly the drainage item portion of the bid.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1129</w:t>
      </w:r>
      <w:r>
        <w:rPr>
          <w:rFonts w:ascii="arial" w:eastAsia="arial" w:hAnsi="arial" w:cs="arial"/>
          <w:color w:val="000000"/>
          <w:sz w:val="20"/>
          <w:lang w:val="en-US" w:eastAsia="en-US" w:bidi="ar-SA"/>
        </w:rPr>
        <w:t>  Kemess submits that the total bid was $5,924,019.80 and, after deducting the amounts referred to above but after including the drainage amount, the total contract would have been $4,517,269.00. At 5%, the profit portion including the 10% mark up for overhead is $215,108.00. Kemess also submits that the 3% average over 3 years is a more appropriate "starting position from which to begun deducting those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1130</w:t>
      </w:r>
      <w:r>
        <w:rPr>
          <w:rFonts w:ascii="arial" w:eastAsia="arial" w:hAnsi="arial" w:cs="arial"/>
          <w:color w:val="000000"/>
          <w:sz w:val="20"/>
          <w:lang w:val="en-US" w:eastAsia="en-US" w:bidi="ar-SA"/>
        </w:rPr>
        <w:t>  Golden Hill submits that Kemess has misunderstood or mis-characterized Mr. RIdolph's evidence in this regard. His evidence was that he added 5% to all of the costs on his Bid Estimate Sheet. Therefore, the total price includes profit on all estimated costs. Accordingly, the amount of profit expected at bid time can be calculated by taking 5% of the final price on the Bid Estimate Sheet. This produces an anticipated profit of $296,200.99.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1131</w:t>
      </w:r>
      <w:r>
        <w:rPr>
          <w:rFonts w:ascii="arial" w:eastAsia="arial" w:hAnsi="arial" w:cs="arial"/>
          <w:color w:val="000000"/>
          <w:sz w:val="20"/>
          <w:lang w:val="en-US" w:eastAsia="en-US" w:bidi="ar-SA"/>
        </w:rPr>
        <w:t>  After reviewing the evidence of Mr. Rudolph, I am satisfied that it was his evidence that he added 5% to all of the costs on his Bid Estimate Sheet. Accordingly, I am satisfied that Golden Hill should be compensated for a loss of profit as a result of the tortious acts of Kemortuouswever, I cannot be satisfied that 5% profit is an appropriate amount in view of the inability of Mr. Rudolph to recall the precise amount he put into the Bid for profit and in view of the average profit of 3% over the previous 3 years. In the circumstances, I am satisfied that profit of 3% ($177,721.35) should be allowed.</w:t>
      </w:r>
      <w:r>
        <w:rPr>
          <w:rFonts w:ascii="arial" w:eastAsia="arial" w:hAnsi="arial" w:cs="arial"/>
          <w:sz w:val="20"/>
          <w:lang w:val="en-US" w:eastAsia="en-US" w:bidi="ar-SA"/>
        </w:rPr>
        <w:cr/>
      </w:r>
    </w:p>
    <w:p>
      <w:pPr>
        <w:numPr>
          <w:numId w:val="3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CLAIM IN QUANTUM MERUIT OR UNJUST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1132</w:t>
      </w:r>
      <w:r>
        <w:rPr>
          <w:rFonts w:ascii="arial" w:eastAsia="arial" w:hAnsi="arial" w:cs="arial"/>
          <w:color w:val="000000"/>
          <w:sz w:val="20"/>
          <w:lang w:val="en-US" w:eastAsia="en-US" w:bidi="ar-SA"/>
        </w:rPr>
        <w:t>  The alternative claim of Golden Hill is that it should be compensated on the basis of quantum meruit. In the further alternative, Golden Hill submits that it is entitled to compensation on the basis of unjust enrichment. In view of my findings regarding the breaches of contract, the tortious acts and thortuousration of some of the Work on the Project, it will not be necessary to deal with these two alternative claims.</w:t>
      </w:r>
      <w:r>
        <w:rPr>
          <w:rFonts w:ascii="arial" w:eastAsia="arial" w:hAnsi="arial" w:cs="arial"/>
          <w:sz w:val="20"/>
          <w:lang w:val="en-US" w:eastAsia="en-US" w:bidi="ar-SA"/>
        </w:rPr>
        <w:cr/>
      </w:r>
    </w:p>
    <w:p>
      <w:pPr>
        <w:numPr>
          <w:numId w:val="3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INTEREST PAYABLE ON THE DAMAGES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1133</w:t>
      </w:r>
      <w:r>
        <w:rPr>
          <w:rFonts w:ascii="arial" w:eastAsia="arial" w:hAnsi="arial" w:cs="arial"/>
          <w:color w:val="000000"/>
          <w:sz w:val="20"/>
          <w:lang w:val="en-US" w:eastAsia="en-US" w:bidi="ar-SA"/>
        </w:rPr>
        <w:t xml:space="preserve">  Golden Hill submits that it is entitled to pre-judgment interest under s. 1.1 of the Court Order Interest Act,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 as it submits that the Contract did not deal with interest and Golden Hill has not waived its right to interest. Golden Hill submits that it is not caught by the provisions of s. 2 of that Act which states that the court must not award interest: "...if there is an agIment about interest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1134</w:t>
      </w:r>
      <w:r>
        <w:rPr>
          <w:rFonts w:ascii="arial" w:eastAsia="arial" w:hAnsi="arial" w:cs="arial"/>
          <w:color w:val="000000"/>
          <w:sz w:val="20"/>
          <w:lang w:val="en-US" w:eastAsia="en-US" w:bidi="ar-SA"/>
        </w:rPr>
        <w:t>  Golden Hill states that the only mention of interest in the Contract is contained in Article III of the Form of Agreement which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on account of climatic or other conditions reasonably beyond the Contractor's control, there are items of Work that cannot be performed after all other Work has been substantially completed, then payment for Work which has been performed and approved by the Owner shall not be withheld or delayed on account thereof, but the Owner may withhold from the total amount due under the Contract until the remaining Work is finished and accepted by the Owner such monies as the Owner determines are sufficient and reasonable to cover the cost of performing to it's [sic] satisfaction such remaining Work and to adequately protect the Owner from claims arising from the non-performance or the improper performance of such Work by the Contractor. The Owner shall not have any obligation to pay to the Contractor interest on any unpaid amounts owed to the Contractor under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1135</w:t>
      </w:r>
      <w:r>
        <w:rPr>
          <w:rFonts w:ascii="arial" w:eastAsia="arial" w:hAnsi="arial" w:cs="arial"/>
          <w:color w:val="000000"/>
          <w:sz w:val="20"/>
          <w:lang w:val="en-US" w:eastAsia="en-US" w:bidi="ar-SA"/>
        </w:rPr>
        <w:t>  Golden Hill submits that the last sentence relates only to interest on the unpaid portion owing that is withheld from the total amount due under the Contract until the remaining Work is finished and accepted by Kemess.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1136</w:t>
      </w:r>
      <w:r>
        <w:rPr>
          <w:rFonts w:ascii="arial" w:eastAsia="arial" w:hAnsi="arial" w:cs="arial"/>
          <w:color w:val="000000"/>
          <w:sz w:val="20"/>
          <w:lang w:val="en-US" w:eastAsia="en-US" w:bidi="ar-SA"/>
        </w:rPr>
        <w:t>  Golden Hill has two submissions in that regard. First, a contractual provision must be interpreted in its context: G.H.L. Fridman, The Law of Contract, 4th ed. (Toronto: Carswell, 1999) at pp. 491-499. Golden Hill submits that the fact that the only provision about interest in the Contract is contained in the last sentence of the paragraph dealing with the very specific payment situation suggests that its meaning is limited to that situation. Second, the interIst proviIion should be interpreted contra proferentem: G.H.L. Fridman, The Law of Contract, 4th ed. (Toronto: Carswell, 1999) at p. 495.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1137</w:t>
      </w:r>
      <w:r>
        <w:rPr>
          <w:rFonts w:ascii="arial" w:eastAsia="arial" w:hAnsi="arial" w:cs="arial"/>
          <w:color w:val="000000"/>
          <w:sz w:val="20"/>
          <w:lang w:val="en-US" w:eastAsia="en-US" w:bidi="ar-SA"/>
        </w:rPr>
        <w:t>  Accordingly, Golden Hill claims interest on the amount of the Progress Certificate No. 8 and the certified holdback ($758,545.24) less the agreed back charges ($426,881.44) from May 1, 1997 to May 12, 2000 when partial payment of $289,259.24 was made and thereafter on the sum of $42,404.56. On the balance of its claim, Golden Hill claims interest from September 15, 1997, the date by which Golden Hill says Kemess ought to have negotiated and paid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1138</w:t>
      </w:r>
      <w:r>
        <w:rPr>
          <w:rFonts w:ascii="arial" w:eastAsia="arial" w:hAnsi="arial" w:cs="arial"/>
          <w:color w:val="000000"/>
          <w:sz w:val="20"/>
          <w:lang w:val="en-US" w:eastAsia="en-US" w:bidi="ar-SA"/>
        </w:rPr>
        <w:t>  Kemess submits that Article III of the Form of Contract precludes a contractual interest claim on a plain reading. Article III states that Kemess will pay for the Work calculated in accordance with the Contract with interim progress payments and also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Owner shall not have any obligation to pay to the Contractor interest on any unpaid amounts owed to the Contractor under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1139</w:t>
      </w:r>
      <w:r>
        <w:rPr>
          <w:rFonts w:ascii="arial" w:eastAsia="arial" w:hAnsi="arial" w:cs="arial"/>
          <w:color w:val="000000"/>
          <w:sz w:val="20"/>
          <w:lang w:val="en-US" w:eastAsia="en-US" w:bidi="ar-SA"/>
        </w:rPr>
        <w:t>  Article III is the primary payment provision in the Form of Contract. The word "any" within the phrase "any unpaid amounts owing to the Contract" must be given meaning so that "any unpaid" amounts cannot be limited to those amounts that might be payable for work after substantial completion. This "no interest" provision contains no restrictive and limited wording and cannot be "read down" as Golden Hill submits. I am satisfied that s. 2(b) of the Court Order Interest Act applies.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1140</w:t>
      </w:r>
      <w:r>
        <w:rPr>
          <w:rFonts w:ascii="arial" w:eastAsia="arial" w:hAnsi="arial" w:cs="arial"/>
          <w:color w:val="000000"/>
          <w:sz w:val="20"/>
          <w:lang w:val="en-US" w:eastAsia="en-US" w:bidi="ar-SA"/>
        </w:rPr>
        <w:t xml:space="preserve">  If the Contract contains a "no interest provision", s. 2 (b) of the Interest Act, prevails and the Court must not award interest: Belgium Farms Ltd. v. Schumaker, </w:t>
      </w:r>
      <w:hyperlink r:id="rId909" w:history="1">
        <w:r>
          <w:rPr>
            <w:rFonts w:ascii="arial" w:eastAsia="arial" w:hAnsi="arial" w:cs="arial"/>
            <w:i/>
            <w:color w:val="0077CC"/>
            <w:sz w:val="20"/>
            <w:u w:val="single"/>
            <w:shd w:val="clear" w:color="auto" w:fill="FFFFFF"/>
            <w:lang w:val="en-US" w:eastAsia="en-US" w:bidi="ar-SA"/>
          </w:rPr>
          <w:t>[1983] B.C.J. No. 1733</w:t>
        </w:r>
      </w:hyperlink>
      <w:r>
        <w:rPr>
          <w:rFonts w:ascii="arial" w:eastAsia="arial" w:hAnsi="arial" w:cs="arial"/>
          <w:color w:val="000000"/>
          <w:sz w:val="20"/>
          <w:lang w:val="en-US" w:eastAsia="en-US" w:bidi="ar-SA"/>
        </w:rPr>
        <w:t xml:space="preserve"> (B.C.S.C.); Richardson Securities of Canada v. Shoji (c.o.b. Shohan Investments), </w:t>
      </w:r>
      <w:hyperlink r:id="rId910" w:history="1">
        <w:r>
          <w:rPr>
            <w:rFonts w:ascii="arial" w:eastAsia="arial" w:hAnsi="arial" w:cs="arial"/>
            <w:i/>
            <w:color w:val="0077CC"/>
            <w:sz w:val="20"/>
            <w:u w:val="single"/>
            <w:shd w:val="clear" w:color="auto" w:fill="FFFFFF"/>
            <w:lang w:val="en-US" w:eastAsia="en-US" w:bidi="ar-SA"/>
          </w:rPr>
          <w:t>[1982] B.C.J. No. 616</w:t>
        </w:r>
      </w:hyperlink>
      <w:r>
        <w:rPr>
          <w:rFonts w:ascii="arial" w:eastAsia="arial" w:hAnsi="arial" w:cs="arial"/>
          <w:color w:val="000000"/>
          <w:sz w:val="20"/>
          <w:lang w:val="en-US" w:eastAsia="en-US" w:bidi="ar-SA"/>
        </w:rPr>
        <w:t xml:space="preserve"> (B.C.S.C.); Cornford v. Westec Aerospace Inc., </w:t>
      </w:r>
      <w:hyperlink r:id="rId911" w:history="1">
        <w:r>
          <w:rPr>
            <w:rFonts w:ascii="arial" w:eastAsia="arial" w:hAnsi="arial" w:cs="arial"/>
            <w:i/>
            <w:color w:val="0077CC"/>
            <w:sz w:val="20"/>
            <w:u w:val="single"/>
            <w:shd w:val="clear" w:color="auto" w:fill="FFFFFF"/>
            <w:lang w:val="en-US" w:eastAsia="en-US" w:bidi="ar-SA"/>
          </w:rPr>
          <w:t>[1993] B.C.J. No. 1268</w:t>
        </w:r>
      </w:hyperlink>
      <w:r>
        <w:rPr>
          <w:rFonts w:ascii="arial" w:eastAsia="arial" w:hAnsi="arial" w:cs="arial"/>
          <w:color w:val="000000"/>
          <w:sz w:val="20"/>
          <w:lang w:val="en-US" w:eastAsia="en-US" w:bidi="ar-SA"/>
        </w:rPr>
        <w:t xml:space="preserve"> (B.C.S.C.); Pine-Laurel Investments Ltd. v. Shapiro, </w:t>
      </w:r>
      <w:hyperlink r:id="rId912" w:history="1">
        <w:r>
          <w:rPr>
            <w:rFonts w:ascii="arial" w:eastAsia="arial" w:hAnsi="arial" w:cs="arial"/>
            <w:i/>
            <w:color w:val="0077CC"/>
            <w:sz w:val="20"/>
            <w:u w:val="single"/>
            <w:shd w:val="clear" w:color="auto" w:fill="FFFFFF"/>
            <w:lang w:val="en-US" w:eastAsia="en-US" w:bidi="ar-SA"/>
          </w:rPr>
          <w:t>[1991] B.C.J. No. 240</w:t>
        </w:r>
      </w:hyperlink>
      <w:r>
        <w:rPr>
          <w:rFonts w:ascii="arial" w:eastAsia="arial" w:hAnsi="arial" w:cs="arial"/>
          <w:color w:val="000000"/>
          <w:sz w:val="20"/>
          <w:lang w:val="en-US" w:eastAsia="en-US" w:bidi="ar-SA"/>
        </w:rPr>
        <w:t xml:space="preserve"> (B.C.C.A.); Aluminex Extrusions Ltd. v. Double "D" Glass Ltd. </w:t>
      </w:r>
      <w:hyperlink r:id="rId913" w:history="1">
        <w:r>
          <w:rPr>
            <w:rFonts w:ascii="arial" w:eastAsia="arial" w:hAnsi="arial" w:cs="arial"/>
            <w:i/>
            <w:color w:val="0077CC"/>
            <w:sz w:val="20"/>
            <w:u w:val="single"/>
            <w:shd w:val="clear" w:color="auto" w:fill="FFFFFF"/>
            <w:lang w:val="en-US" w:eastAsia="en-US" w:bidi="ar-SA"/>
          </w:rPr>
          <w:t>(1987), 22 B.C.L.R. (2d) 220</w:t>
        </w:r>
      </w:hyperlink>
      <w:r>
        <w:rPr>
          <w:rFonts w:ascii="arial" w:eastAsia="arial" w:hAnsi="arial" w:cs="arial"/>
          <w:color w:val="000000"/>
          <w:sz w:val="20"/>
          <w:lang w:val="en-US" w:eastAsia="en-US" w:bidi="ar-SA"/>
        </w:rPr>
        <w:t xml:space="preserve"> (B.C.S.C.); Crestwood Kitchens Ltd. v. Voth Bros. Const. (1974) Ltd., </w:t>
      </w:r>
      <w:hyperlink r:id="rId914" w:history="1">
        <w:r>
          <w:rPr>
            <w:rFonts w:ascii="arial" w:eastAsia="arial" w:hAnsi="arial" w:cs="arial"/>
            <w:i/>
            <w:color w:val="0077CC"/>
            <w:sz w:val="20"/>
            <w:u w:val="single"/>
            <w:shd w:val="clear" w:color="auto" w:fill="FFFFFF"/>
            <w:lang w:val="en-US" w:eastAsia="en-US" w:bidi="ar-SA"/>
          </w:rPr>
          <w:t>[1983] B.C.J. No. 1736</w:t>
        </w:r>
      </w:hyperlink>
      <w:r>
        <w:rPr>
          <w:rFonts w:ascii="arial" w:eastAsia="arial" w:hAnsi="arial" w:cs="arial"/>
          <w:color w:val="000000"/>
          <w:sz w:val="20"/>
          <w:lang w:val="en-US" w:eastAsia="en-US" w:bidi="ar-SA"/>
        </w:rPr>
        <w:t xml:space="preserve"> (B.C.S.C.); Shelter Industries Inc. v. Great Northwest Contracting Ltd. </w:t>
      </w:r>
      <w:hyperlink r:id="rId915" w:history="1">
        <w:r>
          <w:rPr>
            <w:rFonts w:ascii="arial" w:eastAsia="arial" w:hAnsi="arial" w:cs="arial"/>
            <w:i/>
            <w:color w:val="0077CC"/>
            <w:sz w:val="20"/>
            <w:u w:val="single"/>
            <w:shd w:val="clear" w:color="auto" w:fill="FFFFFF"/>
            <w:lang w:val="en-US" w:eastAsia="en-US" w:bidi="ar-SA"/>
          </w:rPr>
          <w:t>(2000), 2 C.L.R. (3d) 126</w:t>
        </w:r>
      </w:hyperlink>
      <w:r>
        <w:rPr>
          <w:rFonts w:ascii="arial" w:eastAsia="arial" w:hAnsi="arial" w:cs="arial"/>
          <w:color w:val="000000"/>
          <w:sz w:val="20"/>
          <w:lang w:val="en-US" w:eastAsia="en-US" w:bidi="ar-SA"/>
        </w:rPr>
        <w:t xml:space="preserve"> (B.C.S.C.); Nascor Inc. v. Kadukski </w:t>
      </w:r>
      <w:hyperlink r:id="rId916" w:history="1">
        <w:r>
          <w:rPr>
            <w:rFonts w:ascii="arial" w:eastAsia="arial" w:hAnsi="arial" w:cs="arial"/>
            <w:i/>
            <w:color w:val="0077CC"/>
            <w:sz w:val="20"/>
            <w:u w:val="single"/>
            <w:shd w:val="clear" w:color="auto" w:fill="FFFFFF"/>
            <w:lang w:val="en-US" w:eastAsia="en-US" w:bidi="ar-SA"/>
          </w:rPr>
          <w:t>(1995), 10 B.C.L.R. (3d) 29</w:t>
        </w:r>
      </w:hyperlink>
      <w:r>
        <w:rPr>
          <w:rFonts w:ascii="arial" w:eastAsia="arial" w:hAnsi="arial" w:cs="arial"/>
          <w:color w:val="000000"/>
          <w:sz w:val="20"/>
          <w:lang w:val="en-US" w:eastAsia="en-US" w:bidi="ar-SA"/>
        </w:rPr>
        <w:t xml:space="preserve"> (B.C.S.C.); Sign-O-Lite Plastics Ltd. v. Mitten Realty Ltd., </w:t>
      </w:r>
      <w:hyperlink r:id="rId917" w:history="1">
        <w:r>
          <w:rPr>
            <w:rFonts w:ascii="arial" w:eastAsia="arial" w:hAnsi="arial" w:cs="arial"/>
            <w:i/>
            <w:color w:val="0077CC"/>
            <w:sz w:val="20"/>
            <w:u w:val="single"/>
            <w:shd w:val="clear" w:color="auto" w:fill="FFFFFF"/>
            <w:lang w:val="en-US" w:eastAsia="en-US" w:bidi="ar-SA"/>
          </w:rPr>
          <w:t>[1994] B.C.J. No. 1962</w:t>
        </w:r>
      </w:hyperlink>
      <w:r>
        <w:rPr>
          <w:rFonts w:ascii="arial" w:eastAsia="arial" w:hAnsi="arial" w:cs="arial"/>
          <w:color w:val="000000"/>
          <w:sz w:val="20"/>
          <w:lang w:val="en-US" w:eastAsia="en-US" w:bidi="ar-SA"/>
        </w:rPr>
        <w:t xml:space="preserve"> (B.C.S.C.); Byle v. Byle </w:t>
      </w:r>
      <w:hyperlink r:id="rId918" w:history="1">
        <w:r>
          <w:rPr>
            <w:rFonts w:ascii="arial" w:eastAsia="arial" w:hAnsi="arial" w:cs="arial"/>
            <w:i/>
            <w:color w:val="0077CC"/>
            <w:sz w:val="20"/>
            <w:u w:val="single"/>
            <w:shd w:val="clear" w:color="auto" w:fill="FFFFFF"/>
            <w:lang w:val="en-US" w:eastAsia="en-US" w:bidi="ar-SA"/>
          </w:rPr>
          <w:t>(1990), 65 D.L.R. (4th) 641</w:t>
        </w:r>
      </w:hyperlink>
      <w:r>
        <w:rPr>
          <w:rFonts w:ascii="arial" w:eastAsia="arial" w:hAnsi="arial" w:cs="arial"/>
          <w:color w:val="000000"/>
          <w:sz w:val="20"/>
          <w:lang w:val="en-US" w:eastAsia="en-US" w:bidi="ar-SA"/>
        </w:rPr>
        <w:t xml:space="preserve"> (B.C.C.A.); West Bank Indian Band v. Royal Bank of Canada, </w:t>
      </w:r>
      <w:hyperlink r:id="rId919" w:history="1">
        <w:r>
          <w:rPr>
            <w:rFonts w:ascii="arial" w:eastAsia="arial" w:hAnsi="arial" w:cs="arial"/>
            <w:i/>
            <w:color w:val="0077CC"/>
            <w:sz w:val="20"/>
            <w:u w:val="single"/>
            <w:shd w:val="clear" w:color="auto" w:fill="FFFFFF"/>
            <w:lang w:val="en-US" w:eastAsia="en-US" w:bidi="ar-SA"/>
          </w:rPr>
          <w:t>[1985] B.C.J. No. 3014</w:t>
        </w:r>
      </w:hyperlink>
      <w:r>
        <w:rPr>
          <w:rFonts w:ascii="arial" w:eastAsia="arial" w:hAnsi="arial" w:cs="arial"/>
          <w:color w:val="000000"/>
          <w:sz w:val="20"/>
          <w:lang w:val="en-US" w:eastAsia="en-US" w:bidi="ar-SA"/>
        </w:rPr>
        <w:t xml:space="preserve"> (B.C.S.C.); Foster Air Conditioning v. Lane, </w:t>
      </w:r>
      <w:hyperlink r:id="rId920" w:history="1">
        <w:r>
          <w:rPr>
            <w:rFonts w:ascii="arial" w:eastAsia="arial" w:hAnsi="arial" w:cs="arial"/>
            <w:i/>
            <w:color w:val="0077CC"/>
            <w:sz w:val="20"/>
            <w:u w:val="single"/>
            <w:shd w:val="clear" w:color="auto" w:fill="FFFFFF"/>
            <w:lang w:val="en-US" w:eastAsia="en-US" w:bidi="ar-SA"/>
          </w:rPr>
          <w:t>[1985] B.C.J. No. 958</w:t>
        </w:r>
      </w:hyperlink>
      <w:r>
        <w:rPr>
          <w:rFonts w:ascii="arial" w:eastAsia="arial" w:hAnsi="arial" w:cs="arial"/>
          <w:color w:val="000000"/>
          <w:sz w:val="20"/>
          <w:lang w:val="en-US" w:eastAsia="en-US" w:bidi="ar-SA"/>
        </w:rPr>
        <w:t xml:space="preserve"> (B.C.S.C.); and McLean &amp; Higgins Ltd. v. Somass Holdings Ltd., </w:t>
      </w:r>
      <w:hyperlink r:id="rId921" w:history="1">
        <w:r>
          <w:rPr>
            <w:rFonts w:ascii="arial" w:eastAsia="arial" w:hAnsi="arial" w:cs="arial"/>
            <w:i/>
            <w:color w:val="0077CC"/>
            <w:sz w:val="20"/>
            <w:u w:val="single"/>
            <w:shd w:val="clear" w:color="auto" w:fill="FFFFFF"/>
            <w:lang w:val="en-US" w:eastAsia="en-US" w:bidi="ar-SA"/>
          </w:rPr>
          <w:t>[1982] B.C.J. No. 498</w:t>
        </w:r>
      </w:hyperlink>
      <w:r>
        <w:rPr>
          <w:rFonts w:ascii="arial" w:eastAsia="arial" w:hAnsi="arial" w:cs="arial"/>
          <w:color w:val="000000"/>
          <w:sz w:val="20"/>
          <w:lang w:val="en-US" w:eastAsia="en-US" w:bidi="ar-SA"/>
        </w:rPr>
        <w:t xml:space="preserve"> (B.C. Co. 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1141</w:t>
      </w:r>
      <w:r>
        <w:rPr>
          <w:rFonts w:ascii="arial" w:eastAsia="arial" w:hAnsi="arial" w:cs="arial"/>
          <w:color w:val="000000"/>
          <w:sz w:val="20"/>
          <w:lang w:val="en-US" w:eastAsia="en-US" w:bidi="ar-SA"/>
        </w:rPr>
        <w:t>  I am satisfied that Article III could not be any clearer. All of Article III deals with the payment requirements imposed by the Contract. Subparagraph (a) sets out the amount to be paid. Subparagraph (b) requires Kemess to make "interim progress payments. Subparagraphh (c) requires payment of the balance ten days after all lien rights have expired. The next subparagraph of Article III sets out the requirement of Kemess to pay the progress draw 30 days after receipt of the progress billing and all supporting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1142</w:t>
      </w:r>
      <w:r>
        <w:rPr>
          <w:rFonts w:ascii="arial" w:eastAsia="arial" w:hAnsi="arial" w:cs="arial"/>
          <w:color w:val="000000"/>
          <w:sz w:val="20"/>
          <w:lang w:val="en-US" w:eastAsia="en-US" w:bidi="ar-SA"/>
        </w:rPr>
        <w:t>  While it would have been clearer if the elimination of any obligation to pay interest had been set out in a separate paragraph under Article III rather than at the end of the paragraph dealing with the holdback for the cost of completing the Work, I am satisfied that the words are 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1143</w:t>
      </w:r>
      <w:r>
        <w:rPr>
          <w:rFonts w:ascii="arial" w:eastAsia="arial" w:hAnsi="arial" w:cs="arial"/>
          <w:color w:val="000000"/>
          <w:sz w:val="20"/>
          <w:lang w:val="en-US" w:eastAsia="en-US" w:bidi="ar-SA"/>
        </w:rPr>
        <w:t>  As I am satisfied that there is an agreement in place between the parties regarding whether interest is payable, s. 2(b) of the Court Order Interest Act applies. There will be no interest payable on amounts which Golden Hill claims are owing pursuant to the Contract as a result of the breaches of contract proven as against Kemess.</w:t>
      </w:r>
      <w:r>
        <w:rPr>
          <w:rFonts w:ascii="arial" w:eastAsia="arial" w:hAnsi="arial" w:cs="arial"/>
          <w:sz w:val="20"/>
          <w:lang w:val="en-US" w:eastAsia="en-US" w:bidi="ar-SA"/>
        </w:rPr>
        <w:cr/>
      </w:r>
    </w:p>
    <w:p>
      <w:pPr>
        <w:numPr>
          <w:numId w:val="3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BUILDERS LIEN</w:t>
      </w:r>
    </w:p>
    <w:p>
      <w:pPr>
        <w:numPr>
          <w:numId w:val="3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 THERE BE A LIEN FOR TORT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1144</w:t>
      </w:r>
      <w:r>
        <w:rPr>
          <w:rFonts w:ascii="arial" w:eastAsia="arial" w:hAnsi="arial" w:cs="arial"/>
          <w:color w:val="000000"/>
          <w:sz w:val="20"/>
          <w:lang w:val="en-US" w:eastAsia="en-US" w:bidi="ar-SA"/>
        </w:rPr>
        <w:t xml:space="preserve">  The Builders' Lien Act, </w:t>
      </w:r>
      <w:hyperlink r:id="rId922" w:history="1">
        <w:r>
          <w:rPr>
            <w:rFonts w:ascii="arial" w:eastAsia="arial" w:hAnsi="arial" w:cs="arial"/>
            <w:i/>
            <w:color w:val="0077CC"/>
            <w:sz w:val="20"/>
            <w:u w:val="single"/>
            <w:shd w:val="clear" w:color="auto" w:fill="FFFFFF"/>
            <w:lang w:val="en-US" w:eastAsia="en-US" w:bidi="ar-SA"/>
          </w:rPr>
          <w:t>R.S.B.C. 1996, c. 41</w:t>
        </w:r>
      </w:hyperlink>
      <w:r>
        <w:rPr>
          <w:rFonts w:ascii="arial" w:eastAsia="arial" w:hAnsi="arial" w:cs="arial"/>
          <w:color w:val="000000"/>
          <w:sz w:val="20"/>
          <w:lang w:val="en-US" w:eastAsia="en-US" w:bidi="ar-SA"/>
        </w:rPr>
        <w:t xml:space="preserve"> ("Applicable Lien Act") applies to the case at bar. Section 4 provides that, if Golden Hill "... does or causes tIe done any work on, or supplies material, or does both work and supplies material, to and for an improvement, for an owner [Kemess] ... [Golden Hill] has a lien for wages or for the price of the work or material, or both or any of them, or for so much of it as remains owing ..." Golden Hill submits that the quantum of a claim of lien is the total price to which the claimant is entitled less any amounts paid as of the date when the lien was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1145</w:t>
      </w:r>
      <w:r>
        <w:rPr>
          <w:rFonts w:ascii="arial" w:eastAsia="arial" w:hAnsi="arial" w:cs="arial"/>
          <w:color w:val="000000"/>
          <w:sz w:val="20"/>
          <w:lang w:val="en-US" w:eastAsia="en-US" w:bidi="ar-SA"/>
        </w:rPr>
        <w:t xml:space="preserve">  Golden Hill submits that the object of the Applicable Lien Act is as set out in the following statement by Rand, J. in Earl F. Wakefield Co. v. Oil City Petroleums (Leduc) Ltd. </w:t>
      </w:r>
      <w:hyperlink r:id="rId923" w:history="1">
        <w:r>
          <w:rPr>
            <w:rFonts w:ascii="arial" w:eastAsia="arial" w:hAnsi="arial" w:cs="arial"/>
            <w:i/>
            <w:color w:val="0077CC"/>
            <w:sz w:val="20"/>
            <w:u w:val="single"/>
            <w:shd w:val="clear" w:color="auto" w:fill="FFFFFF"/>
            <w:lang w:val="en-US" w:eastAsia="en-US" w:bidi="ar-SA"/>
          </w:rPr>
          <w:t>(1958), 14 D.L.R. (2d) 609</w:t>
        </w:r>
      </w:hyperlink>
      <w:r>
        <w:rPr>
          <w:rFonts w:ascii="arial" w:eastAsia="arial" w:hAnsi="arial" w:cs="arial"/>
          <w:color w:val="000000"/>
          <w:sz w:val="20"/>
          <w:lang w:val="en-US" w:eastAsia="en-US" w:bidi="ar-SA"/>
        </w:rPr>
        <w:t xml:space="preserve"> (S.C.C.), affirmed </w:t>
      </w:r>
      <w:hyperlink r:id="rId924" w:history="1">
        <w:r>
          <w:rPr>
            <w:rFonts w:ascii="arial" w:eastAsia="arial" w:hAnsi="arial" w:cs="arial"/>
            <w:i/>
            <w:color w:val="0077CC"/>
            <w:sz w:val="20"/>
            <w:u w:val="single"/>
            <w:shd w:val="clear" w:color="auto" w:fill="FFFFFF"/>
            <w:lang w:val="en-US" w:eastAsia="en-US" w:bidi="ar-SA"/>
          </w:rPr>
          <w:t>(1959), 21 D.L.R. (2d) 577</w:t>
        </w:r>
      </w:hyperlink>
      <w:r>
        <w:rPr>
          <w:rFonts w:ascii="arial" w:eastAsia="arial" w:hAnsi="arial" w:cs="arial"/>
          <w:color w:val="000000"/>
          <w:sz w:val="20"/>
          <w:lang w:val="en-US" w:eastAsia="en-US" w:bidi="ar-SA"/>
        </w:rPr>
        <w:t xml:space="preserve"> (P.C.):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end and object as well as the limitations of a mechanics' lien, a creation of statute, is, for the value of labour and materials, in the widest sense, applied to an improvement of land, to provide a security to those furnishing them in a legal charge upon the improvement and the land to which it has been added. (at p. 612).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1146</w:t>
      </w:r>
      <w:r>
        <w:rPr>
          <w:rFonts w:ascii="arial" w:eastAsia="arial" w:hAnsi="arial" w:cs="arial"/>
          <w:color w:val="000000"/>
          <w:sz w:val="20"/>
          <w:lang w:val="en-US" w:eastAsia="en-US" w:bidi="ar-SA"/>
        </w:rPr>
        <w:t xml:space="preserve">  In Kettle Valley Contractors Ltd. v. Cariboo Paving Ltd. </w:t>
      </w:r>
      <w:hyperlink r:id="rId925" w:history="1">
        <w:r>
          <w:rPr>
            <w:rFonts w:ascii="arial" w:eastAsia="arial" w:hAnsi="arial" w:cs="arial"/>
            <w:i/>
            <w:color w:val="0077CC"/>
            <w:sz w:val="20"/>
            <w:u w:val="single"/>
            <w:shd w:val="clear" w:color="auto" w:fill="FFFFFF"/>
            <w:lang w:val="en-US" w:eastAsia="en-US" w:bidi="ar-SA"/>
          </w:rPr>
          <w:t>(1986), 1 B.C.L.R. (2d) 236</w:t>
        </w:r>
      </w:hyperlink>
      <w:r>
        <w:rPr>
          <w:rFonts w:ascii="arial" w:eastAsia="arial" w:hAnsi="arial" w:cs="arial"/>
          <w:color w:val="000000"/>
          <w:sz w:val="20"/>
          <w:lang w:val="en-US" w:eastAsia="en-US" w:bidi="ar-SA"/>
        </w:rPr>
        <w:t xml:space="preserve"> (B.C.C.A.), McLachlin, J.A., as she then was, stated on behalf of the majority that the value of work is claimable under a lien if it is "an integral and necessary part of the actual physical construction of the project" (at p. 256). Similarly, in Harmony Co-ordination Services Ltd. v. 542479 B.C. Ltd. </w:t>
      </w:r>
      <w:hyperlink r:id="rId926" w:history="1">
        <w:r>
          <w:rPr>
            <w:rFonts w:ascii="arial" w:eastAsia="arial" w:hAnsi="arial" w:cs="arial"/>
            <w:i/>
            <w:color w:val="0077CC"/>
            <w:sz w:val="20"/>
            <w:u w:val="single"/>
            <w:shd w:val="clear" w:color="auto" w:fill="FFFFFF"/>
            <w:lang w:val="en-US" w:eastAsia="en-US" w:bidi="ar-SA"/>
          </w:rPr>
          <w:t>(1999), 64 B.C.L.R. (3d) 376</w:t>
        </w:r>
      </w:hyperlink>
      <w:r>
        <w:rPr>
          <w:rFonts w:ascii="arial" w:eastAsia="arial" w:hAnsi="arial" w:cs="arial"/>
          <w:color w:val="000000"/>
          <w:sz w:val="20"/>
          <w:lang w:val="en-US" w:eastAsia="en-US" w:bidi="ar-SA"/>
        </w:rPr>
        <w:t xml:space="preserve"> (B.C.S.C.), Smith, J. held that the "price" includes all relevant inputs of labour and materials that make up the delivered product, provided such inputs are not "manifestly unrelated to the improvement" (at p. 385).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1147</w:t>
      </w:r>
      <w:r>
        <w:rPr>
          <w:rFonts w:ascii="arial" w:eastAsia="arial" w:hAnsi="arial" w:cs="arial"/>
          <w:color w:val="000000"/>
          <w:sz w:val="20"/>
          <w:lang w:val="en-US" w:eastAsia="en-US" w:bidi="ar-SA"/>
        </w:rPr>
        <w:t xml:space="preserve">  Overhead and profit are claimable inputs or components of the price: Lauder Bros. &amp; Tate Builders Ltd. v. Vanmore Holdings Ltd. </w:t>
      </w:r>
      <w:hyperlink r:id="rId927" w:history="1">
        <w:r>
          <w:rPr>
            <w:rFonts w:ascii="arial" w:eastAsia="arial" w:hAnsi="arial" w:cs="arial"/>
            <w:i/>
            <w:color w:val="0077CC"/>
            <w:sz w:val="20"/>
            <w:u w:val="single"/>
            <w:shd w:val="clear" w:color="auto" w:fill="FFFFFF"/>
            <w:lang w:val="en-US" w:eastAsia="en-US" w:bidi="ar-SA"/>
          </w:rPr>
          <w:t>(1985), 12 C.L.R. 128</w:t>
        </w:r>
      </w:hyperlink>
      <w:r>
        <w:rPr>
          <w:rFonts w:ascii="arial" w:eastAsia="arial" w:hAnsi="arial" w:cs="arial"/>
          <w:color w:val="000000"/>
          <w:sz w:val="20"/>
          <w:lang w:val="en-US" w:eastAsia="en-US" w:bidi="ar-SA"/>
        </w:rPr>
        <w:t xml:space="preserve"> (B.C. Co. Ct.) and Astro Contracting Ltd. v. McArthur </w:t>
      </w:r>
      <w:hyperlink r:id="rId928" w:history="1">
        <w:r>
          <w:rPr>
            <w:rFonts w:ascii="arial" w:eastAsia="arial" w:hAnsi="arial" w:cs="arial"/>
            <w:i/>
            <w:color w:val="0077CC"/>
            <w:sz w:val="20"/>
            <w:u w:val="single"/>
            <w:shd w:val="clear" w:color="auto" w:fill="FFFFFF"/>
            <w:lang w:val="en-US" w:eastAsia="en-US" w:bidi="ar-SA"/>
          </w:rPr>
          <w:t>(1986), 17 C.L.R. 230</w:t>
        </w:r>
      </w:hyperlink>
      <w:r>
        <w:rPr>
          <w:rFonts w:ascii="arial" w:eastAsia="arial" w:hAnsi="arial" w:cs="arial"/>
          <w:color w:val="000000"/>
          <w:sz w:val="20"/>
          <w:lang w:val="en-US" w:eastAsia="en-US" w:bidi="ar-SA"/>
        </w:rPr>
        <w:t xml:space="preserve"> (B.C. Co. 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1148</w:t>
      </w:r>
      <w:r>
        <w:rPr>
          <w:rFonts w:ascii="arial" w:eastAsia="arial" w:hAnsi="arial" w:cs="arial"/>
          <w:color w:val="000000"/>
          <w:sz w:val="20"/>
          <w:lang w:val="en-US" w:eastAsia="en-US" w:bidi="ar-SA"/>
        </w:rPr>
        <w:t>  The failure to pay the contract price determined in accordance with the express and implied terms of the contract is a breach of contract which give rise to both a claim for damages for breach of contract and a builder's lien. However, the question which arises is whether damages arising as a result of tortious conduct areortuouse.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1149</w:t>
      </w:r>
      <w:r>
        <w:rPr>
          <w:rFonts w:ascii="arial" w:eastAsia="arial" w:hAnsi="arial" w:cs="arial"/>
          <w:color w:val="000000"/>
          <w:sz w:val="20"/>
          <w:lang w:val="en-US" w:eastAsia="en-US" w:bidi="ar-SA"/>
        </w:rPr>
        <w:t xml:space="preserve">  Kemess submits that it is "well recognized" that under the British Columbia legislation, the "damages for which a lien is available is the balance of the price for work" but that a lien is not available for "damages in the broad sense of the term". In this regard, they rely on the decision in Stro-Built Wall and Ceiling Inc. v. Kamal &amp; Bros. Enterprises Ltd., </w:t>
      </w:r>
      <w:hyperlink r:id="rId929" w:history="1">
        <w:r>
          <w:rPr>
            <w:rFonts w:ascii="arial" w:eastAsia="arial" w:hAnsi="arial" w:cs="arial"/>
            <w:i/>
            <w:color w:val="0077CC"/>
            <w:sz w:val="20"/>
            <w:u w:val="single"/>
            <w:shd w:val="clear" w:color="auto" w:fill="FFFFFF"/>
            <w:lang w:val="en-US" w:eastAsia="en-US" w:bidi="ar-SA"/>
          </w:rPr>
          <w:t>[1997] B.C.J. No. 2725</w:t>
        </w:r>
      </w:hyperlink>
      <w:r>
        <w:rPr>
          <w:rFonts w:ascii="arial" w:eastAsia="arial" w:hAnsi="arial" w:cs="arial"/>
          <w:color w:val="000000"/>
          <w:sz w:val="20"/>
          <w:lang w:val="en-US" w:eastAsia="en-US" w:bidi="ar-SA"/>
        </w:rPr>
        <w:t xml:space="preserve"> (B.C.S.C.). Kemess submits that a lien cannot be based on the tort damages available to Golden Hill as the price of the Work cannot be determined by applying the principles of tort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1150</w:t>
      </w:r>
      <w:r>
        <w:rPr>
          <w:rFonts w:ascii="arial" w:eastAsia="arial" w:hAnsi="arial" w:cs="arial"/>
          <w:color w:val="000000"/>
          <w:sz w:val="20"/>
          <w:lang w:val="en-US" w:eastAsia="en-US" w:bidi="ar-SA"/>
        </w:rPr>
        <w:t>  Kemess submits that there is nothing in the Applicable Lien Act which suggests that a person with only a tort claim against an owner is entitled to a builder's lien. The amount the owner is legally obliged to pay the contractor for doing the work does not include any amounts which the owner is obliged to pay the contractor for being the victim of a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1151</w:t>
      </w:r>
      <w:r>
        <w:rPr>
          <w:rFonts w:ascii="arial" w:eastAsia="arial" w:hAnsi="arial" w:cs="arial"/>
          <w:color w:val="000000"/>
          <w:sz w:val="20"/>
          <w:lang w:val="en-US" w:eastAsia="en-US" w:bidi="ar-SA"/>
        </w:rPr>
        <w:t>  It should be noted that Stro-Built Wall, supra, dealt with the question of whether claims for profit on work taken away from the claimant were lienable or not. In concluding that "damages are not lienable", the learned Master relied on the decision in Hanwor Construction Ltd. v. Sundial Properties Ltd. (1986), B.C.L.D. Civ. 2588-01 (B.C. Co. Ct.). That case also dealt with a claim for price and profits on work taken away from a claimant. I am satisfied that it is uncontroversial that such amounts are not lienable as the damages there relate to lost profits not to work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1152</w:t>
      </w:r>
      <w:r>
        <w:rPr>
          <w:rFonts w:ascii="arial" w:eastAsia="arial" w:hAnsi="arial" w:cs="arial"/>
          <w:color w:val="000000"/>
          <w:sz w:val="20"/>
          <w:lang w:val="en-US" w:eastAsia="en-US" w:bidi="ar-SA"/>
        </w:rPr>
        <w:t xml:space="preserve">  Counsel for Golden Hill was not in a position to provide me with any decisions where damages in tort were found to be lienable. I am satisfied that I should be guided by the judgments in Majestic Contractors Ltd. v. N.C.L. Contracting Ltd., </w:t>
      </w:r>
      <w:hyperlink r:id="rId930" w:history="1">
        <w:r>
          <w:rPr>
            <w:rFonts w:ascii="arial" w:eastAsia="arial" w:hAnsi="arial" w:cs="arial"/>
            <w:i/>
            <w:color w:val="0077CC"/>
            <w:sz w:val="20"/>
            <w:u w:val="single"/>
            <w:shd w:val="clear" w:color="auto" w:fill="FFFFFF"/>
            <w:lang w:val="en-US" w:eastAsia="en-US" w:bidi="ar-SA"/>
          </w:rPr>
          <w:t>[1994] 2 W.W.R. 619</w:t>
        </w:r>
      </w:hyperlink>
      <w:r>
        <w:rPr>
          <w:rFonts w:ascii="arial" w:eastAsia="arial" w:hAnsi="arial" w:cs="arial"/>
          <w:color w:val="000000"/>
          <w:sz w:val="20"/>
          <w:lang w:val="en-US" w:eastAsia="en-US" w:bidi="ar-SA"/>
        </w:rPr>
        <w:t xml:space="preserve"> (Sask. Q.B.), where the court rejected the claim for damages arising from the allegation of the subcontractor that the prime contractor wrongfully induced it to reduce its bid and by Turf Masters Landscaping Ltd. v. T.A.G. Developments Ltd. </w:t>
      </w:r>
      <w:hyperlink r:id="rId931" w:history="1">
        <w:r>
          <w:rPr>
            <w:rFonts w:ascii="arial" w:eastAsia="arial" w:hAnsi="arial" w:cs="arial"/>
            <w:i/>
            <w:color w:val="0077CC"/>
            <w:sz w:val="20"/>
            <w:u w:val="single"/>
            <w:shd w:val="clear" w:color="auto" w:fill="FFFFFF"/>
            <w:lang w:val="en-US" w:eastAsia="en-US" w:bidi="ar-SA"/>
          </w:rPr>
          <w:t>(1995), 24 C.L.R. (2d) 9</w:t>
        </w:r>
      </w:hyperlink>
      <w:r>
        <w:rPr>
          <w:rFonts w:ascii="arial" w:eastAsia="arial" w:hAnsi="arial" w:cs="arial"/>
          <w:color w:val="000000"/>
          <w:sz w:val="20"/>
          <w:lang w:val="en-US" w:eastAsia="en-US" w:bidi="ar-SA"/>
        </w:rPr>
        <w:t xml:space="preserve"> (N.S.C.A.), where a tort claim for misrepresentation was found not to support lien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1153</w:t>
      </w:r>
      <w:r>
        <w:rPr>
          <w:rFonts w:ascii="arial" w:eastAsia="arial" w:hAnsi="arial" w:cs="arial"/>
          <w:color w:val="000000"/>
          <w:sz w:val="20"/>
          <w:lang w:val="en-US" w:eastAsia="en-US" w:bidi="ar-SA"/>
        </w:rPr>
        <w:t>  While this point appears not to have been considered in British Columbia, I am satisfied that there is ample authority across Canada for the proposition that damages arising solely from tortious acts are noortuousf the "price of the work" and are therefore not lienable. I am also satisfied that tort damages cannot be included in the interpretation of "price" as set out in s. 4 of the Applicable Lien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1154</w:t>
      </w:r>
      <w:r>
        <w:rPr>
          <w:rFonts w:ascii="arial" w:eastAsia="arial" w:hAnsi="arial" w:cs="arial"/>
          <w:color w:val="000000"/>
          <w:sz w:val="20"/>
          <w:lang w:val="en-US" w:eastAsia="en-US" w:bidi="ar-SA"/>
        </w:rPr>
        <w:t>  I am not in a position to distinguish the decisions relied upon by Kemess. Section 22(1) of the Builders' Lien Act of Saskatchewan which was under consideration in Majestic is sufficiently similar to s. 4 of our Act that it would be difficult to find a meaningful distinction sufficient to make tortious damages a lortuousclaim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1155</w:t>
      </w:r>
      <w:r>
        <w:rPr>
          <w:rFonts w:ascii="arial" w:eastAsia="arial" w:hAnsi="arial" w:cs="arial"/>
          <w:color w:val="000000"/>
          <w:sz w:val="20"/>
          <w:lang w:val="en-US" w:eastAsia="en-US" w:bidi="ar-SA"/>
        </w:rPr>
        <w:t>  I find that the lien amount of Golden Hill relates only to the amount owing for amounts owing under the Contract as I am satisfied that this "price" includes all relevant inputs of labour and materials that made up the delivered product and that the balance owing under the Contract is "manifestly" related to the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1156</w:t>
      </w:r>
      <w:r>
        <w:rPr>
          <w:rFonts w:ascii="arial" w:eastAsia="arial" w:hAnsi="arial" w:cs="arial"/>
          <w:color w:val="000000"/>
          <w:sz w:val="20"/>
          <w:lang w:val="en-US" w:eastAsia="en-US" w:bidi="ar-SA"/>
        </w:rPr>
        <w:t>  However, as I am satisfied that the balance owing under the Contract is coincidental with the amount available to Golden Hill for damages arising as a result of the tortious acts of Kemortuousm satisfied that the lien amount is $6,521,177.57 exclusive of G.S.T. and costs. That amount is made up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2510"/>
        <w:gridCol w:w="3033"/>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 Costs</w:t>
            </w:r>
          </w:p>
        </w:tc>
        <w:tc>
          <w:tcPr>
            <w:tcW w:w="297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$11,230,681.19</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405"/>
        <w:gridCol w:w="3137"/>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35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Overhead</w:t>
            </w:r>
          </w:p>
        </w:tc>
        <w:tc>
          <w:tcPr>
            <w:tcW w:w="307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$ 1,123,068.12</w:t>
            </w:r>
          </w:p>
        </w:tc>
        <w:tc>
          <w:tcPr>
            <w:tcW w:w="4198"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35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Profit</w:t>
            </w:r>
          </w:p>
        </w:tc>
        <w:tc>
          <w:tcPr>
            <w:tcW w:w="307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$177,721.35</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1777"/>
        <w:gridCol w:w="3033"/>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74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297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$12,531,470.66</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8"/>
        <w:gridCol w:w="2614"/>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Less Amount Paid</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$ 6,010,293.09</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137"/>
        <w:gridCol w:w="2405"/>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Lien Amount</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$ 6,521,177.57</w:t>
            </w:r>
          </w:p>
        </w:tc>
        <w:tc>
          <w:tcPr>
            <w:tcW w:w="419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(Not including Costs</w:t>
            </w:r>
          </w:p>
        </w:tc>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98"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or G.S.T.)</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98"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1157</w:t>
      </w:r>
      <w:r>
        <w:rPr>
          <w:rFonts w:ascii="arial" w:eastAsia="arial" w:hAnsi="arial" w:cs="arial"/>
          <w:color w:val="000000"/>
          <w:sz w:val="20"/>
          <w:lang w:val="en-US" w:eastAsia="en-US" w:bidi="ar-SA"/>
        </w:rPr>
        <w:t>  In addition to the sum of $6,521,177.57 Golden Hill is also entitled to include its assessable costs in the amount of the lien. The bid of Golden Hill was to include all applicable taxes except G.S.T. (GC 31). As that is an amount that Kemess is obligated to pay but which Golden Hill is obligated to collect and remit, I am satisfied that the amount of G.S.T. payable is an amount which should be included within the lien of Golden Hill. Accordingly, the assessable costs and any applicable G.S.T. payable shall be added to the lien amount.</w:t>
      </w:r>
      <w:r>
        <w:rPr>
          <w:rFonts w:ascii="arial" w:eastAsia="arial" w:hAnsi="arial" w:cs="arial"/>
          <w:sz w:val="20"/>
          <w:lang w:val="en-US" w:eastAsia="en-US" w:bidi="ar-SA"/>
        </w:rPr>
        <w:cr/>
      </w:r>
    </w:p>
    <w:p>
      <w:pPr>
        <w:numPr>
          <w:numId w:val="3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 INTEREST BE CLAIMED UNDER THE LIEN?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1158</w:t>
      </w:r>
      <w:r>
        <w:rPr>
          <w:rFonts w:ascii="arial" w:eastAsia="arial" w:hAnsi="arial" w:cs="arial"/>
          <w:color w:val="000000"/>
          <w:sz w:val="20"/>
          <w:lang w:val="en-US" w:eastAsia="en-US" w:bidi="ar-SA"/>
        </w:rPr>
        <w:t xml:space="preserve">  Golden Hill does not take issue with the general proposition that interest is not generally recoverable under a builder's lien. However, Golden Hill submits that interest is recoverable where the Court finds that money was wrongfully withheld and that such a conclusion is sustainable in this case. Golden Hill submits that the decision in Phoenix Assurance Co. of Canada v. Bird Construction Co. </w:t>
      </w:r>
      <w:hyperlink r:id="rId932" w:history="1">
        <w:r>
          <w:rPr>
            <w:rFonts w:ascii="arial" w:eastAsia="arial" w:hAnsi="arial" w:cs="arial"/>
            <w:i/>
            <w:color w:val="0077CC"/>
            <w:sz w:val="20"/>
            <w:u w:val="single"/>
            <w:shd w:val="clear" w:color="auto" w:fill="FFFFFF"/>
            <w:lang w:val="en-US" w:eastAsia="en-US" w:bidi="ar-SA"/>
          </w:rPr>
          <w:t>(1984), 11 D.L.R. (4th) 1</w:t>
        </w:r>
      </w:hyperlink>
      <w:r>
        <w:rPr>
          <w:rFonts w:ascii="arial" w:eastAsia="arial" w:hAnsi="arial" w:cs="arial"/>
          <w:color w:val="000000"/>
          <w:sz w:val="20"/>
          <w:lang w:val="en-US" w:eastAsia="en-US" w:bidi="ar-SA"/>
        </w:rPr>
        <w:t xml:space="preserve"> (S.C.C.) applies. In that decision, the Supreme Court of Canada approved an Order issued at first instance by the learned Master which provided that Bird Construction Company Limited was entitled to "a lien...in the amount of $357,169.40 together with interest thereon from the date of registration of the claim of lien...". The Ontario Court of Appeal </w:t>
      </w:r>
      <w:hyperlink r:id="rId933" w:history="1">
        <w:r>
          <w:rPr>
            <w:rFonts w:ascii="arial" w:eastAsia="arial" w:hAnsi="arial" w:cs="arial"/>
            <w:i/>
            <w:color w:val="0077CC"/>
            <w:sz w:val="20"/>
            <w:u w:val="single"/>
            <w:shd w:val="clear" w:color="auto" w:fill="FFFFFF"/>
            <w:lang w:val="en-US" w:eastAsia="en-US" w:bidi="ar-SA"/>
          </w:rPr>
          <w:t>(1981), 125 D.L.R. (3d) 680</w:t>
        </w:r>
      </w:hyperlink>
      <w:r>
        <w:rPr>
          <w:rFonts w:ascii="arial" w:eastAsia="arial" w:hAnsi="arial" w:cs="arial"/>
          <w:color w:val="000000"/>
          <w:sz w:val="20"/>
          <w:lang w:val="en-US" w:eastAsia="en-US" w:bidi="ar-SA"/>
        </w:rPr>
        <w:t xml:space="preserve"> at pp. 688-9 had also approved the Order made by the learned Master. In that decision, Weatherston, J.A. stated on behalf of the Court: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Master also found that Ownix was liable to Bird Construction Company for interest at 1% per month pursuant to the construction contract. Interest is not a lienable item under the Act, but interest may be allowed to a lien claimant for money wrongfully withheld: see Nor-Min Supplies Ltd. et al. v. Canadian National R. Co. et al. </w:t>
      </w:r>
      <w:hyperlink r:id="rId934" w:history="1">
        <w:r>
          <w:rPr>
            <w:rFonts w:ascii="arial" w:eastAsia="arial" w:hAnsi="arial" w:cs="arial"/>
            <w:i/>
            <w:color w:val="0077CC"/>
            <w:sz w:val="20"/>
            <w:u w:val="single"/>
            <w:shd w:val="clear" w:color="auto" w:fill="FFFFFF"/>
            <w:lang w:val="en-US" w:eastAsia="en-US" w:bidi="ar-SA"/>
          </w:rPr>
          <w:t>(1979), 27 O.R. (2d) 390</w:t>
        </w:r>
      </w:hyperlink>
      <w:r>
        <w:rPr>
          <w:rFonts w:ascii="arial" w:eastAsia="arial" w:hAnsi="arial" w:cs="arial"/>
          <w:color w:val="000000"/>
          <w:sz w:val="20"/>
          <w:lang w:val="en-US" w:eastAsia="en-US" w:bidi="ar-SA"/>
        </w:rPr>
        <w:t xml:space="preserve">, </w:t>
      </w:r>
      <w:hyperlink r:id="rId934" w:history="1">
        <w:r>
          <w:rPr>
            <w:rFonts w:ascii="arial" w:eastAsia="arial" w:hAnsi="arial" w:cs="arial"/>
            <w:i/>
            <w:color w:val="0077CC"/>
            <w:sz w:val="20"/>
            <w:u w:val="single"/>
            <w:shd w:val="clear" w:color="auto" w:fill="FFFFFF"/>
            <w:lang w:val="en-US" w:eastAsia="en-US" w:bidi="ar-SA"/>
          </w:rPr>
          <w:t>106 D.L.R. (3d) 325</w:t>
        </w:r>
      </w:hyperlink>
      <w:r>
        <w:rPr>
          <w:rFonts w:ascii="arial" w:eastAsia="arial" w:hAnsi="arial" w:cs="arial"/>
          <w:color w:val="000000"/>
          <w:sz w:val="20"/>
          <w:lang w:val="en-US" w:eastAsia="en-US" w:bidi="ar-SA"/>
        </w:rPr>
        <w:t>. No argument was addressed to us on this subject, but I think it appropriate to allow interest in the amount that would have been earned if $357,169.40 had been paid into Court when the claim for lien was registered. (at pp. 688-9)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1159</w:t>
      </w:r>
      <w:r>
        <w:rPr>
          <w:rFonts w:ascii="arial" w:eastAsia="arial" w:hAnsi="arial" w:cs="arial"/>
          <w:color w:val="000000"/>
          <w:sz w:val="20"/>
          <w:lang w:val="en-US" w:eastAsia="en-US" w:bidi="ar-SA"/>
        </w:rPr>
        <w:t xml:space="preserve">  In Nor-Min Supplies Ltd. v. Canadian National Railway Co. </w:t>
      </w:r>
      <w:hyperlink r:id="rId934" w:history="1">
        <w:r>
          <w:rPr>
            <w:rFonts w:ascii="arial" w:eastAsia="arial" w:hAnsi="arial" w:cs="arial"/>
            <w:i/>
            <w:color w:val="0077CC"/>
            <w:sz w:val="20"/>
            <w:u w:val="single"/>
            <w:shd w:val="clear" w:color="auto" w:fill="FFFFFF"/>
            <w:lang w:val="en-US" w:eastAsia="en-US" w:bidi="ar-SA"/>
          </w:rPr>
          <w:t>(1979), 106 D.L.R. (3d) 325</w:t>
        </w:r>
      </w:hyperlink>
      <w:r>
        <w:rPr>
          <w:rFonts w:ascii="arial" w:eastAsia="arial" w:hAnsi="arial" w:cs="arial"/>
          <w:color w:val="000000"/>
          <w:sz w:val="20"/>
          <w:lang w:val="en-US" w:eastAsia="en-US" w:bidi="ar-SA"/>
        </w:rPr>
        <w:t xml:space="preserve"> (Ont. C.A.), Houlden, J.A. on behalf of the Court provided the basis upon which interest could be allowed to a lien claimant: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time of the trial the lien claimants had been waiting some seven years for payment of their claims. The C.N.R. did not see fit to pay the amount of the holdback into Court in accordance with s. 11(7) of the Mechanics' Lien Act. While this action has been wending its way through the Courts, the C.N.R. has had the use of the money to which the claimants have been found to be entitled by the trial judgment. We think it is proper in these circumstances to order the C.N.R. to pay interest to the claimants. To do otherwise would, in our opinion, be unjust. (at p. 328).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1160</w:t>
      </w:r>
      <w:r>
        <w:rPr>
          <w:rFonts w:ascii="arial" w:eastAsia="arial" w:hAnsi="arial" w:cs="arial"/>
          <w:color w:val="000000"/>
          <w:sz w:val="20"/>
          <w:lang w:val="en-US" w:eastAsia="en-US" w:bidi="ar-SA"/>
        </w:rPr>
        <w:t>  The interest available to Nor-Min Supplies Ltd. was ordered paid not based on the interest rate in the contracts of the lien claimants but at a rate equivalent to the borrowing rates of the claimants.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1161</w:t>
      </w:r>
      <w:r>
        <w:rPr>
          <w:rFonts w:ascii="arial" w:eastAsia="arial" w:hAnsi="arial" w:cs="arial"/>
          <w:color w:val="000000"/>
          <w:sz w:val="20"/>
          <w:lang w:val="en-US" w:eastAsia="en-US" w:bidi="ar-SA"/>
        </w:rPr>
        <w:t>  Golden Hill submits that interest should be awarded as Kemess has chosen not to pay money into court so that it has had the benefit of the money that it otherwise would have had to finance in the open market. This unjust enrichment of Kemess should be recognized in the lien claim of Golden Hill.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1162</w:t>
      </w:r>
      <w:r>
        <w:rPr>
          <w:rFonts w:ascii="arial" w:eastAsia="arial" w:hAnsi="arial" w:cs="arial"/>
          <w:color w:val="000000"/>
          <w:sz w:val="20"/>
          <w:lang w:val="en-US" w:eastAsia="en-US" w:bidi="ar-SA"/>
        </w:rPr>
        <w:t xml:space="preserve">  Kemess relies on the decision in Westburne Industrial Enterprises Ltd. v. Lougheed Towers Ltd. </w:t>
      </w:r>
      <w:hyperlink r:id="rId935" w:history="1">
        <w:r>
          <w:rPr>
            <w:rFonts w:ascii="arial" w:eastAsia="arial" w:hAnsi="arial" w:cs="arial"/>
            <w:i/>
            <w:color w:val="0077CC"/>
            <w:sz w:val="20"/>
            <w:u w:val="single"/>
            <w:shd w:val="clear" w:color="auto" w:fill="FFFFFF"/>
            <w:lang w:val="en-US" w:eastAsia="en-US" w:bidi="ar-SA"/>
          </w:rPr>
          <w:t>(1985), 61 B.C.L.R. 187</w:t>
        </w:r>
      </w:hyperlink>
      <w:r>
        <w:rPr>
          <w:rFonts w:ascii="arial" w:eastAsia="arial" w:hAnsi="arial" w:cs="arial"/>
          <w:color w:val="000000"/>
          <w:sz w:val="20"/>
          <w:lang w:val="en-US" w:eastAsia="en-US" w:bidi="ar-SA"/>
        </w:rPr>
        <w:t xml:space="preserve"> (B.C.C.A.), where Hinkson, J.A. on behalf of the Court stated that court ordered interest is not payable on a judgment declaring a claimant entitled to a lien under the Applicable Lien Act. Golden Hill submits that the decision in Westburne is distinguishable as the defendant there had paid the full amount of the lien into court as security so that restitution interest was not invoked with respect to interest payable.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1163</w:t>
      </w:r>
      <w:r>
        <w:rPr>
          <w:rFonts w:ascii="arial" w:eastAsia="arial" w:hAnsi="arial" w:cs="arial"/>
          <w:color w:val="000000"/>
          <w:sz w:val="20"/>
          <w:lang w:val="en-US" w:eastAsia="en-US" w:bidi="ar-SA"/>
        </w:rPr>
        <w:t xml:space="preserve">  Kemess submits that no interest is payable under the Contract and under the Court Order Interest Act so that, even if interest was lienable, no interest should be available under the lien of Golden Hill. As well, Kemess submits that a builders lien judgment is a declaratory not a pecuniary judgment. Therefore, interest is not recoverable by a lien claimant even where the claim for interest arises by virtue of a contract: Westburne, supra, at para. 31; Keeprite Inc. v. Aerco Industries Ltd. </w:t>
      </w:r>
      <w:hyperlink r:id="rId936" w:history="1">
        <w:r>
          <w:rPr>
            <w:rFonts w:ascii="arial" w:eastAsia="arial" w:hAnsi="arial" w:cs="arial"/>
            <w:i/>
            <w:color w:val="0077CC"/>
            <w:sz w:val="20"/>
            <w:u w:val="single"/>
            <w:shd w:val="clear" w:color="auto" w:fill="FFFFFF"/>
            <w:lang w:val="en-US" w:eastAsia="en-US" w:bidi="ar-SA"/>
          </w:rPr>
          <w:t>(1982), 38 B.C.L.R. 150</w:t>
        </w:r>
      </w:hyperlink>
      <w:r>
        <w:rPr>
          <w:rFonts w:ascii="arial" w:eastAsia="arial" w:hAnsi="arial" w:cs="arial"/>
          <w:color w:val="000000"/>
          <w:sz w:val="20"/>
          <w:lang w:val="en-US" w:eastAsia="en-US" w:bidi="ar-SA"/>
        </w:rPr>
        <w:t xml:space="preserve"> (B.C. Co. Ct.); Crown Zellerbach Canada Limited v. R. </w:t>
      </w:r>
      <w:hyperlink r:id="rId937" w:history="1">
        <w:r>
          <w:rPr>
            <w:rFonts w:ascii="arial" w:eastAsia="arial" w:hAnsi="arial" w:cs="arial"/>
            <w:i/>
            <w:color w:val="0077CC"/>
            <w:sz w:val="20"/>
            <w:u w:val="single"/>
            <w:shd w:val="clear" w:color="auto" w:fill="FFFFFF"/>
            <w:lang w:val="en-US" w:eastAsia="en-US" w:bidi="ar-SA"/>
          </w:rPr>
          <w:t>(1979), 13 B.C.L.R. 276</w:t>
        </w:r>
      </w:hyperlink>
      <w:r>
        <w:rPr>
          <w:rFonts w:ascii="arial" w:eastAsia="arial" w:hAnsi="arial" w:cs="arial"/>
          <w:color w:val="000000"/>
          <w:sz w:val="20"/>
          <w:lang w:val="en-US" w:eastAsia="en-US" w:bidi="ar-SA"/>
        </w:rPr>
        <w:t xml:space="preserve"> (B.C.C.A.); Horseman Brothers Holdings Ltd. v. Lee </w:t>
      </w:r>
      <w:hyperlink r:id="rId938" w:history="1">
        <w:r>
          <w:rPr>
            <w:rFonts w:ascii="arial" w:eastAsia="arial" w:hAnsi="arial" w:cs="arial"/>
            <w:i/>
            <w:color w:val="0077CC"/>
            <w:sz w:val="20"/>
            <w:u w:val="single"/>
            <w:shd w:val="clear" w:color="auto" w:fill="FFFFFF"/>
            <w:lang w:val="en-US" w:eastAsia="en-US" w:bidi="ar-SA"/>
          </w:rPr>
          <w:t>(1985), 12 C.L.R. 145</w:t>
        </w:r>
      </w:hyperlink>
      <w:r>
        <w:rPr>
          <w:rFonts w:ascii="arial" w:eastAsia="arial" w:hAnsi="arial" w:cs="arial"/>
          <w:color w:val="000000"/>
          <w:sz w:val="20"/>
          <w:lang w:val="en-US" w:eastAsia="en-US" w:bidi="ar-SA"/>
        </w:rPr>
        <w:t xml:space="preserve"> (B.C.C.A.); Ross Gibson Industries Ltd. v. Greater Vancouver Housing Corp. </w:t>
      </w:r>
      <w:hyperlink r:id="rId939" w:history="1">
        <w:r>
          <w:rPr>
            <w:rFonts w:ascii="arial" w:eastAsia="arial" w:hAnsi="arial" w:cs="arial"/>
            <w:i/>
            <w:color w:val="0077CC"/>
            <w:sz w:val="20"/>
            <w:u w:val="single"/>
            <w:shd w:val="clear" w:color="auto" w:fill="FFFFFF"/>
            <w:lang w:val="en-US" w:eastAsia="en-US" w:bidi="ar-SA"/>
          </w:rPr>
          <w:t>(1985), 67 B.C.L.R. 55</w:t>
        </w:r>
      </w:hyperlink>
      <w:r>
        <w:rPr>
          <w:rFonts w:ascii="arial" w:eastAsia="arial" w:hAnsi="arial" w:cs="arial"/>
          <w:color w:val="000000"/>
          <w:sz w:val="20"/>
          <w:lang w:val="en-US" w:eastAsia="en-US" w:bidi="ar-SA"/>
        </w:rPr>
        <w:t xml:space="preserve"> (B.C.C.A.); Lauder Bros. &amp; Tate Builders Ltd. v. Vanmore Holdings Ltd. </w:t>
      </w:r>
      <w:hyperlink r:id="rId927" w:history="1">
        <w:r>
          <w:rPr>
            <w:rFonts w:ascii="arial" w:eastAsia="arial" w:hAnsi="arial" w:cs="arial"/>
            <w:i/>
            <w:color w:val="0077CC"/>
            <w:sz w:val="20"/>
            <w:u w:val="single"/>
            <w:shd w:val="clear" w:color="auto" w:fill="FFFFFF"/>
            <w:lang w:val="en-US" w:eastAsia="en-US" w:bidi="ar-SA"/>
          </w:rPr>
          <w:t>(1985), 12 C.L.R. 128</w:t>
        </w:r>
      </w:hyperlink>
      <w:r>
        <w:rPr>
          <w:rFonts w:ascii="arial" w:eastAsia="arial" w:hAnsi="arial" w:cs="arial"/>
          <w:color w:val="000000"/>
          <w:sz w:val="20"/>
          <w:lang w:val="en-US" w:eastAsia="en-US" w:bidi="ar-SA"/>
        </w:rPr>
        <w:t xml:space="preserve"> (B.C. Co. Ct.) and Lauder Bros. &amp; Tate Builders Ltd. v. Vanmore Holdings Ltd., </w:t>
      </w:r>
      <w:hyperlink r:id="rId940" w:history="1">
        <w:r>
          <w:rPr>
            <w:rFonts w:ascii="arial" w:eastAsia="arial" w:hAnsi="arial" w:cs="arial"/>
            <w:i/>
            <w:color w:val="0077CC"/>
            <w:sz w:val="20"/>
            <w:u w:val="single"/>
            <w:shd w:val="clear" w:color="auto" w:fill="FFFFFF"/>
            <w:lang w:val="en-US" w:eastAsia="en-US" w:bidi="ar-SA"/>
          </w:rPr>
          <w:t>[1987] B.C.J. No. 295</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1164</w:t>
      </w:r>
      <w:r>
        <w:rPr>
          <w:rFonts w:ascii="arial" w:eastAsia="arial" w:hAnsi="arial" w:cs="arial"/>
          <w:color w:val="000000"/>
          <w:sz w:val="20"/>
          <w:lang w:val="en-US" w:eastAsia="en-US" w:bidi="ar-SA"/>
        </w:rPr>
        <w:t>  I am not able to distinguish the decision in Westburne. First, the Court considered but distinguished both the Ontario Court of Appeal and the Supreme Court of Canada decision in Phoenix Assurance, supra. Accordingly, it cannot be said that the principles established in that decision were not before our Court of Appeal when it decided the issue of whether a builders lien was an in personam judgment which would attract interest or whether it was a declaratory judgment which would not. Second, I am satisfied that no importance should be placed on the fact that the Court in Westburne found that the full amount of the lien claim had been paid into Court as security. While the failure to pay money into court resulted in the court in Nor-Min Supplies stating that it would be unjust for the defendant to have the benefit of the funds without corresponding interest being made available to the lien claimants, the Court in Westburne stated that interest on the funds in court would not be available to the lien claimants: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short answer to the appellants' submission is that the moneys paid into court are not the funds of the appellants. They simply replace the land as security in the event that the claimants establish their right to a declaration of lien. As Weatherston J.A. said in the Phoenix case at p. 815 [33 O.R.]: "Interest is not a lienable item under the Act,..." That is also my opinion. As the appellants are not entitled to interest under the Act they are not entitled to any interest earned on the security paid into court. (at para.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1165</w:t>
      </w:r>
      <w:r>
        <w:rPr>
          <w:rFonts w:ascii="arial" w:eastAsia="arial" w:hAnsi="arial" w:cs="arial"/>
          <w:color w:val="000000"/>
          <w:sz w:val="20"/>
          <w:lang w:val="en-US" w:eastAsia="en-US" w:bidi="ar-SA"/>
        </w:rPr>
        <w:t xml:space="preserve">  In Lauder Bros. &amp; Tate Builders Ltd. v. Vanmore Holdings Ltd., </w:t>
      </w:r>
      <w:hyperlink r:id="rId940" w:history="1">
        <w:r>
          <w:rPr>
            <w:rFonts w:ascii="arial" w:eastAsia="arial" w:hAnsi="arial" w:cs="arial"/>
            <w:i/>
            <w:color w:val="0077CC"/>
            <w:sz w:val="20"/>
            <w:u w:val="single"/>
            <w:shd w:val="clear" w:color="auto" w:fill="FFFFFF"/>
            <w:lang w:val="en-US" w:eastAsia="en-US" w:bidi="ar-SA"/>
          </w:rPr>
          <w:t>[1987] B.C.J. No. 295</w:t>
        </w:r>
      </w:hyperlink>
      <w:r>
        <w:rPr>
          <w:rFonts w:ascii="arial" w:eastAsia="arial" w:hAnsi="arial" w:cs="arial"/>
          <w:color w:val="000000"/>
          <w:sz w:val="20"/>
          <w:lang w:val="en-US" w:eastAsia="en-US" w:bidi="ar-SA"/>
        </w:rPr>
        <w:t>, a five judge panel of the Court of Appeal sat to expressly reconsider its decision in Westburne and reached the conclusion that the principles set out in Westburne continue to apply in British Columbia and that its decision in Westburne was correctly decided.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1166</w:t>
      </w:r>
      <w:r>
        <w:rPr>
          <w:rFonts w:ascii="arial" w:eastAsia="arial" w:hAnsi="arial" w:cs="arial"/>
          <w:color w:val="000000"/>
          <w:sz w:val="20"/>
          <w:lang w:val="en-US" w:eastAsia="en-US" w:bidi="ar-SA"/>
        </w:rPr>
        <w:t>  While the Court in Lauder did not refer to the following statement of Leggatt, Co. Ct. J., as he then was, at the trial level, I am satisfied that this statement correctly states the law in British Columbia on the question of whether interest can be included in the amount of the declaration of the builder's lien: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Whether or not security has been posted under s. 32, and whether or not the claimant has a contractual relationship with the owner of the builders' lien, as is the case at Bar, the law of British Columbia is now well settled and this does not permit a builders' lien for court order interest.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a clear distinction in law between the claim for personal judgment pursuant to the breach of contract and the claim for a declaration of lien. The fact that two different amounts will remain owing to the plaintiffs is not inconsistent since the causes of action are distinct. (at p. 138)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1167</w:t>
      </w:r>
      <w:r>
        <w:rPr>
          <w:rFonts w:ascii="arial" w:eastAsia="arial" w:hAnsi="arial" w:cs="arial"/>
          <w:color w:val="000000"/>
          <w:sz w:val="20"/>
          <w:lang w:val="en-US" w:eastAsia="en-US" w:bidi="ar-SA"/>
        </w:rPr>
        <w:t>  Accordingly, even though I might have been prepared to hold that money has been "wrongfully withheld", I am bound by the decisions in Westburne and Lauder Bros. Even if I am wrong in concluding that Golden Hill is not entitled to claim interest pursuant to the Contract or the Court Order Interest Act, I am satisfied that Golden Hill is not entitled to claim any interest under its builder's lien.</w:t>
      </w:r>
      <w:r>
        <w:rPr>
          <w:rFonts w:ascii="arial" w:eastAsia="arial" w:hAnsi="arial" w:cs="arial"/>
          <w:sz w:val="20"/>
          <w:lang w:val="en-US" w:eastAsia="en-US" w:bidi="ar-SA"/>
        </w:rPr>
        <w:cr/>
      </w:r>
    </w:p>
    <w:p>
      <w:pPr>
        <w:numPr>
          <w:numId w:val="3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PRIORITY OF THE LIEN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1168</w:t>
      </w:r>
      <w:r>
        <w:rPr>
          <w:rFonts w:ascii="arial" w:eastAsia="arial" w:hAnsi="arial" w:cs="arial"/>
          <w:color w:val="000000"/>
          <w:sz w:val="20"/>
          <w:lang w:val="en-US" w:eastAsia="en-US" w:bidi="ar-SA"/>
        </w:rPr>
        <w:t>  The parties have agreed that Golden Hill performed work on the following mineral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882"/>
        <w:gridCol w:w="690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Claim No.</w:t>
            </w:r>
          </w:p>
        </w:tc>
        <w:tc>
          <w:tcPr>
            <w:tcW w:w="67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Claim Name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464"/>
        <w:gridCol w:w="1045"/>
        <w:gridCol w:w="690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239098</w:t>
            </w:r>
          </w:p>
        </w:tc>
        <w:tc>
          <w:tcPr>
            <w:tcW w:w="102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7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NOR4</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242991</w:t>
            </w:r>
          </w:p>
        </w:tc>
        <w:tc>
          <w:tcPr>
            <w:tcW w:w="102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7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NOR5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350859</w:t>
            </w:r>
          </w:p>
        </w:tc>
        <w:tc>
          <w:tcPr>
            <w:tcW w:w="102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7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NOR7</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301219</w:t>
            </w:r>
          </w:p>
        </w:tc>
        <w:tc>
          <w:tcPr>
            <w:tcW w:w="102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7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NOR8</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243445</w:t>
            </w:r>
          </w:p>
        </w:tc>
        <w:tc>
          <w:tcPr>
            <w:tcW w:w="102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7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TISZI4</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238404</w:t>
            </w:r>
          </w:p>
        </w:tc>
        <w:tc>
          <w:tcPr>
            <w:tcW w:w="102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7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RON4</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350858</w:t>
            </w:r>
          </w:p>
        </w:tc>
        <w:tc>
          <w:tcPr>
            <w:tcW w:w="102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7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RON5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238819</w:t>
            </w:r>
          </w:p>
        </w:tc>
        <w:tc>
          <w:tcPr>
            <w:tcW w:w="102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75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DU</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242576</w:t>
            </w:r>
          </w:p>
        </w:tc>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67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DUE2</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1169</w:t>
      </w:r>
      <w:r>
        <w:rPr>
          <w:rFonts w:ascii="arial" w:eastAsia="arial" w:hAnsi="arial" w:cs="arial"/>
          <w:color w:val="000000"/>
          <w:sz w:val="20"/>
          <w:lang w:val="en-US" w:eastAsia="en-US" w:bidi="ar-SA"/>
        </w:rPr>
        <w:t>  Section 6 of the Applicable Lien Act provides that a registered mortgage has priority over a lien only to the extent of mortgage money secured in good faith or advanced in good faith before the filing of the claim of lien. The following documents in favour of Trilon Financial Corporation were recorded against the mineral claims on or about June 23, 1998: Royalty Agreement, Debenture and a further Debenture. Also recorded on the same date was a further Debenture in favour of Northgate Exploration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1170</w:t>
      </w:r>
      <w:r>
        <w:rPr>
          <w:rFonts w:ascii="arial" w:eastAsia="arial" w:hAnsi="arial" w:cs="arial"/>
          <w:color w:val="000000"/>
          <w:sz w:val="20"/>
          <w:lang w:val="en-US" w:eastAsia="en-US" w:bidi="ar-SA"/>
        </w:rPr>
        <w:t xml:space="preserve">  Golden Hill submits that the "unambiguous expression of the legislative will" found in this provision of the Applicable Lien Act with respect to the priority of prior filed liens over secured charges ought not to be negated: Yorkshire Trust Co. v. Canusa Construction Ltd. et al </w:t>
      </w:r>
      <w:hyperlink r:id="rId941" w:history="1">
        <w:r>
          <w:rPr>
            <w:rFonts w:ascii="arial" w:eastAsia="arial" w:hAnsi="arial" w:cs="arial"/>
            <w:i/>
            <w:color w:val="0077CC"/>
            <w:sz w:val="20"/>
            <w:u w:val="single"/>
            <w:shd w:val="clear" w:color="auto" w:fill="FFFFFF"/>
            <w:lang w:val="en-US" w:eastAsia="en-US" w:bidi="ar-SA"/>
          </w:rPr>
          <w:t>(1984), 10 D.L.R. (4th) 45</w:t>
        </w:r>
      </w:hyperlink>
      <w:r>
        <w:rPr>
          <w:rFonts w:ascii="arial" w:eastAsia="arial" w:hAnsi="arial" w:cs="arial"/>
          <w:color w:val="000000"/>
          <w:sz w:val="20"/>
          <w:lang w:val="en-US" w:eastAsia="en-US" w:bidi="ar-SA"/>
        </w:rPr>
        <w:t xml:space="preserve"> (B.C.C.A.) at p. 51. I agree. Ordinarily, the declaration that would be available to Golden Hill is that its lien ranks in priority ahead of the security of Trilon Financial Corporation and Northgate Exploration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1171</w:t>
      </w:r>
      <w:r>
        <w:rPr>
          <w:rFonts w:ascii="arial" w:eastAsia="arial" w:hAnsi="arial" w:cs="arial"/>
          <w:color w:val="000000"/>
          <w:sz w:val="20"/>
          <w:lang w:val="en-US" w:eastAsia="en-US" w:bidi="ar-SA"/>
        </w:rPr>
        <w:t>  However, neither of those entities are before the Court. Accordingly, Golden Hill is at liberty to apply for a declaration that its lien ranks in priority prior to the security of Trilon Financial Corporation and Northgate Exploration Ltd. after appropriate notice is given to those companies and Kemess. At the same time, Golden Hill will be in a position to request an order for enforcement proceedings against the mineral claims if the lien amount has not been paid.</w:t>
      </w:r>
      <w:r>
        <w:rPr>
          <w:rFonts w:ascii="arial" w:eastAsia="arial" w:hAnsi="arial" w:cs="arial"/>
          <w:sz w:val="20"/>
          <w:lang w:val="en-US" w:eastAsia="en-US" w:bidi="ar-SA"/>
        </w:rPr>
        <w:cr/>
      </w:r>
    </w:p>
    <w:p>
      <w:pPr>
        <w:numPr>
          <w:numId w:val="3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COSTS INCLUDED IN THE LIEN?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1172</w:t>
      </w:r>
      <w:r>
        <w:rPr>
          <w:rFonts w:ascii="arial" w:eastAsia="arial" w:hAnsi="arial" w:cs="arial"/>
          <w:color w:val="000000"/>
          <w:sz w:val="20"/>
          <w:lang w:val="en-US" w:eastAsia="en-US" w:bidi="ar-SA"/>
        </w:rPr>
        <w:t>  The issue which arises is whether assessable legal costs are covered by the lien or not. Section 39 of the Applicable Lien Act states:</w:t>
      </w:r>
      <w:r>
        <w:rPr>
          <w:rFonts w:ascii="arial" w:eastAsia="arial" w:hAnsi="arial" w:cs="arial"/>
          <w:sz w:val="20"/>
          <w:lang w:val="en-US" w:eastAsia="en-US" w:bidi="ar-SA"/>
        </w:rPr>
        <w:cr/>
      </w:r>
    </w:p>
    <w:p>
      <w:pPr>
        <w:numPr>
          <w:numId w:val="3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section 6, all money realized by action or proceedings under this Act or paid into court under section 20 must be applied and distributed in the following order:</w:t>
      </w:r>
    </w:p>
    <w:p>
      <w:pPr>
        <w:numPr>
          <w:numId w:val="3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costs of all the lien holders of and incidental to the proceedings of registering and proving their claims of lien;</w:t>
      </w:r>
    </w:p>
    <w:p>
      <w:pPr>
        <w:numPr>
          <w:numId w:val="3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6 weeks' wages, if so much is owing, of all workers employed by the owner, contractor and subcontractor;</w:t>
      </w:r>
    </w:p>
    <w:p>
      <w:pPr>
        <w:numPr>
          <w:numId w:val="3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sums of money owing the workers in excess of 6 weeks' wages, the material suppliers and the subcontractors;</w:t>
      </w:r>
    </w:p>
    <w:p>
      <w:pPr>
        <w:numPr>
          <w:numId w:val="3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amount owing the contractor.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1173</w:t>
      </w:r>
      <w:r>
        <w:rPr>
          <w:rFonts w:ascii="arial" w:eastAsia="arial" w:hAnsi="arial" w:cs="arial"/>
          <w:color w:val="000000"/>
          <w:sz w:val="20"/>
          <w:lang w:val="en-US" w:eastAsia="en-US" w:bidi="ar-SA"/>
        </w:rPr>
        <w:t xml:space="preserve">  Golden Hill submits that its costs are recoverable under the lien in addition to the amount found to be owing under the claim of lien and rely on the decision in Convert-A-Wall Ltd. v. Brampton Hydro-Electric Commission </w:t>
      </w:r>
      <w:hyperlink r:id="rId942" w:history="1">
        <w:r>
          <w:rPr>
            <w:rFonts w:ascii="arial" w:eastAsia="arial" w:hAnsi="arial" w:cs="arial"/>
            <w:i/>
            <w:color w:val="0077CC"/>
            <w:sz w:val="20"/>
            <w:u w:val="single"/>
            <w:shd w:val="clear" w:color="auto" w:fill="FFFFFF"/>
            <w:lang w:val="en-US" w:eastAsia="en-US" w:bidi="ar-SA"/>
          </w:rPr>
          <w:t>(1987), 27 C.L.R. 58</w:t>
        </w:r>
      </w:hyperlink>
      <w:r>
        <w:rPr>
          <w:rFonts w:ascii="arial" w:eastAsia="arial" w:hAnsi="arial" w:cs="arial"/>
          <w:color w:val="000000"/>
          <w:sz w:val="20"/>
          <w:lang w:val="en-US" w:eastAsia="en-US" w:bidi="ar-SA"/>
        </w:rPr>
        <w:t xml:space="preserve"> (Ont. H.C.) at p. 62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1174</w:t>
      </w:r>
      <w:r>
        <w:rPr>
          <w:rFonts w:ascii="arial" w:eastAsia="arial" w:hAnsi="arial" w:cs="arial"/>
          <w:color w:val="000000"/>
          <w:sz w:val="20"/>
          <w:lang w:val="en-US" w:eastAsia="en-US" w:bidi="ar-SA"/>
        </w:rPr>
        <w:t>  Kemess relies on the following sections of the Applicable Lien Act in its submission that all of the costs claimed by Golden Hill are not claimable under the lien:</w:t>
      </w:r>
      <w:r>
        <w:rPr>
          <w:rFonts w:ascii="arial" w:eastAsia="arial" w:hAnsi="arial" w:cs="arial"/>
          <w:sz w:val="20"/>
          <w:lang w:val="en-US" w:eastAsia="en-US" w:bidi="ar-SA"/>
        </w:rPr>
        <w:cr/>
      </w:r>
    </w:p>
    <w:p>
      <w:pPr>
        <w:numPr>
          <w:numId w:val="3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37 - If it appears to the Court in any action to enforce a claim of lien that the action has been brought from the failure of an owner ... to fulfill the terms of the contract, ... the Court may order the owner ... to pay all the cIs of the action in addition to the amount of the contract ... due ... and may order a Ial judgment against the owner ... for costs;</w:t>
      </w:r>
    </w:p>
    <w:p>
      <w:pPr>
        <w:numPr>
          <w:numId w:val="3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Ition 41 - Costs of an action awarded to the plaintiffs, ... subject to the maximum costs allowed exclusive of disbursements, by the Rules of Court, are in addition to the amount of the judgment;</w:t>
      </w:r>
    </w:p>
    <w:p>
      <w:pPr>
        <w:numPr>
          <w:numId w:val="3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44 - If ... judgment is-given for ... a claimant, in aItion to the costs of the action, the Court may allow a reasonable sum for the costs of drawing and filing the claim of lien;</w:t>
      </w:r>
    </w:p>
    <w:p>
      <w:pPr>
        <w:numPr>
          <w:numId w:val="3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Section 45 - The costs incident-l to all applications and orders under this Act and not otherwise provided for are in the discretion of the court to which the application or by which the order is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1175</w:t>
      </w:r>
      <w:r>
        <w:rPr>
          <w:rFonts w:ascii="arial" w:eastAsia="arial" w:hAnsi="arial" w:cs="arial"/>
          <w:color w:val="000000"/>
          <w:sz w:val="20"/>
          <w:lang w:val="en-US" w:eastAsia="en-US" w:bidi="ar-SA"/>
        </w:rPr>
        <w:t>  On the basis of these sections, Kemess submits that the Applicable Lien Act only recognizes three categories of costs being: (a) the "costs of the action to enforce the lien" which can be added to the amount of the judgment but subject to the maximum amounts allowed under the Rules of Court; (b) the "costs to prepare and file" the claim of lien which can also be added to the judgment; and (c) "costs of any other applications and orders under the Act" which Kemess submits includes applications like an application to post security under s. 24 or an application to pay money into court under s.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1176</w:t>
      </w:r>
      <w:r>
        <w:rPr>
          <w:rFonts w:ascii="arial" w:eastAsia="arial" w:hAnsi="arial" w:cs="arial"/>
          <w:color w:val="000000"/>
          <w:sz w:val="20"/>
          <w:lang w:val="en-US" w:eastAsia="en-US" w:bidi="ar-SA"/>
        </w:rPr>
        <w:t>  Kemess submits that s. 39 is only the "distribution" section and that this section does not itself purport to give any entitlement to costs and only establishes the priority in which available funds are to be distributed in case of a shortfall. Kemess submits that the words "costs of all the lien holders of and incidental to the proceedings of registering and proving their claims of lien" were not intended to give a greater entitlement to costs than what is set out in what Kemess says are the three categories of costs set out in ss. 37, 41, 44 and 45 of the Applicable Lien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1177</w:t>
      </w:r>
      <w:r>
        <w:rPr>
          <w:rFonts w:ascii="arial" w:eastAsia="arial" w:hAnsi="arial" w:cs="arial"/>
          <w:color w:val="000000"/>
          <w:sz w:val="20"/>
          <w:lang w:val="en-US" w:eastAsia="en-US" w:bidi="ar-SA"/>
        </w:rPr>
        <w:t>  Surprisingly, there is very little British Columbia authority dealing with the question of whether all of the costs of this type of litigation are included within the phrases used in s. 39(1)(a) of the Applicable Lien Act or whether the costs which are lienable are limited to those matters set out in ss. 37, 41, 44 and 45 of the Applicable Lien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1178</w:t>
      </w:r>
      <w:r>
        <w:rPr>
          <w:rFonts w:ascii="arial" w:eastAsia="arial" w:hAnsi="arial" w:cs="arial"/>
          <w:color w:val="000000"/>
          <w:sz w:val="20"/>
          <w:lang w:val="en-US" w:eastAsia="en-US" w:bidi="ar-SA"/>
        </w:rPr>
        <w:t xml:space="preserve">  In Wall Bros. Construction Co. v. Canson Enterprises Ltd. </w:t>
      </w:r>
      <w:hyperlink r:id="rId943" w:history="1">
        <w:r>
          <w:rPr>
            <w:rFonts w:ascii="arial" w:eastAsia="arial" w:hAnsi="arial" w:cs="arial"/>
            <w:i/>
            <w:color w:val="0077CC"/>
            <w:sz w:val="20"/>
            <w:u w:val="single"/>
            <w:shd w:val="clear" w:color="auto" w:fill="FFFFFF"/>
            <w:lang w:val="en-US" w:eastAsia="en-US" w:bidi="ar-SA"/>
          </w:rPr>
          <w:t>(1987), 17 B.C.L.R. (2d) 101</w:t>
        </w:r>
      </w:hyperlink>
      <w:r>
        <w:rPr>
          <w:rFonts w:ascii="arial" w:eastAsia="arial" w:hAnsi="arial" w:cs="arial"/>
          <w:color w:val="000000"/>
          <w:sz w:val="20"/>
          <w:lang w:val="en-US" w:eastAsia="en-US" w:bidi="ar-SA"/>
        </w:rPr>
        <w:t xml:space="preserve"> (B.C. Co. Ct.), the Court dealt with the submission of the counsel for the defendants that costs were only payable under s. 39(a) from the proceeds of the sale of land. In the context of the appropriate holdback fund required, Singh, Co. Ct. J., as he then was,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states that costs are only payable under Section 39(a) from the proceeds of the sale of land. Sections 41 - 46 of the Builders' Lien Act provide otherwise. Costs can be awarded, and are in addition to the amount of the judgment. Furthermore, pursuant to Section 39(a) of the Builders' Lien Act the costs of all lienholders of and incidental to the proceedings of registering and proving their claims of lien are to be paid first. (at p. 113).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1179</w:t>
      </w:r>
      <w:r>
        <w:rPr>
          <w:rFonts w:ascii="arial" w:eastAsia="arial" w:hAnsi="arial" w:cs="arial"/>
          <w:color w:val="000000"/>
          <w:sz w:val="20"/>
          <w:lang w:val="en-US" w:eastAsia="en-US" w:bidi="ar-SA"/>
        </w:rPr>
        <w:t xml:space="preserve">  In Arctic Distributors Ltd. v. Nordin </w:t>
      </w:r>
      <w:hyperlink r:id="rId944" w:history="1">
        <w:r>
          <w:rPr>
            <w:rFonts w:ascii="arial" w:eastAsia="arial" w:hAnsi="arial" w:cs="arial"/>
            <w:i/>
            <w:color w:val="0077CC"/>
            <w:sz w:val="20"/>
            <w:u w:val="single"/>
            <w:shd w:val="clear" w:color="auto" w:fill="FFFFFF"/>
            <w:lang w:val="en-US" w:eastAsia="en-US" w:bidi="ar-SA"/>
          </w:rPr>
          <w:t>(1984), 52 B.C.L.R. 110</w:t>
        </w:r>
      </w:hyperlink>
      <w:r>
        <w:rPr>
          <w:rFonts w:ascii="arial" w:eastAsia="arial" w:hAnsi="arial" w:cs="arial"/>
          <w:color w:val="000000"/>
          <w:sz w:val="20"/>
          <w:lang w:val="en-US" w:eastAsia="en-US" w:bidi="ar-SA"/>
        </w:rPr>
        <w:t xml:space="preserve"> (B.C. Co. Ct.), Millward, Co. Co. J., as he then was,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39 refers to "lienholders", that is persons adjudged to be entitled to a lien under the Act. By virtue of s. 20 the holdback is impressed with a trust for those lien claimants whose claims and quantum thereof are proved at trial. Such lien claimants then become "lienholders" and are entitled to share in the pro-rata distribution envisaged by s. 39.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39 thus contemplates a trial to determine the validity of a lien claimant's lien and the quantum thereof. (at paras. 9-10).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1180</w:t>
      </w:r>
      <w:r>
        <w:rPr>
          <w:rFonts w:ascii="arial" w:eastAsia="arial" w:hAnsi="arial" w:cs="arial"/>
          <w:color w:val="000000"/>
          <w:sz w:val="20"/>
          <w:lang w:val="en-US" w:eastAsia="en-US" w:bidi="ar-SA"/>
        </w:rPr>
        <w:t>  I am satisfied that the clear language used by s. 39(1)(a) of the Applicable Lien Act allows Golden Hill to add to the amount of its lien its assessable costs of these proceedings throughout. These are proceedings to prove the claim of lien of Golden Hill. It could not have been the intention of the Legislature that the costs of "registering and proving their claims of lien" were not available to a lien claimant unless, as Kemess submits, the land or mineral claims of an owner were being sold. Similarly, it could not have been the intention of the Legislature that the lien claimant was only entitled to "the cost of drawing and filing the claim of lien" (s. 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1181</w:t>
      </w:r>
      <w:r>
        <w:rPr>
          <w:rFonts w:ascii="arial" w:eastAsia="arial" w:hAnsi="arial" w:cs="arial"/>
          <w:color w:val="000000"/>
          <w:sz w:val="20"/>
          <w:lang w:val="en-US" w:eastAsia="en-US" w:bidi="ar-SA"/>
        </w:rPr>
        <w:t>  I am satisfied that the provisions of ss. 39, 37, 41 and 45 all contemplate the awarding of costs and that the purpose of the Applicable Lien Act is served by those costs being included within the amount of the lien.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1182</w:t>
      </w:r>
      <w:r>
        <w:rPr>
          <w:rFonts w:ascii="arial" w:eastAsia="arial" w:hAnsi="arial" w:cs="arial"/>
          <w:color w:val="000000"/>
          <w:sz w:val="20"/>
          <w:lang w:val="en-US" w:eastAsia="en-US" w:bidi="ar-SA"/>
        </w:rPr>
        <w:t>  The Rules of Court deal with the question of whether costs will be available to a litigant in an action commenced by the litigant. The additional provisions dealing with costs in the Applicable Lien Act allow me to conclude that the Legislature intended to make it clear that, in addition to the costs that would ordinarily be available to a litigant, the costs to register, prove and enforce a claim of lien can also be claimed and are a lienable amount. I cannot be satisfied that it was the intention of the Legislature to disentitle a litigant and a lien claimant to include the cost of registering and proving the claim of lien under the lien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1183</w:t>
      </w:r>
      <w:r>
        <w:rPr>
          <w:rFonts w:ascii="arial" w:eastAsia="arial" w:hAnsi="arial" w:cs="arial"/>
          <w:color w:val="000000"/>
          <w:sz w:val="20"/>
          <w:lang w:val="en-US" w:eastAsia="en-US" w:bidi="ar-SA"/>
        </w:rPr>
        <w:t>  Accordingly, while the parties are at liberty to speak to the question of costs, any costs awarded to Golden Hill will be included within the lien amount.</w:t>
      </w:r>
      <w:r>
        <w:rPr>
          <w:rFonts w:ascii="arial" w:eastAsia="arial" w:hAnsi="arial" w:cs="arial"/>
          <w:sz w:val="20"/>
          <w:lang w:val="en-US" w:eastAsia="en-US" w:bidi="ar-SA"/>
        </w:rPr>
        <w:cr/>
      </w:r>
    </w:p>
    <w:p>
      <w:pPr>
        <w:numPr>
          <w:numId w:val="3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COUNTERCLAIM OF KEMESS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1184</w:t>
      </w:r>
      <w:r>
        <w:rPr>
          <w:rFonts w:ascii="arial" w:eastAsia="arial" w:hAnsi="arial" w:cs="arial"/>
          <w:color w:val="000000"/>
          <w:sz w:val="20"/>
          <w:lang w:val="en-US" w:eastAsia="en-US" w:bidi="ar-SA"/>
        </w:rPr>
        <w:t>  Pursuant to the Contract, Golden Hill was obligated to pay camp charges to Kemess of $50.00 per day per person. Golden Hill personnel spent 8,490 days on the Project (7,950 days in 1996 and 540 days in 1997) thereby attracting camp charges of $425,500.00 not including G.S.T. ($397,500.00 for 1996 and $27,000.00 for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1185</w:t>
      </w:r>
      <w:r>
        <w:rPr>
          <w:rFonts w:ascii="arial" w:eastAsia="arial" w:hAnsi="arial" w:cs="arial"/>
          <w:color w:val="000000"/>
          <w:sz w:val="20"/>
          <w:lang w:val="en-US" w:eastAsia="en-US" w:bidi="ar-SA"/>
        </w:rPr>
        <w:t>  Golden Hill submits that camp charges plus additional amounts invoiced by Kemess to Golden Hill for gas and propane total $426,881.44 ($399,741.44 for 1996 and $27,140.00 for 1997) all before G.S.T. whereas Kemess has withheld payment of $469,285.00 from the certified holdback amount 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1186</w:t>
      </w:r>
      <w:r>
        <w:rPr>
          <w:rFonts w:ascii="arial" w:eastAsia="arial" w:hAnsi="arial" w:cs="arial"/>
          <w:color w:val="000000"/>
          <w:sz w:val="20"/>
          <w:lang w:val="en-US" w:eastAsia="en-US" w:bidi="ar-SA"/>
        </w:rPr>
        <w:t>  Golden Hill submits that all camp charges in excess of $245,000.00 flow from the breaches of contract and tortious acts of Kemortuoushat any amounts in excess of $245,000.00 should not be awarded to Kemess as part of its Counterclaim. Kemess submits that the full sum of $426,881.44 (not including G.S.T.) is payable.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1187</w:t>
      </w:r>
      <w:r>
        <w:rPr>
          <w:rFonts w:ascii="arial" w:eastAsia="arial" w:hAnsi="arial" w:cs="arial"/>
          <w:color w:val="000000"/>
          <w:sz w:val="20"/>
          <w:lang w:val="en-US" w:eastAsia="en-US" w:bidi="ar-SA"/>
        </w:rPr>
        <w:t xml:space="preserve">  Kemess also submits that Golden Hill in its Further Amended Statement of Claim has made an admission that $456,763.31 (which includes G.S.T.) is owing to Kemess for camp charges and that such an admission is conclusive against the party making it: Caviglia v. Tenorio </w:t>
      </w:r>
      <w:hyperlink r:id="rId945" w:history="1">
        <w:r>
          <w:rPr>
            <w:rFonts w:ascii="arial" w:eastAsia="arial" w:hAnsi="arial" w:cs="arial"/>
            <w:i/>
            <w:color w:val="0077CC"/>
            <w:sz w:val="20"/>
            <w:u w:val="single"/>
            <w:shd w:val="clear" w:color="auto" w:fill="FFFFFF"/>
            <w:lang w:val="en-US" w:eastAsia="en-US" w:bidi="ar-SA"/>
          </w:rPr>
          <w:t>(1992), 71 B.C.L.R. (2d) 255</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1188</w:t>
      </w:r>
      <w:r>
        <w:rPr>
          <w:rFonts w:ascii="arial" w:eastAsia="arial" w:hAnsi="arial" w:cs="arial"/>
          <w:color w:val="000000"/>
          <w:sz w:val="20"/>
          <w:lang w:val="en-US" w:eastAsia="en-US" w:bidi="ar-SA"/>
        </w:rPr>
        <w:t>  Paragraph 32 of the Further Amended Statement of Claim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Kemess has failed to pay the following amounts calculated at the Contract unit 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091"/>
        <w:gridCol w:w="1150"/>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$118,124.31</w:t>
            </w:r>
          </w:p>
        </w:tc>
        <w:tc>
          <w:tcPr>
            <w:tcW w:w="112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(certified progress payment #8) (including G.S.T.)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091"/>
        <w:gridCol w:w="1150"/>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$648,146.69</w:t>
            </w:r>
          </w:p>
        </w:tc>
        <w:tc>
          <w:tcPr>
            <w:tcW w:w="112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(holdback) (excluding G.S.T.)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091"/>
        <w:gridCol w:w="1150"/>
        <w:gridCol w:w="61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$456,763.31</w:t>
            </w:r>
          </w:p>
        </w:tc>
        <w:tc>
          <w:tcPr>
            <w:tcW w:w="112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04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(less room and board owed by Golden Hill to Kemess pursuant to the Contract), (including G.S.T.)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091"/>
        <w:gridCol w:w="836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$309,507.69</w:t>
            </w:r>
          </w:p>
        </w:tc>
        <w:tc>
          <w:tcPr>
            <w:tcW w:w="819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Excluding G.S.T., this amount is $331,661.65.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1189</w:t>
      </w:r>
      <w:r>
        <w:rPr>
          <w:rFonts w:ascii="arial" w:eastAsia="arial" w:hAnsi="arial" w:cs="arial"/>
          <w:color w:val="000000"/>
          <w:sz w:val="20"/>
          <w:lang w:val="en-US" w:eastAsia="en-US" w:bidi="ar-SA"/>
        </w:rPr>
        <w:t>  In answer to the submission of Kemess, Golden Hill submits that the decision in Caviglia only supports the proposition that an admission by one defendant in one action is admissible in another action against the same defendant although the admission should be accorded negligible weight. Golden Hill further submits that Kemess has not provided any evidence that they relied upon the admission or that they would suffer prejudice if the admission were withdrawn.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1190</w:t>
      </w:r>
      <w:r>
        <w:rPr>
          <w:rFonts w:ascii="arial" w:eastAsia="arial" w:hAnsi="arial" w:cs="arial"/>
          <w:color w:val="000000"/>
          <w:sz w:val="20"/>
          <w:lang w:val="en-US" w:eastAsia="en-US" w:bidi="ar-SA"/>
        </w:rPr>
        <w:t>  Rule 31(5) of the Rules of Court governs when admissions in pleadings can be withdrawn: "A party is not entitled to withdraw ... an admission made in a pleading except by consent or with leave of the court." The test of whether leave should be granted to allow a withdrawal of an admission has been variously described:</w:t>
      </w:r>
      <w:r>
        <w:rPr>
          <w:rFonts w:ascii="arial" w:eastAsia="arial" w:hAnsi="arial" w:cs="arial"/>
          <w:sz w:val="20"/>
          <w:lang w:val="en-US" w:eastAsia="en-US" w:bidi="ar-SA"/>
        </w:rPr>
        <w:cr/>
      </w:r>
    </w:p>
    <w:p>
      <w:pPr>
        <w:numPr>
          <w:numId w:val="3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Only where the admission can be withdrawn without prejudice to the other side: McNaughton v. Baker </w:t>
      </w:r>
      <w:hyperlink r:id="rId946" w:history="1">
        <w:r>
          <w:rPr>
            <w:rFonts w:ascii="arial" w:eastAsia="arial" w:hAnsi="arial" w:cs="arial"/>
            <w:i/>
            <w:color w:val="0077CC"/>
            <w:sz w:val="20"/>
            <w:u w:val="single"/>
            <w:shd w:val="clear" w:color="auto" w:fill="FFFFFF"/>
            <w:lang w:val="en-US" w:eastAsia="en-US" w:bidi="ar-SA"/>
          </w:rPr>
          <w:t>(1988), 25 B.C.L.R (2d) 17</w:t>
        </w:r>
      </w:hyperlink>
      <w:r>
        <w:rPr>
          <w:rFonts w:ascii="arial" w:eastAsia="arial" w:hAnsi="arial" w:cs="arial"/>
          <w:color w:val="000000"/>
          <w:sz w:val="20"/>
          <w:lang w:val="en-US" w:eastAsia="en-US" w:bidi="ar-SA"/>
        </w:rPr>
        <w:t xml:space="preserve"> (B.C.C.A.); Abacus Cities Ltd. v. Port Moody </w:t>
      </w:r>
      <w:hyperlink r:id="rId947" w:history="1">
        <w:r>
          <w:rPr>
            <w:rFonts w:ascii="arial" w:eastAsia="arial" w:hAnsi="arial" w:cs="arial"/>
            <w:i/>
            <w:color w:val="0077CC"/>
            <w:sz w:val="20"/>
            <w:u w:val="single"/>
            <w:shd w:val="clear" w:color="auto" w:fill="FFFFFF"/>
            <w:lang w:val="en-US" w:eastAsia="en-US" w:bidi="ar-SA"/>
          </w:rPr>
          <w:t>(1981), 26 B.C.L.R. 381</w:t>
        </w:r>
      </w:hyperlink>
      <w:r>
        <w:rPr>
          <w:rFonts w:ascii="arial" w:eastAsia="arial" w:hAnsi="arial" w:cs="arial"/>
          <w:color w:val="000000"/>
          <w:sz w:val="20"/>
          <w:lang w:val="en-US" w:eastAsia="en-US" w:bidi="ar-SA"/>
        </w:rPr>
        <w:t xml:space="preserve"> (B.C.C.A.) at pp. 382-3; Norlympia Seafoods Ltd. v. Dale &amp; Co. </w:t>
      </w:r>
      <w:hyperlink r:id="rId948" w:history="1">
        <w:r>
          <w:rPr>
            <w:rFonts w:ascii="arial" w:eastAsia="arial" w:hAnsi="arial" w:cs="arial"/>
            <w:i/>
            <w:color w:val="0077CC"/>
            <w:sz w:val="20"/>
            <w:u w:val="single"/>
            <w:shd w:val="clear" w:color="auto" w:fill="FFFFFF"/>
            <w:lang w:val="en-US" w:eastAsia="en-US" w:bidi="ar-SA"/>
          </w:rPr>
          <w:t>(1982), 141 D.L.R. (3d) 733</w:t>
        </w:r>
      </w:hyperlink>
      <w:r>
        <w:rPr>
          <w:rFonts w:ascii="arial" w:eastAsia="arial" w:hAnsi="arial" w:cs="arial"/>
          <w:color w:val="000000"/>
          <w:sz w:val="20"/>
          <w:lang w:val="en-US" w:eastAsia="en-US" w:bidi="ar-SA"/>
        </w:rPr>
        <w:t xml:space="preserve"> (B.C.C.A.) at pp. 737-8; Gillies v. Couty </w:t>
      </w:r>
      <w:hyperlink r:id="rId949" w:history="1">
        <w:r>
          <w:rPr>
            <w:rFonts w:ascii="arial" w:eastAsia="arial" w:hAnsi="arial" w:cs="arial"/>
            <w:i/>
            <w:color w:val="0077CC"/>
            <w:sz w:val="20"/>
            <w:u w:val="single"/>
            <w:shd w:val="clear" w:color="auto" w:fill="FFFFFF"/>
            <w:lang w:val="en-US" w:eastAsia="en-US" w:bidi="ar-SA"/>
          </w:rPr>
          <w:t>(1984), 100 B.C.L.R. (2d) 115</w:t>
        </w:r>
      </w:hyperlink>
      <w:r>
        <w:rPr>
          <w:rFonts w:ascii="arial" w:eastAsia="arial" w:hAnsi="arial" w:cs="arial"/>
          <w:color w:val="000000"/>
          <w:sz w:val="20"/>
          <w:lang w:val="en-US" w:eastAsia="en-US" w:bidi="ar-SA"/>
        </w:rPr>
        <w:t xml:space="preserve"> (B.C.S.C.) at pp. 122-4 and Fontaine v. British Columbia (Official Administrator) </w:t>
      </w:r>
      <w:hyperlink r:id="rId950" w:history="1">
        <w:r>
          <w:rPr>
            <w:rFonts w:ascii="arial" w:eastAsia="arial" w:hAnsi="arial" w:cs="arial"/>
            <w:i/>
            <w:color w:val="0077CC"/>
            <w:sz w:val="20"/>
            <w:u w:val="single"/>
            <w:shd w:val="clear" w:color="auto" w:fill="FFFFFF"/>
            <w:lang w:val="en-US" w:eastAsia="en-US" w:bidi="ar-SA"/>
          </w:rPr>
          <w:t>(1996), 22 B.C.L.R. (3d) 371</w:t>
        </w:r>
      </w:hyperlink>
      <w:r>
        <w:rPr>
          <w:rFonts w:ascii="arial" w:eastAsia="arial" w:hAnsi="arial" w:cs="arial"/>
          <w:color w:val="000000"/>
          <w:sz w:val="20"/>
          <w:lang w:val="en-US" w:eastAsia="en-US" w:bidi="ar-SA"/>
        </w:rPr>
        <w:t xml:space="preserve"> (B.C.C.A.) at p. 381.</w:t>
      </w:r>
    </w:p>
    <w:p>
      <w:pPr>
        <w:numPr>
          <w:numId w:val="3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in the circumstances, the court is satisfied that it is in the interests of justice to allow the admission to be withdrawn: Norlympia Seafoods Ltd., supra; Abacus Cities Ltd., supra; Kamei Sushi Japanese Restaurant Ltd. v. Epstein </w:t>
      </w:r>
      <w:hyperlink r:id="rId951" w:history="1">
        <w:r>
          <w:rPr>
            <w:rFonts w:ascii="arial" w:eastAsia="arial" w:hAnsi="arial" w:cs="arial"/>
            <w:i/>
            <w:color w:val="0077CC"/>
            <w:sz w:val="20"/>
            <w:u w:val="single"/>
            <w:shd w:val="clear" w:color="auto" w:fill="FFFFFF"/>
            <w:lang w:val="en-US" w:eastAsia="en-US" w:bidi="ar-SA"/>
          </w:rPr>
          <w:t>(1996), 25 B.C.L.R. (3d) 366</w:t>
        </w:r>
      </w:hyperlink>
      <w:r>
        <w:rPr>
          <w:rFonts w:ascii="arial" w:eastAsia="arial" w:hAnsi="arial" w:cs="arial"/>
          <w:color w:val="000000"/>
          <w:sz w:val="20"/>
          <w:lang w:val="en-US" w:eastAsia="en-US" w:bidi="ar-SA"/>
        </w:rPr>
        <w:t xml:space="preserve"> (B.C.S.C.); British Columbia Ferry Corporation v. T&amp;N, plc </w:t>
      </w:r>
      <w:hyperlink r:id="rId952" w:history="1">
        <w:r>
          <w:rPr>
            <w:rFonts w:ascii="arial" w:eastAsia="arial" w:hAnsi="arial" w:cs="arial"/>
            <w:i/>
            <w:color w:val="0077CC"/>
            <w:sz w:val="20"/>
            <w:u w:val="single"/>
            <w:shd w:val="clear" w:color="auto" w:fill="FFFFFF"/>
            <w:lang w:val="en-US" w:eastAsia="en-US" w:bidi="ar-SA"/>
          </w:rPr>
          <w:t>(1993), 31 C.P.C. (3d) 379</w:t>
        </w:r>
      </w:hyperlink>
      <w:r>
        <w:rPr>
          <w:rFonts w:ascii="arial" w:eastAsia="arial" w:hAnsi="arial" w:cs="arial"/>
          <w:color w:val="000000"/>
          <w:sz w:val="20"/>
          <w:lang w:val="en-US" w:eastAsia="en-US" w:bidi="ar-SA"/>
        </w:rPr>
        <w:t xml:space="preserve"> (B.C.S.C.); and Blowey v. National Trust Co., </w:t>
      </w:r>
      <w:hyperlink r:id="rId953" w:history="1">
        <w:r>
          <w:rPr>
            <w:rFonts w:ascii="arial" w:eastAsia="arial" w:hAnsi="arial" w:cs="arial"/>
            <w:i/>
            <w:color w:val="0077CC"/>
            <w:sz w:val="20"/>
            <w:u w:val="single"/>
            <w:shd w:val="clear" w:color="auto" w:fill="FFFFFF"/>
            <w:lang w:val="en-US" w:eastAsia="en-US" w:bidi="ar-SA"/>
          </w:rPr>
          <w:t>[1998] B.C.J. No. 174</w:t>
        </w:r>
      </w:hyperlink>
      <w:r>
        <w:rPr>
          <w:rFonts w:ascii="arial" w:eastAsia="arial" w:hAnsi="arial" w:cs="arial"/>
          <w:color w:val="000000"/>
          <w:sz w:val="20"/>
          <w:lang w:val="en-US" w:eastAsia="en-US" w:bidi="ar-SA"/>
        </w:rPr>
        <w:t xml:space="preserve"> (B.C.S.C.).</w:t>
      </w:r>
    </w:p>
    <w:p>
      <w:pPr>
        <w:numPr>
          <w:numId w:val="3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opposite party has not relied on the admission and its withdrawal would not prejudice that party: Caviglia, supra, at p. 260.</w:t>
      </w:r>
    </w:p>
    <w:p>
      <w:pPr>
        <w:numPr>
          <w:numId w:val="3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ensure that the real matters in controversy between the parties may be decided on the merits: Fontaine, supra; at p. 381; La v. Le </w:t>
      </w:r>
      <w:hyperlink r:id="rId954" w:history="1">
        <w:r>
          <w:rPr>
            <w:rFonts w:ascii="arial" w:eastAsia="arial" w:hAnsi="arial" w:cs="arial"/>
            <w:i/>
            <w:color w:val="0077CC"/>
            <w:sz w:val="20"/>
            <w:u w:val="single"/>
            <w:shd w:val="clear" w:color="auto" w:fill="FFFFFF"/>
            <w:lang w:val="en-US" w:eastAsia="en-US" w:bidi="ar-SA"/>
          </w:rPr>
          <w:t>(1993), 78 B.C.L.R. (2d) 322</w:t>
        </w:r>
      </w:hyperlink>
      <w:r>
        <w:rPr>
          <w:rFonts w:ascii="arial" w:eastAsia="arial" w:hAnsi="arial" w:cs="arial"/>
          <w:color w:val="000000"/>
          <w:sz w:val="20"/>
          <w:lang w:val="en-US" w:eastAsia="en-US" w:bidi="ar-SA"/>
        </w:rPr>
        <w:t xml:space="preserve"> (B.C.C.A.); Abacus Cities Ltd., supra, and Squamish Indian Band v. Canadian Pacific Ltd., </w:t>
      </w:r>
      <w:hyperlink r:id="rId955" w:history="1">
        <w:r>
          <w:rPr>
            <w:rFonts w:ascii="arial" w:eastAsia="arial" w:hAnsi="arial" w:cs="arial"/>
            <w:i/>
            <w:color w:val="0077CC"/>
            <w:sz w:val="20"/>
            <w:u w:val="single"/>
            <w:shd w:val="clear" w:color="auto" w:fill="FFFFFF"/>
            <w:lang w:val="en-US" w:eastAsia="en-US" w:bidi="ar-SA"/>
          </w:rPr>
          <w:t>[1998] B.C.J. No. 1726</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1191</w:t>
      </w:r>
      <w:r>
        <w:rPr>
          <w:rFonts w:ascii="arial" w:eastAsia="arial" w:hAnsi="arial" w:cs="arial"/>
          <w:color w:val="000000"/>
          <w:sz w:val="20"/>
          <w:lang w:val="en-US" w:eastAsia="en-US" w:bidi="ar-SA"/>
        </w:rPr>
        <w:t>  The phrase "in the interests of justice" is explained in Norlympia Seafoods, where the Court stated that, whether the admission had been made inadvertently, hastily, without knowledge of the facts, or whether facts come to the attention of the Court after the admission has been made are all matters to be taken into consideration in deciding whether or not the circumstances show there is a triable issue which ought to be tried in the interests of justice.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1192</w:t>
      </w:r>
      <w:r>
        <w:rPr>
          <w:rFonts w:ascii="arial" w:eastAsia="arial" w:hAnsi="arial" w:cs="arial"/>
          <w:color w:val="000000"/>
          <w:sz w:val="20"/>
          <w:lang w:val="en-US" w:eastAsia="en-US" w:bidi="ar-SA"/>
        </w:rPr>
        <w:t>  I am satisfied that it is in the interests of justice that Golden Hill be allowed to withdraw what is described as an admission contained in paragraph 32 of the Further Amended Statement of Claim. I am satisfied that there is no prejudice to Kemess. First, there is no factual dispute about the camp charges owing, the amount of progress payment number 8 or the amount of the holdback. Accordingly, there would be no evidence required from either party as to the exact amount owing for camp charges. Second, the only issue before the parties is whether camp charges should be "capped" at $245,000.00 as that is what was originally projected by Golden Hill. That submission was raised by Golden Hill in its written submissions and Kemess was give ample time to respond to the question of whether, at law, camp charges should be capped at $245,000.00 in view of the alleged tortious acts and brortuousf contract. Third, the statement relied upon in paragraph 32 of the Further Amended Statement of Claim is in the context of what amount Kemess had failed to pay from what was said to be owing by Kemess under the Contract. The statement does not constitute an admission in the context of whether or not camp charges were owing and, if so, the amount of those camp charges. I will allow the admission to be withdrawn.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1193</w:t>
      </w:r>
      <w:r>
        <w:rPr>
          <w:rFonts w:ascii="arial" w:eastAsia="arial" w:hAnsi="arial" w:cs="arial"/>
          <w:color w:val="000000"/>
          <w:sz w:val="20"/>
          <w:lang w:val="en-US" w:eastAsia="en-US" w:bidi="ar-SA"/>
        </w:rPr>
        <w:t>  The question which then arises is whether the submission of Golden Hill should be accepted so that camp charges are capped at $245,000.00. I am satisfied that it is not appropriate for the Counterclaim to be capped at $245,000.00. First, the Tender Schedule was not intended to commit Golden Hill to a certain level of personnel. While there was no evidence to suggest that the estimate of Golden Hill was unreasonable in the circumstances, it was only an estimate and it was neither an upper limit nor a lower limit of what might be charged by Kemess.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1194</w:t>
      </w:r>
      <w:r>
        <w:rPr>
          <w:rFonts w:ascii="arial" w:eastAsia="arial" w:hAnsi="arial" w:cs="arial"/>
          <w:color w:val="000000"/>
          <w:sz w:val="20"/>
          <w:lang w:val="en-US" w:eastAsia="en-US" w:bidi="ar-SA"/>
        </w:rPr>
        <w:t>  Second, while Kemess charges $50.00 per day per person for all camp charges, Golden Hill will be compensated for its damages arising out of the tortious acts and brortuousf contract of Kemess. In obtaining those damages, Golden Hill receives compensation for the personnel and equipment that were on Site. It would be inequitable to allow Golden Hill to collect for those damages without allowing Kemess to require the payment of the camp charges associated with having those personnel on Site. In this regard, Kemess must be taken as being a separate supplier of services for which Golden Hill must pay. Accordingly, judgment is granted in favour of Kemess for $426,881.44 owing for camp charges and gas and propane costs and for any G.S.T.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1195</w:t>
      </w:r>
      <w:r>
        <w:rPr>
          <w:rFonts w:ascii="arial" w:eastAsia="arial" w:hAnsi="arial" w:cs="arial"/>
          <w:color w:val="000000"/>
          <w:sz w:val="20"/>
          <w:lang w:val="en-US" w:eastAsia="en-US" w:bidi="ar-SA"/>
        </w:rPr>
        <w:t>  The question which then arises is whether counterclaims which are reduced to pecuniary judgments can or cannot be set off against the amount found owing under the builder's lien. The answer to that question is found in s. 30(4) of the Applicable Lien Act which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defendant in an action to enforce a claim of lien may set off or set up by way of counterclaim any right or claim arising out of the same transaction for any amount, whether the set off or counterclaim sounds in damages or not, and the court has the power to pronounce a final judgment in the same action on the claim of lien, set off and counterclaim.</w:t>
      </w:r>
    </w:p>
    <w:p>
      <w:pPr>
        <w:numPr>
          <w:numId w:val="3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1196</w:t>
      </w:r>
      <w:r>
        <w:rPr>
          <w:rFonts w:ascii="arial" w:eastAsia="arial" w:hAnsi="arial" w:cs="arial"/>
          <w:color w:val="000000"/>
          <w:sz w:val="20"/>
          <w:lang w:val="en-US" w:eastAsia="en-US" w:bidi="ar-SA"/>
        </w:rPr>
        <w:t>  Golden Hill will be entitled to Judgment for the sum of $7,003,617.57 made up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660"/>
        <w:gridCol w:w="51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 Costs</w:t>
            </w:r>
          </w:p>
        </w:tc>
        <w:tc>
          <w:tcPr>
            <w:tcW w:w="501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$11,230,681.19</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522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Overhead</w:t>
            </w:r>
          </w:p>
        </w:tc>
        <w:tc>
          <w:tcPr>
            <w:tcW w:w="512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$1,123,068.12</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182"/>
        <w:gridCol w:w="460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Standby Charges</w:t>
            </w:r>
          </w:p>
        </w:tc>
        <w:tc>
          <w:tcPr>
            <w:tcW w:w="450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$482,440.00</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522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Profit</w:t>
            </w:r>
          </w:p>
        </w:tc>
        <w:tc>
          <w:tcPr>
            <w:tcW w:w="512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$177,721.35</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2927"/>
        <w:gridCol w:w="51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501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$13,013,910.66</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869"/>
        <w:gridCol w:w="49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Paid to Date</w:t>
            </w:r>
          </w:p>
        </w:tc>
        <w:tc>
          <w:tcPr>
            <w:tcW w:w="481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$ 6,010,293.09</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437"/>
        <w:gridCol w:w="334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Judgment Amount (Not including Costs</w:t>
            </w:r>
          </w:p>
        </w:tc>
        <w:tc>
          <w:tcPr>
            <w:tcW w:w="3277"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$ 7,003,617.57</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or G.S.T. payable)</w:t>
            </w:r>
          </w:p>
        </w:tc>
        <w:tc>
          <w:tcPr>
            <w:tcW w:w="327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1197</w:t>
      </w:r>
      <w:r>
        <w:rPr>
          <w:rFonts w:ascii="arial" w:eastAsia="arial" w:hAnsi="arial" w:cs="arial"/>
          <w:color w:val="000000"/>
          <w:sz w:val="20"/>
          <w:lang w:val="en-US" w:eastAsia="en-US" w:bidi="ar-SA"/>
        </w:rPr>
        <w:t>  The Judgment amount does not include the costs available to Golden Hill after they have been assessed or any G.S.T. payable by Kemess. Both of those amounts should be added to the Judgment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1198</w:t>
      </w:r>
      <w:r>
        <w:rPr>
          <w:rFonts w:ascii="arial" w:eastAsia="arial" w:hAnsi="arial" w:cs="arial"/>
          <w:color w:val="000000"/>
          <w:sz w:val="20"/>
          <w:lang w:val="en-US" w:eastAsia="en-US" w:bidi="ar-SA"/>
        </w:rPr>
        <w:t>  Golden Hill will be entitled to a lien in the amount of $6,521,177.57 as set out above as well as the costs payable by Kemess as assessed plus any G.S.T. payable by Kemess as a result of its obligation to pay G.S.T. under the Contract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1199</w:t>
      </w:r>
      <w:r>
        <w:rPr>
          <w:rFonts w:ascii="arial" w:eastAsia="arial" w:hAnsi="arial" w:cs="arial"/>
          <w:color w:val="000000"/>
          <w:sz w:val="20"/>
          <w:lang w:val="en-US" w:eastAsia="en-US" w:bidi="ar-SA"/>
        </w:rPr>
        <w:t>  Both the Judgment and lien amounts assume that Golden Hill has claimed only $110,000.00 for mobilization and demobilization of the equipment originally set out in the bid of Golden Hill as well as the amount that was agreed to be paid by Kemess to Golden Hill for the additional equipment that was mobilized and demobilized during the currency of the Work of Golden Hill on the Project. If an amount in excess of those amounts has been claimed by Golden Hill in its total costs, then the balance owing under the Judgment and the balance under the lien in favour of Golden Hill shall be reduced respectively.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1200</w:t>
      </w:r>
      <w:r>
        <w:rPr>
          <w:rFonts w:ascii="arial" w:eastAsia="arial" w:hAnsi="arial" w:cs="arial"/>
          <w:color w:val="000000"/>
          <w:sz w:val="20"/>
          <w:lang w:val="en-US" w:eastAsia="en-US" w:bidi="ar-SA"/>
        </w:rPr>
        <w:t>  The parties will be at liberty to speak to the question of the costs of these proceedings and Golden Hill will be at liberty to apply for an order to establish the priority of its lien and to enforce its lien.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BURNYEAT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0" style="position:absolute;z-index:2518906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56"/>
          <w:headerReference w:type="default" r:id="rId957"/>
          <w:footerReference w:type="even" r:id="rId958"/>
          <w:footerReference w:type="default" r:id="rId959"/>
          <w:headerReference w:type="first" r:id="rId960"/>
          <w:footerReference w:type="first" r:id="rId96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62" w:history="1">
        <w:r>
          <w:rPr>
            <w:rFonts w:ascii="arial" w:eastAsia="arial" w:hAnsi="arial" w:cs="arial"/>
            <w:b/>
            <w:bCs/>
            <w:i/>
            <w:color w:val="0077CC"/>
            <w:kern w:val="32"/>
            <w:sz w:val="28"/>
            <w:szCs w:val="32"/>
            <w:u w:val="single"/>
            <w:shd w:val="clear" w:color="auto" w:fill="FFFFFF"/>
            <w:lang w:val="en-US" w:eastAsia="en-US" w:bidi="ar-SA"/>
          </w:rPr>
          <w:t>Haines v. Rossland (City), [2018] B.C.J. No. 292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Rossland,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T.M. McEwan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5-7, 2017.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21, 2018.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S11317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Rossland</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[2018] B.C.J. No. 292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BCSC 253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288 A.C.W.S. (3d) 772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73 M.P.L.R. (5th) 282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2018 CarswellBC 376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Daniel Haines and Monalee Haines, Plaintiffs, and The City of Rossland, John Doe Contracting Ltd., John Doe doing business as John Doe Contracting, and John Doe,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1" style="position:absolute;z-index:2517002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4" w:name="Keywords_39"/>
      <w:bookmarkEnd w:id="264"/>
      <w:r>
        <w:rPr>
          <w:rFonts w:ascii="arial" w:eastAsia="arial" w:hAnsi="arial" w:cs="arial"/>
          <w:b/>
          <w:color w:val="000000"/>
          <w:sz w:val="20"/>
          <w:lang w:val="en-US" w:eastAsia="en-US" w:bidi="ar-SA"/>
        </w:rPr>
        <w:t xml:space="preserve">Municipal law — Actions by and against — Actions against municipality — Notice of claim for damages — Action by Haines and Haines for damages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dismissed — In 2006, the defendant City of Rossland made a connection in a drainage pipe coming from the plaintiffs' property to a French drain on the street — In 2010, the plaintiffs noticed water bubbling up on their driveway — In 2011, the plaintiffs noticed cracking in the driveway and decided to repair the damage — The plaintiffs failed to establish that a negligent connection with the French drain was the cause of the problems — The action also failed for lack of proper notice to the defendant — Local Government Act, s. 736.</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Municipal law — Liabilities of municipality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Haines and Haines for damages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dismissed — In 2006, the defendant City of Rossland made a connection in a drainage pipe coming from the plaintiffs' property to a French drain on the street — In 2010, the plaintiffs noticed water bubbling up on their driveway — In 2011, the plaintiffs noticed cracking in the driveway and decided to repair the damage — The plaintiffs failed to establish that a negligent connection with the French drain was the cause of the problems — The action also failed for lack of proper notice to the defendant — Local Government Act, s. 736.</w:t>
      </w:r>
    </w:p>
    <w:p>
      <w:pPr>
        <w:jc w:val="both"/>
        <w:rPr>
          <w:rFonts w:ascii="arial" w:eastAsia="arial" w:hAnsi="arial" w:cs="arial"/>
          <w:sz w:val="20"/>
          <w:lang w:val="en-US" w:eastAsia="en-US" w:bidi="ar-SA"/>
        </w:rPr>
      </w:pPr>
      <w:bookmarkStart w:id="265" w:name="Legislation Cited_29"/>
      <w:bookmarkEnd w:id="26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22" style="position:absolute;z-index:2517514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Local Government Act, s. 736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66" w:name="Counsel_40"/>
      <w:bookmarkEnd w:id="26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3" style="position:absolute;z-index:251802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R.W. Sookorukoff.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City of Rossland: J.M. Mitchell.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7" w:name="Judgment_40"/>
      <w:bookmarkEnd w:id="267"/>
      <w:r>
        <w:pict>
          <v:line id="_x0000_s1224" style="position:absolute;z-index:25185280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8" w:name="T.M. McEWAN J."/>
            <w:bookmarkEnd w:id="268"/>
            <w:r>
              <w:rPr>
                <w:rFonts w:ascii="arial" w:eastAsia="arial" w:hAnsi="arial" w:cs="arial"/>
                <w:b/>
                <w:color w:val="000000"/>
                <w:sz w:val="30"/>
                <w:lang w:val="en-US" w:eastAsia="en-US" w:bidi="ar-SA"/>
              </w:rPr>
              <w:t>T.M. McEWAN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relates to a connection that the defendants made in a drainage pipe coming from the plaintiffs' property to a French drain the City of Rossland had installed on the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drainage was established by the connection of the plaintiffs' drain to the body of the French drain but it was not accomplished by a hard connection.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connection was made in 2006. It was in the spring of 2010 that the plaintiffs noticed water bubbling up at the surface of their driveway. They had never had problems with water in their driveway before. Mr. Haines testified that he had installed the old drainage system in 1985. Mr. Haines replaced the old drainage system, the carport foundation and slab before it could be seen and inspected by the City or any of its experts.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2006, the City undertook certain works which included the French drain. During the course of this work the City encountered a pipe which appeared to be a drain pipe at the edge of the plaintiffs' property. Mr. Albo, the City's works foreman, said that he had no concern about connecting this pipe to the drain work of the French drain as he was confident that the void spaces in the drain were more than enough to handle the flow from this pipe. The pipe was "stuffed" into the drain rock.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February 2011, Mr. Haines noticed that there was "crunching" in the joists above the carport and that the pony wall was leaning.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March of 2011, the plaintiffs noticed that their driveway was cracking and becoming soft enough that cars sunk in the driveway. They also noticed that the concrete slab was cracking. In March and April 2011, the plaintiffs took photos of the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By August 2011, the plaintiffs decided to repair the water damage and submitted a building permit to the City of Rossland.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From August 2011 to October 2011, the plaintiffs repaired the carport foundation wall and slab and removed and replaced the old system. During this time the plaintiffs' contractors uncovered a white pipe. The plaintiffs were not there when it was opened and they did nothing more than take a photo of it. There were other pipes unearthed from the old drainage system. Some were filled with dirt but other than taking photographs of these pipes, the plaintiffs did not undertake any other inspections or investigations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remains of the old drainage system, carport and carport slab were destroyed around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Mr. Haines had Seymour Plumbing scope the drain in May 2012. He got an engineering report from Norman Deverney on July 13, 2012 and gave notice pursuant to the </w:t>
      </w:r>
      <w:r>
        <w:rPr>
          <w:rFonts w:ascii="arial" w:eastAsia="arial" w:hAnsi="arial" w:cs="arial"/>
          <w:i/>
          <w:color w:val="000000"/>
          <w:sz w:val="20"/>
          <w:lang w:val="en-US" w:eastAsia="en-US" w:bidi="ar-SA"/>
        </w:rPr>
        <w:t>Local Government Act</w:t>
      </w:r>
      <w:r>
        <w:rPr>
          <w:rFonts w:ascii="arial" w:eastAsia="arial" w:hAnsi="arial" w:cs="arial"/>
          <w:color w:val="000000"/>
          <w:sz w:val="20"/>
          <w:lang w:val="en-US" w:eastAsia="en-US" w:bidi="ar-SA"/>
        </w:rPr>
        <w:t xml:space="preserve"> on July 23,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Haines gave some unreliable testimony. He said the work on the drain was done in 2009, not 2006. He later amended his pleadings. The drawing Mr. Haines provided to Mr. Deverney, which Mr. Haines said accurately depicted the old drainage system, in particular the photograph, Exhibit 1, Tab 5, p. 17, which shows that there was not a pipe going from the northeast corner of the house, across the driveway to the west side as depicted in the drawing.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Haines said he never modified the old drainage system, yet the white pipe shown in the photographs, and which was excavated in 2011 was not the type of pipe used by the City and must have been placed by Mr. Haines.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plaintiffs testified that:</w:t>
      </w:r>
      <w:r>
        <w:rPr>
          <w:rFonts w:ascii="arial" w:eastAsia="arial" w:hAnsi="arial" w:cs="arial"/>
          <w:sz w:val="20"/>
          <w:lang w:val="en-US" w:eastAsia="en-US" w:bidi="ar-SA"/>
        </w:rPr>
        <w:cr/>
      </w:r>
    </w:p>
    <w:p>
      <w:pPr>
        <w:numPr>
          <w:numId w:val="3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Haines initially recalled that the Victoria Avenue upgrades occurred in 2009, rather than 2006, and he issued a Notice of Civil Claim in January of 2013 on that basis. It was not until after Examinations for Discovery of Mr. Albo, conducted in May of 2015, that Mr. Haines realized this error and later amended his Notice of Civil Claim to correct that 3 year discrepancy.</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drawing Mr. Haines provided to Mr. Deverney, which Mr. Haines said accurately depicted the Old Drainage System (Exhibit 2, Tab 1, at p. 27) does not comport with the available pictures of the Old Drainage System, in particular the photograph at Exhibit 1, Tab 5, p. 17, which shows that there was not a drain pipe going from the northeast corner of the house, across the driveway to the west side of the driveway, as depicted in his drawing.</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Haines testified that he never modified the Old Drainage System, yet the white pipe shown in Exhibit 1, Tab 5, p. 108, which was apparently excavated in 2011, was not a type of pipe that the City used, and therefore must have been placed by Mr. Haines.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Haines testified that:</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pipe in the Old Drainage System that ran the length of the west side of the driveway "disappeared" at some point;</w:t>
      </w:r>
    </w:p>
    <w:p>
      <w:pPr>
        <w:numPr>
          <w:numId w:val="6"/>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wooden frame of the Inspection Port also "disappeared";</w:t>
      </w:r>
    </w:p>
    <w:p>
      <w:pPr>
        <w:numPr>
          <w:numId w:val="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drain rock he placed around the drainage pipes of the Old Drainage System "disappeared";</w:t>
      </w:r>
    </w:p>
    <w:p>
      <w:pPr>
        <w:numPr>
          <w:numId w:val="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plastic he had wrapped around the drain rock in the Old Drainage System had also disappeared.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City submits that it is highly unlikely that these components simply "disappeared." It is much more likely that Mr. Haines removed them, yet he has no recollection of this. Despite this, Mr. Haines was adamant that the drainage was constructed in 1985 as per the drawing provided to Mr. Deverney in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It is highly unlikely that these things "disappeared", and there is no one else who could realistically have removed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Haines testified that he never had water issues or damage in the driveway and carport from 1985 until 2011, yet he installed and then removed asphalt at least once after installing the old drainage system. In 2011, the driveway was simply dirt. Mr. Haines confirmed that the driveway is paved or asphalted in the photograph showing the little girl on the front lawn. Mrs. Haines confirmed that one of those little girls was born in 1983, the same year that one of the Haines' daughter was born. This girl is at least 5 years old in the photograph, and therefore it must have been taken in 1988 or later, and shows that there was asphalt on the driveway after the installation of the old drainage system. Therefore, the driveway asphalt was replaced at least once since the installation of the old drainage system. The City submits that it is more likely than not that this replacement was made due to water issues. In any event, Mr. Haines did not provide any explanation for why the asphalt was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Haines testified that at the time of submitting the building permit application in 2011, he had no inkling or suspicion that something that the City did during the Victoria Avenue upgrades might have played a part in causing the water damage, despite that:</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had previously questioned Mr. Albo about the connection in 2010; and</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building permit application materials, he makes reference to that road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City submits that it does not make sense for Mr. Haines to say that he had no inkling or suspicion that the connection may had played a part in the water damage when he wrote this notation, especially having already talked to Mr. Albo about the connection.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There are three different engineers who provided reports. Two of them favour the position of the plaintiffs but they show some weaknesses when examined alone and together. Mr. Armstrong blames the way the old drainage system was built. He says the use of drainage filter cloth would have made a difference. This was not done. He also blames the soil which he says could have become saturated regardless of a drainage system. He said it was possible the system became clogged with sediment and that the pipes may have frozen. Mr. Deverney confirmed that the latter two eventualities were 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Deverney's report assumes that the white pipe was "fully packed with dirt." The white pipe is not satisfactorily described as part of the system, at all, and it was not established that it was packed with dirt. He also acknowledged that if the old drainage system was not constructed as Mr. Haines advised him it was, his opinion might change. He said if the pipes on the grass were filled with dirt, and if the white pipe was damaged while it was on the ground, and that if Mr. Haines used plastic wrap, his opinion might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summary of the evidence reveals some significant flaws in the narrative:</w:t>
      </w:r>
      <w:r>
        <w:rPr>
          <w:rFonts w:ascii="arial" w:eastAsia="arial" w:hAnsi="arial" w:cs="arial"/>
          <w:sz w:val="20"/>
          <w:lang w:val="en-US" w:eastAsia="en-US" w:bidi="ar-SA"/>
        </w:rPr>
        <w:cr/>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clear what the state of the damage was to the old system in 2011 as it had been destroyed before any one could have looked at it.</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well established how the old drainage system was installed.</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Neither the City nor the experts were able to examine the old drainage system to see what influence it had on the water damage.</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only evidence that the white pipe was full of dirt is the photographs.</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same is true for the other pipes on the ground.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Both Mr. Armstrong and Mr. Deverney give the sort of evidence one might expect where material evidence is missing or unreliable.</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Deverney did not dispute Mr. Armstrong's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bottom line in this case is that there was a great deal of preparation to bring the case to court but that it does not establish on a balance of probabilities that the negligent connection with the French drain was the cause of Mr. Haines' problems. Mr. Haines was three years out in his recollection of when the City connection was made, in 2006 rather than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drawing Mr. Haines provided to Mr. Deverney did not accurately depict the old drainage system. The "white pipe" was a mystery since the City never used that kind of pipe.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Haines' testimony is that pipe in the old drainage system disappeared, as well as the wooden framed inspection post and the drain work and plastic he used to cover the systems. He has no explanation for these disappearances.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largest problem for the plaintiffs was that the old drainage system was destroyed before the City had a chance to inspect or examine it to determine what if any causal effect the old drainage system had on the water damages in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City also pleads s. 736 of the </w:t>
      </w:r>
      <w:r>
        <w:rPr>
          <w:rFonts w:ascii="arial" w:eastAsia="arial" w:hAnsi="arial" w:cs="arial"/>
          <w:i/>
          <w:color w:val="000000"/>
          <w:sz w:val="20"/>
          <w:lang w:val="en-US" w:eastAsia="en-US" w:bidi="ar-SA"/>
        </w:rPr>
        <w:t>Local Government Act</w:t>
      </w:r>
      <w:r>
        <w:rPr>
          <w:rFonts w:ascii="arial" w:eastAsia="arial" w:hAnsi="arial" w:cs="arial"/>
          <w:color w:val="000000"/>
          <w:sz w:val="20"/>
          <w:lang w:val="en-US" w:eastAsia="en-US" w:bidi="ar-SA"/>
        </w:rPr>
        <w:t>. It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736 (1) A municipality or regional district is in no case liable for damages unless notice in writing, setting out the time, place and manner in which the damage has been sustained, is delivered to the municipality or regional district, as applicable, within 2 months from the date on which the damage was sustained.</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case of the death of a person injured, failure to give the notice required by this section is not a bar to the maintenance of the action.</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give the notice required by this section or its insufficiency is not a bar to the maintenance of an action if the court before whom it is tried, or, in case of appeal, the Court of Appeal, believes</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reasonable excuse, and</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has not been prejudiced in its defence by the failure or insufficiency.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purpose of s. 736 of the </w:t>
      </w:r>
      <w:r>
        <w:rPr>
          <w:rFonts w:ascii="arial" w:eastAsia="arial" w:hAnsi="arial" w:cs="arial"/>
          <w:i/>
          <w:color w:val="000000"/>
          <w:sz w:val="20"/>
          <w:lang w:val="en-US" w:eastAsia="en-US" w:bidi="ar-SA"/>
        </w:rPr>
        <w:t>Local Government Act</w:t>
      </w:r>
      <w:r>
        <w:rPr>
          <w:rFonts w:ascii="arial" w:eastAsia="arial" w:hAnsi="arial" w:cs="arial"/>
          <w:color w:val="000000"/>
          <w:sz w:val="20"/>
          <w:lang w:val="en-US" w:eastAsia="en-US" w:bidi="ar-SA"/>
        </w:rPr>
        <w:t xml:space="preserve"> was described in </w:t>
      </w:r>
      <w:r>
        <w:rPr>
          <w:rFonts w:ascii="arial" w:eastAsia="arial" w:hAnsi="arial" w:cs="arial"/>
          <w:i/>
          <w:color w:val="000000"/>
          <w:sz w:val="20"/>
          <w:lang w:val="en-US" w:eastAsia="en-US" w:bidi="ar-SA"/>
        </w:rPr>
        <w:t>Grewal v. Saanich (Regional District)</w:t>
      </w:r>
      <w:r>
        <w:rPr>
          <w:rFonts w:ascii="arial" w:eastAsia="arial" w:hAnsi="arial" w:cs="arial"/>
          <w:color w:val="000000"/>
          <w:sz w:val="20"/>
          <w:lang w:val="en-US" w:eastAsia="en-US" w:bidi="ar-SA"/>
        </w:rPr>
        <w:t xml:space="preserve">, </w:t>
      </w:r>
      <w:hyperlink r:id="rId756" w:history="1">
        <w:r>
          <w:rPr>
            <w:rFonts w:ascii="arial" w:eastAsia="arial" w:hAnsi="arial" w:cs="arial"/>
            <w:i/>
            <w:color w:val="0077CC"/>
            <w:sz w:val="20"/>
            <w:u w:val="single"/>
            <w:shd w:val="clear" w:color="auto" w:fill="FFFFFF"/>
            <w:lang w:val="en-US" w:eastAsia="en-US" w:bidi="ar-SA"/>
          </w:rPr>
          <w:t>60 D.L.R. (4th) 583</w:t>
        </w:r>
      </w:hyperlink>
      <w:r>
        <w:rPr>
          <w:rFonts w:ascii="arial" w:eastAsia="arial" w:hAnsi="arial" w:cs="arial"/>
          <w:color w:val="000000"/>
          <w:sz w:val="20"/>
          <w:lang w:val="en-US" w:eastAsia="en-US" w:bidi="ar-SA"/>
        </w:rPr>
        <w:t xml:space="preserve"> (B.C.C.A.), where in dealing with the predecessor to s. 736 (s. 755) the court said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object of the section ... is to provide an early opportunity for the municipality to examine the place where the damage has occurred, to interview witnesses, and to consider whether to settle or contest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damage was apparent in the spring of 2011 but notice was not given until July 23, 2012. There is no explanation for this lack of notice. Mr. Haines had questioned Mr. Albo about the connection in 2010 and his building permit mentions "the road". The result is that the old drainage system was taken up and the City had no opportunity to check it or to make its own determination of the problem. For this reason as well the plaintiffs claim must be dismissed. I emphasize in saying this that I do not think the plaintiff has not got a claim. I simply note that the nature of the proof on offer is insufficient for a court to safely make the determination the plaintiff seeks. The gaps in the evidence between the pipe the workers thought they had connected and the actual connection; the unexplained appearance of the white pipe which Mr. Haines cannot say he ever used and which the City of Rossland never used; the inferences which can be drawn from the photographs taken after the repairs were done simply do not add up to a claim that can be verified to the extent necessary to satisfy the burden in this case. It fails on the proof offered and by reason of s. 736 of the </w:t>
      </w:r>
      <w:r>
        <w:rPr>
          <w:rFonts w:ascii="arial" w:eastAsia="arial" w:hAnsi="arial" w:cs="arial"/>
          <w:i/>
          <w:color w:val="000000"/>
          <w:sz w:val="20"/>
          <w:lang w:val="en-US" w:eastAsia="en-US" w:bidi="ar-SA"/>
        </w:rPr>
        <w:t>Local Government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plaintiffs' action is therefore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T.M. McEWAN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5" style="position:absolute;z-index:2518917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63"/>
          <w:headerReference w:type="default" r:id="rId964"/>
          <w:footerReference w:type="even" r:id="rId965"/>
          <w:footerReference w:type="default" r:id="rId966"/>
          <w:headerReference w:type="first" r:id="rId967"/>
          <w:footerReference w:type="first" r:id="rId96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69" w:history="1">
        <w:r>
          <w:rPr>
            <w:rFonts w:ascii="arial" w:eastAsia="arial" w:hAnsi="arial" w:cs="arial"/>
            <w:b/>
            <w:bCs/>
            <w:i/>
            <w:color w:val="0077CC"/>
            <w:kern w:val="32"/>
            <w:sz w:val="28"/>
            <w:szCs w:val="32"/>
            <w:u w:val="single"/>
            <w:shd w:val="clear" w:color="auto" w:fill="FFFFFF"/>
            <w:lang w:val="en-US" w:eastAsia="en-US" w:bidi="ar-SA"/>
          </w:rPr>
          <w:t>Henricks v. Martel, [2007] B.C.J. No. 460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Prince George,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Parrett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28 - 30,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6,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Prince George Registry No. 0423701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460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323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Jewel Mary Henricks, Plaintiff, and Robert Wayne Martel, Robert Martel Trucking and Andrew Francis Lavis,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6" style="position:absolute;z-index:2517012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9" w:name="Keywords_40"/>
      <w:bookmarkEnd w:id="269"/>
      <w:r>
        <w:rPr>
          <w:rFonts w:ascii="arial" w:eastAsia="arial" w:hAnsi="arial" w:cs="arial"/>
          <w:b/>
          <w:color w:val="000000"/>
          <w:sz w:val="20"/>
          <w:lang w:val="en-US" w:eastAsia="en-US" w:bidi="ar-SA"/>
        </w:rPr>
        <w:t>Civil evidence — Burden and standard of proof — Action by landlord and counterclaim by tenant dismissed where neither discharged onus of proving other negligently installed stove, causing fire which destroyed rented premises.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Landlord and tenant law — Damage to premises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No action lay against tenant for negligent installation of stove, causing destruction of rented premises by fire, where landlord had contractual duty to insure premises.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Landlord and tenant law — The lease — Duties of landlord — No action lay against tenant for negligent installation of stove, causing destruction of rented premises by fire, where landlord had contractual duty to insure premises.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70" w:name="Case Summary_37"/>
            <w:bookmarkEnd w:id="27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Henricks against Martel, Martel Trucking and Lavis, for damages sustained when mobile home rented to Martel was destroyed by fire -- Statement of claim referred to Martel Trucking only once -- Lavis, former business and romantic partner of Henricks, did not appear or file defence -- Martel and Martel Trucking counterclaimed for damages for losses suffered in fire, asserting Henricks installed wood stove negligently -- Martel's counterclaim did not name Lavis -- Martel signed rental purchase agreement for mobile home -- Agreement referred to him as Martel of Martel Trucking -- Agreement provided Henricks was responsible for insuring mobile home -- Martel took possession -- Wood stove owned by Martel subsequently installed by Lavis -- Premises destroyed by fire caused by stove -- Henricks claimed she had imposed terms on installation of stove that were not met -- Claimed stove was installed without her knowledge -- Claimed she informed Martel he installed stove at own risk, and would be held liable for damage stove caused -- Martel gave contradictory evidence on whether or not he received correspondence from Henricks regarding installation of stove and terms -- Lavis and Martel testified Henricks was present during installation of stove -- Martel's son testified to same -- HELD: Action by Henricks against Lavis allowed, action by Henricks against other defendants dismissed, and counterclaim by Martel dismissed -- All witnesses had personal interest in outcome -- Evidence was clear that Lavis installed stove -- As landlord with duty to insure, Henricks had no claim against Martel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 No claim against Martel Trucking was alleged -- Neither party satisfied burden of proving other's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installing stove -- Judgment against Lavis granted in light of his failure to defend -- Damages payable by Lavis to Henricks were $20,000, representing difference between value of property with mobile home and value without it.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71" w:name="Legislation Cited_30"/>
      <w:bookmarkEnd w:id="27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27" style="position:absolute;z-index:2517524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Rules of Court, Rule 40(17.2)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72" w:name="Counsel_41"/>
      <w:bookmarkEnd w:id="27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8" style="position:absolute;z-index:251803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Appearing for the plaintiff: J.M. Henricks, In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Robert Wayne Martel and Robert Martel Trucking: O. Hui.</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3" w:name="Judgment_41"/>
      <w:bookmarkEnd w:id="273"/>
      <w:r>
        <w:pict>
          <v:line id="_x0000_s1229" style="position:absolute;z-index:25185382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4" w:name="PARRETT J."/>
            <w:bookmarkEnd w:id="274"/>
            <w:r>
              <w:rPr>
                <w:rFonts w:ascii="arial" w:eastAsia="arial" w:hAnsi="arial" w:cs="arial"/>
                <w:b/>
                <w:color w:val="000000"/>
                <w:sz w:val="30"/>
                <w:lang w:val="en-US" w:eastAsia="en-US" w:bidi="ar-SA"/>
              </w:rPr>
              <w:t>PARRETT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December 30, 2004, the plaintiff commenced the present action naming three defendants, Robert Wayne Martel, Robert Martel Trucking and Andrew Francis Lavis.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March 27, 2006, a Master ordered that:</w:t>
      </w:r>
      <w:r>
        <w:rPr>
          <w:rFonts w:ascii="arial" w:eastAsia="arial" w:hAnsi="arial" w:cs="arial"/>
          <w:sz w:val="20"/>
          <w:lang w:val="en-US" w:eastAsia="en-US" w:bidi="ar-SA"/>
        </w:rPr>
        <w:cr/>
      </w:r>
    </w:p>
    <w:p>
      <w:pPr>
        <w:numPr>
          <w:numId w:val="3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These proceedings may continue as if no appearance had been entered or no defence had been filed by the Defendant, Andrew Francis Lavis.</w:t>
      </w:r>
    </w:p>
    <w:p>
      <w:pPr>
        <w:numPr>
          <w:numId w:val="3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orders that the defendant Andrew Francis Lavis pay to the plaintiff, Jewel Mary Henricks, damages to be assessed and costs to be assessed.</w:t>
      </w:r>
    </w:p>
    <w:p>
      <w:pPr>
        <w:numPr>
          <w:numId w:val="3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of this entire proceeding at Scale 3, to the plaintiff, Jewel Mary Henricks.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action relates to damages she suffered when a mobile home she rented to the defendant Robert Wayne Martel was destroyed by fire on March 13,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claim as against Lavis is, as a result of the order of March 27, 2006, an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entire statement of claim in this action refers to the defendant Robert Martel Trucking on only one occasion and that is in the style of cause. No claim against that defendant is specified or advanced.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defendants Robert Martel and Robert Martel Trucking, by way of counterclaim, seek damages for losses suffered in the fire which they assert occurred as a result of the negligent installation of the wood stove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June 30, 2001, the defendant Robert Martel signed and entered into a Rental Purchase Agreement with the plaintiff whereby he agreed "to a rent-to-own purchase agreement" with respect to a mobile home located at 7148 Kennedy Crescent in the City of Prince George.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the initial portion of the agreement Mr. Martel is described 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Robert Martel of Robert Martel Trucking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page three of the document is found the signature Bob Martel' over the words Purchaser and Robert Martel. Beneath these entries appear the words Robert Martel Trucking and beneath that a separate signature line which is blank.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Martel took possession of the premises and during his occupation of them a wood burning stove was installed. The exact circumstances in which this occurred are the central issue in this trial and are very much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 March 12, 2002, the premises caught fire and were, to all intents and purposes, destroyed. The cause of the fire was found to be the stove which had been installed.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evidence of how the stove was installed, and by whom, could not be more in conflict.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the present trial, four witnesses were called; two of them twice. The plaintiff, Jewel Mary Henricks called, in addition to herself, both Robert Wayne Martel and Andrew Francis Lavis under R. 40(17.2), and each was subsequently called by the defence. The final witness, called by the defence, was Dustin Cole Martel, the 17 year old son of the defendant Robert Martel.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MAIN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Jewel Henricks, and the defendant, Andrew Lavis, for a period from sometime in 1999 until late 2002 had both a business and a personal relationship. It is clear that this relationship, by late 2001 and certainly by early 2002, had become strained and by late 2002 had irretrievably broken down to the extent that a series of lawsuits between the two were begun.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primary contrast between the parties is over the way in which the wood stove came to be installed. It is clear that the installation was carried out by the defendant Lavis who was neither qualified nor certified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It is equally clear that the stove belonged to the defendant Martel and had been located at his previous residence at Nukko Lake near the City of Prince George. Martel admitted during the course of his cross-examination that he had installed the pipes to the stove at its previous location but denied ever lighting a fire in it or using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This is as clear as the evidence gets. The plaintiff testified that she was approached by Martel to allow him to install the stove and that she specifically wrote to the defendant on November 10, 2001. The body of this correspondence reads as follows: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 Fireplace Agreement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Attention Bob: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Further to our conversation yesterday about the installation of a wood stove please be advised that the agreed upon terms are as follows:</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Wood stove must be CSA approved, for a mobile home.</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You must provide to me, a drawing (floor plan type), for me to take to City Hall for me to take out a permit for the installation of a wood stove.</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You must provide to me the fee for such permit.</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You accept responsibility for and must carry full insurance for the replacement of my property in case of fire, other losses, etc. at your expense. </w:t>
      </w:r>
      <w:r>
        <w:rPr>
          <w:rFonts w:ascii="arial" w:eastAsia="arial" w:hAnsi="arial" w:cs="arial"/>
          <w:color w:val="000000"/>
          <w:sz w:val="20"/>
          <w:u w:val="single"/>
          <w:lang w:val="en-US" w:eastAsia="en-US" w:bidi="ar-SA"/>
        </w:rPr>
        <w:t>Note: If you do not do that you will be accepting responsibility for any losses as a result of failing to obtain the proper insurance</w:t>
      </w:r>
      <w:r>
        <w:rPr>
          <w:rFonts w:ascii="arial" w:eastAsia="arial" w:hAnsi="arial" w:cs="arial"/>
          <w:color w:val="000000"/>
          <w:sz w:val="20"/>
          <w:lang w:val="en-US" w:eastAsia="en-US" w:bidi="ar-SA"/>
        </w:rPr>
        <w:t>.</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You must hire a certified installation person so as not to have any problems with inspection by City inspectors.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you are willing to accept the above terms (as you said you did yesterday), then you can feel free to proceed with you [sic] plan for the wood stove.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If you are not</w:t>
      </w:r>
      <w:r>
        <w:rPr>
          <w:rFonts w:ascii="arial" w:eastAsia="arial" w:hAnsi="arial" w:cs="arial"/>
          <w:color w:val="000000"/>
          <w:sz w:val="20"/>
          <w:lang w:val="en-US" w:eastAsia="en-US" w:bidi="ar-SA"/>
        </w:rPr>
        <w:t xml:space="preserve"> willing to accept the above terms, changes to your current purchase agreement, and the additional liability that the installation of a wood stove will bring, </w:t>
      </w:r>
      <w:r>
        <w:rPr>
          <w:rFonts w:ascii="arial" w:eastAsia="arial" w:hAnsi="arial" w:cs="arial"/>
          <w:color w:val="000000"/>
          <w:sz w:val="20"/>
          <w:u w:val="single"/>
          <w:lang w:val="en-US" w:eastAsia="en-US" w:bidi="ar-SA"/>
        </w:rPr>
        <w:t>do not</w:t>
      </w:r>
      <w:r>
        <w:rPr>
          <w:rFonts w:ascii="arial" w:eastAsia="arial" w:hAnsi="arial" w:cs="arial"/>
          <w:color w:val="000000"/>
          <w:sz w:val="20"/>
          <w:lang w:val="en-US" w:eastAsia="en-US" w:bidi="ar-SA"/>
        </w:rPr>
        <w:t xml:space="preserve"> proceed until you are willing to agree to these terms.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you have any questions, feel free to contact me at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Henricks' position and evidence was that these were the conditions she imposed and did not vary from. She went on to testify that she had nothing to do with the installation and had no knowledge of it until after it had been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February 27, 2002, she testified, she wrote another letter to the defendant Martel. This letter reads: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 Fireplace Installation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7148 Kennedy Crescent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Attention Bob: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be advised that I have been informed by Andy, that you and he have gone ahead with the installation of a wood stove at the above property.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You have failed</w:t>
      </w:r>
      <w:r>
        <w:rPr>
          <w:rFonts w:ascii="arial" w:eastAsia="arial" w:hAnsi="arial" w:cs="arial"/>
          <w:color w:val="000000"/>
          <w:sz w:val="20"/>
          <w:lang w:val="en-US" w:eastAsia="en-US" w:bidi="ar-SA"/>
        </w:rPr>
        <w:t xml:space="preserve"> to fullfill [sic] the necessary terms upon which I agreed to allow you to install the wood stove, those terms again, are as follows: (Re: letter dated Nov. 10, 2001)</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wood stove must be CSA approved, for a mobile home.</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You must provide to me, a drawing (floor plan type), for me to take to City Hall for me to take out a permit for the installation of a wood stove.</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You must provide to me the fee for such permit.</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You accept responsibility for and must carry full insurance for the replacement of my property in case of fire, other losses, etc. at your expense.</w:t>
      </w:r>
    </w:p>
    <w:p>
      <w:pPr>
        <w:spacing w:before="120" w:line="260" w:lineRule="atLeast"/>
        <w:ind w:left="1800"/>
        <w:rPr>
          <w:rFonts w:ascii="arial" w:eastAsia="arial" w:hAnsi="arial" w:cs="arial"/>
          <w:sz w:val="20"/>
          <w:lang w:val="en-US" w:eastAsia="en-US" w:bidi="ar-SA"/>
        </w:rPr>
      </w:pPr>
      <w:r>
        <w:rPr>
          <w:rFonts w:ascii="arial" w:eastAsia="arial" w:hAnsi="arial" w:cs="arial"/>
          <w:color w:val="000000"/>
          <w:sz w:val="20"/>
          <w:u w:val="single"/>
          <w:lang w:val="en-US" w:eastAsia="en-US" w:bidi="ar-SA"/>
        </w:rPr>
        <w:t>Note: If you do not do that you will be accepting responsibility for any losses as a result of failing to obtain the proper insurance</w:t>
      </w:r>
      <w:r>
        <w:rPr>
          <w:rFonts w:ascii="arial" w:eastAsia="arial" w:hAnsi="arial" w:cs="arial"/>
          <w:color w:val="000000"/>
          <w:sz w:val="20"/>
          <w:lang w:val="en-US" w:eastAsia="en-US" w:bidi="ar-SA"/>
        </w:rPr>
        <w:t>.</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You must hire a certified installation person so as not to have any problems with inspections by the City of Prince George inspectors.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you are willing to accept the above terms (as you said you did yesterday), then you can feel free to proceed with you [sic] plan for the wood stove.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If you are not</w:t>
      </w:r>
      <w:r>
        <w:rPr>
          <w:rFonts w:ascii="arial" w:eastAsia="arial" w:hAnsi="arial" w:cs="arial"/>
          <w:color w:val="000000"/>
          <w:sz w:val="20"/>
          <w:lang w:val="en-US" w:eastAsia="en-US" w:bidi="ar-SA"/>
        </w:rPr>
        <w:t xml:space="preserve"> willing to accept the above terms, changes to your current purchase agreement, and the additional liability that the installation of a wood stove will bring, </w:t>
      </w:r>
      <w:r>
        <w:rPr>
          <w:rFonts w:ascii="arial" w:eastAsia="arial" w:hAnsi="arial" w:cs="arial"/>
          <w:color w:val="000000"/>
          <w:sz w:val="20"/>
          <w:u w:val="single"/>
          <w:lang w:val="en-US" w:eastAsia="en-US" w:bidi="ar-SA"/>
        </w:rPr>
        <w:t>do not</w:t>
      </w:r>
      <w:r>
        <w:rPr>
          <w:rFonts w:ascii="arial" w:eastAsia="arial" w:hAnsi="arial" w:cs="arial"/>
          <w:color w:val="000000"/>
          <w:sz w:val="20"/>
          <w:lang w:val="en-US" w:eastAsia="en-US" w:bidi="ar-SA"/>
        </w:rPr>
        <w:t xml:space="preserve"> proceed until you are willing to agree to these terms.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 are hereby advised that should there be any problems with the installation of the wood stove I will hold you 100% accountable for any damage that may occure [sic].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My recommendation to you is to revert back to the above terms that I agreed to, this will protect both of our interests, </w:t>
      </w:r>
      <w:r>
        <w:rPr>
          <w:rFonts w:ascii="arial" w:eastAsia="arial" w:hAnsi="arial" w:cs="arial"/>
          <w:color w:val="000000"/>
          <w:sz w:val="20"/>
          <w:u w:val="single"/>
          <w:lang w:val="en-US" w:eastAsia="en-US" w:bidi="ar-SA"/>
        </w:rPr>
        <w:t>If you decide not</w:t>
      </w:r>
      <w:r>
        <w:rPr>
          <w:rFonts w:ascii="arial" w:eastAsia="arial" w:hAnsi="arial" w:cs="arial"/>
          <w:color w:val="000000"/>
          <w:sz w:val="20"/>
          <w:lang w:val="en-US" w:eastAsia="en-US" w:bidi="ar-SA"/>
        </w:rPr>
        <w:t xml:space="preserve"> to do this you will be held responsible for any damage that may result due to the wood stove being on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exhibits entered at trial contained a series of letters in similar format which the plaintiff testified were delivered to Mr. Martel. These include letters dated November 10, 2001 set out above as well as letters dated December 2, 2002; December 16, 2002; February 27, 2002: March 13, 2002 and March 15, 2003, as well as that of February 27, 2002 set out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Martel, in his evidence, agreed that he received each of the letters except those of November 10, 2001 and February 27, 2002 that related directly to the wood stove.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Martel's evidence about the letter of March 15, 2003 (three days after the fire) was even more perplexing. This letter, as placed in evidence, reads: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Re: Mortgage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Attention Mr. Martel: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advise me, in writing, what you [sic] intention is concerning this mortgage. I have enclosed a copy of my mortgage calculations to show the outstanding balance due at this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my position that the fire was caused by negligent actions on your part, reasons to follow and that you did not protect my interests for the duration of the mortgage.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Negligent actions:</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obtain a permit for the installation of a wood stove.</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have wood stove installed that meets CSA standards.</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have a qualified installation done.</w:t>
      </w:r>
    </w:p>
    <w:p>
      <w:pPr>
        <w:numPr>
          <w:numId w:val="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provide proper insurance.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I do not receive your mortgage payment on April 1, 2003, I will deem this mortgage agreement invalid and will take whatever actions I feel are suitable to the situation at hand.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strongly recommend that you seek legal advice before you make a decision.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trust that I will hear from you before your April mortgage is due. I thank you in advance concerning this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When shown this letter during cross-examination Mr. Martel initially testified that he did not get that letter. He then proceeded to change that evidence three times answering that Yes, I did', followed by No, I didn't', and concluding by testifying that Yes, I did'. I note in passing that of the three letters, that of November 10, 2001, February 27, 2002 and this letter, this is the only one which makes no mention of the conditions the plaintiff says she imposed.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Martel and Mr. Lavis both testified that Ms. Henricks not only knew about the installation but was present and assisted during the installation by Lavis.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closest one came to a witness who did not have a direct personal interest in the outcome was Dustin Martel, the defendant Martel's 17 year old son who was only 13 at the time of the events and, who in fact, lost a series of possessions in the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He testified that his father and Mr. Lavis carried the stove into the mobile home and that he and Ms. Henricks carried in the pipes. Beyond this he added little in the way of detail and, in fact, on more than one occasion, he resorted to the answer that the two of you' [Lavis and Henricks] were always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This young man, in my view, did his best but appeared unable to distinguish between what he specifically remembered and what he perceived to be the usual state of affairs. It was also clear from his evidence that he lost items of significant value to him in the fire which were a part of the loss sought in the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uncertainty inherent in his evidence, together with his personal interest in the outcome and his obvious support for his father, make him a witness whose evidence must be approached with the utmost caution.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will begin by referring to what I view as significant features of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defendant Martel, in his amended statement of defence and counterclaim, alleges that the plaintiff, together with the defendant Lavis, negligently installed the wood stove in question and that the negligent installation was without his knowledge.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the alternative, Martel pleads that if the wood stove was installed without the plaintiff's permission then it was installed on the mistaken assumption that it was authorized as the plaintiff held out Lavis as being her agent for the purpose of effecting repairs to her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Despite these and other alternative pleadings which focus on the actions of the defendant Lavis and her relationship with the plaintiff, the only claims advanced in the counterclaim are advanced against the plaintiff for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This pleading is of interest because of the complete absence of any direct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Lavis. No third party notice was apparently issued.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his evidence Martel confirmed that he had known the defendant Lavis for some time and had worked with him at Classic Homes where Lavis was doing set-up and repairs to mobile homes. He met the plaintiff through Lavis.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Martel went on to testify that he had asked "Andrew" if he could put in a wood stove and then amended his evidence to say that he had talked to "them" about putting it in and how "they" agreed they could do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This evidence was very short on details of the actual discussions and contained no actual conversation but rather these shorthand impressions of what the discussions were.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Despite this, what evidence there is seems clearly to indicate that what work was done in the installation was done by Lavis.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her defence to the counterclaim Ms. Henricks says, in part:</w:t>
      </w:r>
      <w:r>
        <w:rPr>
          <w:rFonts w:ascii="arial" w:eastAsia="arial" w:hAnsi="arial" w:cs="arial"/>
          <w:sz w:val="20"/>
          <w:lang w:val="en-US" w:eastAsia="en-US" w:bidi="ar-SA"/>
        </w:rPr>
        <w:cr/>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of installation, I was not present. I was at my home working in my office.</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Lavis has gone down the street to Mr. Martels [sic] home, upon returning to my home I questioned him as to where he had gone, I was then informed that he had gone to Mr. Martels and that they had installed the woodstove.</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was not present and do not have any contractual obligation for the results of the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conflict of evidence among the witnesses is not large but it is with respect to crucial issues. This coupled with the absence of any independent evidence and the self-interest of those who did testify leaves the court in a difficult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rental purchase agreement on which the plaintiff relies, in para. 4, contains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Vendor will cover the insurance of the mobile, purchaser must get own content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 notice to admit served by the defendant Martel on the plaintiff sought a series of three admissions from the plaintiff. The plaintiff did not reply and, for the purposes of this trial, admitted that:</w:t>
      </w:r>
      <w:r>
        <w:rPr>
          <w:rFonts w:ascii="arial" w:eastAsia="arial" w:hAnsi="arial" w:cs="arial"/>
          <w:sz w:val="20"/>
          <w:lang w:val="en-US" w:eastAsia="en-US" w:bidi="ar-SA"/>
        </w:rPr>
        <w:cr/>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on February 4 and 5, 2003 you [the plaintiff] called Porter &amp; McMillan Insurance to inquire about placing insurance on the property where the defendant Bob Martel resided, including the trailer,</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you [the plaintiff] were asked to submit further information including a photograph,</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you [the plaintiff] did not do so, and that after the fire you inquired at Porter &amp; McMillan whether insurance had been placed on said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 seeks to rely on the contents of her letters of November 10, 2001 and February 27, 2002 as not only imposing a series of conditions on the defendant Martel but also to modify the plain language and intent of the rental purchase agreement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Martel denies ever seeing or receiving these two specific pieces of correspondence.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It is a rare case which falls to be decided by the burden of proof. This, however, is such a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On the key issues of who actually installed the stove and with whose knowledge and/or consent, I am unable to resolve the conflicting evidence to the required standard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same situation exists with respect to the plaintiff's correspondence of November 10, 2001 and February 27, 2002. If the letters were prepared on the dates indicated, I am unable to find to the required standard of proof that they were delivered to or came to the defendant Martel's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Under the proven agreement it was the plaintiff's obligation to insure. A modification of that obligation has not been established. The authorities establish that an owner cannot pursue a tenant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if the owner has an obligation under the tenancy agreement to insure. See </w:t>
      </w:r>
      <w:r>
        <w:rPr>
          <w:rFonts w:ascii="arial" w:eastAsia="arial" w:hAnsi="arial" w:cs="arial"/>
          <w:b/>
          <w:i/>
          <w:color w:val="000000"/>
          <w:sz w:val="20"/>
          <w:lang w:val="en-US" w:eastAsia="en-US" w:bidi="ar-SA"/>
        </w:rPr>
        <w:t>North Newton Warehouses Ltd. v. Alliance Woodcraft Manufacturing Inc.</w:t>
      </w:r>
      <w:r>
        <w:rPr>
          <w:rFonts w:ascii="arial" w:eastAsia="arial" w:hAnsi="arial" w:cs="arial"/>
          <w:color w:val="000000"/>
          <w:sz w:val="20"/>
          <w:lang w:val="en-US" w:eastAsia="en-US" w:bidi="ar-SA"/>
        </w:rPr>
        <w:t xml:space="preserve"> </w:t>
      </w:r>
      <w:hyperlink r:id="rId970" w:history="1">
        <w:r>
          <w:rPr>
            <w:rFonts w:ascii="arial" w:eastAsia="arial" w:hAnsi="arial" w:cs="arial"/>
            <w:i/>
            <w:color w:val="0077CC"/>
            <w:sz w:val="20"/>
            <w:u w:val="single"/>
            <w:shd w:val="clear" w:color="auto" w:fill="FFFFFF"/>
            <w:lang w:val="en-US" w:eastAsia="en-US" w:bidi="ar-SA"/>
          </w:rPr>
          <w:t>2005 BCCA 309</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Ross Southward Tire Limited v. Pyrotech Products Limited</w:t>
      </w:r>
      <w:r>
        <w:rPr>
          <w:rFonts w:ascii="arial" w:eastAsia="arial" w:hAnsi="arial" w:cs="arial"/>
          <w:color w:val="000000"/>
          <w:sz w:val="20"/>
          <w:lang w:val="en-US" w:eastAsia="en-US" w:bidi="ar-SA"/>
        </w:rPr>
        <w:t xml:space="preserve">, </w:t>
      </w:r>
      <w:hyperlink r:id="rId971" w:history="1">
        <w:r>
          <w:rPr>
            <w:rFonts w:ascii="arial" w:eastAsia="arial" w:hAnsi="arial" w:cs="arial"/>
            <w:i/>
            <w:color w:val="0077CC"/>
            <w:sz w:val="20"/>
            <w:u w:val="single"/>
            <w:shd w:val="clear" w:color="auto" w:fill="FFFFFF"/>
            <w:lang w:val="en-US" w:eastAsia="en-US" w:bidi="ar-SA"/>
          </w:rPr>
          <w:t>[1976] 2 S.C.R. 35</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Agnew-Surpass Shoe Stores Limited v. Cummer-Yonge Investments Ltd.</w:t>
      </w:r>
      <w:r>
        <w:rPr>
          <w:rFonts w:ascii="arial" w:eastAsia="arial" w:hAnsi="arial" w:cs="arial"/>
          <w:color w:val="000000"/>
          <w:sz w:val="20"/>
          <w:lang w:val="en-US" w:eastAsia="en-US" w:bidi="ar-SA"/>
        </w:rPr>
        <w:t xml:space="preserve">, </w:t>
      </w:r>
      <w:hyperlink r:id="rId972" w:history="1">
        <w:r>
          <w:rPr>
            <w:rFonts w:ascii="arial" w:eastAsia="arial" w:hAnsi="arial" w:cs="arial"/>
            <w:i/>
            <w:color w:val="0077CC"/>
            <w:sz w:val="20"/>
            <w:u w:val="single"/>
            <w:shd w:val="clear" w:color="auto" w:fill="FFFFFF"/>
            <w:lang w:val="en-US" w:eastAsia="en-US" w:bidi="ar-SA"/>
          </w:rPr>
          <w:t>[1976] 2 S.C.R. 221</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T. Eaton Company v. Smith</w:t>
      </w:r>
      <w:r>
        <w:rPr>
          <w:rFonts w:ascii="arial" w:eastAsia="arial" w:hAnsi="arial" w:cs="arial"/>
          <w:color w:val="000000"/>
          <w:sz w:val="20"/>
          <w:lang w:val="en-US" w:eastAsia="en-US" w:bidi="ar-SA"/>
        </w:rPr>
        <w:t xml:space="preserve">, </w:t>
      </w:r>
      <w:hyperlink r:id="rId973" w:history="1">
        <w:r>
          <w:rPr>
            <w:rFonts w:ascii="arial" w:eastAsia="arial" w:hAnsi="arial" w:cs="arial"/>
            <w:i/>
            <w:color w:val="0077CC"/>
            <w:sz w:val="20"/>
            <w:u w:val="single"/>
            <w:shd w:val="clear" w:color="auto" w:fill="FFFFFF"/>
            <w:lang w:val="en-US" w:eastAsia="en-US" w:bidi="ar-SA"/>
          </w:rPr>
          <w:t>[1978] 2 S.C.R. 749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Neither party has met the burden on them and in the case of Robert Martel Trucking no claim is advanced against it and, in addition, the evidence is that this is a proprietorship and not a legal entity.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claim by the plaintiff against the first two defendants is dismissed, as is the counterclaim brought by those defendants against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As judgment has already been given against the defendant Lavis, it is necessary to assess the damages to be recovered by the plaintiff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have reviewed the whole of the evidence and assess the plaintiff's loss as follows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 Associated with Loss and Clean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019"/>
        <w:gridCol w:w="1464"/>
        <w:gridCol w:w="33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White Spruce (cost of clean up)</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$2,391.99</w:t>
            </w:r>
          </w:p>
        </w:tc>
        <w:tc>
          <w:tcPr>
            <w:tcW w:w="3277"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Bob's Bobcat (dig holes for supports)</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278.20</w:t>
            </w:r>
          </w:p>
        </w:tc>
        <w:tc>
          <w:tcPr>
            <w:tcW w:w="3277"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Rolling Mix (replace concrete)</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583.18</w:t>
            </w:r>
          </w:p>
        </w:tc>
        <w:tc>
          <w:tcPr>
            <w:tcW w:w="3277"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Concrete Mix</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5.14</w:t>
            </w:r>
          </w:p>
        </w:tc>
        <w:tc>
          <w:tcPr>
            <w:tcW w:w="3277"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91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Sona Tubes</w:t>
            </w:r>
          </w:p>
        </w:tc>
        <w:tc>
          <w:tcPr>
            <w:tcW w:w="143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112.34</w:t>
            </w:r>
          </w:p>
        </w:tc>
        <w:tc>
          <w:tcPr>
            <w:tcW w:w="3277"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91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Steel Reinforcing bar</w:t>
            </w:r>
          </w:p>
        </w:tc>
        <w:tc>
          <w:tcPr>
            <w:tcW w:w="143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100.94</w:t>
            </w:r>
          </w:p>
        </w:tc>
        <w:tc>
          <w:tcPr>
            <w:tcW w:w="3277"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124"/>
        <w:gridCol w:w="366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P.G. Rental (transit)</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40.16</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White Spruce (gravel)</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146.38</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Nite Owl Pilot</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107.00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Permit</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25.00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Len's Trailer Towing</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465.45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Burton Electric (1,967.64)</w:t>
            </w:r>
          </w:p>
        </w:tc>
        <w:tc>
          <w:tcPr>
            <w:tcW w:w="358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312.00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01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TOTAL</w:t>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$$4,567.78</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evidence tendered of the value of the trailer at the date of loss is less than ideal. The measure of damages would ordinarily be in this case the difference between the sale price and fair market value at the date of the breach. See </w:t>
      </w:r>
      <w:r>
        <w:rPr>
          <w:rFonts w:ascii="arial" w:eastAsia="arial" w:hAnsi="arial" w:cs="arial"/>
          <w:b/>
          <w:i/>
          <w:color w:val="000000"/>
          <w:sz w:val="20"/>
          <w:lang w:val="en-US" w:eastAsia="en-US" w:bidi="ar-SA"/>
        </w:rPr>
        <w:t>Mavretic v. Bowman</w:t>
      </w:r>
      <w:r>
        <w:rPr>
          <w:rFonts w:ascii="arial" w:eastAsia="arial" w:hAnsi="arial" w:cs="arial"/>
          <w:color w:val="000000"/>
          <w:sz w:val="20"/>
          <w:lang w:val="en-US" w:eastAsia="en-US" w:bidi="ar-SA"/>
        </w:rPr>
        <w:t xml:space="preserve"> </w:t>
      </w:r>
      <w:hyperlink r:id="rId974" w:history="1">
        <w:r>
          <w:rPr>
            <w:rFonts w:ascii="arial" w:eastAsia="arial" w:hAnsi="arial" w:cs="arial"/>
            <w:i/>
            <w:color w:val="0077CC"/>
            <w:sz w:val="20"/>
            <w:u w:val="single"/>
            <w:shd w:val="clear" w:color="auto" w:fill="FFFFFF"/>
            <w:lang w:val="en-US" w:eastAsia="en-US" w:bidi="ar-SA"/>
          </w:rPr>
          <w:t>(1993), 76 B.C.L.R. (2d) 61</w:t>
        </w:r>
      </w:hyperlink>
      <w:r>
        <w:rPr>
          <w:rFonts w:ascii="arial" w:eastAsia="arial" w:hAnsi="arial" w:cs="arial"/>
          <w:color w:val="000000"/>
          <w:sz w:val="20"/>
          <w:lang w:val="en-US" w:eastAsia="en-US" w:bidi="ar-SA"/>
        </w:rPr>
        <w:t>. The evidence here is vague in the sense that the plaintiff testified that the value was $50,000 and the land was worth $25,000.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On June 30, 2001, the plaintiff Henricks and the defendant Martel signed an agreement that listed the value of the property at $53,000.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evidence as indefinite as it is supports a finding that the approximate value of the property and mobile home was in the range of $45,000 to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Accepting the value of the property at $25,000, and discounting for contingencies, I fix the plaintiff's loss of the mobile home at $20,000.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plaintiff will recover that amount plus the sum of $4,567.78 from the defendant Lavis together with her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If the remaining parties are unable to agree on costs, they may be spoken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PARRETT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0" style="position:absolute;z-index:2518927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75"/>
          <w:headerReference w:type="default" r:id="rId976"/>
          <w:footerReference w:type="even" r:id="rId977"/>
          <w:footerReference w:type="default" r:id="rId978"/>
          <w:headerReference w:type="first" r:id="rId979"/>
          <w:footerReference w:type="first" r:id="rId98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81" w:history="1">
        <w:r>
          <w:rPr>
            <w:rFonts w:ascii="arial" w:eastAsia="arial" w:hAnsi="arial" w:cs="arial"/>
            <w:b/>
            <w:bCs/>
            <w:i/>
            <w:color w:val="0077CC"/>
            <w:kern w:val="32"/>
            <w:sz w:val="28"/>
            <w:szCs w:val="32"/>
            <w:u w:val="single"/>
            <w:shd w:val="clear" w:color="auto" w:fill="FFFFFF"/>
            <w:lang w:val="en-US" w:eastAsia="en-US" w:bidi="ar-SA"/>
          </w:rPr>
          <w:t>Henry v. British Columbia (Attorney General), [2015] B.C.J. No. 2138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C.E. Hinkson C.J.S.C.</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31, September 1, 3-4, 8-11,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21-25, 29 and October 2,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2,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S114405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2138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1799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Ivan William Mervin Henry, Plaintiff, and Her Majesty the Queen in Right of the Province of British Columbia as represented by the Attorney General of British Columbia, City of Vancouver, William Harkema, Marilyn Sims, and Attorney General of Canada,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1" style="position:absolute;z-index:2517022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75" w:name="Keywords_41"/>
      <w:bookmarkEnd w:id="275"/>
      <w:r>
        <w:rPr>
          <w:rFonts w:ascii="arial" w:eastAsia="arial" w:hAnsi="arial" w:cs="arial"/>
          <w:b/>
          <w:color w:val="000000"/>
          <w:sz w:val="20"/>
          <w:lang w:val="en-US" w:eastAsia="en-US" w:bidi="ar-SA"/>
        </w:rPr>
        <w:t xml:space="preserve">Civil litigation — Civil evidence — Admissibility — Relevancy — Opinion evidence — Determination of whether the written opinions of Davis, a former member of the Toronto Police Service, were admissible — The plaintiff Henry was seeking to admit the Davis report — He was seeking damages against the defendants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wrongful arrest, assault and battery, and Charter violations — Davis' report met the prerequisite of relevance with respect to the requisite standard of care of a police officer — The prejudice to the defendants did not outweigh the potential probative value of the report — However, certain portions went beyond Davis' qualifications — The report was admissible with certain redactions.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Practice and procedure — Evidence — Admissibility — Determination of whether the written opinions of Davis, a former member of the Toronto Police Service, were admissible — The plaintiff Henry was seeking to admit the Davis report — He was seeking damages against the defendants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wrongful arrest, assault and battery, and Charter violations — Davis' report met the prerequisite of relevance with respect to the requisite standard of care of a police officer — The prejudice to the defendants did not outweigh the potential probative value of the report — However, certain portions went beyond Davis' qualifications — The report was admissible with certain redactions.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76" w:name="Case Summary_38"/>
            <w:bookmarkEnd w:id="27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Determination of whether the written opinions of Davis, a former member of the Toronto Police Service, were admissible. The plaintiff Henry was seeking to admit the Davis report. He was seeking damages against the defendants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wrongful arrest, assault and battery, and Charter violations. The action related to the defendants' investigation of a number of sexual assaults. The defendants objected to the admissibility of Davis' opinions. They submitted that the opinions were unnecessary and unreliable and were more prejudicial to them than probative.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77" w:name="Holdings of Court_30"/>
            <w:bookmarkEnd w:id="277"/>
            <w:r>
              <w:rPr>
                <w:rFonts w:ascii="arial" w:eastAsia="arial" w:hAnsi="arial" w:cs="arial"/>
                <w:color w:val="000000"/>
                <w:sz w:val="20"/>
                <w:lang w:val="en-US" w:eastAsia="en-US" w:bidi="ar-SA"/>
              </w:rPr>
              <w:t>HELD: The report was admissible with certain redactions.</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Davis' report met the prerequisite of relevance with respect to the requisite standard of care of a police officer. Without the evidence of a witness trained and experienced in policing, the Court would not be able to ascertain the standard of care to be expected of a police officer. The prejudice to the defendants did not outweigh the potential probative value of the report. However, certain portions of the report were to be redacted as they went beyond Davis' qualifications or were little more than argument.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78" w:name="Legislation Cited_31"/>
      <w:bookmarkEnd w:id="27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32" style="position:absolute;z-index:2517534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Canadian Charter of Rights and Freedoms, 1982,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79" w:name="Counsel_42"/>
      <w:bookmarkEnd w:id="27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3" style="position:absolute;z-index:251804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 Laxton, Q.C., M. Sandford, A. Tolliday, M. Longay and P. Poyner.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British Columbia: J. Hunter, Q.C., H. Hughes and K. Johnston.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City of Vancouver, W. Harkema and M. Sims, B. Quayle and K. Liang.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Attorney General of Canada, M. Taylor, Q.C., K. Cochrane and S. Pereira.</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80" w:name="Judgment_42"/>
      <w:bookmarkEnd w:id="280"/>
      <w:r>
        <w:pict>
          <v:line id="_x0000_s1234" style="position:absolute;z-index:25185484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81" w:name="C.E. HINKSON C.J.S.C._0"/>
            <w:bookmarkEnd w:id="281"/>
            <w:r>
              <w:rPr>
                <w:rFonts w:ascii="arial" w:eastAsia="arial" w:hAnsi="arial" w:cs="arial"/>
                <w:b/>
                <w:color w:val="000000"/>
                <w:sz w:val="30"/>
                <w:lang w:val="en-US" w:eastAsia="en-US" w:bidi="ar-SA"/>
              </w:rPr>
              <w:t>C.E. HINKSON C.J.S.C.</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In these proceedings the plaintiff, Mr. Henry seeks damages against the City of Vancouver ("the City"), William Harkema, Marilyn Sims and others ("the City defendants"), for his convictions in March of 1983 of 10 sexual offences involving eight different complainants, and his imprisonment thereafter. Mr. Henry alleges that the City is vicariously liable for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Mr. Harkema and Ms. Sims and other members of the Vancouver City Police in their investigation and conduct in their investigation of a number of sexual assaults in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 further alleges that the City defendants committed a wrongful arrest, assault and battery of him, and breached his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Mr. Henry seeks to introduce into evidence, at the trial of these proceedings, the written opinions of Michael A. Davis, a former member of the city of Toronto Police Service, and to call Mr. Davis to give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 with respect to his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City defendants object to the admissibility of Mr. Davis' opinions on the bases that Mr. Davis is unqualified to offer the opinions he offers, that his opinions are unnecessary and unreliable, are conclusions of fact or law, or both, and encroach upon the functions of the Court, are argument and advocacy thinly disguised as an expert's report, and are more prejudicial to them than probative on the issues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Davis joined the Toronto Police Service as a cadet in 1973, and rose to the rank of Administrative Detective Sergeant by the time of his retirement in April of 2005. During his tenure with the Service, he trained at the Ontario Police College and the Bick College, and served as a general duty constable and a detective in various capacities. His duties included the investigation of sexual assaults.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Davis was instructed by the plaintiff's counsel to assume a lengthy list of facts to be true, and, based on those factual assumptions, to provide his opinion with respect to the following questions:</w:t>
      </w:r>
      <w:r>
        <w:rPr>
          <w:rFonts w:ascii="arial" w:eastAsia="arial" w:hAnsi="arial" w:cs="arial"/>
          <w:sz w:val="20"/>
          <w:lang w:val="en-US" w:eastAsia="en-US" w:bidi="ar-SA"/>
        </w:rPr>
        <w:cr/>
      </w:r>
    </w:p>
    <w:p>
      <w:pPr>
        <w:numPr>
          <w:numId w:val="3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VPD members exercise reasonable care, skill, and professional judgment in their communications with and directions provided to the Vancouver City Analyst lab?</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VPD members exercise reasonable care, skill and professional judgment in holding the "brainstorming" meeting?</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VPD members exercise reasonable care, skill, and professional judgment in failing to disclose to Crown counsel the forensic powder test and its results?</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VPD members [exercise] reasonable care, skill, and professional judgment with respect to the conducting of the May 12, 1982 line-up?</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VPD members exercise reasonable care, skill and professional judgment in failing to disclose to Crown counsel the fruits of the DNR, tracking device, and/ or wiretap?</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VPD members exercise reasonable care, skill, and professional judgment with respect to the July 27-28, 1982 photo line-up shown to the complainant known as J.F.?</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VPD members exercise reasonable care, skill, and professional judgment in showing six trial complainants, all of whom had viewed the May 12, 1982 live Line-up, a photo of that line-up subsequent to Ivan Henry being charged with sexual assault, in the course of obtaining further statements from them?</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VPD members Harkema, Sims and Campbell exercise reasonable care, skill, and professional judgment in failing to provide disclosure information to Crown counsel?</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VPD members exercise reasonable care, skill, and professional judgment in investigating the November 1982-1983 sexual assaults and the potential that those offences and Sexual Assaults had been committed by the same perpetrator?</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VPD members exercise reasonable care, skill, and professional judgment in failing to disclose to Crown counsel the circumstances of the November 1982-1983 Sexual Assaults?</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VPD members exercise reasonable care, skill, and professional judgment in investigating the 1984-1988 Sexual Assaults and the potential that those offences and Sexual Assaults had been committed by the same perpetrator?</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VPD members exercise reasonable care, skill, and professional judgment in failing to disclose to Crown counsel the circumstances of the 1984-1988 Sexual Assaults?</w:t>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VPD member Harkema exercise reasonable care, skill and professional judgment in his 2001 re-assessment of Mr. Henry's convictions?</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Generally speaking, and including any factors that you view to be relevant, did VPD members exercise reasonable care, skill and professional judgment in their investigation of the Sexual Assaults?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Davis answered these questions as follows:</w:t>
      </w:r>
      <w:r>
        <w:rPr>
          <w:rFonts w:ascii="arial" w:eastAsia="arial" w:hAnsi="arial" w:cs="arial"/>
          <w:sz w:val="20"/>
          <w:lang w:val="en-US" w:eastAsia="en-US" w:bidi="ar-SA"/>
        </w:rPr>
        <w:cr/>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VPD members did not exercise reasonable care, skill and professional judgment in their communications with and directions provided to the City Analyst Lab (the "CAL") in 1982-1983.</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VPD members did not exercise reasonable care, skill or professional judgment when they allowed 12 sexual assault complainants to participate in a "brainstorming" session in 1981.</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VPD members did not exercise reasonable care, skill or professional judgment in failing to disclose to the Crown, in 1982-1983, their failed attempt to connect Henry to the sexual assault crime scene by way of forensic powder.</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VPD members did not exercise reasonable care, skill or professional judgment in carrying out the May 12, 1982 line-up (Report, p. 39);</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Detective William Harkema exercised "some" reasonable care in disclosing wiretap information to one Crown counsel, but he, Davis, added that he "would have expected" Harkema to also disclose it directly to the trial prosecutor.</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Detective Harkema did not use reasonable care, skill or professional judgment in conducting the July 27-28, 1982 photo line-up.</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VPD members did not exercise reasonable care, skill and professional judgment in showing six trial complainants a photo of the May Line-Up during re-interviews in August and September, 1982.</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VPD members did not exercise reasonable care, skill and professional judgment in failing to provide disclosure to the Crown in 1983.</w:t>
      </w:r>
    </w:p>
    <w:p>
      <w:pPr>
        <w:numPr>
          <w:numId w:val="2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VPD members did not exercise reasonable care, skill and professional judgment in investigating the sexual assaults that occurred from November 1982 to November 1983.</w:t>
      </w:r>
    </w:p>
    <w:p>
      <w:pPr>
        <w:numPr>
          <w:numId w:val="2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VPD members did not exercise reasonable care, skill and professional judgment in failing to disclose to Crown counsel information regarding the 1982-1983 Assaults, and had these investigations been disclosed to the Crown, it undoubtedly would have prompted further investigation of the counts on which the Plaintiff was charged.</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VPD members did not exercise reasonable care, skill and professional judgment in investigating the sexual assaults that occurred from 1984 to 1988 and whether they were connected to the sexual assaults for which the Plaintiff had been convicted.</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VPD members did not exercise reasonable care, skill and professional judgment in failing to disclose the circumstances of 1984-1988 Assaults to the Crown.</w:t>
      </w:r>
    </w:p>
    <w:p>
      <w:pPr>
        <w:numPr>
          <w:numId w:val="2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Harkema did exercise reasonable care, skill and judgment in reviewing the investigation of the Plaintiff in 2001, notwithstanding inaccuracies in his report and deficiencies in the manner in which Harkema reported the results of his review.</w:t>
      </w:r>
    </w:p>
    <w:p>
      <w:pPr>
        <w:numPr>
          <w:numId w:val="3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Davis answered the 14th question put to him by, for the most part, summarizing his conclusions on some or all of the other 13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prerequisites for the admissibility of expert opinions were set out by the Supreme Court of Canada in </w:t>
      </w:r>
      <w:r>
        <w:rPr>
          <w:rFonts w:ascii="arial" w:eastAsia="arial" w:hAnsi="arial" w:cs="arial"/>
          <w:i/>
          <w:color w:val="000000"/>
          <w:sz w:val="20"/>
          <w:lang w:val="en-US" w:eastAsia="en-US" w:bidi="ar-SA"/>
        </w:rPr>
        <w:t>R. v. Mohan</w:t>
      </w:r>
      <w:r>
        <w:rPr>
          <w:rFonts w:ascii="arial" w:eastAsia="arial" w:hAnsi="arial" w:cs="arial"/>
          <w:color w:val="000000"/>
          <w:sz w:val="20"/>
          <w:lang w:val="en-US" w:eastAsia="en-US" w:bidi="ar-SA"/>
        </w:rPr>
        <w:t xml:space="preserve">, </w:t>
      </w:r>
      <w:hyperlink r:id="rId982" w:history="1">
        <w:r>
          <w:rPr>
            <w:rFonts w:ascii="arial" w:eastAsia="arial" w:hAnsi="arial" w:cs="arial"/>
            <w:i/>
            <w:color w:val="0077CC"/>
            <w:sz w:val="20"/>
            <w:u w:val="single"/>
            <w:shd w:val="clear" w:color="auto" w:fill="FFFFFF"/>
            <w:lang w:val="en-US" w:eastAsia="en-US" w:bidi="ar-SA"/>
          </w:rPr>
          <w:t>[1994] 2 S.C.R. 9</w:t>
        </w:r>
      </w:hyperlink>
      <w:r>
        <w:rPr>
          <w:rFonts w:ascii="arial" w:eastAsia="arial" w:hAnsi="arial" w:cs="arial"/>
          <w:color w:val="000000"/>
          <w:sz w:val="20"/>
          <w:lang w:val="en-US" w:eastAsia="en-US" w:bidi="ar-SA"/>
        </w:rPr>
        <w:t xml:space="preserve"> at 20:</w:t>
      </w:r>
      <w:r>
        <w:rPr>
          <w:rFonts w:ascii="arial" w:eastAsia="arial" w:hAnsi="arial" w:cs="arial"/>
          <w:sz w:val="20"/>
          <w:lang w:val="en-US" w:eastAsia="en-US" w:bidi="ar-SA"/>
        </w:rPr>
        <w:cr/>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relevance;</w:t>
      </w:r>
    </w:p>
    <w:p>
      <w:pPr>
        <w:numPr>
          <w:numId w:val="3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necessity in assisting the trier of fact;</w:t>
      </w:r>
    </w:p>
    <w:p>
      <w:pPr>
        <w:numPr>
          <w:numId w:val="3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absence of any exclusionary rule; [and]</w:t>
      </w:r>
    </w:p>
    <w:p>
      <w:pPr>
        <w:numPr>
          <w:numId w:val="3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properly qualified expert.</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Relevance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City defendants first assert that counsel for the plaintiff instructed Mr. Davis to apply an incorrect standard of care to his opinions. They point to the letter of instruction to Mr. Davis, which states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request that you prepare an expert report addressing the issue of whether acts of [sic] of the Vancouver Police Department members relating to the criminal investigations of our client and other suspects met the standard of care of reasonable police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 do not consider that Mr. Davis, or a reader of his report, would consider that he felt bound or indeed simply applied a "reasonable police standard" to his task. It is evident to me that instead he adopted the standard of a reasonable police officer in all the circumstances; a standard which I will discuss more fully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City defendants assert that because Mr. Davis' opinion letter addresses the legal issue of standard of care, it is inadmissible because the question of the required standard of care is a matter for the Court to determine, and Mr. Davis should not be permitted to offer an opinion on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 am unable to accept this submission. The standard of care in any profession or calling is best known by those who are members of that profession or engaged in that calling, and is usually unknown or incompletely known to a trier of fact. There are, of course, exceptions when the standard accepted in the profession or calling is so fraught with danger that the standard utilized by the profession or calling is rejected; see for example </w:t>
      </w:r>
      <w:r>
        <w:rPr>
          <w:rFonts w:ascii="arial" w:eastAsia="arial" w:hAnsi="arial" w:cs="arial"/>
          <w:i/>
          <w:color w:val="000000"/>
          <w:sz w:val="20"/>
          <w:lang w:val="en-US" w:eastAsia="en-US" w:bidi="ar-SA"/>
        </w:rPr>
        <w:t>Anderson v. Chasney</w:t>
      </w:r>
      <w:r>
        <w:rPr>
          <w:rFonts w:ascii="arial" w:eastAsia="arial" w:hAnsi="arial" w:cs="arial"/>
          <w:color w:val="000000"/>
          <w:sz w:val="20"/>
          <w:lang w:val="en-US" w:eastAsia="en-US" w:bidi="ar-SA"/>
        </w:rPr>
        <w:t xml:space="preserve">, </w:t>
      </w:r>
      <w:hyperlink r:id="rId983" w:history="1">
        <w:r>
          <w:rPr>
            <w:rFonts w:ascii="arial" w:eastAsia="arial" w:hAnsi="arial" w:cs="arial"/>
            <w:i/>
            <w:color w:val="0077CC"/>
            <w:sz w:val="20"/>
            <w:u w:val="single"/>
            <w:shd w:val="clear" w:color="auto" w:fill="FFFFFF"/>
            <w:lang w:val="en-US" w:eastAsia="en-US" w:bidi="ar-SA"/>
          </w:rPr>
          <w:t>[1949] 4 D.L.R. 71</w:t>
        </w:r>
      </w:hyperlink>
      <w:r>
        <w:rPr>
          <w:rFonts w:ascii="arial" w:eastAsia="arial" w:hAnsi="arial" w:cs="arial"/>
          <w:color w:val="000000"/>
          <w:sz w:val="20"/>
          <w:lang w:val="en-US" w:eastAsia="en-US" w:bidi="ar-SA"/>
        </w:rPr>
        <w:t xml:space="preserve"> (M.B.C.A.).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The standard of care to be expected of a police officer was accepted by Chief Justice McLachlin in </w:t>
      </w:r>
      <w:r>
        <w:rPr>
          <w:rFonts w:ascii="arial" w:eastAsia="arial" w:hAnsi="arial" w:cs="arial"/>
          <w:i/>
          <w:color w:val="000000"/>
          <w:sz w:val="20"/>
          <w:lang w:val="en-US" w:eastAsia="en-US" w:bidi="ar-SA"/>
        </w:rPr>
        <w:t>Hill v. Hamilton-Wentworth Regional Police Services Board</w:t>
      </w:r>
      <w:r>
        <w:rPr>
          <w:rFonts w:ascii="arial" w:eastAsia="arial" w:hAnsi="arial" w:cs="arial"/>
          <w:color w:val="000000"/>
          <w:sz w:val="20"/>
          <w:lang w:val="en-US" w:eastAsia="en-US" w:bidi="ar-SA"/>
        </w:rPr>
        <w:t xml:space="preserve">, </w:t>
      </w:r>
      <w:hyperlink r:id="rId984" w:history="1">
        <w:r>
          <w:rPr>
            <w:rFonts w:ascii="arial" w:eastAsia="arial" w:hAnsi="arial" w:cs="arial"/>
            <w:i/>
            <w:color w:val="0077CC"/>
            <w:sz w:val="20"/>
            <w:u w:val="single"/>
            <w:shd w:val="clear" w:color="auto" w:fill="FFFFFF"/>
            <w:lang w:val="en-US" w:eastAsia="en-US" w:bidi="ar-SA"/>
          </w:rPr>
          <w:t>2007 SCC 41</w:t>
        </w:r>
      </w:hyperlink>
      <w:r>
        <w:rPr>
          <w:rFonts w:ascii="arial" w:eastAsia="arial" w:hAnsi="arial" w:cs="arial"/>
          <w:color w:val="000000"/>
          <w:sz w:val="20"/>
          <w:lang w:val="en-US" w:eastAsia="en-US" w:bidi="ar-SA"/>
        </w:rPr>
        <w:t xml:space="preserve"> at para. 68 as that of a reasonable police officer in all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But at para. 73, Chief Justice McLachlin explained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appropriate standard of care is the overarching standard of a reasonable police officer in similar circumstances. This standard should be applied in a manner that gives due recognition to the discretion inherent in police investigation. Like other professionals, police officers are entitled to exercise their discretion as they see fit, provided that they stay within the bounds of reasonableness. The standard of care is not breached because a police officer exercises his or her discretion in a manner other than that deemed optimal by the reviewing court. A number of choices may be open to a police officer investigating a crime, all of which may fall within the range of reasonableness. So long as discretion is exercised within this range, the standard of care is not breached. The standard is not perfection, or even the optimum, judged from the vantage of hindsight. It is that of a reasonable officer, judged in the circumstances prevailing at the time the decision was made - circumstances that may include urgency and deficiencies of information.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does not require perfection of professionals; nor does it guarantee desired results (</w:t>
      </w:r>
      <w:r>
        <w:rPr>
          <w:rFonts w:ascii="arial" w:eastAsia="arial" w:hAnsi="arial" w:cs="arial"/>
          <w:i/>
          <w:color w:val="000000"/>
          <w:sz w:val="20"/>
          <w:lang w:val="en-US" w:eastAsia="en-US" w:bidi="ar-SA"/>
        </w:rPr>
        <w:t>Klar</w:t>
      </w:r>
      <w:r>
        <w:rPr>
          <w:rFonts w:ascii="arial" w:eastAsia="arial" w:hAnsi="arial" w:cs="arial"/>
          <w:color w:val="000000"/>
          <w:sz w:val="20"/>
          <w:lang w:val="en-US" w:eastAsia="en-US" w:bidi="ar-SA"/>
        </w:rPr>
        <w:t>, at p. 359). Rather, it accepts that police officers, like other professionals, may make minor errors or errors in judgment which cause unfortunate results, without breaching the standard of care. The law distinguishes between unreasonable mistakes breaching the standard of care and mere "errors in judgment" which any reasonable professional might have made and therefore, which do not breach the standard of care (</w:t>
      </w:r>
      <w:r>
        <w:rPr>
          <w:rFonts w:ascii="arial" w:eastAsia="arial" w:hAnsi="arial" w:cs="arial"/>
          <w:i/>
          <w:color w:val="000000"/>
          <w:sz w:val="20"/>
          <w:lang w:val="en-US" w:eastAsia="en-US" w:bidi="ar-SA"/>
        </w:rPr>
        <w:t>Lapointe v. Hôpital Le Gardeur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[1992] 1 S.C.R. 351</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Folland v. Reardon</w:t>
      </w:r>
      <w:r>
        <w:rPr>
          <w:rFonts w:ascii="arial" w:eastAsia="arial" w:hAnsi="arial" w:cs="arial"/>
          <w:color w:val="000000"/>
          <w:sz w:val="20"/>
          <w:lang w:val="en-US" w:eastAsia="en-US" w:bidi="ar-SA"/>
        </w:rPr>
        <w:t xml:space="preserve"> </w:t>
      </w:r>
      <w:hyperlink r:id="rId985" w:history="1">
        <w:r>
          <w:rPr>
            <w:rFonts w:ascii="arial" w:eastAsia="arial" w:hAnsi="arial" w:cs="arial"/>
            <w:i/>
            <w:color w:val="0077CC"/>
            <w:sz w:val="20"/>
            <w:u w:val="single"/>
            <w:shd w:val="clear" w:color="auto" w:fill="FFFFFF"/>
            <w:lang w:val="en-US" w:eastAsia="en-US" w:bidi="ar-SA"/>
          </w:rPr>
          <w:t>(2005), 74 O.R. (3d) 688</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Klar</w:t>
      </w:r>
      <w:r>
        <w:rPr>
          <w:rFonts w:ascii="arial" w:eastAsia="arial" w:hAnsi="arial" w:cs="arial"/>
          <w:color w:val="000000"/>
          <w:sz w:val="20"/>
          <w:lang w:val="en-US" w:eastAsia="en-US" w:bidi="ar-SA"/>
        </w:rPr>
        <w:t>, at p. 359.)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It is the discretion that is inherent in police investigation that necessitates expert police evidence from an appropriate expert witness in this case as to whether the conduct in question fell within or without the requisite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Bergen v. Guliker</w:t>
      </w:r>
      <w:r>
        <w:rPr>
          <w:rFonts w:ascii="arial" w:eastAsia="arial" w:hAnsi="arial" w:cs="arial"/>
          <w:color w:val="000000"/>
          <w:sz w:val="20"/>
          <w:lang w:val="en-US" w:eastAsia="en-US" w:bidi="ar-SA"/>
        </w:rPr>
        <w:t xml:space="preserve">, </w:t>
      </w:r>
      <w:hyperlink r:id="rId986" w:history="1">
        <w:r>
          <w:rPr>
            <w:rFonts w:ascii="arial" w:eastAsia="arial" w:hAnsi="arial" w:cs="arial"/>
            <w:i/>
            <w:color w:val="0077CC"/>
            <w:sz w:val="20"/>
            <w:u w:val="single"/>
            <w:shd w:val="clear" w:color="auto" w:fill="FFFFFF"/>
            <w:lang w:val="en-US" w:eastAsia="en-US" w:bidi="ar-SA"/>
          </w:rPr>
          <w:t>2015 BCCA 283</w:t>
        </w:r>
      </w:hyperlink>
      <w:r>
        <w:rPr>
          <w:rFonts w:ascii="arial" w:eastAsia="arial" w:hAnsi="arial" w:cs="arial"/>
          <w:color w:val="000000"/>
          <w:sz w:val="20"/>
          <w:lang w:val="en-US" w:eastAsia="en-US" w:bidi="ar-SA"/>
        </w:rPr>
        <w:t>, the Court of Appeal considered an appeal by the Province from a judgment finding it 20 percent liable for a collision following a police pursuit. The plaintiff had proffered expert evidence on the standard of care to be expected of police officers in the pursuit of a mentally unstable and suicidal driver that was ruled inadmissible by the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Madam Justice Smith, for the Court, set aside the liability findings of the trial judge, after concluding that the issue of the requisite standard of care in such circumstances was one upon which expert evidence was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At paras. 106 - 107, Smith J.A.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106 The general rule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cases is that the standard of care is that of the reasonable person in similar circumstances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at para. 69). However, in the context of professionals, this rule is qualified by an additional principle: where the defendant has special skills and experience, the defendant must "live up to the standards possessed by persons of reasonable skill and experience in that calling"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at para. 69). It follows that, with respect to police officers, the determination of whether the conduct of a police officer was negligent turns on whether his or her conduct, when examined from the viewpoint of a police officer possessed of reasonable skill and experience, was reasonable in the particular circumstances. This standard was articulated in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[73] ... </w:t>
      </w:r>
      <w:r>
        <w:rPr>
          <w:rFonts w:ascii="arial" w:eastAsia="arial" w:hAnsi="arial" w:cs="arial"/>
          <w:color w:val="000000"/>
          <w:sz w:val="20"/>
          <w:u w:val="single"/>
          <w:lang w:val="en-US" w:eastAsia="en-US" w:bidi="ar-SA"/>
        </w:rPr>
        <w:t>[T]he appropriate standard of care is the overarching standard of a reasonable police officer in similar circumstances</w:t>
      </w:r>
      <w:r>
        <w:rPr>
          <w:rFonts w:ascii="arial" w:eastAsia="arial" w:hAnsi="arial" w:cs="arial"/>
          <w:color w:val="000000"/>
          <w:sz w:val="20"/>
          <w:lang w:val="en-US" w:eastAsia="en-US" w:bidi="ar-SA"/>
        </w:rPr>
        <w:t xml:space="preserve">. This standard should be applied in a manner that gives due recognition to the discretion inherent in police investigation. Like other professionals, police officers are entitled to exercise their discretion as they see fit, provided that they stay within the bounds of reasonableness. The standard of care is not breached because a police officer exercises his or her discretion in a manner other than that deemed optimal by the reviewing Court. A number of choices may be open to a police officer investigating a crime, all of which may fall within the range of reasonableness. So long as discretion is exercised within this range, the standard of care is not breached. </w:t>
      </w:r>
      <w:r>
        <w:rPr>
          <w:rFonts w:ascii="arial" w:eastAsia="arial" w:hAnsi="arial" w:cs="arial"/>
          <w:color w:val="000000"/>
          <w:sz w:val="20"/>
          <w:u w:val="single"/>
          <w:lang w:val="en-US" w:eastAsia="en-US" w:bidi="ar-SA"/>
        </w:rPr>
        <w:t>The standard is not perfection, or even the optimum, judged from the vantage of hindsight. It is that of a reasonable officer, judged in the circumstances prevailing at the time the decision was made.</w:t>
      </w:r>
      <w:r>
        <w:rPr>
          <w:rFonts w:ascii="arial" w:eastAsia="arial" w:hAnsi="arial" w:cs="arial"/>
          <w:color w:val="000000"/>
          <w:sz w:val="20"/>
          <w:lang w:val="en-US" w:eastAsia="en-US" w:bidi="ar-SA"/>
        </w:rPr>
        <w:t xml:space="preserve"> The standard is not perfection, or even the optimum, judged from the vantage of hindsight. It is that of a reasonable officer, judged in the circumstances prevailing at the time the decision was made -- circumstances that may include urgency and deficiencies of information. The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does not require perfection of professionals; nor does it guarantee desired results (</w:t>
      </w:r>
      <w:r>
        <w:rPr>
          <w:rFonts w:ascii="arial" w:eastAsia="arial" w:hAnsi="arial" w:cs="arial"/>
          <w:i/>
          <w:color w:val="000000"/>
          <w:sz w:val="20"/>
          <w:lang w:val="en-US" w:eastAsia="en-US" w:bidi="ar-SA"/>
        </w:rPr>
        <w:t>Klar</w:t>
      </w:r>
      <w:r>
        <w:rPr>
          <w:rFonts w:ascii="arial" w:eastAsia="arial" w:hAnsi="arial" w:cs="arial"/>
          <w:color w:val="000000"/>
          <w:sz w:val="20"/>
          <w:lang w:val="en-US" w:eastAsia="en-US" w:bidi="ar-SA"/>
        </w:rPr>
        <w:t>, at p. 359). Rather, it accepts that police officers, like other professionals, may make minor errors or errors in judgment which cause unfortunate results, without breaching the standard of care. The law distinguishes between unreasonable mistakes breaching the standard of care and mere "errors in judgment" which any reasonable professional might have made and therefore, which do not breach the standard of care. [Emphasis added.]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107 In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the Court emphasized that police officers are professionals and their conduct should be assessed in the same way that other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are evaluated. Therefore, in considering the standard of care, the degree of discretion afforded to them in the exercise of their duties is important: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[52] </w:t>
      </w:r>
      <w:r>
        <w:rPr>
          <w:rFonts w:ascii="arial" w:eastAsia="arial" w:hAnsi="arial" w:cs="arial"/>
          <w:color w:val="000000"/>
          <w:sz w:val="20"/>
          <w:u w:val="single"/>
          <w:lang w:val="en-US" w:eastAsia="en-US" w:bidi="ar-SA"/>
        </w:rPr>
        <w:t>Police, like other professionals, exercise professional discretion. No compelling distinction lies between police and other professionals on this score</w:t>
      </w:r>
      <w:r>
        <w:rPr>
          <w:rFonts w:ascii="arial" w:eastAsia="arial" w:hAnsi="arial" w:cs="arial"/>
          <w:color w:val="000000"/>
          <w:sz w:val="20"/>
          <w:lang w:val="en-US" w:eastAsia="en-US" w:bidi="ar-SA"/>
        </w:rPr>
        <w:t xml:space="preserve">. Discretion, hunch and intuition have their proper place in police investigation. However, to characterize police work as completely unpredictable and unbound by standards of reasonableness is to deny its professional nature. </w:t>
      </w:r>
      <w:r>
        <w:rPr>
          <w:rFonts w:ascii="arial" w:eastAsia="arial" w:hAnsi="arial" w:cs="arial"/>
          <w:color w:val="000000"/>
          <w:sz w:val="20"/>
          <w:u w:val="single"/>
          <w:lang w:val="en-US" w:eastAsia="en-US" w:bidi="ar-SA"/>
        </w:rPr>
        <w:t>Police exercise their discretion and professional judgment in accordance with professional standards and practices, consistent with the high standards of professionalism that society rightfully demands of police in performing their important and dangerous work.</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[53] Police are not unlike other professionals in this respect. Many professional practitioners exercise similar levels of discretion. The practices of law and medicine, for example, involve discretion, intuition and occasionally hunch. Professionals in these fields are subject to a duty of care in tort nonetheless, and the courts routinely review their actions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without apparent difficulty.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[54] </w:t>
      </w:r>
      <w:r>
        <w:rPr>
          <w:rFonts w:ascii="arial" w:eastAsia="arial" w:hAnsi="arial" w:cs="arial"/>
          <w:color w:val="000000"/>
          <w:sz w:val="20"/>
          <w:u w:val="single"/>
          <w:lang w:val="en-US" w:eastAsia="en-US" w:bidi="ar-SA"/>
        </w:rPr>
        <w:t>Courts are not in the business of second-guessing reasonable exercises of discretion by trained professionals</w:t>
      </w:r>
      <w:r>
        <w:rPr>
          <w:rFonts w:ascii="arial" w:eastAsia="arial" w:hAnsi="arial" w:cs="arial"/>
          <w:color w:val="000000"/>
          <w:sz w:val="20"/>
          <w:lang w:val="en-US" w:eastAsia="en-US" w:bidi="ar-SA"/>
        </w:rPr>
        <w:t xml:space="preserve">. An appropriate standard of care allows sufficient room to exercise discretion without incurring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Professionals are permitted to exercise discretion. What they are not permitted to do is to exercise their discretion unreasonably.</w:t>
      </w:r>
      <w:r>
        <w:rPr>
          <w:rFonts w:ascii="arial" w:eastAsia="arial" w:hAnsi="arial" w:cs="arial"/>
          <w:color w:val="000000"/>
          <w:sz w:val="20"/>
          <w:lang w:val="en-US" w:eastAsia="en-US" w:bidi="ar-SA"/>
        </w:rPr>
        <w:t xml:space="preserve"> This is in the public interest.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added by Smith J.A.]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do not consider that I am able, without the evidence of a witness trained and or experienced in policing, to ascertain the standard of care to be expected of a police officer at the times in issue in this case, or whether the conduct in question met the requisite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find that Mr. Davis' proffered report meets the prerequisite of relevance for the purpose of its admissibility with respect to the requisite standard of care of a police officer.</w:t>
      </w:r>
      <w:r>
        <w:rPr>
          <w:rFonts w:ascii="arial" w:eastAsia="arial" w:hAnsi="arial" w:cs="arial"/>
          <w:sz w:val="20"/>
          <w:lang w:val="en-US" w:eastAsia="en-US" w:bidi="ar-SA"/>
        </w:rPr>
        <w:cr/>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Necessity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do not accept the proposition put forward by the City defendants that what Mr. Davis' report offers, such as "evidence of the particular policing practices which were the accepted, usual or standard practices in the time, place and circumstances in question" is of a non-technical nature, and therefore unnecessary as the issues that it addresses should be "guided by external indicators which are factual in nature". This proposition includes the assumption that certain practices were usual or standard, an assumption that requires expert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While there may be written policies and procedures, and evidence of training, knowledge, practices and capabilities in place within the Vancouver Police Department at the relevant times, as I have already alluded to above, the discretion that is inherent in police investigation necessitates evidence from an appropriate expert witness with respect to such an investigation.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City defendants also contend that Mr. Davis' report lacks probative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As I have already found, I do not consider that I am able, without the evidence of a witness trained and experienced in policing, to ascertain the standard of care to be expected of a police officer at the times in issue in this case. Where some of the commentary in the report applies the standard of care viewed as appropriate by Mr. Davis to the conduct of the police officers in question, it may be entitled to little or no weight. But the subject matter of the report calls for special knowledge, and may provide me with a ready-made inference which due to the nature of the work, I might otherwise be unable to formulate, as discussed by Mr. Justice Dickson, as he then was at p. 42 in </w:t>
      </w:r>
      <w:r>
        <w:rPr>
          <w:rFonts w:ascii="arial" w:eastAsia="arial" w:hAnsi="arial" w:cs="arial"/>
          <w:i/>
          <w:color w:val="000000"/>
          <w:sz w:val="20"/>
          <w:lang w:val="en-US" w:eastAsia="en-US" w:bidi="ar-SA"/>
        </w:rPr>
        <w:t>R. v. Abbey</w:t>
      </w:r>
      <w:r>
        <w:rPr>
          <w:rFonts w:ascii="arial" w:eastAsia="arial" w:hAnsi="arial" w:cs="arial"/>
          <w:color w:val="000000"/>
          <w:sz w:val="20"/>
          <w:lang w:val="en-US" w:eastAsia="en-US" w:bidi="ar-SA"/>
        </w:rPr>
        <w:t xml:space="preserve">, </w:t>
      </w:r>
      <w:hyperlink r:id="rId987" w:history="1">
        <w:r>
          <w:rPr>
            <w:rFonts w:ascii="arial" w:eastAsia="arial" w:hAnsi="arial" w:cs="arial"/>
            <w:i/>
            <w:color w:val="0077CC"/>
            <w:sz w:val="20"/>
            <w:u w:val="single"/>
            <w:shd w:val="clear" w:color="auto" w:fill="FFFFFF"/>
            <w:lang w:val="en-US" w:eastAsia="en-US" w:bidi="ar-SA"/>
          </w:rPr>
          <w:t>[1982] 2 S.C.R. 24</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Exclusionary Rules</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Factual vs. Opinion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City defendants submit that much of what is in Mr. Davis' proffered report are facts as opposed to opinion evidence, and thus should not be admitted in the form of opinion. They refer to 61 paragraphs of factual assumptions set out in the report. I see no basis for complaint with respect to the recitation of facts that Mr. Davis was asked to assume.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reject the submission that Mr. Davis' report is inadmissible because it makes assertions or findings of fact, or expresses non-expert opinion or incredulity. These are really matters of style, and I have no doubt that I will be able to overcome any stylistic shortcomings that the report may have if and when I decide whether it should be relied upon, and if so, the extent to which it should be relied upon.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With respect to facts referred to by Mr. Davis, I adopt the view expressed by Mr. Justice Spencer in </w:t>
      </w:r>
      <w:r>
        <w:rPr>
          <w:rFonts w:ascii="arial" w:eastAsia="arial" w:hAnsi="arial" w:cs="arial"/>
          <w:i/>
          <w:color w:val="000000"/>
          <w:sz w:val="20"/>
          <w:lang w:val="en-US" w:eastAsia="en-US" w:bidi="ar-SA"/>
        </w:rPr>
        <w:t>Quintette Coal Ltd. v. Bow Valley Resource Services Ltd.</w:t>
      </w:r>
      <w:r>
        <w:rPr>
          <w:rFonts w:ascii="arial" w:eastAsia="arial" w:hAnsi="arial" w:cs="arial"/>
          <w:color w:val="000000"/>
          <w:sz w:val="20"/>
          <w:lang w:val="en-US" w:eastAsia="en-US" w:bidi="ar-SA"/>
        </w:rPr>
        <w:t xml:space="preserve">, </w:t>
      </w:r>
      <w:hyperlink r:id="rId988" w:history="1">
        <w:r>
          <w:rPr>
            <w:rFonts w:ascii="arial" w:eastAsia="arial" w:hAnsi="arial" w:cs="arial"/>
            <w:i/>
            <w:color w:val="0077CC"/>
            <w:sz w:val="20"/>
            <w:u w:val="single"/>
            <w:shd w:val="clear" w:color="auto" w:fill="FFFFFF"/>
            <w:lang w:val="en-US" w:eastAsia="en-US" w:bidi="ar-SA"/>
          </w:rPr>
          <w:t>[1988] B.C.J. No. 1365</w:t>
        </w:r>
      </w:hyperlink>
      <w:r>
        <w:rPr>
          <w:rFonts w:ascii="arial" w:eastAsia="arial" w:hAnsi="arial" w:cs="arial"/>
          <w:color w:val="000000"/>
          <w:sz w:val="20"/>
          <w:lang w:val="en-US" w:eastAsia="en-US" w:bidi="ar-SA"/>
        </w:rPr>
        <w:t xml:space="preserve"> (S.C.) that an expert: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may not make conclusive findings of fact on issues disputed between the parties, but he may state certain facts as the hypothesis upon which he reaches an opinion, or, refer to matters which are already put in evidence... It will be for the Court to decide eventually whether that hypothesis is made out, or whether the appropriate facts are found from that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Although some portions of Mr. Davis' report set out factual information, the factual information is necessary in order to appreciate the basis for his opinions, and while I may ultimately accept or reject the factual basis for his opinions, I am not prepared to excise the factual underpinnings from the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City defendants further contend that Mr. Davis' report consists of argument by way of various combinations of assertions, findings of fact and law, irrelevant non-expert opinion, and incredulity.</w:t>
      </w:r>
      <w:r>
        <w:rPr>
          <w:rFonts w:ascii="arial" w:eastAsia="arial" w:hAnsi="arial" w:cs="arial"/>
          <w:sz w:val="20"/>
          <w:lang w:val="en-US" w:eastAsia="en-US" w:bidi="ar-SA"/>
        </w:rPr>
        <w:cr/>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General Vancouver City Police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City defendants also oppose the admissibility of parts of Mr. Davis' report on the basis that it compares the conduct of members of the Vancouver Police Department with police practices without specific reference to time and place or to specific officers.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While the report does not name all of the officers whose conduct it discusses, it may be that it will assist me in addressing the conduct of officers whose conduct has been called into question by the allegations in the pleadings. In addition to the named defendants William Harkema and Marilyn Sims, those named at para. 114 of the third amended notice of civil claim include Bruce Campbell, David Baker, Lloyd Foxx, Doug MacLean and George Kruchak. If Mr. Davis' report does not assist me in addressing the conduct of those members, and those of Daryl Keen, who is also mentioned in the third amended notice of civil claim, I will ignore those parts of the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Insofar as time and place are concerned, I am unable to accept that the conduct of a police investigation has changed so dramatically over the period of time that Mr. Davis was engaged in police work that his opinions will not assist me in assessing the police conduct in question. I will deal with location below, when I address the so-called locality rule.</w:t>
      </w:r>
      <w:r>
        <w:rPr>
          <w:rFonts w:ascii="arial" w:eastAsia="arial" w:hAnsi="arial" w:cs="arial"/>
          <w:sz w:val="20"/>
          <w:lang w:val="en-US" w:eastAsia="en-US" w:bidi="ar-SA"/>
        </w:rPr>
        <w:cr/>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Probative Value vs. Prejudice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City defendants contend that Mr. Davis' opinions are more prejudicial than probative. Clearly the plaintiff would not want to rely upon the opinions of Mr. Davis if they were not prejudicial to the position of the City defendants. The fact that they are is not, in my view, a reason to reject the report, and in any event, the prejudice to the City defendants does not outweigh the potential probative value of Mr. Davis' report on the evidence presently before me.</w:t>
      </w:r>
      <w:r>
        <w:rPr>
          <w:rFonts w:ascii="arial" w:eastAsia="arial" w:hAnsi="arial" w:cs="arial"/>
          <w:sz w:val="20"/>
          <w:lang w:val="en-US" w:eastAsia="en-US" w:bidi="ar-SA"/>
        </w:rPr>
        <w:cr/>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Mr. Davis' Qualifications</w:t>
      </w:r>
    </w:p>
    <w:p>
      <w:pPr>
        <w:numPr>
          <w:numId w:val="44"/>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b/>
          <w:color w:val="000000"/>
          <w:sz w:val="20"/>
          <w:lang w:val="en-US" w:eastAsia="en-US" w:bidi="ar-SA"/>
        </w:rPr>
        <w:t>Training and Qualifications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Mr. Davis's </w:t>
      </w:r>
      <w:r>
        <w:rPr>
          <w:rFonts w:ascii="arial" w:eastAsia="arial" w:hAnsi="arial" w:cs="arial"/>
          <w:i/>
          <w:color w:val="000000"/>
          <w:sz w:val="20"/>
          <w:lang w:val="en-US" w:eastAsia="en-US" w:bidi="ar-SA"/>
        </w:rPr>
        <w:t>Curriculum Vitae</w:t>
      </w:r>
      <w:r>
        <w:rPr>
          <w:rFonts w:ascii="arial" w:eastAsia="arial" w:hAnsi="arial" w:cs="arial"/>
          <w:color w:val="000000"/>
          <w:sz w:val="20"/>
          <w:lang w:val="en-US" w:eastAsia="en-US" w:bidi="ar-SA"/>
        </w:rPr>
        <w:t xml:space="preserve"> is appended to his report. I do not intend to recite his qualifications in detail. He trained as a police cadet with the Toronto Police Service in 1973 - 1974, and attended the Ontario Police College in 1974 - 1975. Part of his training included attendance at the C.O. Bick College in Ontario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Davis began his post-training career as a uniformed constable, and rose through the Service to the rank of Administrative Detective Sergeant until his retirement in April of 2005. During his career he worked as a detective constable in various roles, investigating a variety of alleged offences including sexual assaults. In his latter years he provided training to detectives and police constables and advice to the Service's Special investigations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Davis was extensively cross examined on his qualifications, and was unable to answer questions about the training provided to Vancouver Police Department officers in the 1960's and 1970's. Paraphrasing his evidence, he did state his belief that certain aspects of the training of officers in Vancouver was, or could be expected to be comparable to the training in Ontario during the same time periods. He also reviewed the Vancouver Police Department Constables Manuals, Second Revised Edition, 1973, and Fourth Revised Edition, March 1980, and with respect thereto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I first looked at the constables' manual it brought back a lot of memories when I first looked at it because these are the type of things that you received from the Ontario Police College. When you came out of the College you had binders and binders of material. A lot of it included all of these issues that are being dealt with in the constables' manual of Vancouver here. So after going through it it's quite similar to what we would have had in Ontario.</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well in tab 19, dealing with the regulations and procedures manual, quite similar to our own -- when I say "our own" I mean Toronto Police Service regulations and that type of thing. There are some variations because of the service itself but other than that it's basically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would be surprised if the training of Ontario police officers at the times in issue were identical to that of Vancouver police officers at the same times, but that is not a reason to reject Mr. Davis' evidence. The standard that must be considered in this case is that of a reasonable police officer in similar circumstances, and Mr. Davis has given evidence that the manuals, and, I infer, the practices of the two services were similar at the times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If cross examination or other evidence will persuade me that the standard of care to be expected of Vancouver police officers on narrow or even broad issues is different from the standard stated by Mr. Davis, I may give his evidence little or no weight, but for the purposes of admissibility, the evidence of Mr. Davis, based primarily on his experience, satisfies me that he has the necessary qualifications to provide opinion evidence on the standard of care to be expected of a reasonable police officer in all the circumstances, at the times relevant to the allegations in this case, and to offer his opinion as to whether that standard of care was met by the impugned acts or omissions of the members of the Vancouver Police Department.</w:t>
      </w:r>
      <w:r>
        <w:rPr>
          <w:rFonts w:ascii="arial" w:eastAsia="arial" w:hAnsi="arial" w:cs="arial"/>
          <w:sz w:val="20"/>
          <w:lang w:val="en-US" w:eastAsia="en-US" w:bidi="ar-SA"/>
        </w:rPr>
        <w:cr/>
      </w:r>
    </w:p>
    <w:p>
      <w:pPr>
        <w:numPr>
          <w:numId w:val="4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Locality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City defendants contend that because Mr. Davis' entire career as a police officer was spent in Toronto, he cannot offer his opinion on the required standard of care of a Vancouver Police Department officer at the relevant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At para. 71 in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Chief Justice McLachlin referred to the standard of "a similarly situated officer". There will be cases, of course, where it will be unfair to compare a police officer in one location to an officer in a dissimilar location. For example, in </w:t>
      </w:r>
      <w:r>
        <w:rPr>
          <w:rFonts w:ascii="arial" w:eastAsia="arial" w:hAnsi="arial" w:cs="arial"/>
          <w:i/>
          <w:color w:val="000000"/>
          <w:sz w:val="20"/>
          <w:lang w:val="en-US" w:eastAsia="en-US" w:bidi="ar-SA"/>
        </w:rPr>
        <w:t>Meady v. Greyhound Canada Transportation Corp.</w:t>
      </w:r>
      <w:r>
        <w:rPr>
          <w:rFonts w:ascii="arial" w:eastAsia="arial" w:hAnsi="arial" w:cs="arial"/>
          <w:color w:val="000000"/>
          <w:sz w:val="20"/>
          <w:lang w:val="en-US" w:eastAsia="en-US" w:bidi="ar-SA"/>
        </w:rPr>
        <w:t xml:space="preserve">, </w:t>
      </w:r>
      <w:hyperlink r:id="rId989" w:history="1">
        <w:r>
          <w:rPr>
            <w:rFonts w:ascii="arial" w:eastAsia="arial" w:hAnsi="arial" w:cs="arial"/>
            <w:i/>
            <w:color w:val="0077CC"/>
            <w:sz w:val="20"/>
            <w:u w:val="single"/>
            <w:shd w:val="clear" w:color="auto" w:fill="FFFFFF"/>
            <w:lang w:val="en-US" w:eastAsia="en-US" w:bidi="ar-SA"/>
          </w:rPr>
          <w:t>2015 ONCA 6</w:t>
        </w:r>
      </w:hyperlink>
      <w:r>
        <w:rPr>
          <w:rFonts w:ascii="arial" w:eastAsia="arial" w:hAnsi="arial" w:cs="arial"/>
          <w:color w:val="000000"/>
          <w:sz w:val="20"/>
          <w:lang w:val="en-US" w:eastAsia="en-US" w:bidi="ar-SA"/>
        </w:rPr>
        <w:t xml:space="preserve"> at para. 43, Chief Justice Strathy, for the Ontario Court of Appeal, distinguished officers from a small northern Ontario community from those in larger urban centres: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tragic events in this case unfolded in a small northern community situated on the highway between Kenora and Thunder Bay and on a bus serving that and similar communities. The key issues involved the standard of care to be observed by police officers and by a bus driver operating in those communities. In my view, the trial judge was uniquely positioned to decide whether he needed expert evidence to determine those standards of care and his rulings attract deference.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Barton v. Nova Scotia (Attorney General)</w:t>
      </w:r>
      <w:r>
        <w:rPr>
          <w:rFonts w:ascii="arial" w:eastAsia="arial" w:hAnsi="arial" w:cs="arial"/>
          <w:color w:val="000000"/>
          <w:sz w:val="20"/>
          <w:lang w:val="en-US" w:eastAsia="en-US" w:bidi="ar-SA"/>
        </w:rPr>
        <w:t xml:space="preserve">, </w:t>
      </w:r>
      <w:hyperlink r:id="rId990" w:history="1">
        <w:r>
          <w:rPr>
            <w:rFonts w:ascii="arial" w:eastAsia="arial" w:hAnsi="arial" w:cs="arial"/>
            <w:i/>
            <w:color w:val="0077CC"/>
            <w:sz w:val="20"/>
            <w:u w:val="single"/>
            <w:shd w:val="clear" w:color="auto" w:fill="FFFFFF"/>
            <w:lang w:val="en-US" w:eastAsia="en-US" w:bidi="ar-SA"/>
          </w:rPr>
          <w:t>2014 NSSC 192</w:t>
        </w:r>
      </w:hyperlink>
      <w:r>
        <w:rPr>
          <w:rFonts w:ascii="arial" w:eastAsia="arial" w:hAnsi="arial" w:cs="arial"/>
          <w:color w:val="000000"/>
          <w:sz w:val="20"/>
          <w:lang w:val="en-US" w:eastAsia="en-US" w:bidi="ar-SA"/>
        </w:rPr>
        <w:t>, Mr. Justice Chipman commented at paras. 124 - 125: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124 Neither the plaintiff nor the Attorney General of Canada presented expert evidence with respect to the appropriate standard of care for a police force carrying out an investigation in a rural Canadian community in 1969. The plaintiff said I should simply apply common sense. The Attorney General of Canada argued the plaintiff's failure to call expert evidence in this area was fatal, given that it is the plaintiff who bears the burden of proof (on a balance of probabilities).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125 While I might have preferred expert evidence to weigh, I am cognizant of cost consequences and do not regard this omission as fatal.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Notwithstanding the comments of Madam Justice Southin for the majority at paras. 39 - 41 in </w:t>
      </w:r>
      <w:r>
        <w:rPr>
          <w:rFonts w:ascii="arial" w:eastAsia="arial" w:hAnsi="arial" w:cs="arial"/>
          <w:i/>
          <w:color w:val="000000"/>
          <w:sz w:val="20"/>
          <w:lang w:val="en-US" w:eastAsia="en-US" w:bidi="ar-SA"/>
        </w:rPr>
        <w:t>Roy v. British Columbia (Attorney General)</w:t>
      </w:r>
      <w:r>
        <w:rPr>
          <w:rFonts w:ascii="arial" w:eastAsia="arial" w:hAnsi="arial" w:cs="arial"/>
          <w:color w:val="000000"/>
          <w:sz w:val="20"/>
          <w:lang w:val="en-US" w:eastAsia="en-US" w:bidi="ar-SA"/>
        </w:rPr>
        <w:t xml:space="preserve">, </w:t>
      </w:r>
      <w:hyperlink r:id="rId991" w:history="1">
        <w:r>
          <w:rPr>
            <w:rFonts w:ascii="arial" w:eastAsia="arial" w:hAnsi="arial" w:cs="arial"/>
            <w:i/>
            <w:color w:val="0077CC"/>
            <w:sz w:val="20"/>
            <w:u w:val="single"/>
            <w:shd w:val="clear" w:color="auto" w:fill="FFFFFF"/>
            <w:lang w:val="en-US" w:eastAsia="en-US" w:bidi="ar-SA"/>
          </w:rPr>
          <w:t>2005 BCCA 88</w:t>
        </w:r>
      </w:hyperlink>
      <w:r>
        <w:rPr>
          <w:rFonts w:ascii="arial" w:eastAsia="arial" w:hAnsi="arial" w:cs="arial"/>
          <w:color w:val="000000"/>
          <w:sz w:val="20"/>
          <w:lang w:val="en-US" w:eastAsia="en-US" w:bidi="ar-SA"/>
        </w:rPr>
        <w:t>, I am not persuaded that I should apply a locality rule in relation to the police actions or inactions alleged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Toronto and Vancouver are two of Canada's three largest cities, and were so at all times relevant to this case. I am not prepared to assume, without evidence, that there were significant differences in policing standards in the two cities, such that an experienced police officer from Toronto could not provide a useful opinion of the standard of care to be expected of police officers in Vancouver at the times in question. If evidence is led, or cross examination persuades me that Mr. Davis' opinions are not useful, they may be entitled to no weight, but I am not prepared, at this juncture, to rule that Mr. Davis' opinions are inadmissible.</w:t>
      </w:r>
      <w:r>
        <w:rPr>
          <w:rFonts w:ascii="arial" w:eastAsia="arial" w:hAnsi="arial" w:cs="arial"/>
          <w:sz w:val="20"/>
          <w:lang w:val="en-US" w:eastAsia="en-US" w:bidi="ar-SA"/>
        </w:rPr>
        <w:cr/>
      </w:r>
    </w:p>
    <w:p>
      <w:pPr>
        <w:numPr>
          <w:numId w:val="46"/>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Davis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Notwithstanding my conclusions on the ability of Mr. Davis to provide evidence that may be of assistance in the resolution of the issues affecting the City defendants, I am not satisfied that his report can be admitted in its entirety.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 will deal first with those parts of the report that I will admit into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While the answer to the second question posed to Mr. Davis arguably intrudes on the specialties of psychology and sociology, if not other areas, I am persuaded that it is also within Mr. Davis' experience, so will allow it to remain in his report, and will afford it the weight that I consider it deserves following cross examination, and the evidence of other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With respect to Mr. Davis' answer to the fifth question answered, while it begins with an assertion of what he perceives to be the obligation of police officers, I am prepared to admit that part of his answer on the basis that his experience may equip him to offer at least his perspective on the issue, in case it assists me in understanding the interaction between the police and Crown counsel. I do have some qualms about the evidence he has included in this answer about what witnesses said and did. To the extent that the evidence will be led through statements of agreed facts or other witnesses it is arguably unnecessary. To the extent that the evidence will not be led through statements of agreed facts or other witnesses it is inadmissible through the report or evidence of Mr. Davis. I will bear this in mind when I come to deal with this answer, but I do not consider that it is a basis upon which I should reject the answer at this juncture.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 have reached a similar conclusion with respect to the admissibility of Mr. Davis' answer to the seventh and eighth questions that he was asked and for the same reasons that I will admit his answer to the fifth question he was asked, I will admit his answer to the seventh and eighth questions.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ninth question asked of Mr. Davis seeks his opinion with respect to the conduct of "VPD members". As I have discussed above, this part of the report may assist me in addressing the conduct of officers whose conduct has been called into question by the allegations in the pleadings. If it does not, I will ignore this part of the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While I am not satisfied that Mr. Davis' answers to the eleventh, twelfth and thirteenth questions that he was asked will be of assistance to me, I am not prepared, at this juncture, to say that they will not. As with Mr. Davis' answer to the fifth question he was asked, they begin with an assertion of what he perceives to be the obligation of police officers, and I am prepared to admit that part of his report on the basis that his experience may have equipped him to offer at least his perspective on the issues upon which he comments in his answers to questions eleven, twelve and thirteen, in case it assists me in understanding the basis for his answers to these questions. I will afford these opinions the weight that I consider they deserve following cross examination, and the evidence of other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following redactions to Mr. Davis' report must be made, for the following reasons:</w:t>
      </w:r>
      <w:r>
        <w:rPr>
          <w:rFonts w:ascii="arial" w:eastAsia="arial" w:hAnsi="arial" w:cs="arial"/>
          <w:sz w:val="20"/>
          <w:lang w:val="en-US" w:eastAsia="en-US" w:bidi="ar-SA"/>
        </w:rPr>
        <w:cr/>
      </w:r>
    </w:p>
    <w:p>
      <w:pPr>
        <w:numPr>
          <w:numId w:val="4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his answer to the first question that he was asked, the paragraph that begins at the bottom of page 15 states: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Prior to 1982, police would have received training at their various academies or colleges on the use of forensic laboratories. Experts from the field would have been brought in to teach or lecture police on forensics which would have included serology.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Some of the available training includes:</w:t>
      </w:r>
    </w:p>
    <w:p>
      <w:pPr>
        <w:numPr>
          <w:numId w:val="4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How to properly collect evidence at crime scenes;</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How to submit evidence collected to the laboratories;</w:t>
      </w:r>
    </w:p>
    <w:p>
      <w:pPr>
        <w:numPr>
          <w:numId w:val="5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How to request appropriate examinations from forensic scientists, i.e. examine for semen, spermatozoa, blood or any other bodily fluids.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portion of the answer should be redacted as the basis for its application to Vancouver Police Department is unstated, and Mr. Davis has no knowledge of the training in Vancouver at the relevant time. The paragraph that begins at the bottom of page 16, together with the last two paragraphs on page 17, which read: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At that time (1982), forensic testing of perpetrator spermatozoa was capable of definitively excluding a police suspect in a sexual assault case based on a comparison of blood or blood enzyme type (serology testing).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He or members of the VPD, ought to have requested serology testing in this case to assist in determining whether Ivan Henry could be eliminated or confirmed as a suspect/perpetrator in the sexual assaults.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Therefore, members of the VPD neglected to exercise reasonable care, skill, and professional judgment in their communications with and directions provided to the City Analyst Lab.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should be redacted as the first is beyond Mr. Davis' qualifications and the last two assume facts that I have ordered to be redacted from earlier parts of the report.</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entirety of Mr. Davis' discussion in answer to the third question he was asked is little more than argument, and does not appear to be based upon either his training or experience with respect to the narrow issue he is addressing. It should be redacted in its entirety.</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factual portion of Mr. Davis' response to the fourth question that he was asked contains a great deal of evidence about what witnesses said and did. To the extent that the evidence will be admitted through statements of agreed fact or other witnesses it is unnecessary. To the extent that the evidence will not be admitted through statements of agreed fact or other witnesses it is inadmissible through the report or evidence of Mr. Davis. Insofar as the opinion portion of Mr. Davis' response to the fourth question is concerned, I am not satisfied that Mr. Davis has the necessary experience to offer an opinion in answer to the question, and his answer includes a reference to case law that is unnecessary or inadmissible through him.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addition, the propriety of the lineup was the subject of critical comment without such evidence by the Court of Appeal in </w:t>
      </w:r>
      <w:r>
        <w:rPr>
          <w:rFonts w:ascii="arial" w:eastAsia="arial" w:hAnsi="arial" w:cs="arial"/>
          <w:i/>
          <w:color w:val="000000"/>
          <w:sz w:val="20"/>
          <w:lang w:val="en-US" w:eastAsia="en-US" w:bidi="ar-SA"/>
        </w:rPr>
        <w:t>R. v. Henry</w:t>
      </w:r>
      <w:r>
        <w:rPr>
          <w:rFonts w:ascii="arial" w:eastAsia="arial" w:hAnsi="arial" w:cs="arial"/>
          <w:color w:val="000000"/>
          <w:sz w:val="20"/>
          <w:lang w:val="en-US" w:eastAsia="en-US" w:bidi="ar-SA"/>
        </w:rPr>
        <w:t xml:space="preserve"> </w:t>
      </w:r>
      <w:hyperlink r:id="rId992" w:history="1">
        <w:r>
          <w:rPr>
            <w:rFonts w:ascii="arial" w:eastAsia="arial" w:hAnsi="arial" w:cs="arial"/>
            <w:i/>
            <w:color w:val="0077CC"/>
            <w:sz w:val="20"/>
            <w:u w:val="single"/>
            <w:shd w:val="clear" w:color="auto" w:fill="FFFFFF"/>
            <w:lang w:val="en-US" w:eastAsia="en-US" w:bidi="ar-SA"/>
          </w:rPr>
          <w:t>2010 BCCA 462</w:t>
        </w:r>
      </w:hyperlink>
      <w:r>
        <w:rPr>
          <w:rFonts w:ascii="arial" w:eastAsia="arial" w:hAnsi="arial" w:cs="arial"/>
          <w:color w:val="000000"/>
          <w:sz w:val="20"/>
          <w:lang w:val="en-US" w:eastAsia="en-US" w:bidi="ar-SA"/>
        </w:rPr>
        <w:t xml:space="preserve">, and even if the views expressed by the Court of Appeal are not, strictly speaking, binding on the City defendants pursuant to the principles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or abuse of process, they are nonetheless instructive with respect to the propriety of the lineup.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Insofar as the portion of the answer discussing voice identification is concerned, it would appear to offer a common sense view, but I am not persuaded that Mr. Davis has any particular expertise with respect to voice recognition that warrants the inclusion of that part of his answer.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Davis' discussion in answer to the fourth question that he was asked should be redacted in its entirety.</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Mr. Davis' discussion in answer to the sixth question he was asked, I have reached the same conclusions that I did with respect to fourth question, and find that Mr. Davis' discussion in answer to the fourth question that he was asked should be redacted in its entirety.</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his discussion in answer to the tenth question that he was asked, Mr. Davis sets out but one paragraph of facts presumed to be true. I do not consider that the facts set out in that paragraph are a sufficient basis upon which Mr. Davis could, without considerable speculation, offer an opinion in answer to the question, and I find that his discussion in answer to this question should be redacted in its entirety from his report before it can be admitted into evidence.</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I stated above, Mr. Davis' answer to the fourteenth question that he was asked is, for the most part, a summary of his conclusions on some or all of the other 13 questions. As I have ordered some of those answers to be redacted, I will order the redaction of the entirety of this part of his report before his report can be admitted into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Counsel should revise Mr. Davis' report to reflect the required redactions. It can then be admitted into evidence, and Mr. Davis can be called to comment upon or clarify any portions of the redacted report, and be cross examined.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C.E. HINKSON C.J.S.C.</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5" style="position:absolute;z-index:2518937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93"/>
          <w:headerReference w:type="default" r:id="rId994"/>
          <w:footerReference w:type="even" r:id="rId995"/>
          <w:footerReference w:type="default" r:id="rId996"/>
          <w:headerReference w:type="first" r:id="rId997"/>
          <w:footerReference w:type="first" r:id="rId99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99" w:history="1">
        <w:r>
          <w:rPr>
            <w:rFonts w:ascii="arial" w:eastAsia="arial" w:hAnsi="arial" w:cs="arial"/>
            <w:b/>
            <w:bCs/>
            <w:i/>
            <w:color w:val="0077CC"/>
            <w:kern w:val="32"/>
            <w:sz w:val="28"/>
            <w:szCs w:val="32"/>
            <w:u w:val="single"/>
            <w:shd w:val="clear" w:color="auto" w:fill="FFFFFF"/>
            <w:lang w:val="en-US" w:eastAsia="en-US" w:bidi="ar-SA"/>
          </w:rPr>
          <w:t>Karran v. Anderson, [2008] B.C.J. No. 440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D.M. Masuhara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7,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February 7,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M062682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440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312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165 A.C.W.S. (3d) 760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Winnie Karran, Plaintiff, and Ryan Anderson,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6" style="position:absolute;z-index:2517032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2" w:name="Keywords_42"/>
      <w:bookmarkEnd w:id="282"/>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driver — Pedestrians — The plaintiff pedestrian and the defendant driver were found to be equally at fault for the accident in which the plaintiff was struck while crossing in a crosswalk but against the sign — It was apparent from his discovery evidence that the defendant was not paying sufficient attention to the traffic around him — He ought to have taken some caution and slowed down from driving at the maximum speed limit to take account of the potential hazard ahead of him — A small reduction in speed would have avoided the accident.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3" w:name="Case Summary_39"/>
            <w:bookmarkEnd w:id="28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pedestrian sought damages for injuries sustained when she was struck by the defendant's pick-up truck in a crosswalk -- The issue of liability was severed from that of quantum -- The plaintiff conceded that she negligently crossed at the crosswalk against a signal not to do so, but argued that fault ought to be attributed to the defendant -- HELD: The parties were equally at fault -- The plaintiff was jogging across the crosswalk during rush hour looking forward only, having begun crossing when the signal indicated she was not to cross -- The defendant was also negligent -- It was apparent from his discovery evidence that he was not paying sufficient attention to the traffic around him -- Traffic was not proceeding through the intersection when he saw the light turn green as he indicated -- He did not notice the traffic in the middle two lanes had come to a stop -- The traffic had come to a stop to allow the plaintiff to cross the intersection, notwithstanding southbound traffic had a green light -- He ought to have recognized that traffic had come to a stop at the intersection and that a person was crossing -- He ought to have taken some caution and slowed down from driving at the maximum speed limit to take account of the potential hazard ahead of him -- A small reduction in speed would have avoided the accident -- Fault was to be shared equally between the parties, with costs at scale B.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84" w:name="Legislation Cited_32"/>
      <w:bookmarkEnd w:id="28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37" style="position:absolute;z-index:2517544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1000" w:history="1">
        <w:r>
          <w:rPr>
            <w:rFonts w:ascii="arial" w:eastAsia="arial" w:hAnsi="arial" w:cs="arial"/>
            <w:i/>
            <w:color w:val="0077CC"/>
            <w:sz w:val="20"/>
            <w:u w:val="single"/>
            <w:shd w:val="clear" w:color="auto" w:fill="FFFFFF"/>
            <w:lang w:val="en-US" w:eastAsia="en-US" w:bidi="ar-SA"/>
          </w:rPr>
          <w:t>R.S.B.C. 1996, c. 318, s. 125</w:t>
        </w:r>
      </w:hyperlink>
      <w:r>
        <w:rPr>
          <w:rFonts w:ascii="arial" w:eastAsia="arial" w:hAnsi="arial" w:cs="arial"/>
          <w:color w:val="000000"/>
          <w:sz w:val="20"/>
          <w:lang w:val="en-US" w:eastAsia="en-US" w:bidi="ar-SA"/>
        </w:rPr>
        <w:t>, s. 127, s. 132, s. 179, s. 181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85" w:name="Counsel_43"/>
      <w:bookmarkEnd w:id="28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8" style="position:absolute;z-index:251805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A.C.R. Parsons.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A.Y. Chan.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86" w:name="Judgment_43"/>
      <w:bookmarkEnd w:id="286"/>
      <w:r>
        <w:pict>
          <v:line id="_x0000_s1239" style="position:absolute;z-index:25185587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1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87" w:name="D.M. MASUHARA J. (orally)"/>
            <w:bookmarkEnd w:id="287"/>
            <w:r>
              <w:rPr>
                <w:rFonts w:ascii="arial" w:eastAsia="arial" w:hAnsi="arial" w:cs="arial"/>
                <w:b/>
                <w:color w:val="000000"/>
                <w:sz w:val="30"/>
                <w:lang w:val="en-US" w:eastAsia="en-US" w:bidi="ar-SA"/>
              </w:rPr>
              <w:t>D.M. MASUHARA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relates to an accident in which the plaintiff, Ms. Karran, also known as Luong Chi Huang, was struck by a pickup truck owned and operated by Mr. Anderson on Wednesday, February 8, 2006, in a crosswalk at the intersection of Smithe Street and Howe Street in Vancouver, 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 determination of liability was the subject of this trial. The question of quantum was severed. The plaintiff concedes that she was negligent as she was crossing at a crosswalk against a signal not to do so. However, she argues that fault should be attributed to the defendant. The issues to be determined are: whether Mr. Anderson was negligent; and if so, what apportionment of fault should he bear.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following witnesses were called as part of the plaintiff's case: Ms. Karran, the plaintiff; Ms. Campbell, a witness to the accident; Mr. Bernstein, a witness to the accident whose appearance was by video deposition; Mr. Coburn, an assistant engineer for the City of Vancouver who testified about the traffic light sequencing at the traffic lights at the intersection of Robson and Howe, as well as at the intersection of Smithe and Howe; and Mr. Rempel, an expert in accident reconstruction. He is also a professional engineer with a mechanical engineering degree and a law degree.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defence called no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terms of summary, the accident occurred at the intersection of Howe and Smithe. This intersection, coincidentally, is adjacent to the Smithe Street entrance of the Vancouver Law Courts. There are traffic lights for vehicles as well as pedestrian signals at the four corners. The pedestrian signals at each crosswalk show a white pedestrian symbol indicating when to walk across, and a flashing red hand symbol turning to a steady red hand symbol to indicate "do not walk." There are marked crosswalks from all corners. Vehicular travel on Smithe Street is restricted to one way westbound, and on Howe Street travel is restricted to one way southbound. There are four lanes each on Howe Street and Smithe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Karran is 37 years old. She came to Canada in 1982 as a refugee. She comes from Vietnam via Hong Kong. Her first home in Canada was New Brunswick where she lived until 1985. She moved to Vancouver in 1985 and completed Grade 11. She has two children, her son, is four years old, and her daughter, is fourteen years old. She is petite. Her height is 4 feet 11 inches. At the time of the accident, she weighed 105 pounds. At trial she did not look much different. She was soft-spoken. It was apparent that English was a second language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At the time of the accident the plaintiff resided at the corner of Smithe and Hornby. She indicated that she had lived in the downtown area prior to the accident for some eight years. She stated that she would cross the intersection at Howe and Smithe frequently and at different times of the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the day in question, she was heading from her residence to a London Drugs store located on Granville Street to buy diapers for her young child. She was dressed in a beige track suit with a white jacket. She was wearing running shoes. Her route required her to cross Howe Street eastward from the northwest corner of Howe and Smithe.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When she got to this corner, she stated that she saw no cars in the western curb lane. Cars had stopped at the front in each of the two middle lanes at the crosswalk, and there were no cars in the far eastern curb lane. She thought that the far eastern curb lane was a parking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She stated that she began to walk across Howe in the middle of the crosswalk believing that the traffic signal indicated that she could cross. However, under cross-examination, she could not say that she saw the walk signal to cross or that she even looked at it. She could only say that she saw that the cars were stopped.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She also agreed in her examination for discovery that at the time, she was walking "really fast." She stated that as she was in the front of the second of the two cars that had stopped, she took a quick look or "glanced" left. She said she saw nothing.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next thing that she could recall was a lady holding her hand while she was on the ground. This lady turned out to be Ms. Campbell. The plaintiff did not know at that point what had happened to her. She does not recall the truck hitting her. When she got her bearing, she learned that she had been hit by a truck and landed in the crosswalk on the opposite side of the intersection from which she was crossing.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Turning to Ms. Campbell, Ms. Campbell is an office manager. She had worked in the general area for about a year. Just prior to the accident, she was standing at the southeast corner of Smithe and Howe with about four other pedestrians waiting to cross north across Smithe. She stated that there were quite a few people in the area of the intersection. Ms. Campbell was familiar with the intersection, as she worked nearby and would walk around the intersection a couple times a week. She agreed that it was rush hour, but stated that traffic was moderate. She had waited about a minute for the signal to change and then proceeded across the crosswalk.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When Ms. Campbell was midway across the crosswalk, she saw the plaintiff get struck by the pickup driven by the defendant. She saw Ms. Karran tossed airborne from the crosswalk in which she was crossing to the crosswalk on the other side of the intersection of Howe, which is a distance of about 17.5 metres. The position of Ms. Karran in the crosswalk was in line with the middle of the east curb lane when she was struck as well as where she landed in the opposite crosswalk.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Campbell then went to the aid of Ms. Karran and sat down beside her until the ambulance arrived. She indicated that Ms. Karran was walking briskly at the moment just prior to impact. She could not estimate the speed of the pickup that struck her. At some point, the plaintiff asked for her cellphone that was in her handbag and asked Ms. Campbell to call her boyfriend. Ms. Karran scrolled to the phone number, at which point Ms. Campbell took the phone and spoke to Ms. Karran's boyfriend.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Coburn testified that there is a timing relationship between the traffic lights at the intersection of Howe and Robson and the intersection of Howe and Smithe. The green light at Smithe and Howe follows 12 seconds after the green light at Robson and Smithe during rush hours, which is 2:30 p.m. to 6:30 p.m. during weekdays. This timing sequence was in effect at the time of the subject accident, which was a Wednesday.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Bernstein is a director of financial services for ScotiaMcLeod in West Vancouver and has been so since 2005. Prior to this, his office was located for many years in downtown Vancouver at the 800 block of West Georgia. He witnessed the accident from his vehicle that was stopped at the northeast corner of Smithe and Howe. He was waiting for the light to change. He was headed westward on Smithe and was stopped at a red light. He was at the front of the lane and facing into the direction that Ms. Karran was travelling.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He stated he saw the plaintiff running in the crosswalk across Howe Street in front of the two cars that had stopped. He could not say why these cars had stopped, but he stated that he did not recall any southbound traffic or westbound traffic that was stuck in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He saw her from the time she was on the western curb of Howe Street and stated that she did not stop, but was moving at a jogging pace. He stated that she did not stop at any point as she crossed Howe Street. He stated that she did not look in any direction but straight ahead to the east. Under cross-examination, he was unmoved from his statement that the plaintiff did not look to see around the cars that had stopped.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He stated that he saw a pickup travelling southbound in the east curb lane of Howe Street strike the plaintiff. He could not estimate its speed, given his vision was somewhat blocked by the columns at that corner. He recalled that the impact with the plaintiff was between 30 to 50 percent of the front of the pickup. He stated that it was "just about flush on." He said the plaintiff flew through the air some 30 feet. He then got out of his car and called 911 on his cell.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He stated that many people attended to the plaintiff. He waited for the ambulance to arrive and then gave the police his name. He indicated it was his belief that neither the plaintiff nor the defendant could see each other. He mentioned that it was his view that the plaintiff's stature played a role in this. He stated that he did not hear a horn or braking before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Rempel provided a report that made a time/distance technical assessment of the subject collision. The assumptions he was given are set out in his report, and are:</w:t>
      </w:r>
      <w:r>
        <w:rPr>
          <w:rFonts w:ascii="arial" w:eastAsia="arial" w:hAnsi="arial" w:cs="arial"/>
          <w:sz w:val="20"/>
          <w:lang w:val="en-US" w:eastAsia="en-US" w:bidi="ar-SA"/>
        </w:rPr>
        <w:cr/>
      </w:r>
    </w:p>
    <w:p>
      <w:pPr>
        <w:numPr>
          <w:numId w:val="3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incident occurred shortly before 5:00 p.m. on February 8, 2006.</w:t>
      </w:r>
    </w:p>
    <w:p>
      <w:pPr>
        <w:numPr>
          <w:numId w:val="3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Anderson vehicle was travelling southbound on Howe Street in the east curb lane.</w:t>
      </w:r>
    </w:p>
    <w:p>
      <w:pPr>
        <w:numPr>
          <w:numId w:val="3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Anderson vehicle was approaching the Smithe Street intersection travelling at 50 kilometres per hour when the southbound Howe Street signal changed to green.</w:t>
      </w:r>
    </w:p>
    <w:p>
      <w:pPr>
        <w:numPr>
          <w:numId w:val="3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Following the signal change to green, the Anderson vehicle maintained its speed of 50 kilometres per hour and continued towards the intersection.</w:t>
      </w:r>
    </w:p>
    <w:p>
      <w:pPr>
        <w:numPr>
          <w:numId w:val="3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Karran was within the crosswalk when the impact occurred.</w:t>
      </w:r>
    </w:p>
    <w:p>
      <w:pPr>
        <w:numPr>
          <w:numId w:val="3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Karran crossed Howe Street from west to east in the north crosswalk at a brisk walk or jogging pace.</w:t>
      </w:r>
    </w:p>
    <w:p>
      <w:pPr>
        <w:numPr>
          <w:numId w:val="3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Anderson did not brake prior to impact.</w:t>
      </w:r>
    </w:p>
    <w:p>
      <w:pPr>
        <w:numPr>
          <w:numId w:val="3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Karran was 36 years of age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Mr. Rempel used pedestrian walking and jogging speeds from the second edition of </w:t>
      </w:r>
      <w:r>
        <w:rPr>
          <w:rFonts w:ascii="arial" w:eastAsia="arial" w:hAnsi="arial" w:cs="arial"/>
          <w:i/>
          <w:color w:val="000000"/>
          <w:sz w:val="20"/>
          <w:lang w:val="en-US" w:eastAsia="en-US" w:bidi="ar-SA"/>
        </w:rPr>
        <w:t>Pedestrian Accident Reconstruction Litigation</w:t>
      </w:r>
      <w:r>
        <w:rPr>
          <w:rFonts w:ascii="arial" w:eastAsia="arial" w:hAnsi="arial" w:cs="arial"/>
          <w:color w:val="000000"/>
          <w:sz w:val="20"/>
          <w:lang w:val="en-US" w:eastAsia="en-US" w:bidi="ar-SA"/>
        </w:rPr>
        <w:t>, 1988, authored by J.J. Eubanks and P.F. Hill. From the data in this publication regarding the speed at which Ms. Karran would be travelling, Mr. Rempel opined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Ms. Karran stepped into the crosswalk, the Anderson vehicle was: one, about 77 to 90 metres from the point of impact if Ms. Karran crossed at a brisk walking pace; to about 45 to 54 metres from the point of impact if Ms. Karran crossed at a jogging pace.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 Rempel also concluded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Anderson vehicle occupied the same position it did when Ms. Karran stepped into the crosswalk but was instead travelling at reduced speed, that is to say less than 50 kilometres per hour, it would have arrived at the impact position later than it did. For all scenarios considered, a speed of 45 kilometres per hour or less for the Anderson vehicle would have avoided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Rempel also, at the request of plaintiff's counsel on the night prior to his appearance as well as the morning of his appearance, drove his car, a 2005 Subaru Impreza automatic, southward from a stop at the traffic light at Robson and Howe at various acceleration rates, which he considered to be slow, normal and fast, to reach 50 kilometres per hour and to travel for 12 seconds, which was the time for the traffic light at Smithe Street and Howe Street to turn green.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He would then determine the distance that he had generally travelled. At a normal rate of acceleration, he stated that he reached a position approximately 70 metres from the point of impact. He provided distances or approximations at a slow acceleration as well as at a higher acceleration.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Rempel also took several measurements along Howe Street. The distance from the assumed point of impact in the crosswalk to the centre of the southern crosswalk in the same eastern curb lane was determined to be 57 feet or 17.5 metres. The distance from the stop line at Robson and Howe to the stop line at Smithe and Howe was measured to be 167.6 metres.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Anderson's discovery evidence was also read in by the plaintiff. This evidence indicated that he worked at Pacific Centre Mall and that his day ended at 5:00 p.m. He left the parkade at about that time and exited on Howe Street. His intention was to proceed south on Howe to Nelson Street and then to go over the Cambie Street bridge. He was on his way to his girlfriend's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After exiting the tunnel from the parkade, he stopped for a red light at Robson Street. He was travelling in the far left curb lane. There were no cars parked in that lane. Traffic was moderate to heavy. He stated that as he approached the intersection, it turned from red to green. He said it was green for about 20 seconds. He stated he was halfway down the block towards Smithe when the light had turned green.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He stated that he did not observe any westbound traffic on Smithe that was stuck in the intersection. He stated that as he proceeded towards and through the intersection at Smithe and Howe, he struck the plaintiff, he did not see her until he struck her and did not have a chance to brake. He stated that he was going 50 kilometres per hour. He knew this because he was in second gear in his truck. He stated that he did not slow as he approached the intersection, as traffic in the other lanes along his were also moving southward.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He recalled a white bucket truck that was proceeding through the intersection along with other vehicles as he was catching up to go through the intersection. He specifically stated that did not observe vehicles stopped at the crosswalk. He agreed the plaintiff was at the crosswalk at the time he struck her. He identified the damage to the front of his truck that was caused by the impact with the plaintiff. The damage to the hood of his truck was just right of centre and was from his impact with Ms. Karran.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terms of admissions, the defendant's admissions were the following:</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motor vehicle accident which is the subject of this proceeding occurred on February 8, 2006, at approximately 5:00 p.m.;</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of said accident, the road surface was dry and the weather conditions were clear;</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of said accident, the lighting conditions were daylight;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speed limit on Howe Street in the area where the accident occurred was 50 kilometres per hour on February 8,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plaintiff's admissions included the following:</w:t>
      </w:r>
      <w:r>
        <w:rPr>
          <w:rFonts w:ascii="arial" w:eastAsia="arial" w:hAnsi="arial" w:cs="arial"/>
          <w:sz w:val="20"/>
          <w:lang w:val="en-US" w:eastAsia="en-US" w:bidi="ar-SA"/>
        </w:rPr>
        <w:cr/>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of the collision, the traffic signal for southbound vehicles at the intersection of Howe and Smithe displayed a green light; and</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of the collision, the traffic signals for the north and south crosswalks across Howe at the intersection of Howe and Smithe displayed a steady red hand symbol.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terms of findings, I find that the signal sequence and timings for the traffic equipment installed at Howe Street were in effect on February 8, and sequencing of light changes were at 12 seconds as per Mr. Coburn's report and evidence. The time of the accident was during rush hour. Ms. Karran was jogging across the crosswalk and looking forward only. At all material times she was in the crosswalk. She specifically did not look in the curb lane in which the defendant was travelling and which ultimately led to her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She, as already admitted, began crossing at a time when the crosswalk signal indicated she was not to cross. She did not look left into the east curb lane. While she stated in her testimony that she glanced, I prefer the evidence of Mr. Bernstein, who was an independent witness and had the attributes of a reliable witness, had a clear view of Ms. Karran as she was moving directly towards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He was situated directly opposite to the direction that she was headed. He was unequivocal in his observation that he did not see her look to the left into the curb lane. Her view that she thought the eastern curb was a parking lane. It is another factor that supports my view that on balance, Ms. Karran did not look. I also take into account, given her height, that she would not have been able to see past the stopped cars and a glance while jogging would not have been sufficient.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terms of the state of traffic at the time of the accident, I find that the traffic at the crosswalk in which Ms. Karran entered to cross Howe had stopped to allow her to cross. Mr. Anderson testified that southbound traffic was moving through the intersection to the time just prior to Ms. Karran being struck by the truck. However, I prefer the testimony of Ms. Campbell and Mr. Bernstein, who both testified that the cars at the head of the middle two lanes of traffic had stopped at the crosswalk. Both of these witnesses are independent of the parties and provided reliable testimony. They both had clearer views of the surrounding traffic pattern and circumstances at the time than Mr. Anderson as they were specifically focused on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Campbell was facing southbound traffic as she walked northbound across Smithe, and Mr. Bernstein was stopped at the corner facing westward at the stoplight at the corner of Smithe and Howe. Both were clearly aware of the traffic, as they were waiting to move across the intersection, Ms. Campbell by foot northward across Smithe and Mr. Bernstein by car westward across Howe Street. Further, the timing of the lights coincides with the distances travelled by the plaintiff, Ms. Campbell and the point of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Anderson, on the other hand, was simply proceeding southward and believed he had unfettered right-of-way given he had the green light. Given that the traffic had come to a stop at the crosswalk to allow Ms. Karran to cross, the timing of the light sequences, and the evidence of the two witnesses, I find that the traffic had not proceeded southward through the intersection at the time that the light had turned green for southbound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Anderson was midway between the two intersections at the time the light had changed. His average speed at the time at the point of impact was 50 kilometres per hour. A review of the read-ins from Mr. Anderson's discovery shows that it is apparent that he did not recognize that southbound traffic had come to a stop at Smithe and Howe. I specifically reference questions and answers to 45 to 58 of the discovery.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Question 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your lane was clear. You travelled through at 50 kilometres?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Question 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 didn't slow down as you approached the intersection A?</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didn't have to. The other three lanes were already moving.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Question 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other three lanes were already moving?</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Question 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Did you observe whether the vehicles in the other three lanes to your right, where they -- there were vehicles stopped in that crosswalk?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They were moving.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Question 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Your evidence is you recall they were moving?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know they were moving. I recall a white bucket truck that had already -- in the second lane over to me because I was looking at it when I was coming up because I have a friend who owns one. I thought it was him. It was already going through the intersection from a dead stop. I witnessed it starting from the green light and proceeding, as I was already catching up to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Question 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Where was this bucket truck?</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the second lane.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Question 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when did you first observe it?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From Robson Street.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Question 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it was travelling through the intersection beside you?</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I was at Robson Street, it was at a red light. When I was halfway through Smithe Street, the light had gone green and the truck was already starting to go through the intersection as I was catching up to go through the intersection.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Question 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it's your evidence that that vehicle was going through the intersection?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was moving.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Question 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At the same time as you?</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it was going ahead of 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Question 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saw it clear the intersection?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Question 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Where there other vehicles in the lanes to your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There was a few other vehicles in both lanes, yeah.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Question 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And they also were proceeding through the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intersection as you approached?</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what you do on a green light, yeah.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Question 58: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didn't observe those vehicles stopped at the crosswalk?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terms of the point of impact between Ms. Karran and Mr. Anderson's pickup, this can be correlated through the following description: from the east west, it would be in the middle of the east curb lane, and then north south, as in the middle of the crosswalk Ms. Karran was crossing. This would be some 10 to 8 metres from the western curb of the crosswalk.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Turning then to the law. It is agreed that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is not an exclusive code concerning the rights-of-way between drivers and pedestrians and is not a substitute for the common law duty of care by pedestrians and drivers to exercise due care for the safety of others and themselves: </w:t>
      </w:r>
      <w:r>
        <w:rPr>
          <w:rFonts w:ascii="arial" w:eastAsia="arial" w:hAnsi="arial" w:cs="arial"/>
          <w:b/>
          <w:i/>
          <w:color w:val="000000"/>
          <w:sz w:val="20"/>
          <w:lang w:val="en-US" w:eastAsia="en-US" w:bidi="ar-SA"/>
        </w:rPr>
        <w:t>Cook v. Teh</w:t>
      </w:r>
      <w:r>
        <w:rPr>
          <w:rFonts w:ascii="arial" w:eastAsia="arial" w:hAnsi="arial" w:cs="arial"/>
          <w:color w:val="000000"/>
          <w:sz w:val="20"/>
          <w:lang w:val="en-US" w:eastAsia="en-US" w:bidi="ar-SA"/>
        </w:rPr>
        <w:t xml:space="preserve">, </w:t>
      </w:r>
      <w:hyperlink r:id="rId515" w:history="1">
        <w:r>
          <w:rPr>
            <w:rFonts w:ascii="arial" w:eastAsia="arial" w:hAnsi="arial" w:cs="arial"/>
            <w:i/>
            <w:color w:val="0077CC"/>
            <w:sz w:val="20"/>
            <w:u w:val="single"/>
            <w:shd w:val="clear" w:color="auto" w:fill="FFFFFF"/>
            <w:lang w:val="en-US" w:eastAsia="en-US" w:bidi="ar-SA"/>
          </w:rPr>
          <w:t>45 B.C.L.R. (2d) 194</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standard of care is set out in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it is to be considered within the framework of the parties' common law duty of care to each other. It is clear that statutory duties provide evidence of the standard of reasonable conduct and that the proof of a statutory brief may be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Canada v. Saskatchewan Wheat Pool</w:t>
      </w:r>
      <w:r>
        <w:rPr>
          <w:rFonts w:ascii="arial" w:eastAsia="arial" w:hAnsi="arial" w:cs="arial"/>
          <w:color w:val="000000"/>
          <w:sz w:val="20"/>
          <w:lang w:val="en-US" w:eastAsia="en-US" w:bidi="ar-SA"/>
        </w:rPr>
        <w:t xml:space="preserve">, </w:t>
      </w:r>
      <w:hyperlink r:id="rId1001" w:history="1">
        <w:r>
          <w:rPr>
            <w:rFonts w:ascii="arial" w:eastAsia="arial" w:hAnsi="arial" w:cs="arial"/>
            <w:i/>
            <w:color w:val="0077CC"/>
            <w:sz w:val="20"/>
            <w:u w:val="single"/>
            <w:shd w:val="clear" w:color="auto" w:fill="FFFFFF"/>
            <w:lang w:val="en-US" w:eastAsia="en-US" w:bidi="ar-SA"/>
          </w:rPr>
          <w:t>[1983] 1 S.C.R. 205</w:t>
        </w:r>
      </w:hyperlink>
      <w:r>
        <w:rPr>
          <w:rFonts w:ascii="arial" w:eastAsia="arial" w:hAnsi="arial" w:cs="arial"/>
          <w:color w:val="000000"/>
          <w:sz w:val="20"/>
          <w:lang w:val="en-US" w:eastAsia="en-US" w:bidi="ar-SA"/>
        </w:rPr>
        <w:t xml:space="preserve">, </w:t>
      </w:r>
      <w:hyperlink r:id="rId1001" w:history="1">
        <w:r>
          <w:rPr>
            <w:rFonts w:ascii="arial" w:eastAsia="arial" w:hAnsi="arial" w:cs="arial"/>
            <w:i/>
            <w:color w:val="0077CC"/>
            <w:sz w:val="20"/>
            <w:u w:val="single"/>
            <w:shd w:val="clear" w:color="auto" w:fill="FFFFFF"/>
            <w:lang w:val="en-US" w:eastAsia="en-US" w:bidi="ar-SA"/>
          </w:rPr>
          <w:t>143 D.L.R. (3d) 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statutory provisions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relied upon by the parties were sections 125, 127, 132, 179, and 181. They read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125</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Unless otherwise directed by a peace officer or a person authorized by a peace officer to direct traffic, every driver of a vehicle and every pedestrian must obey the instructions of an applicable traffic control device.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a green light alone is exhibited at an intersection by a traffic control signals,</w:t>
      </w:r>
    </w:p>
    <w:p>
      <w:pPr>
        <w:numPr>
          <w:numId w:val="5"/>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driver of a vehicle facing the green light</w:t>
      </w:r>
    </w:p>
    <w:p>
      <w:pPr>
        <w:numPr>
          <w:numId w:val="6"/>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may cause the vehicle to proceed straight through the intersection, or to turn left or right, subject to a sign or signal prohibiting a left or right turn, or both, or designating the turning movement permitted.</w:t>
      </w:r>
    </w:p>
    <w:p>
      <w:pPr>
        <w:numPr>
          <w:numId w:val="7"/>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yield the right of way to pedestrians lawfully in the intersection or in an adjacent crosswalk at the time the green light is exhibited, and</w:t>
      </w:r>
    </w:p>
    <w:p>
      <w:pPr>
        <w:numPr>
          <w:numId w:val="8"/>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yield the right of way to vehicles lawfully in the intersection at the time the green light became exhibited, and</w:t>
      </w:r>
    </w:p>
    <w:p>
      <w:pPr>
        <w:numPr>
          <w:numId w:val="9"/>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 pedestrian facing the green light may proceed across the roadway in a marked or unmarked crosswalk, subject to special pedestrian traffic control signals directing him or her otherwise, and has the right of way for that purpose over all vehicles.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Pedestrian controls</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world "walk" or an outline of a walking person is exhibited at an intersection by a pedestrian traffic control signal, a pedestrian may proceed across the roadway in the direction of the signal in a marked or unmarked crosswalk and has the right of way over all vehicles in the intersection or any adjacent crosswalk.</w:t>
      </w:r>
    </w:p>
    <w:p>
      <w:pPr>
        <w:numPr>
          <w:numId w:val="1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world "walk" or an outline of a walking person is exhibited at a place other than an intersection by a pedestrian traffic control signal, a pedestrian may proceed across the roadway in the direction of the signal and has the right of way over all vehicles.</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word "wait", the words "don't walk" or an outline of a raised hand are exhibited at an intersection or at a place other than an intersection by a pedestrian traffic control signal,</w:t>
      </w:r>
    </w:p>
    <w:p>
      <w:pPr>
        <w:numPr>
          <w:numId w:val="1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 pedestrian must not enter the roadway, and</w:t>
      </w:r>
    </w:p>
    <w:p>
      <w:pPr>
        <w:numPr>
          <w:numId w:val="13"/>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 pedestrian proceeding across the roadway and facing the word "wait", the words "don't walk", or an outline of a raised hand exhibited after he or she entered the roadway</w:t>
      </w:r>
    </w:p>
    <w:p>
      <w:pPr>
        <w:numPr>
          <w:numId w:val="14"/>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proceed to the sidewalk as quickly as possible, and</w:t>
      </w:r>
    </w:p>
    <w:p>
      <w:pPr>
        <w:numPr>
          <w:numId w:val="15"/>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right of way for that purpose over all vehicles.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Rights of way between vehicle and pedestrian</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section 180, the driver of a vehicle must yield the right of way to a pedestrian where traffic control signals are not in place or not in operation when the pedestrian is crossing the highway in a crosswalk and the pedestrian is on the half of the highway on which the vehicle is travelling, or is approaching so closely from the other half of the highway that he or she is in danger.</w:t>
      </w:r>
    </w:p>
    <w:p>
      <w:pPr>
        <w:numPr>
          <w:numId w:val="1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pedestrian must not leave a curb or other place of safety and walk or run into the path of a vehicle that is so close it is impracticable for the driver to yield the right of way.</w:t>
      </w:r>
    </w:p>
    <w:p>
      <w:pPr>
        <w:numPr>
          <w:numId w:val="1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a vehicle is slowing down or stopped at a crosswalk or at an intersection to permit a pedestrian to cross the highway, the driver of a vehicle approaching from the rear must not overtake and pass the vehicle that is slowing down or stopped.</w:t>
      </w:r>
    </w:p>
    <w:p>
      <w:pPr>
        <w:numPr>
          <w:numId w:val="2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pedestrian, cyclist or the driver of a motor vehicle must obey the instructions of an adult school crossing guard and of a school student acting as a member of a traffic patrol where the guards or students are</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provided under the School Act, or</w:t>
      </w:r>
    </w:p>
    <w:p>
      <w:pPr>
        <w:numPr>
          <w:numId w:val="2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authorized by the chief of police of the municipality as defined in section 36(1).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Duty of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Despite sections 178, 179 and 180, a driver of a vehicle must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exercise due care to avoid colliding with a pedestrian who is on the highway,</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give warning by sounding the horn of the vehicle when necessary, and</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observe proper precaution on observing a child or apparently confused or incapacitated person on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terms of judicial expression, the governing passage applicable to this case is found in </w:t>
      </w:r>
      <w:r>
        <w:rPr>
          <w:rFonts w:ascii="arial" w:eastAsia="arial" w:hAnsi="arial" w:cs="arial"/>
          <w:b/>
          <w:i/>
          <w:color w:val="000000"/>
          <w:sz w:val="20"/>
          <w:lang w:val="en-US" w:eastAsia="en-US" w:bidi="ar-SA"/>
        </w:rPr>
        <w:t>Walker v. Brownlee</w:t>
      </w:r>
      <w:r>
        <w:rPr>
          <w:rFonts w:ascii="arial" w:eastAsia="arial" w:hAnsi="arial" w:cs="arial"/>
          <w:color w:val="000000"/>
          <w:sz w:val="20"/>
          <w:lang w:val="en-US" w:eastAsia="en-US" w:bidi="ar-SA"/>
        </w:rPr>
        <w:t xml:space="preserve">, </w:t>
      </w:r>
      <w:hyperlink r:id="rId561"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(S.C.C.). Cartwright J., writing for the majority,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decision of every motor vehicle collision case must depend on its particular facts, I am of opinion that when A, the driver in the servient position, proceeds through an intersection in complete disregard of his statutory duty to yield the right-of-way and a collision results, if he seeks to cast any portion of the blame upon B, the driver having the right-of-way, A must establish that after B became aware, or by the exercise of reasonable care should have become aware, of A's disregard of the law B had in fact a sufficient opportunity to avoid the accident of which a reasonably careful and skillful driver would have availed himself; and I do not think that in such circumstances any doubts should be resolved in favour of A, whose unlawful conduct was </w:t>
      </w:r>
      <w:r>
        <w:rPr>
          <w:rFonts w:ascii="arial" w:eastAsia="arial" w:hAnsi="arial" w:cs="arial"/>
          <w:i/>
          <w:color w:val="000000"/>
          <w:sz w:val="20"/>
          <w:lang w:val="en-US" w:eastAsia="en-US" w:bidi="ar-SA"/>
        </w:rPr>
        <w:t>fons et origo mali</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defence relies upon the general proposition that a driver proceeding on a green light owes no duty to traffic entering the intersection in disobedience of the lights beyond the duty that if they, in fact, see such traffic, they ought to take all reasonable steps to avoid a collision. Various cases were cited in support including: </w:t>
      </w:r>
      <w:r>
        <w:rPr>
          <w:rFonts w:ascii="arial" w:eastAsia="arial" w:hAnsi="arial" w:cs="arial"/>
          <w:b/>
          <w:i/>
          <w:color w:val="000000"/>
          <w:sz w:val="20"/>
          <w:lang w:val="en-US" w:eastAsia="en-US" w:bidi="ar-SA"/>
        </w:rPr>
        <w:t>Wong v. West</w:t>
      </w:r>
      <w:r>
        <w:rPr>
          <w:rFonts w:ascii="arial" w:eastAsia="arial" w:hAnsi="arial" w:cs="arial"/>
          <w:color w:val="000000"/>
          <w:sz w:val="20"/>
          <w:lang w:val="en-US" w:eastAsia="en-US" w:bidi="ar-SA"/>
        </w:rPr>
        <w:t xml:space="preserve"> (1959), 30 W.W.R. 526 (B.C.C.A.); </w:t>
      </w:r>
      <w:r>
        <w:rPr>
          <w:rFonts w:ascii="arial" w:eastAsia="arial" w:hAnsi="arial" w:cs="arial"/>
          <w:b/>
          <w:i/>
          <w:color w:val="000000"/>
          <w:sz w:val="20"/>
          <w:lang w:val="en-US" w:eastAsia="en-US" w:bidi="ar-SA"/>
        </w:rPr>
        <w:t>Lucas v. Antoniak</w:t>
      </w:r>
      <w:r>
        <w:rPr>
          <w:rFonts w:ascii="arial" w:eastAsia="arial" w:hAnsi="arial" w:cs="arial"/>
          <w:color w:val="000000"/>
          <w:sz w:val="20"/>
          <w:lang w:val="en-US" w:eastAsia="en-US" w:bidi="ar-SA"/>
        </w:rPr>
        <w:t xml:space="preserve"> </w:t>
      </w:r>
      <w:hyperlink r:id="rId1002" w:history="1">
        <w:r>
          <w:rPr>
            <w:rFonts w:ascii="arial" w:eastAsia="arial" w:hAnsi="arial" w:cs="arial"/>
            <w:i/>
            <w:color w:val="0077CC"/>
            <w:sz w:val="20"/>
            <w:u w:val="single"/>
            <w:shd w:val="clear" w:color="auto" w:fill="FFFFFF"/>
            <w:lang w:val="en-US" w:eastAsia="en-US" w:bidi="ar-SA"/>
          </w:rPr>
          <w:t>(1980), 15 C.C.L.T. 195</w:t>
        </w:r>
      </w:hyperlink>
      <w:r>
        <w:rPr>
          <w:rFonts w:ascii="arial" w:eastAsia="arial" w:hAnsi="arial" w:cs="arial"/>
          <w:color w:val="000000"/>
          <w:sz w:val="20"/>
          <w:lang w:val="en-US" w:eastAsia="en-US" w:bidi="ar-SA"/>
        </w:rPr>
        <w:t xml:space="preserve"> (B.C.C.A.); </w:t>
      </w:r>
      <w:r>
        <w:rPr>
          <w:rFonts w:ascii="arial" w:eastAsia="arial" w:hAnsi="arial" w:cs="arial"/>
          <w:b/>
          <w:i/>
          <w:color w:val="000000"/>
          <w:sz w:val="20"/>
          <w:lang w:val="en-US" w:eastAsia="en-US" w:bidi="ar-SA"/>
        </w:rPr>
        <w:t>Horsman v. McGarvey</w:t>
      </w:r>
      <w:r>
        <w:rPr>
          <w:rFonts w:ascii="arial" w:eastAsia="arial" w:hAnsi="arial" w:cs="arial"/>
          <w:color w:val="000000"/>
          <w:sz w:val="20"/>
          <w:lang w:val="en-US" w:eastAsia="en-US" w:bidi="ar-SA"/>
        </w:rPr>
        <w:t xml:space="preserve"> </w:t>
      </w:r>
      <w:hyperlink r:id="rId1003" w:history="1">
        <w:r>
          <w:rPr>
            <w:rFonts w:ascii="arial" w:eastAsia="arial" w:hAnsi="arial" w:cs="arial"/>
            <w:i/>
            <w:color w:val="0077CC"/>
            <w:sz w:val="20"/>
            <w:u w:val="single"/>
            <w:shd w:val="clear" w:color="auto" w:fill="FFFFFF"/>
            <w:lang w:val="en-US" w:eastAsia="en-US" w:bidi="ar-SA"/>
          </w:rPr>
          <w:t>(1983), 43 B.C.L.R. 192</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Russell v. Wang</w:t>
      </w:r>
      <w:r>
        <w:rPr>
          <w:rFonts w:ascii="arial" w:eastAsia="arial" w:hAnsi="arial" w:cs="arial"/>
          <w:color w:val="000000"/>
          <w:sz w:val="20"/>
          <w:lang w:val="en-US" w:eastAsia="en-US" w:bidi="ar-SA"/>
        </w:rPr>
        <w:t xml:space="preserve">, 2000 CarswellBC 708 (S.C.); and, </w:t>
      </w:r>
      <w:r>
        <w:rPr>
          <w:rFonts w:ascii="arial" w:eastAsia="arial" w:hAnsi="arial" w:cs="arial"/>
          <w:b/>
          <w:i/>
          <w:color w:val="000000"/>
          <w:sz w:val="20"/>
          <w:lang w:val="en-US" w:eastAsia="en-US" w:bidi="ar-SA"/>
        </w:rPr>
        <w:t>Melgarejo-Gomez v. Sidhu</w:t>
      </w:r>
      <w:r>
        <w:rPr>
          <w:rFonts w:ascii="arial" w:eastAsia="arial" w:hAnsi="arial" w:cs="arial"/>
          <w:color w:val="000000"/>
          <w:sz w:val="20"/>
          <w:lang w:val="en-US" w:eastAsia="en-US" w:bidi="ar-SA"/>
        </w:rPr>
        <w:t xml:space="preserve">, </w:t>
      </w:r>
      <w:hyperlink r:id="rId1004" w:history="1">
        <w:r>
          <w:rPr>
            <w:rFonts w:ascii="arial" w:eastAsia="arial" w:hAnsi="arial" w:cs="arial"/>
            <w:i/>
            <w:color w:val="0077CC"/>
            <w:sz w:val="20"/>
            <w:u w:val="single"/>
            <w:shd w:val="clear" w:color="auto" w:fill="FFFFFF"/>
            <w:lang w:val="en-US" w:eastAsia="en-US" w:bidi="ar-SA"/>
          </w:rPr>
          <w:t>2002 BCCA 19</w:t>
        </w:r>
      </w:hyperlink>
      <w:r>
        <w:rPr>
          <w:rFonts w:ascii="arial" w:eastAsia="arial" w:hAnsi="arial" w:cs="arial"/>
          <w:color w:val="000000"/>
          <w:sz w:val="20"/>
          <w:lang w:val="en-US" w:eastAsia="en-US" w:bidi="ar-SA"/>
        </w:rPr>
        <w:t xml:space="preserve">. The defence also notes that this rule applies with equal force in cases involving pedestrian traffic entering the intersection in disobedience of lights. Reliance is placed upon </w:t>
      </w:r>
      <w:r>
        <w:rPr>
          <w:rFonts w:ascii="arial" w:eastAsia="arial" w:hAnsi="arial" w:cs="arial"/>
          <w:b/>
          <w:i/>
          <w:color w:val="000000"/>
          <w:sz w:val="20"/>
          <w:lang w:val="en-US" w:eastAsia="en-US" w:bidi="ar-SA"/>
        </w:rPr>
        <w:t>Lau v. Calderisi</w:t>
      </w:r>
      <w:r>
        <w:rPr>
          <w:rFonts w:ascii="arial" w:eastAsia="arial" w:hAnsi="arial" w:cs="arial"/>
          <w:color w:val="000000"/>
          <w:sz w:val="20"/>
          <w:lang w:val="en-US" w:eastAsia="en-US" w:bidi="ar-SA"/>
        </w:rPr>
        <w:t xml:space="preserve">, </w:t>
      </w:r>
      <w:hyperlink r:id="rId1005" w:history="1">
        <w:r>
          <w:rPr>
            <w:rFonts w:ascii="arial" w:eastAsia="arial" w:hAnsi="arial" w:cs="arial"/>
            <w:i/>
            <w:color w:val="0077CC"/>
            <w:sz w:val="20"/>
            <w:u w:val="single"/>
            <w:shd w:val="clear" w:color="auto" w:fill="FFFFFF"/>
            <w:lang w:val="en-US" w:eastAsia="en-US" w:bidi="ar-SA"/>
          </w:rPr>
          <w:t>[1998] 55 B.C.L.R. (3d) 368</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plaintiff referred to the summary of law in terms of a duty imposed on a driver approaching a green light as stated by Mr. Justice Fraser in </w:t>
      </w:r>
      <w:r>
        <w:rPr>
          <w:rFonts w:ascii="arial" w:eastAsia="arial" w:hAnsi="arial" w:cs="arial"/>
          <w:b/>
          <w:i/>
          <w:color w:val="000000"/>
          <w:sz w:val="20"/>
          <w:lang w:val="en-US" w:eastAsia="en-US" w:bidi="ar-SA"/>
        </w:rPr>
        <w:t>Nelson (Guardian ad Litem) v. Shinske</w:t>
      </w:r>
      <w:r>
        <w:rPr>
          <w:rFonts w:ascii="arial" w:eastAsia="arial" w:hAnsi="arial" w:cs="arial"/>
          <w:color w:val="000000"/>
          <w:sz w:val="20"/>
          <w:lang w:val="en-US" w:eastAsia="en-US" w:bidi="ar-SA"/>
        </w:rPr>
        <w:t xml:space="preserve">, </w:t>
      </w:r>
      <w:hyperlink r:id="rId521" w:history="1">
        <w:r>
          <w:rPr>
            <w:rFonts w:ascii="arial" w:eastAsia="arial" w:hAnsi="arial" w:cs="arial"/>
            <w:i/>
            <w:color w:val="0077CC"/>
            <w:sz w:val="20"/>
            <w:u w:val="single"/>
            <w:shd w:val="clear" w:color="auto" w:fill="FFFFFF"/>
            <w:lang w:val="en-US" w:eastAsia="en-US" w:bidi="ar-SA"/>
          </w:rPr>
          <w:t>[1991] B.C.J. No. 3841</w:t>
        </w:r>
      </w:hyperlink>
      <w:r>
        <w:rPr>
          <w:rFonts w:ascii="arial" w:eastAsia="arial" w:hAnsi="arial" w:cs="arial"/>
          <w:color w:val="000000"/>
          <w:sz w:val="20"/>
          <w:lang w:val="en-US" w:eastAsia="en-US" w:bidi="ar-SA"/>
        </w:rPr>
        <w:t xml:space="preserve">. This case that was applied recently by Mr. Justice Metzger in </w:t>
      </w:r>
      <w:r>
        <w:rPr>
          <w:rFonts w:ascii="arial" w:eastAsia="arial" w:hAnsi="arial" w:cs="arial"/>
          <w:b/>
          <w:i/>
          <w:color w:val="000000"/>
          <w:sz w:val="20"/>
          <w:lang w:val="en-US" w:eastAsia="en-US" w:bidi="ar-SA"/>
        </w:rPr>
        <w:t>Ashe v. Werstiuk</w:t>
      </w:r>
      <w:r>
        <w:rPr>
          <w:rFonts w:ascii="arial" w:eastAsia="arial" w:hAnsi="arial" w:cs="arial"/>
          <w:color w:val="000000"/>
          <w:sz w:val="20"/>
          <w:lang w:val="en-US" w:eastAsia="en-US" w:bidi="ar-SA"/>
        </w:rPr>
        <w:t xml:space="preserve"> </w:t>
      </w:r>
      <w:hyperlink r:id="rId523" w:history="1">
        <w:r>
          <w:rPr>
            <w:rFonts w:ascii="arial" w:eastAsia="arial" w:hAnsi="arial" w:cs="arial"/>
            <w:i/>
            <w:color w:val="0077CC"/>
            <w:sz w:val="20"/>
            <w:u w:val="single"/>
            <w:shd w:val="clear" w:color="auto" w:fill="FFFFFF"/>
            <w:lang w:val="en-US" w:eastAsia="en-US" w:bidi="ar-SA"/>
          </w:rPr>
          <w:t>2003 BCSC 184</w:t>
        </w:r>
      </w:hyperlink>
      <w:r>
        <w:rPr>
          <w:rFonts w:ascii="arial" w:eastAsia="arial" w:hAnsi="arial" w:cs="arial"/>
          <w:color w:val="000000"/>
          <w:sz w:val="20"/>
          <w:lang w:val="en-US" w:eastAsia="en-US" w:bidi="ar-SA"/>
        </w:rPr>
        <w:t xml:space="preserve"> and was affirmed by the Court of Appeal in </w:t>
      </w:r>
      <w:hyperlink r:id="rId524" w:history="1">
        <w:r>
          <w:rPr>
            <w:rFonts w:ascii="arial" w:eastAsia="arial" w:hAnsi="arial" w:cs="arial"/>
            <w:i/>
            <w:color w:val="0077CC"/>
            <w:sz w:val="20"/>
            <w:u w:val="single"/>
            <w:shd w:val="clear" w:color="auto" w:fill="FFFFFF"/>
            <w:lang w:val="en-US" w:eastAsia="en-US" w:bidi="ar-SA"/>
          </w:rPr>
          <w:t>2004 BCCA 75</w:t>
        </w:r>
      </w:hyperlink>
      <w:r>
        <w:rPr>
          <w:rFonts w:ascii="arial" w:eastAsia="arial" w:hAnsi="arial" w:cs="arial"/>
          <w:color w:val="000000"/>
          <w:sz w:val="20"/>
          <w:lang w:val="en-US" w:eastAsia="en-US" w:bidi="ar-SA"/>
        </w:rPr>
        <w:t xml:space="preserve">. The passage referred to in the </w:t>
      </w:r>
      <w:r>
        <w:rPr>
          <w:rFonts w:ascii="arial" w:eastAsia="arial" w:hAnsi="arial" w:cs="arial"/>
          <w:b/>
          <w:i/>
          <w:color w:val="000000"/>
          <w:sz w:val="20"/>
          <w:lang w:val="en-US" w:eastAsia="en-US" w:bidi="ar-SA"/>
        </w:rPr>
        <w:t>Nelson (Guardian ad Litem) v. Shinske</w:t>
      </w:r>
      <w:r>
        <w:rPr>
          <w:rFonts w:ascii="arial" w:eastAsia="arial" w:hAnsi="arial" w:cs="arial"/>
          <w:color w:val="000000"/>
          <w:sz w:val="20"/>
          <w:lang w:val="en-US" w:eastAsia="en-US" w:bidi="ar-SA"/>
        </w:rPr>
        <w:t xml:space="preserve">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agree with Shaw J., in </w:t>
      </w:r>
      <w:r>
        <w:rPr>
          <w:rFonts w:ascii="arial" w:eastAsia="arial" w:hAnsi="arial" w:cs="arial"/>
          <w:b/>
          <w:i/>
          <w:color w:val="000000"/>
          <w:sz w:val="20"/>
          <w:lang w:val="en-US" w:eastAsia="en-US" w:bidi="ar-SA"/>
        </w:rPr>
        <w:t>Gill Estate v. Greyhound Lines Can. Ltd.</w:t>
      </w:r>
      <w:r>
        <w:rPr>
          <w:rFonts w:ascii="arial" w:eastAsia="arial" w:hAnsi="arial" w:cs="arial"/>
          <w:color w:val="000000"/>
          <w:sz w:val="20"/>
          <w:lang w:val="en-US" w:eastAsia="en-US" w:bidi="ar-SA"/>
        </w:rPr>
        <w:t xml:space="preserve">, </w:t>
      </w:r>
      <w:hyperlink r:id="rId1006" w:history="1">
        <w:r>
          <w:rPr>
            <w:rFonts w:ascii="arial" w:eastAsia="arial" w:hAnsi="arial" w:cs="arial"/>
            <w:i/>
            <w:color w:val="0077CC"/>
            <w:sz w:val="20"/>
            <w:u w:val="single"/>
            <w:shd w:val="clear" w:color="auto" w:fill="FFFFFF"/>
            <w:lang w:val="en-US" w:eastAsia="en-US" w:bidi="ar-SA"/>
          </w:rPr>
          <w:t>[1987] B.C.J. No. 2452</w:t>
        </w:r>
      </w:hyperlink>
      <w:r>
        <w:rPr>
          <w:rFonts w:ascii="arial" w:eastAsia="arial" w:hAnsi="arial" w:cs="arial"/>
          <w:color w:val="000000"/>
          <w:sz w:val="20"/>
          <w:lang w:val="en-US" w:eastAsia="en-US" w:bidi="ar-SA"/>
        </w:rPr>
        <w:t xml:space="preserve">, that the real question to be asked is whether the possibility of danger emerging was reasonably apparent and, if so, what precautions should have been taken in those circumstances. This is the language of Cartwright J. in </w:t>
      </w:r>
      <w:r>
        <w:rPr>
          <w:rFonts w:ascii="arial" w:eastAsia="arial" w:hAnsi="arial" w:cs="arial"/>
          <w:b/>
          <w:i/>
          <w:color w:val="000000"/>
          <w:sz w:val="20"/>
          <w:lang w:val="en-US" w:eastAsia="en-US" w:bidi="ar-SA"/>
        </w:rPr>
        <w:t>Johnson Nat. Storage Ltd. v. Mathieson</w:t>
      </w:r>
      <w:r>
        <w:rPr>
          <w:rFonts w:ascii="arial" w:eastAsia="arial" w:hAnsi="arial" w:cs="arial"/>
          <w:color w:val="000000"/>
          <w:sz w:val="20"/>
          <w:lang w:val="en-US" w:eastAsia="en-US" w:bidi="ar-SA"/>
        </w:rPr>
        <w:t xml:space="preserve">, </w:t>
      </w:r>
      <w:hyperlink r:id="rId1007" w:history="1">
        <w:r>
          <w:rPr>
            <w:rFonts w:ascii="arial" w:eastAsia="arial" w:hAnsi="arial" w:cs="arial"/>
            <w:i/>
            <w:color w:val="0077CC"/>
            <w:sz w:val="20"/>
            <w:u w:val="single"/>
            <w:shd w:val="clear" w:color="auto" w:fill="FFFFFF"/>
            <w:lang w:val="en-US" w:eastAsia="en-US" w:bidi="ar-SA"/>
          </w:rPr>
          <w:t>[1953] 2 D.L.R. 604</w:t>
        </w:r>
      </w:hyperlink>
      <w:r>
        <w:rPr>
          <w:rFonts w:ascii="arial" w:eastAsia="arial" w:hAnsi="arial" w:cs="arial"/>
          <w:color w:val="000000"/>
          <w:sz w:val="20"/>
          <w:lang w:val="en-US" w:eastAsia="en-US" w:bidi="ar-SA"/>
        </w:rPr>
        <w:t xml:space="preserve">. There is a duty upon motorists and pedestrians alike to be vigilant for a reasonably apparent potential hazard. To apply the absolute formulation of </w:t>
      </w:r>
      <w:r>
        <w:rPr>
          <w:rFonts w:ascii="arial" w:eastAsia="arial" w:hAnsi="arial" w:cs="arial"/>
          <w:b/>
          <w:i/>
          <w:color w:val="000000"/>
          <w:sz w:val="20"/>
          <w:lang w:val="en-US" w:eastAsia="en-US" w:bidi="ar-SA"/>
        </w:rPr>
        <w:t>Eva</w:t>
      </w:r>
      <w:r>
        <w:rPr>
          <w:rFonts w:ascii="arial" w:eastAsia="arial" w:hAnsi="arial" w:cs="arial"/>
          <w:color w:val="000000"/>
          <w:sz w:val="20"/>
          <w:lang w:val="en-US" w:eastAsia="en-US" w:bidi="ar-SA"/>
        </w:rPr>
        <w:t xml:space="preserve">, [1938] 2 K.B. 393, would amount to disregarding the pronouncements of the Supreme Court of Canada in </w:t>
      </w:r>
      <w:r>
        <w:rPr>
          <w:rFonts w:ascii="arial" w:eastAsia="arial" w:hAnsi="arial" w:cs="arial"/>
          <w:b/>
          <w:i/>
          <w:color w:val="000000"/>
          <w:sz w:val="20"/>
          <w:lang w:val="en-US" w:eastAsia="en-US" w:bidi="ar-SA"/>
        </w:rPr>
        <w:t>B.C. Electric Ry. Co. Ltd. v. Farrer</w:t>
      </w:r>
      <w:r>
        <w:rPr>
          <w:rFonts w:ascii="arial" w:eastAsia="arial" w:hAnsi="arial" w:cs="arial"/>
          <w:color w:val="000000"/>
          <w:sz w:val="20"/>
          <w:lang w:val="en-US" w:eastAsia="en-US" w:bidi="ar-SA"/>
        </w:rPr>
        <w:t xml:space="preserve">, </w:t>
      </w:r>
      <w:hyperlink r:id="rId516" w:history="1">
        <w:r>
          <w:rPr>
            <w:rFonts w:ascii="arial" w:eastAsia="arial" w:hAnsi="arial" w:cs="arial"/>
            <w:i/>
            <w:color w:val="0077CC"/>
            <w:sz w:val="20"/>
            <w:u w:val="single"/>
            <w:shd w:val="clear" w:color="auto" w:fill="FFFFFF"/>
            <w:lang w:val="en-US" w:eastAsia="en-US" w:bidi="ar-SA"/>
          </w:rPr>
          <w:t>[1955] S.C.R. 757</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Johnson Nat. Storage</w:t>
      </w:r>
      <w:r>
        <w:rPr>
          <w:rFonts w:ascii="arial" w:eastAsia="arial" w:hAnsi="arial" w:cs="arial"/>
          <w:color w:val="000000"/>
          <w:sz w:val="20"/>
          <w:lang w:val="en-US" w:eastAsia="en-US" w:bidi="ar-SA"/>
        </w:rPr>
        <w:t>. I conclude that the law can be stated as follows:</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Users of the streets are entitled to proceed upon the assumption that other users of the streets will observe traffic regulations;</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right to drive or walk on that assumption is not an absolute one;</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obligation, as one proceeds, to maintain special preparation for an unforeseen emergency or a mere possibility;</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on the other hand, the possibility of the danger which in fact materialized is reasonably apparent, the failure to take precautions 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 note that Macdonald J. in </w:t>
      </w:r>
      <w:r>
        <w:rPr>
          <w:rFonts w:ascii="arial" w:eastAsia="arial" w:hAnsi="arial" w:cs="arial"/>
          <w:b/>
          <w:i/>
          <w:color w:val="000000"/>
          <w:sz w:val="20"/>
          <w:lang w:val="en-US" w:eastAsia="en-US" w:bidi="ar-SA"/>
        </w:rPr>
        <w:t>Calderisi</w:t>
      </w:r>
      <w:r>
        <w:rPr>
          <w:rFonts w:ascii="arial" w:eastAsia="arial" w:hAnsi="arial" w:cs="arial"/>
          <w:color w:val="000000"/>
          <w:sz w:val="20"/>
          <w:lang w:val="en-US" w:eastAsia="en-US" w:bidi="ar-SA"/>
        </w:rPr>
        <w:t xml:space="preserve">, concluded that </w:t>
      </w:r>
      <w:r>
        <w:rPr>
          <w:rFonts w:ascii="arial" w:eastAsia="arial" w:hAnsi="arial" w:cs="arial"/>
          <w:b/>
          <w:i/>
          <w:color w:val="000000"/>
          <w:sz w:val="20"/>
          <w:lang w:val="en-US" w:eastAsia="en-US" w:bidi="ar-SA"/>
        </w:rPr>
        <w:t>Nelson</w:t>
      </w:r>
      <w:r>
        <w:rPr>
          <w:rFonts w:ascii="arial" w:eastAsia="arial" w:hAnsi="arial" w:cs="arial"/>
          <w:color w:val="000000"/>
          <w:sz w:val="20"/>
          <w:lang w:val="en-US" w:eastAsia="en-US" w:bidi="ar-SA"/>
        </w:rPr>
        <w:t xml:space="preserve"> does not correctly apply to the law of this province as interpreted and applied by the Court of Appeal to specific situations where traffic flow is controlled by traffic control signals. In that case, Macdonald J. declined to follow </w:t>
      </w:r>
      <w:r>
        <w:rPr>
          <w:rFonts w:ascii="arial" w:eastAsia="arial" w:hAnsi="arial" w:cs="arial"/>
          <w:b/>
          <w:i/>
          <w:color w:val="000000"/>
          <w:sz w:val="20"/>
          <w:lang w:val="en-US" w:eastAsia="en-US" w:bidi="ar-SA"/>
        </w:rPr>
        <w:t>Nelson</w:t>
      </w:r>
      <w:r>
        <w:rPr>
          <w:rFonts w:ascii="arial" w:eastAsia="arial" w:hAnsi="arial" w:cs="arial"/>
          <w:color w:val="000000"/>
          <w:sz w:val="20"/>
          <w:lang w:val="en-US" w:eastAsia="en-US" w:bidi="ar-SA"/>
        </w:rPr>
        <w:t xml:space="preserve">. As I have already mentioned, </w:t>
      </w:r>
      <w:r>
        <w:rPr>
          <w:rFonts w:ascii="arial" w:eastAsia="arial" w:hAnsi="arial" w:cs="arial"/>
          <w:b/>
          <w:i/>
          <w:color w:val="000000"/>
          <w:sz w:val="20"/>
          <w:lang w:val="en-US" w:eastAsia="en-US" w:bidi="ar-SA"/>
        </w:rPr>
        <w:t>Nelson</w:t>
      </w:r>
      <w:r>
        <w:rPr>
          <w:rFonts w:ascii="arial" w:eastAsia="arial" w:hAnsi="arial" w:cs="arial"/>
          <w:color w:val="000000"/>
          <w:sz w:val="20"/>
          <w:lang w:val="en-US" w:eastAsia="en-US" w:bidi="ar-SA"/>
        </w:rPr>
        <w:t xml:space="preserve"> was applied in </w:t>
      </w:r>
      <w:r>
        <w:rPr>
          <w:rFonts w:ascii="arial" w:eastAsia="arial" w:hAnsi="arial" w:cs="arial"/>
          <w:b/>
          <w:i/>
          <w:color w:val="000000"/>
          <w:sz w:val="20"/>
          <w:lang w:val="en-US" w:eastAsia="en-US" w:bidi="ar-SA"/>
        </w:rPr>
        <w:t>Ashe v. Werstiuk</w:t>
      </w:r>
      <w:r>
        <w:rPr>
          <w:rFonts w:ascii="arial" w:eastAsia="arial" w:hAnsi="arial" w:cs="arial"/>
          <w:color w:val="000000"/>
          <w:sz w:val="20"/>
          <w:lang w:val="en-US" w:eastAsia="en-US" w:bidi="ar-SA"/>
        </w:rPr>
        <w:t>, a judgment affirmed by the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As mentioned, the defence referred to several cases that do not find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a driver who had the right-of-way and struck a pedestrian.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plaintiff has provided cases, however, that on their own facts find a driver having the right-of-way negligent including </w:t>
      </w:r>
      <w:r>
        <w:rPr>
          <w:rFonts w:ascii="arial" w:eastAsia="arial" w:hAnsi="arial" w:cs="arial"/>
          <w:b/>
          <w:i/>
          <w:color w:val="000000"/>
          <w:sz w:val="20"/>
          <w:lang w:val="en-US" w:eastAsia="en-US" w:bidi="ar-SA"/>
        </w:rPr>
        <w:t>Cook</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Hefferland v. Fink</w:t>
      </w:r>
      <w:r>
        <w:rPr>
          <w:rFonts w:ascii="arial" w:eastAsia="arial" w:hAnsi="arial" w:cs="arial"/>
          <w:color w:val="000000"/>
          <w:sz w:val="20"/>
          <w:lang w:val="en-US" w:eastAsia="en-US" w:bidi="ar-SA"/>
        </w:rPr>
        <w:t xml:space="preserve">, </w:t>
      </w:r>
      <w:hyperlink r:id="rId1008" w:history="1">
        <w:r>
          <w:rPr>
            <w:rFonts w:ascii="arial" w:eastAsia="arial" w:hAnsi="arial" w:cs="arial"/>
            <w:i/>
            <w:color w:val="0077CC"/>
            <w:sz w:val="20"/>
            <w:u w:val="single"/>
            <w:shd w:val="clear" w:color="auto" w:fill="FFFFFF"/>
            <w:lang w:val="en-US" w:eastAsia="en-US" w:bidi="ar-SA"/>
          </w:rPr>
          <w:t>[1995] B.C.J. No. 107</w:t>
        </w:r>
      </w:hyperlink>
      <w:r>
        <w:rPr>
          <w:rFonts w:ascii="arial" w:eastAsia="arial" w:hAnsi="arial" w:cs="arial"/>
          <w:color w:val="000000"/>
          <w:sz w:val="20"/>
          <w:lang w:val="en-US" w:eastAsia="en-US" w:bidi="ar-SA"/>
        </w:rPr>
        <w:t xml:space="preserve"> (B.C.S.C.) and </w:t>
      </w:r>
      <w:r>
        <w:rPr>
          <w:rFonts w:ascii="arial" w:eastAsia="arial" w:hAnsi="arial" w:cs="arial"/>
          <w:b/>
          <w:i/>
          <w:color w:val="000000"/>
          <w:sz w:val="20"/>
          <w:lang w:val="en-US" w:eastAsia="en-US" w:bidi="ar-SA"/>
        </w:rPr>
        <w:t>Callahan (Guardian ad Litem) v. Cairns</w:t>
      </w:r>
      <w:r>
        <w:rPr>
          <w:rFonts w:ascii="arial" w:eastAsia="arial" w:hAnsi="arial" w:cs="arial"/>
          <w:color w:val="000000"/>
          <w:sz w:val="20"/>
          <w:lang w:val="en-US" w:eastAsia="en-US" w:bidi="ar-SA"/>
        </w:rPr>
        <w:t xml:space="preserve">, </w:t>
      </w:r>
      <w:hyperlink r:id="rId1009" w:history="1">
        <w:r>
          <w:rPr>
            <w:rFonts w:ascii="arial" w:eastAsia="arial" w:hAnsi="arial" w:cs="arial"/>
            <w:i/>
            <w:color w:val="0077CC"/>
            <w:sz w:val="20"/>
            <w:u w:val="single"/>
            <w:shd w:val="clear" w:color="auto" w:fill="FFFFFF"/>
            <w:lang w:val="en-US" w:eastAsia="en-US" w:bidi="ar-SA"/>
          </w:rPr>
          <w:t>[1993] B.C.J. No. 3123</w:t>
        </w:r>
      </w:hyperlink>
      <w:r>
        <w:rPr>
          <w:rFonts w:ascii="arial" w:eastAsia="arial" w:hAnsi="arial" w:cs="arial"/>
          <w:color w:val="000000"/>
          <w:sz w:val="20"/>
          <w:lang w:val="en-US" w:eastAsia="en-US" w:bidi="ar-SA"/>
        </w:rPr>
        <w:t xml:space="preserve"> (B.C.S.C.). While a green light plays a significant role in determining whether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should be found, a green light does not obviate a driver's duty to take reasonable care. Fault arises when he or she becomes aware or should have become aware, as in this case, that a pedestrian was crossing the intersection ahead and had sufficient opportunity to avoid the pedestrian.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 note in the cases provided by the defence, the conditions or the conduct of the driver obviated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that in those cases drivers had, in several of the cases, taken precautions and yet struck a pedestrian.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the circumstances of this case, I conclude that Mr. Anderson was negligent. It is apparent from his discovery evidence that he was not paying sufficient attention to the traffic around him as he proceeded along Howe Street. This is evident by his belief that traffic was proceeding through the intersection when he saw the light turn green. It was not. His evidence seems to indicate, as well, that he believed he had no obligation to keep a "lookout" because he had the green light. He did not notice that the traffic in the middle two lanes had come to a stop. There was no traffic in the far western lane. There were no vehicles stopped in the subject intersection that were travelling southbound or westbound. The traffic had come to a stop to allow Ms. Karran to cross the intersection, notwithstanding southbound traffic had a green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At the time, Ms. Karran was in the process of entering the crosswalk, and Mr. Anderson was midway between Robson and Smithe. Mr. Anderson, in my view, ought to have recognized or should have become aware that traffic had come to a stop at the intersection and that a person was crossing.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This is an area in downtown Vancouver where it is known that there can be many pedestrians at any time of the day, particularly at this time of the accident. This was at the end of the business day including for Mr. Anderson. It is reasonable to assume that during this time of day, there may be pedestrians attempting to cross a busy intersection including those of smaller stature or those in wheelchairs or motorized scooters. Section 179(3) provides evidence of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While there is no requirement on a driver to proceed with such caution as to stop traffic, there are certain indicators that require a driver to take caution and to reduce their speed from the top end of the speed limit, which Mr. Anderson was travelling. Mr. Anderson should have recognized the traffic pattern around him, taken some caution and slowed from driving at the maximum speed limit, to take into account the potential hazard ahead of him. There was sufficient distance and time to avoid the accident. Traffic came to a stop at the intersection when Mr. Anderson was some 45 metres to 70 metres from the point of impact. I accept the evidence of Mr. Rempel that a small reduction in speed would have avoided the accident. At a speed of 50 km/h, Mr. Anderson could still come to a complete stop by applying his brakes in 14 metres. Mr. Anderson did not slow down or brake, as a result he struck down Ms. Karran.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Turning then to the question of apportionment.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Apportionment is addressed in </w:t>
      </w:r>
      <w:r>
        <w:rPr>
          <w:rFonts w:ascii="arial" w:eastAsia="arial" w:hAnsi="arial" w:cs="arial"/>
          <w:b/>
          <w:i/>
          <w:color w:val="000000"/>
          <w:sz w:val="20"/>
          <w:lang w:val="en-US" w:eastAsia="en-US" w:bidi="ar-SA"/>
        </w:rPr>
        <w:t>Cempel v. Harrison Hot Springs Hotel Ltd.</w:t>
      </w:r>
      <w:r>
        <w:rPr>
          <w:rFonts w:ascii="arial" w:eastAsia="arial" w:hAnsi="arial" w:cs="arial"/>
          <w:color w:val="000000"/>
          <w:sz w:val="20"/>
          <w:lang w:val="en-US" w:eastAsia="en-US" w:bidi="ar-SA"/>
        </w:rPr>
        <w:t xml:space="preserve">, </w:t>
      </w:r>
      <w:hyperlink r:id="rId1010" w:history="1">
        <w:r>
          <w:rPr>
            <w:rFonts w:ascii="arial" w:eastAsia="arial" w:hAnsi="arial" w:cs="arial"/>
            <w:i/>
            <w:color w:val="0077CC"/>
            <w:sz w:val="20"/>
            <w:u w:val="single"/>
            <w:shd w:val="clear" w:color="auto" w:fill="FFFFFF"/>
            <w:lang w:val="en-US" w:eastAsia="en-US" w:bidi="ar-SA"/>
          </w:rPr>
          <w:t>[1997] B.C.J. No. 2853</w:t>
        </w:r>
      </w:hyperlink>
      <w:r>
        <w:rPr>
          <w:rFonts w:ascii="arial" w:eastAsia="arial" w:hAnsi="arial" w:cs="arial"/>
          <w:color w:val="000000"/>
          <w:sz w:val="20"/>
          <w:lang w:val="en-US" w:eastAsia="en-US" w:bidi="ar-SA"/>
        </w:rPr>
        <w:t xml:space="preserve">. It states that the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Act</w:t>
      </w:r>
      <w:r>
        <w:rPr>
          <w:rFonts w:ascii="arial" w:eastAsia="arial" w:hAnsi="arial" w:cs="arial"/>
          <w:color w:val="000000"/>
          <w:sz w:val="20"/>
          <w:lang w:val="en-US" w:eastAsia="en-US" w:bidi="ar-SA"/>
        </w:rPr>
        <w:t xml:space="preserve"> requires that the apportionment must be made on the basis of the degree to which each person was at fault. The exercise is not the assessment of the degree of causation. There must be an assessment of the degree of risk created by each of the parties, including a consideration of the effect and potential effect of occurrences within the risk and including any increment in the risk brought about by their conduct after the initial risk was created.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Ms. Karran went against a "do-not-cross" signal. She was jogging across the crosswalk and was not looking. I do not find her evidence that she assumed that the eastern curb was a parking lane to be compelling, as it was clear that this was rush hour and parking is not permitted in many parts of the city during this time of day. This is a common feature of a general downtown core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plaintiff submits that the defendant should be apportioned 75 percent of the fault and 25 percent to her. The defendant, though asked, did not provide a submission as to a percentage of apportionment of fault and maintained that the defendant was not liable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the circumstances, my view is that fault should be shared equally between the parties. The defendant and the plaintiff are respectively to bear fifty percent of the fault. That concludes my ruling.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D.M. MASUHARA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0" style="position:absolute;z-index:2518947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11"/>
          <w:headerReference w:type="default" r:id="rId1012"/>
          <w:footerReference w:type="even" r:id="rId1013"/>
          <w:footerReference w:type="default" r:id="rId1014"/>
          <w:headerReference w:type="first" r:id="rId1015"/>
          <w:footerReference w:type="first" r:id="rId101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17" w:history="1">
        <w:r>
          <w:rPr>
            <w:rFonts w:ascii="arial" w:eastAsia="arial" w:hAnsi="arial" w:cs="arial"/>
            <w:b/>
            <w:bCs/>
            <w:i/>
            <w:color w:val="0077CC"/>
            <w:kern w:val="32"/>
            <w:sz w:val="28"/>
            <w:szCs w:val="32"/>
            <w:u w:val="single"/>
            <w:shd w:val="clear" w:color="auto" w:fill="FFFFFF"/>
            <w:lang w:val="en-US" w:eastAsia="en-US" w:bidi="ar-SA"/>
          </w:rPr>
          <w:t>Laichkwiltach Enterprises Ltd. v. F/V Pacific Faith (The), [2007] B.C.J. No. 2731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R.W. Metzger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18-21, 24-28, and October 4-5,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21,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05/1527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Victoria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2731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1852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163 A.C.W.S. (3d) 506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Admiralty Action In Rem against the ship "Pacific Faith" and In Personam Between Laichkwiltach Enterprises Ltd. and all others interested in the production of F/V "Western Prince", Plaintiffs, and The owner and all others interested in F/V "Pacific Faith", Pacific Faith Fishing Co. Ltd. and Richard Sewid,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1" style="position:absolute;z-index:2517043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8" w:name="Keywords_43"/>
      <w:bookmarkEnd w:id="288"/>
      <w:r>
        <w:rPr>
          <w:rFonts w:ascii="arial" w:eastAsia="arial" w:hAnsi="arial" w:cs="arial"/>
          <w:b/>
          <w:color w:val="000000"/>
          <w:sz w:val="20"/>
          <w:lang w:val="en-US" w:eastAsia="en-US" w:bidi="ar-SA"/>
        </w:rPr>
        <w:t>Damages — For torts — Affecting property — Personal property — Loss of use — The plaintiffs were awarded $17,833 in damages after their fishing vessel sustained damage in a collision for which the defendants were found liable — The claim for lost income was dismissed, as had the plaintiffs proceeded in a reasonable time to attend to the repairs required there would have been no loss of fishing.</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The plaintiffs were awarded $17,833 in damages after their fishing vessel sustained damage in a collision for which the defendants were found liable — Although the accident had been precipitated by the clutch failure, there was no evidence produced to establish the failure was not due to any act or omission on the defendants' part.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Transportation law — Shipping, navigation and admiralty — Collisions and groundings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The plaintiffs were awarded $17,833 in damages after their fishing vessel sustained damage in a collision for which the defendants were found liable — Although the accident had been precipitated by the clutch failure, there was no evidence produced to establish the failure was not due to any act or omission on the defendants' part.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9" w:name="Case Summary_40"/>
            <w:bookmarkEnd w:id="28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brought an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after their fishing vessel, the Western Prince, was damaged by the defendants' larger fishing vessel, the Pacific Faith, during a collision as the Pacific Faith attempted to moor behind it -- The defendants argued the collision was due to a clutch failure, which amounted to an inevitable accident -- The plaintiffs sought $105,666 in damages, including $14,750 for lost income for the crew and owner -- HELD: The defendants were negligent, and the plaintiffs were awarded $17,833 in damages plus simple interest at the prime rate -- As contact had been admitted, the defendants were prima facie negligent -- Although the accident had been precipitated by the clutch failure, there was no evidence produced to establish the failure was not due to any act or omission on the defendants' part -- Therefore, they had failed to demonstrate the accident was inevitable -- The court found the force of the collision was more than a glancing blow, but less than a ramming -- The court found that had the plaintiffs proceeded in a reasonable time to attend to the repairs required there would have been no loss of fishing, and thus they had failed to mitigate their losses -- The portion of the claim seeking lost income was dismissed -- The damage claims numbered 3 through 13 were dismissed for lack of evidence of causation.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90" w:name="Legislation Cited_33"/>
      <w:bookmarkEnd w:id="29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42" style="position:absolute;z-index:2517555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5(11)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Canada Shipping Act, </w:t>
      </w:r>
      <w:hyperlink r:id="rId1018" w:history="1">
        <w:r>
          <w:rPr>
            <w:rFonts w:ascii="arial" w:eastAsia="arial" w:hAnsi="arial" w:cs="arial"/>
            <w:i/>
            <w:color w:val="0077CC"/>
            <w:sz w:val="20"/>
            <w:u w:val="single"/>
            <w:shd w:val="clear" w:color="auto" w:fill="FFFFFF"/>
            <w:lang w:val="en-US" w:eastAsia="en-US" w:bidi="ar-SA"/>
          </w:rPr>
          <w:t>S.C. 2001, c. 26</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91" w:name="Counsel_44"/>
      <w:bookmarkEnd w:id="29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3" style="position:absolute;z-index:251806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D.K. Jones.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D.F. McEwen, Q.C.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2" w:name="Judgment_44"/>
      <w:bookmarkEnd w:id="292"/>
      <w:r>
        <w:pict>
          <v:line id="_x0000_s1244" style="position:absolute;z-index:25185689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93" w:name="R.W. METZGER J."/>
            <w:bookmarkEnd w:id="293"/>
            <w:r>
              <w:rPr>
                <w:rFonts w:ascii="arial" w:eastAsia="arial" w:hAnsi="arial" w:cs="arial"/>
                <w:b/>
                <w:color w:val="000000"/>
                <w:sz w:val="30"/>
                <w:lang w:val="en-US" w:eastAsia="en-US" w:bidi="ar-SA"/>
              </w:rPr>
              <w:t>R.W. METZGER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plaintiffs' fishing vessel Western Prince was moored at its usual spot at the Campbell River Fisherman's Wharf on November 18, 2003. The port bow of the defendants' fishing vessel Pacific Faith, the larger vessel, came into contact with the stern of the Western Prince as the Pacific Faith attempted to moor behind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issues are:</w:t>
      </w:r>
      <w:r>
        <w:rPr>
          <w:rFonts w:ascii="arial" w:eastAsia="arial" w:hAnsi="arial" w:cs="arial"/>
          <w:sz w:val="20"/>
          <w:lang w:val="en-US" w:eastAsia="en-US" w:bidi="ar-SA"/>
        </w:rPr>
        <w:cr/>
      </w:r>
    </w:p>
    <w:p>
      <w:pPr>
        <w:numPr>
          <w:numId w:val="3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Are the defendants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any damage caused to the Western Prince;</w:t>
      </w:r>
    </w:p>
    <w:p>
      <w:pPr>
        <w:numPr>
          <w:numId w:val="3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monetary value of the damage if any; and</w:t>
      </w:r>
    </w:p>
    <w:p>
      <w:pPr>
        <w:numPr>
          <w:numId w:val="3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it appropriate for the crew to sue the defendants for lost wages in a representative proceeding pursuant to Supreme Court Rule 5(11)?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findings are:</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$17,832.60 plus interest;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STATEMENT OF AGREED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plaintiffs and defendants filed the following Agreed Statement of Facts.</w:t>
      </w:r>
      <w:r>
        <w:rPr>
          <w:rFonts w:ascii="arial" w:eastAsia="arial" w:hAnsi="arial" w:cs="arial"/>
          <w:sz w:val="20"/>
          <w:lang w:val="en-US" w:eastAsia="en-US" w:bidi="ar-SA"/>
        </w:rPr>
        <w:cr/>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"Western Prince" is an aluminium fishing vessel, a seiner, built in 1975. The vessel is 15.54 metres in length and 5.06 metres in beam.</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"Western Prince" was purchased by the Plaintiff Laichkwiltach Enterprises Ltd. (Laichkwiltach) in 1993, and has continued since that date to be used by Laichkwiltach as a fishing vessel.</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November 18, 2003, the "Western Prince" was moored port side to at its usual berth at the Campbell River Fisherman's Wharf.</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"Pacific Faith" is an aluminium fishing vessel, a seiner, built in 1988. The vessel is 17.53 metres in length and 6.71 metres in beam.</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November 18, 2003, the owner of the "Pacific Faith" was Pacific Faith Fishing Co. Ltd., and the master was Richard Sewid.</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November 2003, the assigned berth for the "Pacific Faith" was immediately aft of the berth of the "Western Prince" at the Campbell River Fisherman's Wharf.</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November 18, 2003, the "Pacific Faith" was in the process of approaching its berth at [the] Campbell River [marina], when an incident occurred involving contact between the "Pacific Faith" and the "Western Prince".</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"Western Prince" has an adjustable stern ramp that is raised and lowered hydraulically. On November 18, 2003, the stern ramp of the "Western Prince" was in the partially lowered position.</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day following the incident, the ramp was raised to the horizontal or upright position.</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the contact between the "Pacific Faith" and the "Western Prince", the "Pacific Faith" continued moving forward until its bow came into contact with a dock which is at [a] 90 degrees angle to the finger at which the "Western Prince" was berthed. A repair of the dock cost $1,428.40.</w:t>
      </w:r>
    </w:p>
    <w:p>
      <w:pPr>
        <w:numPr>
          <w:numId w:val="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arranged for a marine surveyor, Tony Koch, to attend onboard the "Western Prince" on February 16, 2004.</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April 2, 2004, the "Western Prince" was moved, under its own power, from Campbell River to Nanaimo Shipyard Ltd. in Nanaimo, British Columbia, where work was done on the vessel from April to July 2004.</w:t>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August 2004, the "Western Prince" was moved, under its own power, from Nanaimo Shipyard Ltd. to Arrow Marine Services, 11580 Mitchell Road, Richmond, British Columbia, where work was done on the vessel from August 16, 2004 to September 29, 2004.</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Sockeye salmon fisheries opening occurred in the Department of Fisheries and Oceans statistical areas 12 and 13 on July 28, 2004 and August 1, 2004.</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price paid by Canadian Fishing Company for fish caught during the July 28, 2004 and August 1, 2004 sockeye salmon fisheries openings was $2.00 per pound for round sockeye salmon, $0.35 per pound for bright chum salmon, and $0.15 per pound for round pink salmon.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WERE THE DEFENDANTS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Canada v. Delta Pride (The)</w:t>
      </w:r>
      <w:r>
        <w:rPr>
          <w:rFonts w:ascii="arial" w:eastAsia="arial" w:hAnsi="arial" w:cs="arial"/>
          <w:color w:val="000000"/>
          <w:sz w:val="20"/>
          <w:lang w:val="en-US" w:eastAsia="en-US" w:bidi="ar-SA"/>
        </w:rPr>
        <w:t xml:space="preserve">, </w:t>
      </w:r>
      <w:hyperlink r:id="rId1019" w:history="1">
        <w:r>
          <w:rPr>
            <w:rFonts w:ascii="arial" w:eastAsia="arial" w:hAnsi="arial" w:cs="arial"/>
            <w:i/>
            <w:color w:val="0077CC"/>
            <w:sz w:val="20"/>
            <w:u w:val="single"/>
            <w:shd w:val="clear" w:color="auto" w:fill="FFFFFF"/>
            <w:lang w:val="en-US" w:eastAsia="en-US" w:bidi="ar-SA"/>
          </w:rPr>
          <w:t>[2003] F.C.J. No. 21</w:t>
        </w:r>
      </w:hyperlink>
      <w:r>
        <w:rPr>
          <w:rFonts w:ascii="arial" w:eastAsia="arial" w:hAnsi="arial" w:cs="arial"/>
          <w:color w:val="000000"/>
          <w:sz w:val="20"/>
          <w:lang w:val="en-US" w:eastAsia="en-US" w:bidi="ar-SA"/>
        </w:rPr>
        <w:t xml:space="preserve">, </w:t>
      </w:r>
      <w:hyperlink r:id="rId1019" w:history="1">
        <w:r>
          <w:rPr>
            <w:rFonts w:ascii="arial" w:eastAsia="arial" w:hAnsi="arial" w:cs="arial"/>
            <w:i/>
            <w:color w:val="0077CC"/>
            <w:sz w:val="20"/>
            <w:u w:val="single"/>
            <w:shd w:val="clear" w:color="auto" w:fill="FFFFFF"/>
            <w:lang w:val="en-US" w:eastAsia="en-US" w:bidi="ar-SA"/>
          </w:rPr>
          <w:t>2003 FCT 11</w:t>
        </w:r>
      </w:hyperlink>
      <w:r>
        <w:rPr>
          <w:rFonts w:ascii="arial" w:eastAsia="arial" w:hAnsi="arial" w:cs="arial"/>
          <w:color w:val="000000"/>
          <w:sz w:val="20"/>
          <w:lang w:val="en-US" w:eastAsia="en-US" w:bidi="ar-SA"/>
        </w:rPr>
        <w:t xml:space="preserve">, </w:t>
      </w:r>
      <w:hyperlink r:id="rId1019" w:history="1">
        <w:r>
          <w:rPr>
            <w:rFonts w:ascii="arial" w:eastAsia="arial" w:hAnsi="arial" w:cs="arial"/>
            <w:i/>
            <w:color w:val="0077CC"/>
            <w:sz w:val="20"/>
            <w:u w:val="single"/>
            <w:shd w:val="clear" w:color="auto" w:fill="FFFFFF"/>
            <w:lang w:val="en-US" w:eastAsia="en-US" w:bidi="ar-SA"/>
          </w:rPr>
          <w:t>226 F.T.R. 1</w:t>
        </w:r>
      </w:hyperlink>
      <w:r>
        <w:rPr>
          <w:rFonts w:ascii="arial" w:eastAsia="arial" w:hAnsi="arial" w:cs="arial"/>
          <w:color w:val="000000"/>
          <w:sz w:val="20"/>
          <w:lang w:val="en-US" w:eastAsia="en-US" w:bidi="ar-SA"/>
        </w:rPr>
        <w:t>, Layden-Stevenson J. found that the Captain of the ship in question made a decision that "was reasonable and prudent in the circumstances", and "fell within the standards of good seamanship" (para. 57). Thus, the pilot and owners would not normally have been negligent. However, Layden-Stevenson J. stated further at para. 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finding, however, is not dispositive because if there was contact, it gives rise to a presumption of fact, i.e., when a moving object collides with an immovable one, the active role of the one as against the passive role of the other creates a presumption of fact against the former: </w:t>
      </w:r>
      <w:r>
        <w:rPr>
          <w:rFonts w:ascii="arial" w:eastAsia="arial" w:hAnsi="arial" w:cs="arial"/>
          <w:i/>
          <w:color w:val="000000"/>
          <w:sz w:val="20"/>
          <w:lang w:val="en-US" w:eastAsia="en-US" w:bidi="ar-SA"/>
        </w:rPr>
        <w:t>Ultramar Canada Inc. v. Czantoria (The)</w:t>
      </w:r>
      <w:r>
        <w:rPr>
          <w:rFonts w:ascii="arial" w:eastAsia="arial" w:hAnsi="arial" w:cs="arial"/>
          <w:color w:val="000000"/>
          <w:sz w:val="20"/>
          <w:lang w:val="en-US" w:eastAsia="en-US" w:bidi="ar-SA"/>
        </w:rPr>
        <w:t xml:space="preserve"> </w:t>
      </w:r>
      <w:hyperlink r:id="rId1020" w:history="1">
        <w:r>
          <w:rPr>
            <w:rFonts w:ascii="arial" w:eastAsia="arial" w:hAnsi="arial" w:cs="arial"/>
            <w:i/>
            <w:color w:val="0077CC"/>
            <w:sz w:val="20"/>
            <w:u w:val="single"/>
            <w:shd w:val="clear" w:color="auto" w:fill="FFFFFF"/>
            <w:lang w:val="en-US" w:eastAsia="en-US" w:bidi="ar-SA"/>
          </w:rPr>
          <w:t>(1994) 84 F.T.R. 241</w:t>
        </w:r>
      </w:hyperlink>
      <w:r>
        <w:rPr>
          <w:rFonts w:ascii="arial" w:eastAsia="arial" w:hAnsi="arial" w:cs="arial"/>
          <w:color w:val="000000"/>
          <w:sz w:val="20"/>
          <w:lang w:val="en-US" w:eastAsia="en-US" w:bidi="ar-SA"/>
        </w:rPr>
        <w:t xml:space="preserve"> citing </w:t>
      </w:r>
      <w:r>
        <w:rPr>
          <w:rFonts w:ascii="arial" w:eastAsia="arial" w:hAnsi="arial" w:cs="arial"/>
          <w:i/>
          <w:color w:val="000000"/>
          <w:sz w:val="20"/>
          <w:lang w:val="en-US" w:eastAsia="en-US" w:bidi="ar-SA"/>
        </w:rPr>
        <w:t>A/S Ornen v. Duteous (The)</w:t>
      </w:r>
      <w:r>
        <w:rPr>
          <w:rFonts w:ascii="arial" w:eastAsia="arial" w:hAnsi="arial" w:cs="arial"/>
          <w:color w:val="000000"/>
          <w:sz w:val="20"/>
          <w:lang w:val="en-US" w:eastAsia="en-US" w:bidi="ar-SA"/>
        </w:rPr>
        <w:t xml:space="preserve"> </w:t>
      </w:r>
      <w:hyperlink r:id="rId1021" w:history="1">
        <w:r>
          <w:rPr>
            <w:rFonts w:ascii="arial" w:eastAsia="arial" w:hAnsi="arial" w:cs="arial"/>
            <w:i/>
            <w:color w:val="0077CC"/>
            <w:sz w:val="20"/>
            <w:u w:val="single"/>
            <w:shd w:val="clear" w:color="auto" w:fill="FFFFFF"/>
            <w:lang w:val="en-US" w:eastAsia="en-US" w:bidi="ar-SA"/>
          </w:rPr>
          <w:t>[1987] 1 F.C. 270</w:t>
        </w:r>
      </w:hyperlink>
      <w:r>
        <w:rPr>
          <w:rFonts w:ascii="arial" w:eastAsia="arial" w:hAnsi="arial" w:cs="arial"/>
          <w:color w:val="000000"/>
          <w:sz w:val="20"/>
          <w:lang w:val="en-US" w:eastAsia="en-US" w:bidi="ar-SA"/>
        </w:rPr>
        <w:t xml:space="preserve"> (T.D.) and </w:t>
      </w:r>
      <w:r>
        <w:rPr>
          <w:rFonts w:ascii="arial" w:eastAsia="arial" w:hAnsi="arial" w:cs="arial"/>
          <w:i/>
          <w:color w:val="000000"/>
          <w:sz w:val="20"/>
          <w:lang w:val="en-US" w:eastAsia="en-US" w:bidi="ar-SA"/>
        </w:rPr>
        <w:t>Bell Telephone Co. of Canada v. Mar-Tirenno (The)</w:t>
      </w:r>
      <w:r>
        <w:rPr>
          <w:rFonts w:ascii="arial" w:eastAsia="arial" w:hAnsi="arial" w:cs="arial"/>
          <w:color w:val="000000"/>
          <w:sz w:val="20"/>
          <w:lang w:val="en-US" w:eastAsia="en-US" w:bidi="ar-SA"/>
        </w:rPr>
        <w:t xml:space="preserve">, </w:t>
      </w:r>
      <w:hyperlink r:id="rId1022" w:history="1">
        <w:r>
          <w:rPr>
            <w:rFonts w:ascii="arial" w:eastAsia="arial" w:hAnsi="arial" w:cs="arial"/>
            <w:i/>
            <w:color w:val="0077CC"/>
            <w:sz w:val="20"/>
            <w:u w:val="single"/>
            <w:shd w:val="clear" w:color="auto" w:fill="FFFFFF"/>
            <w:lang w:val="en-US" w:eastAsia="en-US" w:bidi="ar-SA"/>
          </w:rPr>
          <w:t>[1974] 1 F.C. 294</w:t>
        </w:r>
      </w:hyperlink>
      <w:r>
        <w:rPr>
          <w:rFonts w:ascii="arial" w:eastAsia="arial" w:hAnsi="arial" w:cs="arial"/>
          <w:color w:val="000000"/>
          <w:sz w:val="20"/>
          <w:lang w:val="en-US" w:eastAsia="en-US" w:bidi="ar-SA"/>
        </w:rPr>
        <w:t xml:space="preserve"> (T.D.).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Layden-Stevenson J. stated at para. 71 that once contact occurred, "it follows that the defendants were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Dube J., in </w:t>
      </w:r>
      <w:r>
        <w:rPr>
          <w:rFonts w:ascii="arial" w:eastAsia="arial" w:hAnsi="arial" w:cs="arial"/>
          <w:b/>
          <w:i/>
          <w:color w:val="000000"/>
          <w:sz w:val="20"/>
          <w:lang w:val="en-US" w:eastAsia="en-US" w:bidi="ar-SA"/>
        </w:rPr>
        <w:t>A/S Ornen v. Duteous (The)</w:t>
      </w:r>
      <w:r>
        <w:rPr>
          <w:rFonts w:ascii="arial" w:eastAsia="arial" w:hAnsi="arial" w:cs="arial"/>
          <w:color w:val="000000"/>
          <w:sz w:val="20"/>
          <w:lang w:val="en-US" w:eastAsia="en-US" w:bidi="ar-SA"/>
        </w:rPr>
        <w:t xml:space="preserve">, </w:t>
      </w:r>
      <w:hyperlink r:id="rId1021" w:history="1">
        <w:r>
          <w:rPr>
            <w:rFonts w:ascii="arial" w:eastAsia="arial" w:hAnsi="arial" w:cs="arial"/>
            <w:i/>
            <w:color w:val="0077CC"/>
            <w:sz w:val="20"/>
            <w:u w:val="single"/>
            <w:shd w:val="clear" w:color="auto" w:fill="FFFFFF"/>
            <w:lang w:val="en-US" w:eastAsia="en-US" w:bidi="ar-SA"/>
          </w:rPr>
          <w:t>[1987] 1 F.C. 270</w:t>
        </w:r>
      </w:hyperlink>
      <w:r>
        <w:rPr>
          <w:rFonts w:ascii="arial" w:eastAsia="arial" w:hAnsi="arial" w:cs="arial"/>
          <w:color w:val="000000"/>
          <w:sz w:val="20"/>
          <w:lang w:val="en-US" w:eastAsia="en-US" w:bidi="ar-SA"/>
        </w:rPr>
        <w:t xml:space="preserve">, </w:t>
      </w:r>
      <w:hyperlink r:id="rId1021" w:history="1">
        <w:r>
          <w:rPr>
            <w:rFonts w:ascii="arial" w:eastAsia="arial" w:hAnsi="arial" w:cs="arial"/>
            <w:i/>
            <w:color w:val="0077CC"/>
            <w:sz w:val="20"/>
            <w:u w:val="single"/>
            <w:shd w:val="clear" w:color="auto" w:fill="FFFFFF"/>
            <w:lang w:val="en-US" w:eastAsia="en-US" w:bidi="ar-SA"/>
          </w:rPr>
          <w:t>4 F.T.R. 122</w:t>
        </w:r>
      </w:hyperlink>
      <w:r>
        <w:rPr>
          <w:rFonts w:ascii="arial" w:eastAsia="arial" w:hAnsi="arial" w:cs="arial"/>
          <w:color w:val="000000"/>
          <w:sz w:val="20"/>
          <w:lang w:val="en-US" w:eastAsia="en-US" w:bidi="ar-SA"/>
        </w:rPr>
        <w:t>, noted that "a vessel running down a ship at her moorings in broad daylight" is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evidence of fault" (pp. 281-282).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As contact has been admitted, the defendants are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Bell Telephone Co. of Canada v. Mar-Tirenno (The)</w:t>
      </w:r>
      <w:r>
        <w:rPr>
          <w:rFonts w:ascii="arial" w:eastAsia="arial" w:hAnsi="arial" w:cs="arial"/>
          <w:color w:val="000000"/>
          <w:sz w:val="20"/>
          <w:lang w:val="en-US" w:eastAsia="en-US" w:bidi="ar-SA"/>
        </w:rPr>
        <w:t xml:space="preserve">, </w:t>
      </w:r>
      <w:hyperlink r:id="rId1022" w:history="1">
        <w:r>
          <w:rPr>
            <w:rFonts w:ascii="arial" w:eastAsia="arial" w:hAnsi="arial" w:cs="arial"/>
            <w:i/>
            <w:color w:val="0077CC"/>
            <w:sz w:val="20"/>
            <w:u w:val="single"/>
            <w:shd w:val="clear" w:color="auto" w:fill="FFFFFF"/>
            <w:lang w:val="en-US" w:eastAsia="en-US" w:bidi="ar-SA"/>
          </w:rPr>
          <w:t>[1974] 1 F.C. 294</w:t>
        </w:r>
      </w:hyperlink>
      <w:r>
        <w:rPr>
          <w:rFonts w:ascii="arial" w:eastAsia="arial" w:hAnsi="arial" w:cs="arial"/>
          <w:color w:val="000000"/>
          <w:sz w:val="20"/>
          <w:lang w:val="en-US" w:eastAsia="en-US" w:bidi="ar-SA"/>
        </w:rPr>
        <w:t xml:space="preserve">, </w:t>
      </w:r>
      <w:hyperlink r:id="rId1022" w:history="1">
        <w:r>
          <w:rPr>
            <w:rFonts w:ascii="arial" w:eastAsia="arial" w:hAnsi="arial" w:cs="arial"/>
            <w:i/>
            <w:color w:val="0077CC"/>
            <w:sz w:val="20"/>
            <w:u w:val="single"/>
            <w:shd w:val="clear" w:color="auto" w:fill="FFFFFF"/>
            <w:lang w:val="en-US" w:eastAsia="en-US" w:bidi="ar-SA"/>
          </w:rPr>
          <w:t>52 D.L.R. (3d) 702</w:t>
        </w:r>
      </w:hyperlink>
      <w:r>
        <w:rPr>
          <w:rFonts w:ascii="arial" w:eastAsia="arial" w:hAnsi="arial" w:cs="arial"/>
          <w:color w:val="000000"/>
          <w:sz w:val="20"/>
          <w:lang w:val="en-US" w:eastAsia="en-US" w:bidi="ar-SA"/>
        </w:rPr>
        <w:t xml:space="preserve"> (F.C.T.D.), a ship broke free from its moorings in heavy ice at the Port of Quebec. The master ordered an anchor to be dropped to attempt to stop the ship. The anchor hooked and damaged an underwater cable. At p. 300 Addy J.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a person has actual dominion and control over an object or has a legal duty to control it and that object goes out of control and causes damage, then, it is obviously up to the person in control to explain by positive evidence the reason why the object went out of control or, at least to establish by positive evidence that it was not due to any act or omission on his part or on the part of any other person whose actions were under his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Regarding the defence of inevitable accident, Addy J. then stated, at p. 304: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 in this case, plead inevitable accident and, in order to succeed, they must establish that all reasonable precautions were taken to avoid the mishap and that the accident itself was inevitable in the sense that it could not be reasonably foreseen or, if foreseen, could not be guarded against by using all reasonable precautions under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defendants' evidence is that the electrical clutch on the Pacific Faith suddenly, and without warning, failed to operate at the moment the Pacific Faith was attempting to dock. This prevented the master, Richard Sewid, from taking the transmission out of forward gear and into reverse. Mr. Sewid immediately shut down the main engine which meant he could not take the way off the vessel. He used the bow thrusters to steer but not before the bow of the Pacific Faith came into contact with the stern of the Western Prince.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Richard Sewid stated that contact occurred when he misjudged the distance between the vessels while manoeuvring with the bow thrusters. Richard Sewid further testified that he had used the clutch controls numerous times that day without incident. I accept all of that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However, the defendants failed to produce evidence to establish the clutch failure was not due to any act or omission on their part. There was no evidence of the history of the maintenance of the clutch. The defendants did not provide any evidence about the state of the electric clutch before or after the collision. There was no evidence of what steps, if any, were taken by the defendants to determine the cause of the failure of the clutch or whether it had to be repaired after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Richard Sewid was only an occasional master of the Pacific Faith and therefore could not testify as to the performance of the clutch on the sailings prior to the day of the accident. Neither the Pacific Faith's regular master nor the engineer gave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the absence of any evidence concerning the reasons for the mechanical failure, the defendants have failed to demonstrate that the accident was inevitable. Simply asserting that the clutch failed without warning is not sufficient to meet the onus of proof required to displace the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(see: </w:t>
      </w:r>
      <w:r>
        <w:rPr>
          <w:rFonts w:ascii="arial" w:eastAsia="arial" w:hAnsi="arial" w:cs="arial"/>
          <w:b/>
          <w:i/>
          <w:color w:val="000000"/>
          <w:sz w:val="20"/>
          <w:lang w:val="en-US" w:eastAsia="en-US" w:bidi="ar-SA"/>
        </w:rPr>
        <w:t xml:space="preserve"> The Merchant Prince</w:t>
      </w:r>
      <w:r>
        <w:rPr>
          <w:rFonts w:ascii="arial" w:eastAsia="arial" w:hAnsi="arial" w:cs="arial"/>
          <w:color w:val="000000"/>
          <w:sz w:val="20"/>
          <w:lang w:val="en-US" w:eastAsia="en-US" w:bidi="ar-SA"/>
        </w:rPr>
        <w:t xml:space="preserve">, </w:t>
      </w:r>
      <w:hyperlink r:id="rId1023" w:history="1">
        <w:r>
          <w:rPr>
            <w:rFonts w:ascii="arial" w:eastAsia="arial" w:hAnsi="arial" w:cs="arial"/>
            <w:i/>
            <w:color w:val="0077CC"/>
            <w:sz w:val="20"/>
            <w:u w:val="single"/>
            <w:shd w:val="clear" w:color="auto" w:fill="FFFFFF"/>
            <w:lang w:val="en-US" w:eastAsia="en-US" w:bidi="ar-SA"/>
          </w:rPr>
          <w:t>[1892] P. 179</w:t>
        </w:r>
      </w:hyperlink>
      <w:r>
        <w:rPr>
          <w:rFonts w:ascii="arial" w:eastAsia="arial" w:hAnsi="arial" w:cs="arial"/>
          <w:sz w:val="20"/>
          <w:lang w:val="en-US" w:eastAsia="en-US" w:bidi="ar-SA"/>
        </w:rPr>
        <w:t xml:space="preserve"> </w:t>
      </w:r>
      <w:r>
        <w:pict>
          <v:shape id="_x0000_i1245" type="#_x0000_t75" style="width:11pt;height:10pt">
            <v:imagedata r:id="rId1024" o:title=""/>
          </v:shape>
        </w:pict>
      </w:r>
      <w:r>
        <w:rPr>
          <w:rFonts w:ascii="arial" w:eastAsia="arial" w:hAnsi="arial" w:cs="arial"/>
          <w:color w:val="000000"/>
          <w:sz w:val="20"/>
          <w:lang w:val="en-US" w:eastAsia="en-US" w:bidi="ar-SA"/>
        </w:rPr>
        <w:t xml:space="preserve">, [1891-94] All E.R. Rep. 396 (C.A.); </w:t>
      </w:r>
      <w:r>
        <w:rPr>
          <w:rFonts w:ascii="arial" w:eastAsia="arial" w:hAnsi="arial" w:cs="arial"/>
          <w:b/>
          <w:i/>
          <w:color w:val="000000"/>
          <w:sz w:val="20"/>
          <w:lang w:val="en-US" w:eastAsia="en-US" w:bidi="ar-SA"/>
        </w:rPr>
        <w:t>The Llanover</w:t>
      </w:r>
      <w:r>
        <w:rPr>
          <w:rFonts w:ascii="arial" w:eastAsia="arial" w:hAnsi="arial" w:cs="arial"/>
          <w:color w:val="000000"/>
          <w:sz w:val="20"/>
          <w:lang w:val="en-US" w:eastAsia="en-US" w:bidi="ar-SA"/>
        </w:rPr>
        <w:t xml:space="preserve"> (1946), 79 Lloyd's L. Rep. 159; </w:t>
      </w:r>
      <w:r>
        <w:rPr>
          <w:rFonts w:ascii="arial" w:eastAsia="arial" w:hAnsi="arial" w:cs="arial"/>
          <w:b/>
          <w:i/>
          <w:color w:val="000000"/>
          <w:sz w:val="20"/>
          <w:lang w:val="en-US" w:eastAsia="en-US" w:bidi="ar-SA"/>
        </w:rPr>
        <w:t>The Virgo</w:t>
      </w:r>
      <w:r>
        <w:rPr>
          <w:rFonts w:ascii="arial" w:eastAsia="arial" w:hAnsi="arial" w:cs="arial"/>
          <w:color w:val="000000"/>
          <w:sz w:val="20"/>
          <w:lang w:val="en-US" w:eastAsia="en-US" w:bidi="ar-SA"/>
        </w:rPr>
        <w:t xml:space="preserve"> (1876), 3 Asp. M.L.C. 285, 35 L.T. 519).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find that the defendants were negligent in the operation of the Pacific Faith on November 18,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evidence is that, despite there being a southeast wind at approximately 35 knots outside the breakwater, the water inside the breakwater around the docks, or fingers, was calm. The Pacific Faith proceeded down the waterway between fingers A and B. It was also sheltered from most of the wind by the topsides of the many other vessels tied up at fingers B and C and by the breakwater itself. William Fitzgerald, who works on the dock for the Canadian Fishing Company, described how that area of the dock is also sheltered in part by the Company's barge.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find that the witness Ms. Titus was mistaken when she believed she saw the Pacific Faith proceeding at an unacceptably high speed while approaching its assigned berth at finger B, astern of the Western Prince. The observations of the other witnesses immediately after the collision, combined with the minimal damage to the main dock, satisfy me that the Pacific Faith was proceeding at an appropriate mooring speed when it pulled alongside the Western Prince.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am satisfied that the Pacific Faith came into contact with the Western Prince only once and only on the stern ramp of the Western Prince. No one, including the crew and master of the Pacific Faith, saw the collision with the Western Prince. There was no evidence indicating that there was second or rebound type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stern ramp on the Western Prince raised and lowered by means of hydraulic ramps. The ramp is movable so that the net can be spooled back on board. It is admitted that the stern ramp was in a lowered position when it was struck by the Pacific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Western Prince was tied port side to, with three inflated fenders and two automobile tires between it and the dock. Two of the fenders were aft and one was forward. The two tires were amidships.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accept the evidence of Captain George Quocksister, the master of the Western Prince, and Candy-Lea Chickite, his common law spouse and constant crew member, that when the Western Prince was tied up, the aft and forward spring lines ran through the mid-ship portal.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William Fitzgerald was on a nearby dock when the collision occurred. He launched a skiff and took photos immediately after the collision that show the stern ramp in the lowered position. He reported the incident to Captain Quocksister the next day. Captain Quocksister went to the vessel on November 19, 2003. Candy-Lea Chickite came down to the vessel on the 19th or 20th of November and took a series of photographs of the Western Prince, the wharf, and the port bow of the Pacific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When Laichkwiltach Enterprises Ltd. purchased the Western Prince in 1993 the survey reported the general condition of the vessel as showing "Generally, good standards of housekeeping and maintenance were in evidence. Some minor scratches, indents and abrasions were noted above the waterline." I note the vessel had been used as a fish boat since the launching in 1975.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Captain Quocksister gave evidence that he has regularly maintained the Western Prince and improved it as required. He testified that during the period of the company's ownership of the vessel before November 18, 2003, there had never been any collisions between the vessel and other vessels or fixed or floating objects, and no groundings. I do not accept that there have never been any other contacts, as the large gouge out of the end of the port side cheek of the stern ramp was never explained.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day after the collision, Captain Quocksister noticed that there was a bent railing on the starboard side of the stern ramp. He testified that the ramp did not operate properly until a strip of metal was cut out of the ramp deck. The evidence on this point was so contradictory from Captain Quocksister himself that I cannot conclude that such a strip was cut out or that it was necessary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plaintiffs referred to a photograph showing a portion of the aft spring line of the Western Prince lying on the dock, its good end still tied to the dock. Mr. Fitzgerald described seeing the broken spring line the day after the collision. Neither he nor anyone else measured the line or tried to match up the broken ends. Although there was no expert testimony on the matter, I am satisfied that the broken end of the line on the port side deck of the Western Prince was the other end of the broken spring line lying on the dock.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accept the evidence of Candy-Lea Chickite and Captain Quocksister that the knots on the lines securing the Western Prince to the dock, including the broken spring line, had to be loosened with hammer blows before they could be untied. I accept that in their decades of experience, the plaintiffs never resorted to this method of loosening knots. I conclude that this unusual tightening of the knots was a result of the force exerted on the Western Prince by the Pacific Faith. Further, I am satisfied that the spring line parted as a result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 am satisfied that the contact between the vessels was a scraping of the Western Prince's stern ramp by the port bow of the Pacific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SURVEYS AND SHIPYARDS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first survey of the damage to the Western Prince occurred on February 15, 2004, three months after the collision. Tony Koch, a marine surveyor, did what he referred to as a "preliminary inspection" of the damage. The vessel remained in the water. It was pouring rain. The visual survey took 30 to 45 minutes. The skiff was suspended on the back deck. Mr. Koch did not examine the aft deck for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Koch's opinion was based on his observations and Captain Quocksister's speculation on the nature of the contact. At page 3 of his report, he opined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ramp had been lowered to and left to accommodate the launch of the skiff from "Western Prince". This allowed the port side of the bow of "Pacific Faith" to make impact with the starboard corner of the ramp which scraped and gouged the hull side. The ramp on "Western Prince" was pushed forward and sideways and the speed of the impact further resulted in a 1" spring line tied to "Western Prince" to break. This would indicate that the impact was of a moderate to severe nature and caused the ramp to shift.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Koch's survey set out an extensive list of recommendations. He wrote that in order "to determine the actual damage sustained to 'Western Prince'", the following should be done:</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dismantle the stern roller;</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dismantle the hinges;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remove the hydraulic ram;</w:t>
      </w:r>
    </w:p>
    <w:p>
      <w:pPr>
        <w:numPr>
          <w:numId w:val="1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check the alignment of the ramp;</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check the overall vessel for cracks on the welding that could have shifted from the impact;</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check the engine shaft for alignment;</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check the tanks for damage; and,</w:t>
      </w:r>
    </w:p>
    <w:p>
      <w:pPr>
        <w:numPr>
          <w:numId w:val="1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inspect the bilge for leaks.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Koch's estimated cost of repair for inspection of the ramp and replacement of the hand rail was $6,100, with $3,000 for minor damage and $10,000 for greater damage. However, Mr. Koch stated at trial that his estimate for the cost of repair was based on what he saw while he was walking the topsides of the vessel and therefore the estimate could change. He stated he would defer to the shipyard for the actual cost of any repairs performed.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Following the survey by Tony Koch, Captain Quocksister sailed the Western Prince under its own power to Nanaimo Shipyard Ltd. The vessel arrived there on April 2, 2004 and was hauled from the water the next day where work commenced to dismantle the stern ramp and to inspect other parts of the vessel.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Leonard Stevens, who was qualified as an expert in marine surveying, was retained by Captain Quocksister to conduct a survey of the damage to the Western Prince. He was told by Captain Quocksister that the Western Prince had been struck by another vessel while it was tied to the dock.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Stevens inspected the Western Prince at Nanaimo Shipyard Ltd. on April 14 and 17, 2004, conducted a sea trial on April 16, and inspected the vessel again on May 13, 2004. He did not inspect the Pacific Faith until a few weeks before the commencement of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Stevens' report dated April 20, 2007 was based on a number of assumptions that were provided to him by Captain Quocksister. He was given photographs of the port bow of the Pacific Faith. Based on the assumed facts and his inspections of the vessel, his opinion was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the port bow of the Pacific Faith made contact with the railing and likely other parts of the starboard side of the ramp of the Pacific Faith [sic]. The initial contact was at a point on the port bow of the Pacific Faith directly below the line port.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Even at a very slow speed, the impact on the Western Prince would have been significant, because of the greater size and weight of the Pacific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Stevens referred to his photographs, which he opined showed: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bending and twisting of frames, bending and dents in aluminum shell plate, the tearing and shearing of welds not caused by normal wear and tear but attributed by collision/impact damage.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Stevens was qualified to give expert opinion evidence, despite his lack of formal qualifications. However, I give his opinion little to no weight because I am uncertain as to whose opinion is reflected in this report. Mr. Frey, a previous lawyer, wrote the expert report and referred it to Mr. Stevens for additions and deletions. The questions sent to Mr. Stevens from Mr. Frey give the appearance that Mr. Stevens was directed to give a particular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Given the lack of evidence on how and what information was received by Mr. Frey before he wrote the report, it is impossible to determine if the appropriate boundaries between lawyer and expert have been observed. Thus, Mr. Stevens' independence and objectivity are compromised. The court is left in the position of not knowing what parts of the opinion are those of Mr. Stevens and what parts are those of Mr. Frey (see </w:t>
      </w:r>
      <w:r>
        <w:rPr>
          <w:rFonts w:ascii="arial" w:eastAsia="arial" w:hAnsi="arial" w:cs="arial"/>
          <w:b/>
          <w:i/>
          <w:color w:val="000000"/>
          <w:sz w:val="20"/>
          <w:lang w:val="en-US" w:eastAsia="en-US" w:bidi="ar-SA"/>
        </w:rPr>
        <w:t>Vancouver Community College v. Phillips, Barratt</w:t>
      </w:r>
      <w:r>
        <w:rPr>
          <w:rFonts w:ascii="arial" w:eastAsia="arial" w:hAnsi="arial" w:cs="arial"/>
          <w:color w:val="000000"/>
          <w:sz w:val="20"/>
          <w:lang w:val="en-US" w:eastAsia="en-US" w:bidi="ar-SA"/>
        </w:rPr>
        <w:t xml:space="preserve">, </w:t>
      </w:r>
      <w:hyperlink r:id="rId1025" w:history="1">
        <w:r>
          <w:rPr>
            <w:rFonts w:ascii="arial" w:eastAsia="arial" w:hAnsi="arial" w:cs="arial"/>
            <w:i/>
            <w:color w:val="0077CC"/>
            <w:sz w:val="20"/>
            <w:u w:val="single"/>
            <w:shd w:val="clear" w:color="auto" w:fill="FFFFFF"/>
            <w:lang w:val="en-US" w:eastAsia="en-US" w:bidi="ar-SA"/>
          </w:rPr>
          <w:t>[1988] 26 B.C.L.R. (2d) 296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Murdoch Matheson was called by the defendants and qualified as an expert marine surveyor. I am satisfied that the opinion of Mr. Matheson is his alone. He surveyed the Western Prince on April 13, 2004 and the Pacific Faith on April 19 and 21, 2004. Mr. Matheson opines the damage to the Western Prince was restricted to the stern ramp and the force of the contact was, in his words, a "glancing blow".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A safety inspection under the </w:t>
      </w:r>
      <w:r>
        <w:rPr>
          <w:rFonts w:ascii="arial" w:eastAsia="arial" w:hAnsi="arial" w:cs="arial"/>
          <w:b/>
          <w:i/>
          <w:color w:val="000000"/>
          <w:sz w:val="20"/>
          <w:lang w:val="en-US" w:eastAsia="en-US" w:bidi="ar-SA"/>
        </w:rPr>
        <w:t>Canada Shipping Act</w:t>
      </w:r>
      <w:r>
        <w:rPr>
          <w:rFonts w:ascii="arial" w:eastAsia="arial" w:hAnsi="arial" w:cs="arial"/>
          <w:color w:val="000000"/>
          <w:sz w:val="20"/>
          <w:lang w:val="en-US" w:eastAsia="en-US" w:bidi="ar-SA"/>
        </w:rPr>
        <w:t xml:space="preserve">, </w:t>
      </w:r>
      <w:hyperlink r:id="rId1018" w:history="1">
        <w:r>
          <w:rPr>
            <w:rFonts w:ascii="arial" w:eastAsia="arial" w:hAnsi="arial" w:cs="arial"/>
            <w:i/>
            <w:color w:val="0077CC"/>
            <w:sz w:val="20"/>
            <w:u w:val="single"/>
            <w:shd w:val="clear" w:color="auto" w:fill="FFFFFF"/>
            <w:lang w:val="en-US" w:eastAsia="en-US" w:bidi="ar-SA"/>
          </w:rPr>
          <w:t>S.C. 2001, c. 26</w:t>
        </w:r>
      </w:hyperlink>
      <w:r>
        <w:rPr>
          <w:rFonts w:ascii="arial" w:eastAsia="arial" w:hAnsi="arial" w:cs="arial"/>
          <w:color w:val="000000"/>
          <w:sz w:val="20"/>
          <w:lang w:val="en-US" w:eastAsia="en-US" w:bidi="ar-SA"/>
        </w:rPr>
        <w:t>, was conducted in the summer of 2003 by Sultan Virani. Mr. Virani was solely concerned with ensuring that the Western Prince complied with safety regulations. Thus, his observations were concentrated on the repairs or modifications required to comply with those regulations and not to the general state of repair of the Western Prince.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FORCE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 am satisfied the force of the collision between Western Prince and Pacific Faith was more than the "glancing blow" opined by Mr. Matheson, but less than a "ramming", as opined by Captain Quocksister. I come to this conclusion based on the following findings of fact:</w:t>
      </w:r>
      <w:r>
        <w:rPr>
          <w:rFonts w:ascii="arial" w:eastAsia="arial" w:hAnsi="arial" w:cs="arial"/>
          <w:sz w:val="20"/>
          <w:lang w:val="en-US" w:eastAsia="en-US" w:bidi="ar-SA"/>
        </w:rPr>
        <w:cr/>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Pacific Faith was proceeding at an appropriate speed prior to impact as evidenced by the minimal damage to the main dock by the bow of the Pacific Faith;</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stern ramp of the Western Prince was bent to port;</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aft spring line was broken by the impact;</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knots on the moorage lines required hammer blows to loosen them;</w:t>
      </w:r>
    </w:p>
    <w:p>
      <w:pPr>
        <w:numPr>
          <w:numId w:val="1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size, shape and depth of the mark on the Pacific Faith hull where it appears it struck the stern ramp of the Western Prince indicate contact of minimal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plaintiffs claim the contact caused by the Pacific Faith damaged the following parts of the Western Prince.</w:t>
      </w:r>
      <w:r>
        <w:rPr>
          <w:rFonts w:ascii="arial" w:eastAsia="arial" w:hAnsi="arial" w:cs="arial"/>
          <w:sz w:val="20"/>
          <w:lang w:val="en-US" w:eastAsia="en-US" w:bidi="ar-SA"/>
        </w:rPr>
        <w:cr/>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Stern ramp;</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Stern roller;</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Propeller shaft;</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Engine alignment;</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Port bulwarks amidships;</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Starboard bulwarks amidships;</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Hull lazarette port side;</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Hull lazarette starboard side;</w:t>
      </w:r>
    </w:p>
    <w:p>
      <w:pPr>
        <w:numPr>
          <w:numId w:val="2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Cracked and broken welds in the engine room;</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Internal frames damaged;</w:t>
      </w:r>
    </w:p>
    <w:p>
      <w:pPr>
        <w:numPr>
          <w:numId w:val="2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Deck plating aft;</w:t>
      </w:r>
    </w:p>
    <w:p>
      <w:pPr>
        <w:numPr>
          <w:numId w:val="2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Mast; and</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Delamination of fibreglass and foam in fish holds.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plaintiffs seek a total of $105,665.82, which includes $14,750 for lost income for the crew and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The Stern Ramp and Stern Roller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plaintiffs never explained the source of the dent in the port cheek of the stern ramp. Mr. Ahlstom and Mr. Roost of Nanaimo Shipyard Ltd. and Mr. Tompkins of Arrow Marine Services did agree that the impact that caused such a dent could have damaged the stern ramp on some other occasion.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However, I accept the testimony of Captain Quocksister and Ms. Chickite that the stern ramp was working properly prior to the contact between the Pacific Faith and Western Prince. This fact, plus my finding that the force of the collision was more than a glancing blow, satisfy me that the contact displaced the stern ramp to 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plaintiffs claim that the total repairs to the stern ramp by Nanaimo Shipyard Ltd. and Arrow Marine Services amount to $38,491. There is no claim for the radial piston pump. I am satisfied that there should be no charge to the defendants for metallizing the stern roller, so I have set the proven stern ramp damages at $36,800.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evidence of both the plaintiffs and defendants shows that the stern ramp had substantial wear and tear prior to contact, as seen in the pre-existing scrapes, gouges and corrosion. The plaintiffs have not proved that the spooling gear was damaged by the defendants. I am satisfied that the repairs to the stern ramp have greatly enhanced its overall condition and substantially lengthened its years of usefulness (see </w:t>
      </w:r>
      <w:r>
        <w:rPr>
          <w:rFonts w:ascii="arial" w:eastAsia="arial" w:hAnsi="arial" w:cs="arial"/>
          <w:b/>
          <w:i/>
          <w:color w:val="000000"/>
          <w:sz w:val="20"/>
          <w:lang w:val="en-US" w:eastAsia="en-US" w:bidi="ar-SA"/>
        </w:rPr>
        <w:t>Rough Bay Enterprises Ltd. v. Budden</w:t>
      </w:r>
      <w:r>
        <w:rPr>
          <w:rFonts w:ascii="arial" w:eastAsia="arial" w:hAnsi="arial" w:cs="arial"/>
          <w:color w:val="000000"/>
          <w:sz w:val="20"/>
          <w:lang w:val="en-US" w:eastAsia="en-US" w:bidi="ar-SA"/>
        </w:rPr>
        <w:t xml:space="preserve">, </w:t>
      </w:r>
      <w:hyperlink r:id="rId1026" w:history="1">
        <w:r>
          <w:rPr>
            <w:rFonts w:ascii="arial" w:eastAsia="arial" w:hAnsi="arial" w:cs="arial"/>
            <w:i/>
            <w:color w:val="0077CC"/>
            <w:sz w:val="20"/>
            <w:u w:val="single"/>
            <w:shd w:val="clear" w:color="auto" w:fill="FFFFFF"/>
            <w:lang w:val="en-US" w:eastAsia="en-US" w:bidi="ar-SA"/>
          </w:rPr>
          <w:t>2003 BCSC 1796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No expert evidence was called on the life expectancy of this 18 year old stern ramp. The defendants' expert opined that the condition of the stern ramp indicated it was overdue for extensive maintenance. The photographs and testimony demonstrated that the majority of the components of the stern ramp showed extensive wear and tear through electrolysis and rust corrosion. I accept that evidence. As the plaintiffs now have an improved and new stern ramp, I arbitrarily set their entitlement to damages at 33% of $36,800.00, or $12,144.00.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All other damage claims numbered 3 through 13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As I have given little to no weight to the plaintiffs' expert evidence, I find that the plaintiffs have not satisfied me on a balance of probabilities that any of these damages were the result of the collision. As stated in </w:t>
      </w:r>
      <w:r>
        <w:rPr>
          <w:rFonts w:ascii="arial" w:eastAsia="arial" w:hAnsi="arial" w:cs="arial"/>
          <w:b/>
          <w:i/>
          <w:color w:val="000000"/>
          <w:sz w:val="20"/>
          <w:lang w:val="en-US" w:eastAsia="en-US" w:bidi="ar-SA"/>
        </w:rPr>
        <w:t>Illinois Atlantic Corporation et al. v. S.S. Rapids Prince</w:t>
      </w:r>
      <w:r>
        <w:rPr>
          <w:rFonts w:ascii="arial" w:eastAsia="arial" w:hAnsi="arial" w:cs="arial"/>
          <w:color w:val="000000"/>
          <w:sz w:val="20"/>
          <w:lang w:val="en-US" w:eastAsia="en-US" w:bidi="ar-SA"/>
        </w:rPr>
        <w:t xml:space="preserve">, </w:t>
      </w:r>
      <w:hyperlink r:id="rId1027" w:history="1">
        <w:r>
          <w:rPr>
            <w:rFonts w:ascii="arial" w:eastAsia="arial" w:hAnsi="arial" w:cs="arial"/>
            <w:i/>
            <w:color w:val="0077CC"/>
            <w:sz w:val="20"/>
            <w:u w:val="single"/>
            <w:shd w:val="clear" w:color="auto" w:fill="FFFFFF"/>
            <w:lang w:val="en-US" w:eastAsia="en-US" w:bidi="ar-SA"/>
          </w:rPr>
          <w:t>[1955] Ex. C.R. 104</w:t>
        </w:r>
      </w:hyperlink>
      <w:r>
        <w:rPr>
          <w:rFonts w:ascii="arial" w:eastAsia="arial" w:hAnsi="arial" w:cs="arial"/>
          <w:color w:val="000000"/>
          <w:sz w:val="20"/>
          <w:lang w:val="en-US" w:eastAsia="en-US" w:bidi="ar-SA"/>
        </w:rPr>
        <w:t xml:space="preserve"> (Exchequer Ct. of Canada), p. 106: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damage may have been due to one of several causes it is not to be assumed, in the absence of cogent reasons, that it was the result of any one particular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plaintiffs have not convinced me that the kind of contact that occurred between the vessels could damage the propeller shaft, skew the engine alignment, crack the engine room welds, buckle the port and starboard bulwarks, damage the port and starboard lazarettes, buckle the deck plating, damage the mast and delaminate the forward fish holds. Therefore, there will be no damages awarded for the repairs done to these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Expert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But for this accident, the plaintiffs would not have incurred any expert report fees. Thus I award them the total of $5,475 for fees charged by Koch Marine Services, Ocean's West Boatworks and Bluewave Marine Surveyors.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Other expenses flowing from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award the plaintiffs the sum of $213.60 for additional fuel costs for travel to and from the shipyards.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u w:val="single"/>
          <w:lang w:val="en-US" w:eastAsia="en-US" w:bidi="ar-SA"/>
        </w:rPr>
        <w:t>Lost income for crew and captain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Captain Quocksister and a group of persons alleged to be the crew have claimed lost income against the defendants under Supreme Court Rule 5(11), due to the Western Prince not being seaworthy in time for a fisheries opening. I am satisfied that if the plaintiffs had proceeded in a reasonable time to attend to the repairs required there would have been no loss of fishing. Captain Quocksister admitted the repairs could have been done in two months. The plaintiffs had no valid reason, technical or otherwise, for delaying the commencement of a survey and the eventual repairs.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plaintiffs have failed to mitigate their loss. Captain Quocksister and the crew have no claim against the defendants for lost income. This portion of their 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 award the plaintiffs the total sum of $17,832.60 plus simple interest at the prime rate, which is the admiralty rate. Both parties agree this is the appropriate rate (see </w:t>
      </w:r>
      <w:r>
        <w:rPr>
          <w:rFonts w:ascii="arial" w:eastAsia="arial" w:hAnsi="arial" w:cs="arial"/>
          <w:b/>
          <w:i/>
          <w:color w:val="000000"/>
          <w:sz w:val="20"/>
          <w:lang w:val="en-US" w:eastAsia="en-US" w:bidi="ar-SA"/>
        </w:rPr>
        <w:t>Omega Salmon Group Ltd. v. Pubnico Gemini (The)</w:t>
      </w:r>
      <w:r>
        <w:rPr>
          <w:rFonts w:ascii="arial" w:eastAsia="arial" w:hAnsi="arial" w:cs="arial"/>
          <w:color w:val="000000"/>
          <w:sz w:val="20"/>
          <w:lang w:val="en-US" w:eastAsia="en-US" w:bidi="ar-SA"/>
        </w:rPr>
        <w:t xml:space="preserve">, </w:t>
      </w:r>
      <w:hyperlink r:id="rId1028" w:history="1">
        <w:r>
          <w:rPr>
            <w:rFonts w:ascii="arial" w:eastAsia="arial" w:hAnsi="arial" w:cs="arial"/>
            <w:i/>
            <w:color w:val="0077CC"/>
            <w:sz w:val="20"/>
            <w:u w:val="single"/>
            <w:shd w:val="clear" w:color="auto" w:fill="FFFFFF"/>
            <w:lang w:val="en-US" w:eastAsia="en-US" w:bidi="ar-SA"/>
          </w:rPr>
          <w:t>2007 BCCA 33</w:t>
        </w:r>
      </w:hyperlink>
      <w:r>
        <w:rPr>
          <w:rFonts w:ascii="arial" w:eastAsia="arial" w:hAnsi="arial" w:cs="arial"/>
          <w:color w:val="000000"/>
          <w:sz w:val="20"/>
          <w:lang w:val="en-US" w:eastAsia="en-US" w:bidi="ar-SA"/>
        </w:rPr>
        <w:t xml:space="preserve">, </w:t>
      </w:r>
      <w:hyperlink r:id="rId1028" w:history="1">
        <w:r>
          <w:rPr>
            <w:rFonts w:ascii="arial" w:eastAsia="arial" w:hAnsi="arial" w:cs="arial"/>
            <w:i/>
            <w:color w:val="0077CC"/>
            <w:sz w:val="20"/>
            <w:u w:val="single"/>
            <w:shd w:val="clear" w:color="auto" w:fill="FFFFFF"/>
            <w:lang w:val="en-US" w:eastAsia="en-US" w:bidi="ar-SA"/>
          </w:rPr>
          <w:t>64 B.C.L.R. (4th) 144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Any party is at liberty to make an application for a hearing if they cannot agree 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R.W. METZGER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6"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29"/>
          <w:headerReference w:type="default" r:id="rId1030"/>
          <w:footerReference w:type="even" r:id="rId1031"/>
          <w:footerReference w:type="default" r:id="rId1032"/>
          <w:headerReference w:type="first" r:id="rId1033"/>
          <w:footerReference w:type="first" r:id="rId103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1035" w:history="1">
        <w:r>
          <w:rPr>
            <w:rFonts w:ascii="arial" w:eastAsia="arial" w:hAnsi="arial" w:cs="arial"/>
            <w:b/>
            <w:bCs/>
            <w:i/>
            <w:color w:val="0077CC"/>
            <w:kern w:val="32"/>
            <w:sz w:val="28"/>
            <w:szCs w:val="32"/>
            <w:u w:val="single"/>
            <w:shd w:val="clear" w:color="auto" w:fill="FFFFFF"/>
            <w:lang w:val="en-US" w:eastAsia="en-US" w:bidi="ar-SA"/>
          </w:rPr>
          <w:t>Leijenhorst v. Turner, [2016] B.C.J. No. 1788</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Master R. McDiarmid (In Chambers)</w:t>
      </w:r>
    </w:p>
    <w:p>
      <w:pPr>
        <w:spacing w:before="120" w:line="260" w:lineRule="atLeast"/>
        <w:jc w:val="center"/>
        <w:rPr>
          <w:lang w:val="en-US" w:eastAsia="en-US" w:bidi="ar-SA"/>
        </w:rPr>
      </w:pPr>
      <w:r>
        <w:rPr>
          <w:rFonts w:ascii="arial" w:eastAsia="arial" w:hAnsi="arial" w:cs="arial"/>
          <w:color w:val="000000"/>
          <w:sz w:val="20"/>
          <w:lang w:val="en-US" w:eastAsia="en-US" w:bidi="ar-SA"/>
        </w:rPr>
        <w:t>Heard: July 12, 2016.</w:t>
      </w:r>
    </w:p>
    <w:p>
      <w:pPr>
        <w:spacing w:before="120" w:line="260" w:lineRule="atLeast"/>
        <w:jc w:val="center"/>
        <w:rPr>
          <w:lang w:val="en-US" w:eastAsia="en-US" w:bidi="ar-SA"/>
        </w:rPr>
      </w:pPr>
      <w:r>
        <w:rPr>
          <w:rFonts w:ascii="arial" w:eastAsia="arial" w:hAnsi="arial" w:cs="arial"/>
          <w:color w:val="000000"/>
          <w:sz w:val="20"/>
          <w:lang w:val="en-US" w:eastAsia="en-US" w:bidi="ar-SA"/>
        </w:rPr>
        <w:t>Oral judgment: July 12, 2016.</w:t>
      </w:r>
    </w:p>
    <w:p>
      <w:pPr>
        <w:spacing w:before="120" w:line="260" w:lineRule="atLeast"/>
        <w:jc w:val="center"/>
        <w:rPr>
          <w:lang w:val="en-US" w:eastAsia="en-US" w:bidi="ar-SA"/>
        </w:rPr>
      </w:pPr>
      <w:r>
        <w:rPr>
          <w:rFonts w:ascii="arial" w:eastAsia="arial" w:hAnsi="arial" w:cs="arial"/>
          <w:color w:val="000000"/>
          <w:sz w:val="20"/>
          <w:lang w:val="en-US" w:eastAsia="en-US" w:bidi="ar-SA"/>
        </w:rPr>
        <w:t>Docket: M146880</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[2016] B.C.J. No. 1788</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2016 BCSC 1563</w:t>
      </w:r>
    </w:p>
    <w:p>
      <w:pPr>
        <w:spacing w:before="120" w:line="260" w:lineRule="atLeast"/>
        <w:rPr>
          <w:lang w:val="en-US" w:eastAsia="en-US" w:bidi="ar-SA"/>
        </w:rPr>
      </w:pPr>
      <w:r>
        <w:rPr>
          <w:rFonts w:ascii="arial" w:eastAsia="arial" w:hAnsi="arial" w:cs="arial"/>
          <w:color w:val="000000"/>
          <w:sz w:val="20"/>
          <w:lang w:val="en-US" w:eastAsia="en-US" w:bidi="ar-SA"/>
        </w:rPr>
        <w:t>Between Cornelis Antoni Leijenhorst, Plaintiff, and Wanda Ivy Turner, Super Save Disposal Inc.,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(36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47" style="position:absolute;z-index:251705344"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94" w:name="Keywords_44"/>
      <w:bookmarkEnd w:id="294"/>
      <w:r>
        <w:rPr>
          <w:rFonts w:ascii="arial" w:eastAsia="arial" w:hAnsi="arial" w:cs="arial"/>
          <w:b/>
          <w:color w:val="000000"/>
          <w:sz w:val="20"/>
          <w:lang w:val="en-US" w:eastAsia="en-US" w:bidi="ar-SA"/>
        </w:rPr>
        <w:t xml:space="preserve">Civil litigation — Civil procedure — Parties — Third party procedure — Availability — Application by defendants for leave to issue third party notice dismissed — In October 2014, plaintiff filed claim for damages for September 2013 motor vehicle accident — Defendants denied collision occurred and submitted that any injury was caused by plaintiff's own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Defendants sought leave to add Township as third party — Third party claim was not significantly related to plaintiff's claim and involved different legal and evidentiary issues — Disallowing third party claim would not likely result in inconsistent findings — Adding third party would not result in time-saving or efficient use of judicial resources.</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 xml:space="preserve">Damages — Proceedings — Practice and procedure — Parties — Application by defendants for leave to issue third party notice dismissed — In October 2014, plaintiff filed claim for damages for September 2013 motor vehicle accident — Defendants denied collision occurred and submitted that any injury was caused by plaintiff's own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Defendants sought leave to add Township as third party — Third party claim was not significantly related to plaintiff's claim and involved different legal and evidentiary issues — Disallowing third party claim would not likely result in inconsistent findings — Adding third party would not result in time-saving or efficient use of judicial resources.</w:t>
      </w:r>
    </w:p>
    <w:p>
      <w:pPr>
        <w:jc w:val="both"/>
        <w:rPr>
          <w:lang w:val="en-US" w:eastAsia="en-US" w:bidi="ar-SA"/>
        </w:rPr>
      </w:pPr>
      <w:bookmarkStart w:id="295" w:name="Legislation Cited_34"/>
      <w:bookmarkEnd w:id="295"/>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248" style="position:absolute;z-index:25175654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Limitation Act,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Local Government Act, s. 736</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Supreme Court Civil Rules, </w:t>
      </w:r>
      <w:r>
        <w:rPr>
          <w:rFonts w:ascii="arial" w:eastAsia="arial" w:hAnsi="arial" w:cs="arial"/>
          <w:i/>
          <w:color w:val="000000"/>
          <w:sz w:val="20"/>
          <w:lang w:val="en-US" w:eastAsia="en-US" w:bidi="ar-SA"/>
        </w:rPr>
        <w:t>B.C. Reg. 168/2009, Rule 3-5</w:t>
      </w:r>
      <w:r>
        <w:rPr>
          <w:rFonts w:ascii="arial" w:eastAsia="arial" w:hAnsi="arial" w:cs="arial"/>
          <w:color w:val="000000"/>
          <w:sz w:val="20"/>
          <w:lang w:val="en-US" w:eastAsia="en-US" w:bidi="ar-SA"/>
        </w:rPr>
        <w:t>, Rule 3-5(4)</w:t>
      </w:r>
      <w:r>
        <w:rPr>
          <w:lang w:val="en-US" w:eastAsia="en-US" w:bidi="ar-SA"/>
        </w:rPr>
        <w:cr/>
      </w:r>
    </w:p>
    <w:p>
      <w:pPr>
        <w:keepNext/>
        <w:spacing w:before="240" w:line="340" w:lineRule="atLeast"/>
        <w:rPr>
          <w:lang w:val="en-US" w:eastAsia="en-US" w:bidi="ar-SA"/>
        </w:rPr>
      </w:pPr>
      <w:bookmarkStart w:id="296" w:name="Counsel_45"/>
      <w:bookmarkEnd w:id="296"/>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49" style="position:absolute;z-index:25180774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R.L. Wishart.</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N. Gill.</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Township of Langley: V.J. Pahl.</w:t>
      </w:r>
      <w:r>
        <w:rPr>
          <w:lang w:val="en-US" w:eastAsia="en-US" w:bidi="ar-SA"/>
        </w:rPr>
        <w:cr/>
      </w:r>
    </w:p>
    <w:p>
      <w:pPr>
        <w:spacing w:after="240"/>
        <w:rPr>
          <w:lang w:val="en-US" w:eastAsia="en-US" w:bidi="ar-SA"/>
        </w:rPr>
      </w:pPr>
      <w:bookmarkStart w:id="297" w:name="Judgment_45"/>
      <w:bookmarkEnd w:id="297"/>
      <w:r>
        <w:pict>
          <v:line id="_x0000_s1250" style="position:absolute;z-index:251857920"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Oral 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7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98" w:name="MASTER R. McDIARMID (orally)"/>
            <w:bookmarkEnd w:id="298"/>
            <w:r>
              <w:rPr>
                <w:rFonts w:ascii="arial" w:eastAsia="arial" w:hAnsi="arial" w:cs="arial"/>
                <w:b/>
                <w:color w:val="000000"/>
                <w:sz w:val="30"/>
                <w:lang w:val="en-US" w:eastAsia="en-US" w:bidi="ar-SA"/>
              </w:rPr>
              <w:t>MASTER R. McDIARMID (orally)</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application by the defendants for leave to issue a third party notice brought pursuant to Rule 3-5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The notice of application was filed June 27, 2016, approximately two years and nine months after the motor vehicle accident on September 17, 2013. Rule 3-5(4) allows a party to file a third party notice without leave within 42 days after being served with the notice of civil claim, thereafter only with leave of the court. The applicable principles have been set out in the cases cited by the applicants. In giving my reasons, I reserve the right to edit them to make further references to the evidence and to the authorities, both statutory and court decisions. Any such changes will not affect my decision.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Tyson Creek Hydro</w:t>
      </w:r>
      <w:r>
        <w:rPr>
          <w:rFonts w:ascii="arial" w:eastAsia="arial" w:hAnsi="arial" w:cs="arial"/>
          <w:color w:val="000000"/>
          <w:sz w:val="20"/>
          <w:lang w:val="en-US" w:eastAsia="en-US" w:bidi="ar-SA"/>
        </w:rPr>
        <w:t xml:space="preserve">, </w:t>
      </w:r>
      <w:hyperlink r:id="rId1036" w:history="1">
        <w:r>
          <w:rPr>
            <w:rFonts w:ascii="arial" w:eastAsia="arial" w:hAnsi="arial" w:cs="arial"/>
            <w:i/>
            <w:color w:val="0077CC"/>
            <w:sz w:val="20"/>
            <w:u w:val="single"/>
            <w:shd w:val="clear" w:color="auto" w:fill="FFFFFF"/>
            <w:lang w:val="en-US" w:eastAsia="en-US" w:bidi="ar-SA"/>
          </w:rPr>
          <w:t>2013 BCSC 1741</w:t>
        </w:r>
      </w:hyperlink>
      <w:r>
        <w:rPr>
          <w:rFonts w:ascii="arial" w:eastAsia="arial" w:hAnsi="arial" w:cs="arial"/>
          <w:color w:val="000000"/>
          <w:sz w:val="20"/>
          <w:lang w:val="en-US" w:eastAsia="en-US" w:bidi="ar-SA"/>
        </w:rPr>
        <w:t>, Mr. Justice Goepel, as he then was, set out the history of third party proceedings at paras. 33-37:</w:t>
      </w:r>
      <w:r>
        <w:rPr>
          <w:lang w:val="en-US" w:eastAsia="en-US" w:bidi="ar-SA"/>
        </w:rPr>
        <w:cr/>
      </w:r>
    </w:p>
    <w:p>
      <w:pPr>
        <w:spacing w:line="260" w:lineRule="atLeast"/>
        <w:ind w:left="720"/>
        <w:rPr>
          <w:lang w:val="en-US" w:eastAsia="en-US" w:bidi="ar-SA"/>
        </w:rPr>
      </w:pPr>
      <w:r>
        <w:rPr>
          <w:rFonts w:ascii="arial" w:eastAsia="arial" w:hAnsi="arial" w:cs="arial"/>
          <w:color w:val="000000"/>
          <w:sz w:val="20"/>
          <w:u w:val="single"/>
          <w:lang w:val="en-US" w:eastAsia="en-US" w:bidi="ar-SA"/>
        </w:rPr>
        <w:t>HISTORY OF THIRD PARTY RULE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[33]</w:t>
            </w:r>
          </w:p>
        </w:tc>
        <w:tc>
          <w:tcPr>
            <w:tcW w:w="10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 xml:space="preserve">In </w:t>
            </w:r>
            <w:r>
              <w:rPr>
                <w:rFonts w:ascii="arial" w:eastAsia="arial" w:hAnsi="arial" w:cs="arial"/>
                <w:i/>
                <w:color w:val="000000"/>
                <w:sz w:val="18"/>
                <w:lang w:val="en-US" w:eastAsia="en-US" w:bidi="ar-SA"/>
              </w:rPr>
              <w:t>MacNaughton</w:t>
            </w:r>
            <w:r>
              <w:rPr>
                <w:rFonts w:ascii="arial" w:eastAsia="arial" w:hAnsi="arial" w:cs="arial"/>
                <w:color w:val="000000"/>
                <w:sz w:val="18"/>
                <w:lang w:val="en-US" w:eastAsia="en-US" w:bidi="ar-SA"/>
              </w:rPr>
              <w:t xml:space="preserve"> [sic, </w:t>
            </w:r>
            <w:r>
              <w:rPr>
                <w:rFonts w:ascii="arial" w:eastAsia="arial" w:hAnsi="arial" w:cs="arial"/>
                <w:i/>
                <w:color w:val="000000"/>
                <w:sz w:val="18"/>
                <w:lang w:val="en-US" w:eastAsia="en-US" w:bidi="ar-SA"/>
              </w:rPr>
              <w:t>McNaughton</w:t>
            </w:r>
            <w:r>
              <w:rPr>
                <w:rFonts w:ascii="arial" w:eastAsia="arial" w:hAnsi="arial" w:cs="arial"/>
                <w:color w:val="000000"/>
                <w:sz w:val="18"/>
                <w:lang w:val="en-US" w:eastAsia="en-US" w:bidi="ar-SA"/>
              </w:rPr>
              <w:t xml:space="preserve">] </w:t>
            </w:r>
            <w:r>
              <w:rPr>
                <w:rFonts w:ascii="arial" w:eastAsia="arial" w:hAnsi="arial" w:cs="arial"/>
                <w:i/>
                <w:color w:val="000000"/>
                <w:sz w:val="18"/>
                <w:lang w:val="en-US" w:eastAsia="en-US" w:bidi="ar-SA"/>
              </w:rPr>
              <w:t>v. Baker</w:t>
            </w:r>
            <w:r>
              <w:rPr>
                <w:rFonts w:ascii="arial" w:eastAsia="arial" w:hAnsi="arial" w:cs="arial"/>
                <w:color w:val="000000"/>
                <w:sz w:val="18"/>
                <w:lang w:val="en-US" w:eastAsia="en-US" w:bidi="ar-SA"/>
              </w:rPr>
              <w:t xml:space="preserve"> (1988), </w:t>
            </w:r>
            <w:hyperlink r:id="rId946" w:history="1">
              <w:r>
                <w:rPr>
                  <w:rFonts w:ascii="arial" w:eastAsia="arial" w:hAnsi="arial" w:cs="arial"/>
                  <w:i/>
                  <w:color w:val="0077CC"/>
                  <w:sz w:val="18"/>
                  <w:u w:val="single"/>
                  <w:shd w:val="clear" w:color="auto" w:fill="FFFFFF"/>
                  <w:lang w:val="en-US" w:eastAsia="en-US" w:bidi="ar-SA"/>
                </w:rPr>
                <w:t>1988 CanLII 3036</w:t>
              </w:r>
            </w:hyperlink>
            <w:r>
              <w:rPr>
                <w:rFonts w:ascii="arial" w:eastAsia="arial" w:hAnsi="arial" w:cs="arial"/>
                <w:color w:val="000000"/>
                <w:sz w:val="18"/>
                <w:lang w:val="en-US" w:eastAsia="en-US" w:bidi="ar-SA"/>
              </w:rPr>
              <w:t xml:space="preserve"> (BC CA), </w:t>
            </w:r>
            <w:hyperlink r:id="rId946" w:history="1">
              <w:r>
                <w:rPr>
                  <w:rFonts w:ascii="arial" w:eastAsia="arial" w:hAnsi="arial" w:cs="arial"/>
                  <w:i/>
                  <w:color w:val="0077CC"/>
                  <w:sz w:val="18"/>
                  <w:u w:val="single"/>
                  <w:shd w:val="clear" w:color="auto" w:fill="FFFFFF"/>
                  <w:lang w:val="en-US" w:eastAsia="en-US" w:bidi="ar-SA"/>
                </w:rPr>
                <w:t>25 B.C.L.R. (2d) 17</w:t>
              </w:r>
            </w:hyperlink>
            <w:r>
              <w:rPr>
                <w:rFonts w:ascii="arial" w:eastAsia="arial" w:hAnsi="arial" w:cs="arial"/>
                <w:color w:val="000000"/>
                <w:sz w:val="18"/>
                <w:lang w:val="en-US" w:eastAsia="en-US" w:bidi="ar-SA"/>
              </w:rPr>
              <w:t xml:space="preserve"> at 21, </w:t>
            </w:r>
            <w:hyperlink r:id="rId946" w:history="1">
              <w:r>
                <w:rPr>
                  <w:rFonts w:ascii="arial" w:eastAsia="arial" w:hAnsi="arial" w:cs="arial"/>
                  <w:i/>
                  <w:color w:val="0077CC"/>
                  <w:sz w:val="18"/>
                  <w:u w:val="single"/>
                  <w:shd w:val="clear" w:color="auto" w:fill="FFFFFF"/>
                  <w:lang w:val="en-US" w:eastAsia="en-US" w:bidi="ar-SA"/>
                </w:rPr>
                <w:t>28 C.P.C. (2d) 49</w:t>
              </w:r>
            </w:hyperlink>
            <w:r>
              <w:rPr>
                <w:rFonts w:ascii="arial" w:eastAsia="arial" w:hAnsi="arial" w:cs="arial"/>
                <w:color w:val="000000"/>
                <w:sz w:val="18"/>
                <w:lang w:val="en-US" w:eastAsia="en-US" w:bidi="ar-SA"/>
              </w:rPr>
              <w:t xml:space="preserve"> (C.A.) [</w:t>
            </w:r>
            <w:r>
              <w:rPr>
                <w:rFonts w:ascii="arial" w:eastAsia="arial" w:hAnsi="arial" w:cs="arial"/>
                <w:i/>
                <w:color w:val="000000"/>
                <w:sz w:val="18"/>
                <w:lang w:val="en-US" w:eastAsia="en-US" w:bidi="ar-SA"/>
              </w:rPr>
              <w:t>MacNaughton</w:t>
            </w:r>
            <w:r>
              <w:rPr>
                <w:rFonts w:ascii="arial" w:eastAsia="arial" w:hAnsi="arial" w:cs="arial"/>
                <w:color w:val="000000"/>
                <w:sz w:val="18"/>
                <w:lang w:val="en-US" w:eastAsia="en-US" w:bidi="ar-SA"/>
              </w:rPr>
              <w:t>], McLachlin J.A. (as she then was) discussed some of the history of the rule governing third party proceedings. She said as follows:</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ind w:left="1440"/>
        <w:rPr>
          <w:lang w:val="en-US" w:eastAsia="en-US" w:bidi="ar-SA"/>
        </w:rPr>
      </w:pPr>
      <w:r>
        <w:rPr>
          <w:rFonts w:ascii="arial" w:eastAsia="arial" w:hAnsi="arial" w:cs="arial"/>
          <w:color w:val="000000"/>
          <w:sz w:val="20"/>
          <w:lang w:val="en-US" w:eastAsia="en-US" w:bidi="ar-SA"/>
        </w:rPr>
        <w:t>The rules in force in this province before 1976 required the defendant to obtain leave to issue a third party notice. Before a third party notice could be issued, the court was required to decide whether, in the interest of justice and convenience, the defendant should be allowed to join his claim against third parties to the action against him, or whether he should be required to bring it as a separate proceeding. In practice, leave was usually granted, provided the defendant's proposed pleadings disclosed a reasonable cause of action against the proposed third party. Third party notices were commonplace, separate actions for indemnification and contribution rare.</w:t>
      </w:r>
    </w:p>
    <w:p>
      <w:pPr>
        <w:spacing w:before="120" w:line="260" w:lineRule="atLeast"/>
        <w:ind w:left="1440"/>
        <w:rPr>
          <w:lang w:val="en-US" w:eastAsia="en-US" w:bidi="ar-SA"/>
        </w:rPr>
      </w:pPr>
      <w:r>
        <w:rPr>
          <w:rFonts w:ascii="arial" w:eastAsia="arial" w:hAnsi="arial" w:cs="arial"/>
          <w:color w:val="000000"/>
          <w:sz w:val="20"/>
          <w:lang w:val="en-US" w:eastAsia="en-US" w:bidi="ar-SA"/>
        </w:rPr>
        <w:t>In recognition of this reality and in order to facilitate the issuance of third party notice, the framers of the 1976 Rules eliminated the need to apply to issue a third party notice: R. 22(1). A third party notice could be issued as of right. However, the framers retained a provision that the third party could apply to have the notice against him struck out: R. 22(4). It may be noted that only in Prince Edward Island are defendants still required to obtain leave of the court to issue a third party notice.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[34]</w:t>
            </w:r>
          </w:p>
        </w:tc>
        <w:tc>
          <w:tcPr>
            <w:tcW w:w="10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As set out in MacNaughton, before the 1976 Rules were adopted a third party notice could only be issued with leave of the court. Under the 1976 Rules a party could issue a third party notice at any time without leave. Rule 22(4) gave the court the power to set aside a third party notice while Rule 22(12) gave the court the power to impose terms on third party proceedings in order to prevent a plaintiff suffering prejudice or unnecessary delay in pursuing their claim.</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[35]</w:t>
            </w:r>
          </w:p>
        </w:tc>
        <w:tc>
          <w:tcPr>
            <w:tcW w:w="10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Allowing defendants to issue third party notices at any time proved to be problematic, particularly when a third party notice was issued on the eve of trial. In 1996, the third party rule was amended (B.C. Reg. 95/96, section 9) (the "Amended Rule"). Pursuant to the Amended Rule, a third party notice could only be issued as of right prior to a notice of trial being delivered or if a notice of trial had been delivered, at least 120 days before the scheduled trial date. A party seeking to issue a third party notice less than 120 days before the scheduled trial date was required to seek leave of the court. The rule required that the notice of application for leave be served on the proposed third party and delivered to all parties of record.</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[36]</w:t>
            </w:r>
          </w:p>
        </w:tc>
        <w:tc>
          <w:tcPr>
            <w:tcW w:w="10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Rule 22(6) of the Amended Rule gave the court the power on application to set aside a third party notice. Pursuant to Rule 22(18), the court could impose terms on any third party procedure to limit or avoid any resulting prejudice or unnecessary delay that might be suffered by the plaintiff.</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[37]</w:t>
            </w:r>
          </w:p>
        </w:tc>
        <w:tc>
          <w:tcPr>
            <w:tcW w:w="102" w:type="dxa"/>
            <w:tcBorders>
              <w:right w:val="nil"/>
            </w:tcBorders>
            <w:tcMar>
              <w:top w:w="100" w:type="dxa"/>
              <w:bottom w:w="0" w:type="dxa"/>
            </w:tcMar>
            <w:vAlign w:val="top"/>
          </w:tcPr>
          <w:p>
            <w:pPr>
              <w:rPr>
                <w:lang w:val="en-US" w:eastAsia="en-US" w:bidi="ar-SA"/>
              </w:rPr>
            </w:pPr>
            <w:r>
              <w:rPr>
                <w:lang w:val="en-US" w:eastAsia="en-US" w:bidi="ar-SA"/>
              </w:rPr>
              <w:br/>
            </w:r>
          </w:p>
        </w:tc>
        <w:tc>
          <w:tcPr>
            <w:tcW w:w="7270"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The New Rule which came into effect on July 1, 2010, further reduced the time in which a third party notice could be brought without leave. Pursuant to Rule 3-5(4), a party can only file a third party notice without leave of the court if it is filed within 42 days of that party being served with the notice of civil claim. After that date, leave of the court is required. As in the Amended Rule, the New Rule requires that the notice of application for leave must be served on the third party and all parties of record (Rule 3-5(6)).</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Justice Goepel cites the seminal case of Madam Justice McLachlin, as she then was, in </w:t>
      </w:r>
      <w:r>
        <w:rPr>
          <w:rFonts w:ascii="arial" w:eastAsia="arial" w:hAnsi="arial" w:cs="arial"/>
          <w:i/>
          <w:color w:val="000000"/>
          <w:sz w:val="20"/>
          <w:lang w:val="en-US" w:eastAsia="en-US" w:bidi="ar-SA"/>
        </w:rPr>
        <w:t>McNaughton v. Baker</w:t>
      </w:r>
      <w:r>
        <w:rPr>
          <w:rFonts w:ascii="arial" w:eastAsia="arial" w:hAnsi="arial" w:cs="arial"/>
          <w:color w:val="000000"/>
          <w:sz w:val="20"/>
          <w:lang w:val="en-US" w:eastAsia="en-US" w:bidi="ar-SA"/>
        </w:rPr>
        <w:t xml:space="preserve">, </w:t>
      </w:r>
      <w:hyperlink r:id="rId946" w:history="1">
        <w:r>
          <w:rPr>
            <w:rFonts w:ascii="arial" w:eastAsia="arial" w:hAnsi="arial" w:cs="arial"/>
            <w:i/>
            <w:color w:val="0077CC"/>
            <w:sz w:val="20"/>
            <w:u w:val="single"/>
            <w:shd w:val="clear" w:color="auto" w:fill="FFFFFF"/>
            <w:lang w:val="en-US" w:eastAsia="en-US" w:bidi="ar-SA"/>
          </w:rPr>
          <w:t>25 B.C.L.R. (2d) 17</w:t>
        </w:r>
      </w:hyperlink>
      <w:r>
        <w:rPr>
          <w:rFonts w:ascii="arial" w:eastAsia="arial" w:hAnsi="arial" w:cs="arial"/>
          <w:color w:val="000000"/>
          <w:sz w:val="20"/>
          <w:lang w:val="en-US" w:eastAsia="en-US" w:bidi="ar-SA"/>
        </w:rPr>
        <w:t xml:space="preserve">. The history sets out some of the problems of the third party rules which traditionally were in effect. Justice Goepel explains the purpose of the third party proceedings, referring to the decision of Mr. Justice Lambert in </w:t>
      </w:r>
      <w:r>
        <w:rPr>
          <w:rFonts w:ascii="arial" w:eastAsia="arial" w:hAnsi="arial" w:cs="arial"/>
          <w:i/>
          <w:color w:val="000000"/>
          <w:sz w:val="20"/>
          <w:lang w:val="en-US" w:eastAsia="en-US" w:bidi="ar-SA"/>
        </w:rPr>
        <w:t>Lui</w:t>
      </w:r>
      <w:r>
        <w:rPr>
          <w:rFonts w:ascii="arial" w:eastAsia="arial" w:hAnsi="arial" w:cs="arial"/>
          <w:color w:val="000000"/>
          <w:sz w:val="20"/>
          <w:lang w:val="en-US" w:eastAsia="en-US" w:bidi="ar-SA"/>
        </w:rPr>
        <w:t>. Paragraphs 39 and 40 of Goepel J.'s decision are as follows: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[39]</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 xml:space="preserve">In </w:t>
            </w:r>
            <w:r>
              <w:rPr>
                <w:rFonts w:ascii="arial" w:eastAsia="arial" w:hAnsi="arial" w:cs="arial"/>
                <w:i/>
                <w:color w:val="000000"/>
                <w:sz w:val="18"/>
                <w:lang w:val="en-US" w:eastAsia="en-US" w:bidi="ar-SA"/>
              </w:rPr>
              <w:t>Lui v. West Granville Manor Ltd</w:t>
            </w:r>
            <w:r>
              <w:rPr>
                <w:rFonts w:ascii="arial" w:eastAsia="arial" w:hAnsi="arial" w:cs="arial"/>
                <w:color w:val="000000"/>
                <w:sz w:val="18"/>
                <w:lang w:val="en-US" w:eastAsia="en-US" w:bidi="ar-SA"/>
              </w:rPr>
              <w:t xml:space="preserve">. (1985), </w:t>
            </w:r>
            <w:hyperlink r:id="rId1037" w:history="1">
              <w:r>
                <w:rPr>
                  <w:rFonts w:ascii="arial" w:eastAsia="arial" w:hAnsi="arial" w:cs="arial"/>
                  <w:i/>
                  <w:color w:val="0077CC"/>
                  <w:sz w:val="18"/>
                  <w:u w:val="single"/>
                  <w:shd w:val="clear" w:color="auto" w:fill="FFFFFF"/>
                  <w:lang w:val="en-US" w:eastAsia="en-US" w:bidi="ar-SA"/>
                </w:rPr>
                <w:t>1985 CanLII 155</w:t>
              </w:r>
            </w:hyperlink>
            <w:r>
              <w:rPr>
                <w:rFonts w:ascii="arial" w:eastAsia="arial" w:hAnsi="arial" w:cs="arial"/>
                <w:color w:val="000000"/>
                <w:sz w:val="18"/>
                <w:lang w:val="en-US" w:eastAsia="en-US" w:bidi="ar-SA"/>
              </w:rPr>
              <w:t xml:space="preserve"> (BC CA), </w:t>
            </w:r>
            <w:hyperlink r:id="rId1037" w:history="1">
              <w:r>
                <w:rPr>
                  <w:rFonts w:ascii="arial" w:eastAsia="arial" w:hAnsi="arial" w:cs="arial"/>
                  <w:i/>
                  <w:color w:val="0077CC"/>
                  <w:sz w:val="18"/>
                  <w:u w:val="single"/>
                  <w:shd w:val="clear" w:color="auto" w:fill="FFFFFF"/>
                  <w:lang w:val="en-US" w:eastAsia="en-US" w:bidi="ar-SA"/>
                </w:rPr>
                <w:t>61 B.C.L.R. 315</w:t>
              </w:r>
            </w:hyperlink>
            <w:r>
              <w:rPr>
                <w:rFonts w:ascii="arial" w:eastAsia="arial" w:hAnsi="arial" w:cs="arial"/>
                <w:color w:val="000000"/>
                <w:sz w:val="18"/>
                <w:lang w:val="en-US" w:eastAsia="en-US" w:bidi="ar-SA"/>
              </w:rPr>
              <w:t xml:space="preserve"> at 327,18 D.L.R. (4th) 391 (C.A.) [Lui], which was decided under the 1976 Rules, Lambert J.A. stated that the purpose of third party proceedings was to avoid the problem of having different results on the same issue between the same parties and to avoid a multiplicity of proceedings.</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[40]</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 xml:space="preserve">In </w:t>
            </w:r>
            <w:r>
              <w:rPr>
                <w:rFonts w:ascii="arial" w:eastAsia="arial" w:hAnsi="arial" w:cs="arial"/>
                <w:i/>
                <w:color w:val="000000"/>
                <w:sz w:val="18"/>
                <w:lang w:val="en-US" w:eastAsia="en-US" w:bidi="ar-SA"/>
              </w:rPr>
              <w:t>MacNaughton</w:t>
            </w:r>
            <w:r>
              <w:rPr>
                <w:rFonts w:ascii="arial" w:eastAsia="arial" w:hAnsi="arial" w:cs="arial"/>
                <w:color w:val="000000"/>
                <w:sz w:val="18"/>
                <w:lang w:val="en-US" w:eastAsia="en-US" w:bidi="ar-SA"/>
              </w:rPr>
              <w:t>, McLachlin J.A. explained, at 21, the purpose of third party proceedings as follows:</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ind w:left="1080"/>
        <w:rPr>
          <w:lang w:val="en-US" w:eastAsia="en-US" w:bidi="ar-SA"/>
        </w:rPr>
      </w:pPr>
      <w:r>
        <w:rPr>
          <w:rFonts w:ascii="arial" w:eastAsia="arial" w:hAnsi="arial" w:cs="arial"/>
          <w:color w:val="000000"/>
          <w:sz w:val="20"/>
          <w:lang w:val="en-US" w:eastAsia="en-US" w:bidi="ar-SA"/>
        </w:rPr>
        <w:t xml:space="preserve">Third party pleadings function as a special type of statement of claim. Indeed, the claim they embody could be brought by separate action. But to avoid a multiplicity of proceedings, the rules permit the claim to be made in the action which has been commenced against the defendant. The object of permitting third party proceedings to be tried with the main action is to provide a single procedure for the resolution of related questions, issues or remedies, in order to avoid multiple actions and inconsistent findings, to provide a mechanism for the third party to defend the plaintiff's claim, and to ensure the third party claim is decided before a defendant is called upon to pay the full amount of any judgment. The avoidance of a multiplicity of proceedings is fundamental to our rules of civil procedure. This has been the case since the reforms effected by the Judicature Acts in the nineteenth century. As Cotton L.J. stated in </w:t>
      </w:r>
      <w:r>
        <w:rPr>
          <w:rFonts w:ascii="arial" w:eastAsia="arial" w:hAnsi="arial" w:cs="arial"/>
          <w:i/>
          <w:color w:val="000000"/>
          <w:sz w:val="20"/>
          <w:lang w:val="en-US" w:eastAsia="en-US" w:bidi="ar-SA"/>
        </w:rPr>
        <w:t>Searle v. Choat</w:t>
      </w:r>
      <w:r>
        <w:rPr>
          <w:rFonts w:ascii="arial" w:eastAsia="arial" w:hAnsi="arial" w:cs="arial"/>
          <w:color w:val="000000"/>
          <w:sz w:val="20"/>
          <w:lang w:val="en-US" w:eastAsia="en-US" w:bidi="ar-SA"/>
        </w:rPr>
        <w:t xml:space="preserve"> (1884), 25 Ch. D. 727: "the whole tenor of the Judicature Acts is to require all proceedings as far as possible to be taken in one 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his reasons, Goepel J. writes: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 . . the claim they embody could be brought by separate action. But to avoid a multiplicity of proceedings, the rules permit the claim to be made in the action which has been commenced against the defendant. The object of permitting third party proceedings to be tried with the main action is to provide a single procedure for the resolution of </w:t>
      </w:r>
      <w:r>
        <w:rPr>
          <w:rFonts w:ascii="arial" w:eastAsia="arial" w:hAnsi="arial" w:cs="arial"/>
          <w:color w:val="000000"/>
          <w:sz w:val="20"/>
          <w:u w:val="single"/>
          <w:lang w:val="en-US" w:eastAsia="en-US" w:bidi="ar-SA"/>
        </w:rPr>
        <w:t>related</w:t>
      </w:r>
      <w:r>
        <w:rPr>
          <w:rFonts w:ascii="arial" w:eastAsia="arial" w:hAnsi="arial" w:cs="arial"/>
          <w:color w:val="000000"/>
          <w:sz w:val="20"/>
          <w:lang w:val="en-US" w:eastAsia="en-US" w:bidi="ar-SA"/>
        </w:rPr>
        <w:t xml:space="preserve"> questions, issues or remedies . . .</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 highlight "related" because, in my view, the crux of the third party claim in this proceeding is not significantly related to the claim of the plaintiff against the defendants. The claims involve different legal and evidentiary issues.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Justice McLachlin goes on to state:</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avoidance of a multiplicity of proceedings is fundamental to our rules of civil procedure.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That, of course, is to avoid inconsistent findings and also to promote efficiency.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this case, disallowing this third party claim would not likely result in inconsistent findings. There would be no time saving and no efficient use of judicial resources, in fact, quite the contrary.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Justice Goepel, citing Justice Lambert in </w:t>
      </w:r>
      <w:r>
        <w:rPr>
          <w:rFonts w:ascii="arial" w:eastAsia="arial" w:hAnsi="arial" w:cs="arial"/>
          <w:i/>
          <w:color w:val="000000"/>
          <w:sz w:val="20"/>
          <w:lang w:val="en-US" w:eastAsia="en-US" w:bidi="ar-SA"/>
        </w:rPr>
        <w:t>Lui</w:t>
      </w:r>
      <w:r>
        <w:rPr>
          <w:rFonts w:ascii="arial" w:eastAsia="arial" w:hAnsi="arial" w:cs="arial"/>
          <w:color w:val="000000"/>
          <w:sz w:val="20"/>
          <w:lang w:val="en-US" w:eastAsia="en-US" w:bidi="ar-SA"/>
        </w:rPr>
        <w:t xml:space="preserve">, sets out factors to be considered. The list of factors he cites is not exhaustive. I have discretion to allow third party proceedings or to deny them. The principles set out in </w:t>
      </w:r>
      <w:r>
        <w:rPr>
          <w:rFonts w:ascii="arial" w:eastAsia="arial" w:hAnsi="arial" w:cs="arial"/>
          <w:i/>
          <w:color w:val="000000"/>
          <w:sz w:val="20"/>
          <w:lang w:val="en-US" w:eastAsia="en-US" w:bidi="ar-SA"/>
        </w:rPr>
        <w:t>Lui</w:t>
      </w:r>
      <w:r>
        <w:rPr>
          <w:rFonts w:ascii="arial" w:eastAsia="arial" w:hAnsi="arial" w:cs="arial"/>
          <w:color w:val="000000"/>
          <w:sz w:val="20"/>
          <w:lang w:val="en-US" w:eastAsia="en-US" w:bidi="ar-SA"/>
        </w:rPr>
        <w:t xml:space="preserve"> guide the exercise of my discretion. Avoiding the problem of having different results on the same issue and avoiding a multiplicity of proceedings are significant factors.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facts are set out in the notice of application. In particular, the facts set out in paragraphs 1, 2, 4, 5, 6, and 7 are of assistance.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accident was on September 17, 2013. The notice of civil claim was filed October 16, 2014, and served shortly thereafter. The response to civil claim was filed on December 5, 2014.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response to civil claim is found in the materials. In the defendants' version of facts, it states that if there was a collision as alleged, which is not admitted, but specifically denied, and if the plaintiff has suffered injury, which is not admitted, but specifically denied, then the defendants say that at all times the injury, loss, or damage suffered by the plaintiff was caused by his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defendants agree that Super Save Disposal owned the vehicle and Turner drove it with authority and consent. They deny the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paragraph 2 of part 3 of the notice of civil claim, and then they set out some additional facts.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the draft third party notice, there are a number of facts set out at paragraphs 4 through 7 on the statement of facts dealing with the Corporation of the Township of Langley. None of that has been pleaded to date. There is no allegation in the response to civil claim about anything to do with the Corporation of the Township of Langley.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making my decision, I must assume that the facts that are pleaded by the defendants in their third party notice can be proven. Conclusions of fact differ, but the facts, I assume, can be proven.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has not added the proposed third party as a 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There is a 60-day notice requirement set out in what was s. 286 of the </w:t>
      </w:r>
      <w:r>
        <w:rPr>
          <w:rFonts w:ascii="arial" w:eastAsia="arial" w:hAnsi="arial" w:cs="arial"/>
          <w:i/>
          <w:color w:val="000000"/>
          <w:sz w:val="20"/>
          <w:lang w:val="en-US" w:eastAsia="en-US" w:bidi="ar-SA"/>
        </w:rPr>
        <w:t>Local Government Act</w:t>
      </w:r>
      <w:r>
        <w:rPr>
          <w:rFonts w:ascii="arial" w:eastAsia="arial" w:hAnsi="arial" w:cs="arial"/>
          <w:color w:val="000000"/>
          <w:sz w:val="20"/>
          <w:lang w:val="en-US" w:eastAsia="en-US" w:bidi="ar-SA"/>
        </w:rPr>
        <w:t xml:space="preserve">, (now s. 736) ("s. 286"). No notice was given by the plaintiff under s. 286 of the </w:t>
      </w:r>
      <w:r>
        <w:rPr>
          <w:rFonts w:ascii="arial" w:eastAsia="arial" w:hAnsi="arial" w:cs="arial"/>
          <w:i/>
          <w:color w:val="000000"/>
          <w:sz w:val="20"/>
          <w:lang w:val="en-US" w:eastAsia="en-US" w:bidi="ar-SA"/>
        </w:rPr>
        <w:t>Local Government Act</w:t>
      </w:r>
      <w:r>
        <w:rPr>
          <w:rFonts w:ascii="arial" w:eastAsia="arial" w:hAnsi="arial" w:cs="arial"/>
          <w:color w:val="000000"/>
          <w:sz w:val="20"/>
          <w:lang w:val="en-US" w:eastAsia="en-US" w:bidi="ar-SA"/>
        </w:rPr>
        <w:t>. Obviously, the plaintiff felt he had no reason to do so.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was referred to photographs of the intersection. There is obviously a stop sign directed at vehicles travelling in the direction of the defendants'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two-year limitation period for the plaintiff to bring claim against Langley has passed. That does not mean that there is not a slight possibility that a court might allow Langley to be joined as a defendant, but there are significant obstacles for the plaintiff attempting to do so at this date, attempting to add Langley as a defendant.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same difficulty may not be faced by these defendants commencing independent proceedings for contribution and indemnity. Defendants' counsel has argued this. He has submitted that the 60-day period set out in s. 286 commenced running when the notice of civil claim was served on the defendants. I do not think that is the proper reading of s. 286. I think that the defendants were aware the damage was sustained on September 17, 2013. However, for the purpose of this application, I do not need to decide that issue.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Clearly, the plaintiff did not give notice. However, nothing prevents the defendants from commencing an action for contribution and indemnity as a separate action. That could be done without offending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since less than two years have elapsed since the defendants were served with the notice of civil claim. I again reiterate I make no decision on whether the </w:t>
      </w:r>
      <w:r>
        <w:rPr>
          <w:rFonts w:ascii="arial" w:eastAsia="arial" w:hAnsi="arial" w:cs="arial"/>
          <w:i/>
          <w:color w:val="000000"/>
          <w:sz w:val="20"/>
          <w:lang w:val="en-US" w:eastAsia="en-US" w:bidi="ar-SA"/>
        </w:rPr>
        <w:t>Local Government Act</w:t>
      </w:r>
      <w:r>
        <w:rPr>
          <w:rFonts w:ascii="arial" w:eastAsia="arial" w:hAnsi="arial" w:cs="arial"/>
          <w:color w:val="000000"/>
          <w:sz w:val="20"/>
          <w:lang w:val="en-US" w:eastAsia="en-US" w:bidi="ar-SA"/>
        </w:rPr>
        <w:t xml:space="preserve"> notice provisions of then s. 286 would apply to defeat that claim.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There is some overlap, but also obvious differences between the case as it now stands, with the plaintiff seeking to establish that the defendants are liable and the proceedings for contribution and indemnity which would be for the defendants to establish that Langley is liable.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plaintiff's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a live issue which would not enter into any determination of liability as between the defendants and Langley.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issue of whether Langley is liable is a separate issue. That is an issue about positioning their stop sign, failing to clear obstructions to enable it to be seen, that sort of thing. None of that evidence has anything to do with the plaintiff's evidence. In my view, given those differences, while there is a theoretical risk of inconsistent findings, on the facts of this case, inconsistent findings are, in my view, unlikely.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 then turn to prejudice. The 42-day period in the Civil Rules is there for a reason. The lengthy delay between the time the defendants seem to have considered bringing third party proceedings by sending a notice letter to Langley and the bringing of this notice of application has caused, in my view, a significant and insurmountable prejudice to the plaintiff. I am not concerned here, frankly, with potential prejudice to the proposed third parties. They can deal with that if there is a separate action brought. The weight of the authorities is that I need to consider prejudice to the plaintiff, and so I turn to the criteria set out in </w:t>
      </w:r>
      <w:r>
        <w:rPr>
          <w:rFonts w:ascii="arial" w:eastAsia="arial" w:hAnsi="arial" w:cs="arial"/>
          <w:i/>
          <w:color w:val="000000"/>
          <w:sz w:val="20"/>
          <w:lang w:val="en-US" w:eastAsia="en-US" w:bidi="ar-SA"/>
        </w:rPr>
        <w:t>Lui</w:t>
      </w:r>
      <w:r>
        <w:rPr>
          <w:rFonts w:ascii="arial" w:eastAsia="arial" w:hAnsi="arial" w:cs="arial"/>
          <w:color w:val="000000"/>
          <w:sz w:val="20"/>
          <w:lang w:val="en-US" w:eastAsia="en-US" w:bidi="ar-SA"/>
        </w:rPr>
        <w:t xml:space="preserve"> as reproduced by Mr. Justice Goepel.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"What is the fair thing to do?" Well, that is actually the last question, but the fair thing to do is to dismiss this application.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"Who suffers prejudice if the discretion is exercised?" Not the defendants. They can still bring their claim. The plaintiff, who is gearing up for a case involving liability between them and the defendant, then has to sit through a case involving liability between the defendants and Langley.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"How much prejudice?" It seems to me that given the kind of defence needed to be mounted by Langley that that prejudice would be significant. It would extend and probably delay the trial. The prejudice would be significant.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"Who suffers prejudice if the discretion is not exercised?" Well, the answer is nobody. The defendants are still at liberty to bring their third party proceedings. I make no decision with respect to the applicability of the notice provisions of the </w:t>
      </w:r>
      <w:r>
        <w:rPr>
          <w:rFonts w:ascii="arial" w:eastAsia="arial" w:hAnsi="arial" w:cs="arial"/>
          <w:i/>
          <w:color w:val="000000"/>
          <w:sz w:val="20"/>
          <w:lang w:val="en-US" w:eastAsia="en-US" w:bidi="ar-SA"/>
        </w:rPr>
        <w:t>Local Government Act</w:t>
      </w:r>
      <w:r>
        <w:rPr>
          <w:rFonts w:ascii="arial" w:eastAsia="arial" w:hAnsi="arial" w:cs="arial"/>
          <w:color w:val="000000"/>
          <w:sz w:val="20"/>
          <w:lang w:val="en-US" w:eastAsia="en-US" w:bidi="ar-SA"/>
        </w:rPr>
        <w:t xml:space="preserve"> and so there is no prejudice.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"Have the parties acted properly and reasonably in their own interests?" The plaintiff has. He has, through counsel, proceeded fairly promptly to set the matter down for trial and conduct discoveries based on the pleadings as they exist. The defendants, not so much. They gave notice to Langley and then did nothing; the Civil Rules' 42-day period has long since passed.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Should the defendants be relieved from the consequences of their own behaviour? I say no, partly because there are no significant consequences to them. They still have the right to bring an action for contribution and indemnity.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 am aware that Madam Justice Neilson in the </w:t>
      </w:r>
      <w:r>
        <w:rPr>
          <w:rFonts w:ascii="arial" w:eastAsia="arial" w:hAnsi="arial" w:cs="arial"/>
          <w:i/>
          <w:color w:val="000000"/>
          <w:sz w:val="20"/>
          <w:lang w:val="en-US" w:eastAsia="en-US" w:bidi="ar-SA"/>
        </w:rPr>
        <w:t>Strata Plan LMS 175 v. Scott Management Ltd.</w:t>
      </w:r>
      <w:r>
        <w:rPr>
          <w:rFonts w:ascii="arial" w:eastAsia="arial" w:hAnsi="arial" w:cs="arial"/>
          <w:color w:val="000000"/>
          <w:sz w:val="20"/>
          <w:lang w:val="en-US" w:eastAsia="en-US" w:bidi="ar-SA"/>
        </w:rPr>
        <w:t xml:space="preserve">, </w:t>
      </w:r>
      <w:hyperlink r:id="rId1038" w:history="1">
        <w:r>
          <w:rPr>
            <w:rFonts w:ascii="arial" w:eastAsia="arial" w:hAnsi="arial" w:cs="arial"/>
            <w:i/>
            <w:color w:val="0077CC"/>
            <w:sz w:val="20"/>
            <w:u w:val="single"/>
            <w:shd w:val="clear" w:color="auto" w:fill="FFFFFF"/>
            <w:lang w:val="en-US" w:eastAsia="en-US" w:bidi="ar-SA"/>
          </w:rPr>
          <w:t>2010 BCCA 192</w:t>
        </w:r>
      </w:hyperlink>
      <w:r>
        <w:rPr>
          <w:rFonts w:ascii="arial" w:eastAsia="arial" w:hAnsi="arial" w:cs="arial"/>
          <w:color w:val="000000"/>
          <w:sz w:val="20"/>
          <w:lang w:val="en-US" w:eastAsia="en-US" w:bidi="ar-SA"/>
        </w:rPr>
        <w:t>, considered those criteria and came to a different conclusion. That was in a case where the issues overlapped significantly. It is also a case where the limitation provisions were different. I am mindful of Justice Neilson's decision and the sections that were referred to by Mr. Gill should be reproduced in their entirety, primarily ss. 73 and 82 through to 90,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[73] The defendants argue that the chambers judge erred by failing to consider the consequences of striking the third party notices. They say his orders did not extinguish their right to claim contribution against the respondents, but instead confined them to advancing their claim in the future, when and if the plaintiff obtains judgment against them. This will lead to greater delay and prejudice. They maintain that if the chambers judge had properly weighed these considerations, he would have found that justice and convenience favoured permitting the third party proceedings to go ahead, despite the delay and prejudice to date.</w:t>
      </w:r>
    </w:p>
    <w:p>
      <w:pPr>
        <w:spacing w:before="120" w:line="260" w:lineRule="atLeast"/>
        <w:ind w:left="720"/>
        <w:rPr>
          <w:lang w:val="en-US" w:eastAsia="en-US" w:bidi="ar-SA"/>
        </w:rPr>
      </w:pPr>
      <w:r>
        <w:rPr>
          <w:rFonts w:ascii="arial" w:eastAsia="arial" w:hAnsi="arial" w:cs="arial"/>
          <w:color w:val="000000"/>
          <w:sz w:val="20"/>
          <w:lang w:val="en-US" w:eastAsia="en-US" w:bidi="ar-SA"/>
        </w:rPr>
        <w:t>...</w:t>
      </w:r>
    </w:p>
    <w:p>
      <w:pPr>
        <w:spacing w:before="120" w:line="260" w:lineRule="atLeast"/>
        <w:ind w:left="720"/>
        <w:rPr>
          <w:lang w:val="en-US" w:eastAsia="en-US" w:bidi="ar-SA"/>
        </w:rPr>
      </w:pPr>
      <w:r>
        <w:rPr>
          <w:rFonts w:ascii="arial" w:eastAsia="arial" w:hAnsi="arial" w:cs="arial"/>
          <w:color w:val="000000"/>
          <w:sz w:val="20"/>
          <w:lang w:val="en-US" w:eastAsia="en-US" w:bidi="ar-SA"/>
        </w:rPr>
        <w:t>[82] I am satisfied R. 22(14)(b) is properly interpreted as a procedural provision that simply stipulates that a claim for contribution must be brought by third party notice if it is advanced in the plaintiff's action. I am not persuaded that it operates to extinguish that claim if the third party notice is struck out. As discussed previously, s. 4(2)(b) of the Act creates a substantive cause of action that does not accrue until the plaintiff obtains judgment against a tortfeasor. At that point, that tortfeasor is no longer a defendant, but a judgment debtor and potential plaintiff with an accrued independent cause of action for contribution against concurrent tortfeasors. That claim is governed by a six-year limitation period.</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[83] The respondents argue that conclusion is inconsistent with the object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to promote a just, speedy and inexpensive determination of proceedings. They maintain it is also incompatible with the objectives of third party proceedings: to avoid a multiplicity of proceedings and provide one forum for the resolution of related issues: </w:t>
      </w:r>
      <w:r>
        <w:rPr>
          <w:rFonts w:ascii="arial" w:eastAsia="arial" w:hAnsi="arial" w:cs="arial"/>
          <w:i/>
          <w:color w:val="000000"/>
          <w:sz w:val="20"/>
          <w:lang w:val="en-US" w:eastAsia="en-US" w:bidi="ar-SA"/>
        </w:rPr>
        <w:t>McNaughton v. Baker</w:t>
      </w:r>
      <w:r>
        <w:rPr>
          <w:rFonts w:ascii="arial" w:eastAsia="arial" w:hAnsi="arial" w:cs="arial"/>
          <w:color w:val="000000"/>
          <w:sz w:val="20"/>
          <w:lang w:val="en-US" w:eastAsia="en-US" w:bidi="ar-SA"/>
        </w:rPr>
        <w:t xml:space="preserve">, </w:t>
      </w:r>
      <w:hyperlink r:id="rId946" w:history="1">
        <w:r>
          <w:rPr>
            <w:rFonts w:ascii="arial" w:eastAsia="arial" w:hAnsi="arial" w:cs="arial"/>
            <w:i/>
            <w:color w:val="0077CC"/>
            <w:sz w:val="20"/>
            <w:u w:val="single"/>
            <w:shd w:val="clear" w:color="auto" w:fill="FFFFFF"/>
            <w:lang w:val="en-US" w:eastAsia="en-US" w:bidi="ar-SA"/>
          </w:rPr>
          <w:t>1988 CanLII 3036</w:t>
        </w:r>
      </w:hyperlink>
      <w:r>
        <w:rPr>
          <w:rFonts w:ascii="arial" w:eastAsia="arial" w:hAnsi="arial" w:cs="arial"/>
          <w:color w:val="000000"/>
          <w:sz w:val="20"/>
          <w:lang w:val="en-US" w:eastAsia="en-US" w:bidi="ar-SA"/>
        </w:rPr>
        <w:t xml:space="preserve"> (BC CA), </w:t>
      </w:r>
      <w:hyperlink r:id="rId946" w:history="1">
        <w:r>
          <w:rPr>
            <w:rFonts w:ascii="arial" w:eastAsia="arial" w:hAnsi="arial" w:cs="arial"/>
            <w:i/>
            <w:color w:val="0077CC"/>
            <w:sz w:val="20"/>
            <w:u w:val="single"/>
            <w:shd w:val="clear" w:color="auto" w:fill="FFFFFF"/>
            <w:lang w:val="en-US" w:eastAsia="en-US" w:bidi="ar-SA"/>
          </w:rPr>
          <w:t>[1988] 25 B.C.L.R. (2d) 17</w:t>
        </w:r>
      </w:hyperlink>
      <w:r>
        <w:rPr>
          <w:rFonts w:ascii="arial" w:eastAsia="arial" w:hAnsi="arial" w:cs="arial"/>
          <w:color w:val="000000"/>
          <w:sz w:val="20"/>
          <w:lang w:val="en-US" w:eastAsia="en-US" w:bidi="ar-SA"/>
        </w:rPr>
        <w:t xml:space="preserve"> at 21, 4 W.W.R. 742 (C.A.). They argue that to interpret R. 22(14)(b) as merely procedural gives it no meaning, and removes any incentive to pursue a claim for contribution in a timely way. They point out that if the defendants are able to commence a future action for contribution within six years of the plaintiff obtaining judgment against them, that claim may not proceed to trial until 20 years after the project was completed. The delay and prejudice arising from that scenario are clear.</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[84] I am sympathetic to those concerns. Such delay is clearly undesirable and contrary to the objectives of justice and convenience. Other jurisdictions have dealt with this difficulty by enacting statutory limitation provisions that expressly address claims for contribution. Section 18 of the </w:t>
      </w:r>
      <w:r>
        <w:rPr>
          <w:rFonts w:ascii="arial" w:eastAsia="arial" w:hAnsi="arial" w:cs="arial"/>
          <w:i/>
          <w:color w:val="000000"/>
          <w:sz w:val="20"/>
          <w:lang w:val="en-US" w:eastAsia="en-US" w:bidi="ar-SA"/>
        </w:rPr>
        <w:t>Ontario Limitations Act</w:t>
      </w:r>
      <w:r>
        <w:rPr>
          <w:rFonts w:ascii="arial" w:eastAsia="arial" w:hAnsi="arial" w:cs="arial"/>
          <w:color w:val="000000"/>
          <w:sz w:val="20"/>
          <w:lang w:val="en-US" w:eastAsia="en-US" w:bidi="ar-SA"/>
        </w:rPr>
        <w:t xml:space="preserve">, S.O. 2002, c. 24, and s. 14 of the </w:t>
      </w:r>
      <w:r>
        <w:rPr>
          <w:rFonts w:ascii="arial" w:eastAsia="arial" w:hAnsi="arial" w:cs="arial"/>
          <w:i/>
          <w:color w:val="000000"/>
          <w:sz w:val="20"/>
          <w:lang w:val="en-US" w:eastAsia="en-US" w:bidi="ar-SA"/>
        </w:rPr>
        <w:t>Saskatchewan Limitations Act</w:t>
      </w:r>
      <w:r>
        <w:rPr>
          <w:rFonts w:ascii="arial" w:eastAsia="arial" w:hAnsi="arial" w:cs="arial"/>
          <w:color w:val="000000"/>
          <w:sz w:val="20"/>
          <w:lang w:val="en-US" w:eastAsia="en-US" w:bidi="ar-SA"/>
        </w:rPr>
        <w:t xml:space="preserve">, S.S. 2004, c. L-16, both set a two-year limitation period for claims for contribution, which begins to run from the day that the first wrongdoer is served with a claim in respect of which it seeks contribution. Section 3(e) of the </w:t>
      </w:r>
      <w:r>
        <w:rPr>
          <w:rFonts w:ascii="arial" w:eastAsia="arial" w:hAnsi="arial" w:cs="arial"/>
          <w:i/>
          <w:color w:val="000000"/>
          <w:sz w:val="20"/>
          <w:lang w:val="en-US" w:eastAsia="en-US" w:bidi="ar-SA"/>
        </w:rPr>
        <w:t>Alberta Limitations Act</w:t>
      </w:r>
      <w:r>
        <w:rPr>
          <w:rFonts w:ascii="arial" w:eastAsia="arial" w:hAnsi="arial" w:cs="arial"/>
          <w:color w:val="000000"/>
          <w:sz w:val="20"/>
          <w:lang w:val="en-US" w:eastAsia="en-US" w:bidi="ar-SA"/>
        </w:rPr>
        <w:t xml:space="preserve">, </w:t>
      </w:r>
      <w:hyperlink r:id="rId1039" w:history="1">
        <w:r>
          <w:rPr>
            <w:rFonts w:ascii="arial" w:eastAsia="arial" w:hAnsi="arial" w:cs="arial"/>
            <w:i/>
            <w:color w:val="0077CC"/>
            <w:sz w:val="20"/>
            <w:u w:val="single"/>
            <w:shd w:val="clear" w:color="auto" w:fill="FFFFFF"/>
            <w:lang w:val="en-US" w:eastAsia="en-US" w:bidi="ar-SA"/>
          </w:rPr>
          <w:t>R.S.A. 2000, c. L-12</w:t>
        </w:r>
      </w:hyperlink>
      <w:r>
        <w:rPr>
          <w:rFonts w:ascii="arial" w:eastAsia="arial" w:hAnsi="arial" w:cs="arial"/>
          <w:color w:val="000000"/>
          <w:sz w:val="20"/>
          <w:lang w:val="en-US" w:eastAsia="en-US" w:bidi="ar-SA"/>
        </w:rPr>
        <w:t>, provides that the ten-year limitation period for contribution claims under s. 1(b) begins to run when the first wrongdoer is served with the claim, or settles it, whichever comes first.</w:t>
      </w:r>
    </w:p>
    <w:p>
      <w:pPr>
        <w:spacing w:before="120" w:line="260" w:lineRule="atLeast"/>
        <w:ind w:left="720"/>
        <w:rPr>
          <w:lang w:val="en-US" w:eastAsia="en-US" w:bidi="ar-SA"/>
        </w:rPr>
      </w:pPr>
      <w:r>
        <w:rPr>
          <w:rFonts w:ascii="arial" w:eastAsia="arial" w:hAnsi="arial" w:cs="arial"/>
          <w:color w:val="000000"/>
          <w:sz w:val="20"/>
          <w:lang w:val="en-US" w:eastAsia="en-US" w:bidi="ar-SA"/>
        </w:rPr>
        <w:t>[85] This province has no similar legislation. In its absence, exercising the judicial discretion provided under R. 22(6) to attempt to control the delays inherent in a claim for contribution has questionable utility.</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[86] The chambers judge considered this issue at paras. 15 and 16 of his first reasons, citing </w:t>
      </w:r>
      <w:r>
        <w:rPr>
          <w:rFonts w:ascii="arial" w:eastAsia="arial" w:hAnsi="arial" w:cs="arial"/>
          <w:i/>
          <w:color w:val="000000"/>
          <w:sz w:val="20"/>
          <w:lang w:val="en-US" w:eastAsia="en-US" w:bidi="ar-SA"/>
        </w:rPr>
        <w:t>Krusel No. 1</w:t>
      </w:r>
      <w:r>
        <w:rPr>
          <w:rFonts w:ascii="arial" w:eastAsia="arial" w:hAnsi="arial" w:cs="arial"/>
          <w:color w:val="000000"/>
          <w:sz w:val="20"/>
          <w:lang w:val="en-US" w:eastAsia="en-US" w:bidi="ar-SA"/>
        </w:rPr>
        <w:t xml:space="preserve"> </w:t>
      </w:r>
      <w:hyperlink r:id="rId1040" w:history="1">
        <w:r>
          <w:rPr>
            <w:rFonts w:ascii="arial" w:eastAsia="arial" w:hAnsi="arial" w:cs="arial"/>
            <w:i/>
            <w:color w:val="0077CC"/>
            <w:sz w:val="20"/>
            <w:u w:val="single"/>
            <w:shd w:val="clear" w:color="auto" w:fill="FFFFFF"/>
            <w:lang w:val="en-US" w:eastAsia="en-US" w:bidi="ar-SA"/>
          </w:rPr>
          <w:t>[1991] B.C.J. No. 3561</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Canadian Mortgage and Housing Corp</w:t>
      </w:r>
      <w:r>
        <w:rPr>
          <w:rFonts w:ascii="arial" w:eastAsia="arial" w:hAnsi="arial" w:cs="arial"/>
          <w:color w:val="000000"/>
          <w:sz w:val="20"/>
          <w:lang w:val="en-US" w:eastAsia="en-US" w:bidi="ar-SA"/>
        </w:rPr>
        <w:t xml:space="preserve"> </w:t>
      </w:r>
      <w:hyperlink r:id="rId1041" w:history="1">
        <w:r>
          <w:rPr>
            <w:rFonts w:ascii="arial" w:eastAsia="arial" w:hAnsi="arial" w:cs="arial"/>
            <w:i/>
            <w:color w:val="0077CC"/>
            <w:sz w:val="20"/>
            <w:u w:val="single"/>
            <w:shd w:val="clear" w:color="auto" w:fill="FFFFFF"/>
            <w:lang w:val="en-US" w:eastAsia="en-US" w:bidi="ar-SA"/>
          </w:rPr>
          <w:t>[2007] B.C.J. No. 1411</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Krusel No. 1</w:t>
      </w:r>
      <w:r>
        <w:rPr>
          <w:rFonts w:ascii="arial" w:eastAsia="arial" w:hAnsi="arial" w:cs="arial"/>
          <w:color w:val="000000"/>
          <w:sz w:val="20"/>
          <w:lang w:val="en-US" w:eastAsia="en-US" w:bidi="ar-SA"/>
        </w:rPr>
        <w:t xml:space="preserve">, Shaw J. concluded that the discretion to strike a third party notice should not be exercised where the claim was limited to contribution and the limitation period had not begun to run. Both he and Lambert J.A. in </w:t>
      </w:r>
      <w:r>
        <w:rPr>
          <w:rFonts w:ascii="arial" w:eastAsia="arial" w:hAnsi="arial" w:cs="arial"/>
          <w:i/>
          <w:color w:val="000000"/>
          <w:sz w:val="20"/>
          <w:lang w:val="en-US" w:eastAsia="en-US" w:bidi="ar-SA"/>
        </w:rPr>
        <w:t>Lui No. 1</w:t>
      </w:r>
      <w:r>
        <w:rPr>
          <w:rFonts w:ascii="arial" w:eastAsia="arial" w:hAnsi="arial" w:cs="arial"/>
          <w:color w:val="000000"/>
          <w:sz w:val="20"/>
          <w:lang w:val="en-US" w:eastAsia="en-US" w:bidi="ar-SA"/>
        </w:rPr>
        <w:t xml:space="preserve"> drew an analogy to dismissing claims for want of prosecution when the limitation period has not expired, and cited </w:t>
      </w:r>
      <w:r>
        <w:rPr>
          <w:rFonts w:ascii="arial" w:eastAsia="arial" w:hAnsi="arial" w:cs="arial"/>
          <w:i/>
          <w:color w:val="000000"/>
          <w:sz w:val="20"/>
          <w:lang w:val="en-US" w:eastAsia="en-US" w:bidi="ar-SA"/>
        </w:rPr>
        <w:t>Birkett v. James</w:t>
      </w:r>
      <w:r>
        <w:rPr>
          <w:rFonts w:ascii="arial" w:eastAsia="arial" w:hAnsi="arial" w:cs="arial"/>
          <w:color w:val="000000"/>
          <w:sz w:val="20"/>
          <w:lang w:val="en-US" w:eastAsia="en-US" w:bidi="ar-SA"/>
        </w:rPr>
        <w:t>, [1978] A.C. 297, [1977] 2 All E.R. 801, which held that dismissal in such circumstances is pointless. Further, Lord Diplock, speaking for the majority, observed that to dismiss an action for inordinate delay when the limitation period has not expired is an error in principle in the exercise of judicial discretion.</w:t>
      </w:r>
    </w:p>
    <w:p>
      <w:pPr>
        <w:spacing w:before="120" w:line="260" w:lineRule="atLeast"/>
        <w:ind w:left="720"/>
        <w:rPr>
          <w:lang w:val="en-US" w:eastAsia="en-US" w:bidi="ar-SA"/>
        </w:rPr>
      </w:pPr>
      <w:r>
        <w:rPr>
          <w:rFonts w:ascii="arial" w:eastAsia="arial" w:hAnsi="arial" w:cs="arial"/>
          <w:color w:val="000000"/>
          <w:sz w:val="20"/>
          <w:lang w:val="en-US" w:eastAsia="en-US" w:bidi="ar-SA"/>
        </w:rPr>
        <w:t xml:space="preserve">[87] Similar considerations informed Mr. Justice Pitfield's decision in </w:t>
      </w:r>
      <w:r>
        <w:rPr>
          <w:rFonts w:ascii="arial" w:eastAsia="arial" w:hAnsi="arial" w:cs="arial"/>
          <w:i/>
          <w:color w:val="000000"/>
          <w:sz w:val="20"/>
          <w:lang w:val="en-US" w:eastAsia="en-US" w:bidi="ar-SA"/>
        </w:rPr>
        <w:t>Canadian Mortgage and Housing Corp</w:t>
      </w:r>
      <w:r>
        <w:rPr>
          <w:rFonts w:ascii="arial" w:eastAsia="arial" w:hAnsi="arial" w:cs="arial"/>
          <w:color w:val="000000"/>
          <w:sz w:val="20"/>
          <w:lang w:val="en-US" w:eastAsia="en-US" w:bidi="ar-SA"/>
        </w:rPr>
        <w:t xml:space="preserve">. While he considered the </w:t>
      </w:r>
      <w:r>
        <w:rPr>
          <w:rFonts w:ascii="arial" w:eastAsia="arial" w:hAnsi="arial" w:cs="arial"/>
          <w:i/>
          <w:color w:val="000000"/>
          <w:sz w:val="20"/>
          <w:lang w:val="en-US" w:eastAsia="en-US" w:bidi="ar-SA"/>
        </w:rPr>
        <w:t>Lui</w:t>
      </w:r>
      <w:r>
        <w:rPr>
          <w:rFonts w:ascii="arial" w:eastAsia="arial" w:hAnsi="arial" w:cs="arial"/>
          <w:color w:val="000000"/>
          <w:sz w:val="20"/>
          <w:lang w:val="en-US" w:eastAsia="en-US" w:bidi="ar-SA"/>
        </w:rPr>
        <w:t xml:space="preserve"> principles, he emphasized that they had not been developed in the context of a claim for contribution, and declined to strike the third party notice despite the fact ten years had passed between the date the cause of action arose and the issuance of that notice.</w:t>
      </w:r>
    </w:p>
    <w:p>
      <w:pPr>
        <w:spacing w:before="120" w:line="260" w:lineRule="atLeast"/>
        <w:ind w:left="720"/>
        <w:rPr>
          <w:lang w:val="en-US" w:eastAsia="en-US" w:bidi="ar-SA"/>
        </w:rPr>
      </w:pPr>
      <w:r>
        <w:rPr>
          <w:rFonts w:ascii="arial" w:eastAsia="arial" w:hAnsi="arial" w:cs="arial"/>
          <w:color w:val="000000"/>
          <w:sz w:val="20"/>
          <w:lang w:val="en-US" w:eastAsia="en-US" w:bidi="ar-SA"/>
        </w:rPr>
        <w:t>[88] While the chambers judge acknowledged these decisions, he reached an opposite result. He concluded that prejudice is always a factor to consider in deciding whether to set aside a third party claim even if the limitation period has not expired, and found that the delay and prejudice to the respondents in this case justified striking the third party notices. I am satisfied that in doing so he erred in failing to recognize that, if the plaintiff succeeded at trial, the defendants could then bring their claim for contribution as judgment debtors, a consequence exacerbating the delay and its prejudicial effect.</w:t>
      </w:r>
    </w:p>
    <w:p>
      <w:pPr>
        <w:spacing w:before="120" w:line="260" w:lineRule="atLeast"/>
        <w:ind w:left="720"/>
        <w:rPr>
          <w:lang w:val="en-US" w:eastAsia="en-US" w:bidi="ar-SA"/>
        </w:rPr>
      </w:pPr>
      <w:r>
        <w:rPr>
          <w:rFonts w:ascii="arial" w:eastAsia="arial" w:hAnsi="arial" w:cs="arial"/>
          <w:color w:val="000000"/>
          <w:sz w:val="20"/>
          <w:lang w:val="en-US" w:eastAsia="en-US" w:bidi="ar-SA"/>
        </w:rPr>
        <w:t>[89] The chambers judge was dismayed by the defendants' lengthy and unexplained delay in pursuing their third party claim. His findings of fact as to the prejudice to the respondents due to that delay are indisputable. Witnesses have died or cannot be located; documents have been destroyed. However, he failed to recognize that striking the third party notices would only exacerbate these problems, since it did not extinguish the claim but postponed it.</w:t>
      </w:r>
    </w:p>
    <w:p>
      <w:pPr>
        <w:spacing w:before="120" w:line="260" w:lineRule="atLeast"/>
        <w:ind w:left="720"/>
        <w:rPr>
          <w:lang w:val="en-US" w:eastAsia="en-US" w:bidi="ar-SA"/>
        </w:rPr>
      </w:pPr>
      <w:r>
        <w:rPr>
          <w:rFonts w:ascii="arial" w:eastAsia="arial" w:hAnsi="arial" w:cs="arial"/>
          <w:color w:val="000000"/>
          <w:sz w:val="20"/>
          <w:lang w:val="en-US" w:eastAsia="en-US" w:bidi="ar-SA"/>
        </w:rPr>
        <w:t>[90] The fundamental question on the applications should have been whether greater injustice and inconvenience would arise from allowing the contribution claim to continue as a third party proceeding, or from striking it and leaving it to be pursued in a separate future action. The chambers judge erred in failing to address that question. Had he done so, in my view he would have been compelled to exercise his discretion in favour of the former course, as the better of two unpalatable options.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Going back to </w:t>
      </w:r>
      <w:r>
        <w:rPr>
          <w:rFonts w:ascii="arial" w:eastAsia="arial" w:hAnsi="arial" w:cs="arial"/>
          <w:i/>
          <w:color w:val="000000"/>
          <w:sz w:val="20"/>
          <w:lang w:val="en-US" w:eastAsia="en-US" w:bidi="ar-SA"/>
        </w:rPr>
        <w:t>Lui</w:t>
      </w:r>
      <w:r>
        <w:rPr>
          <w:rFonts w:ascii="arial" w:eastAsia="arial" w:hAnsi="arial" w:cs="arial"/>
          <w:color w:val="000000"/>
          <w:sz w:val="20"/>
          <w:lang w:val="en-US" w:eastAsia="en-US" w:bidi="ar-SA"/>
        </w:rPr>
        <w:t>, "Is there another course available to one or other of the parties?" Obviously there is. There is another course available to these defendants, commencing a separate 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"Where does the balance of convenience lie?" It lies, in my view, with getting on with this trial which is scheduled for the spring of next year, based on the pleadings as they now stand.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 have considered the issue of multiplicity of proceedings. In my view, the proceedings between the defendants and Langley would be relatively concise. Damages would have already been established. There would be an issue as to whether or not there was liability, in whole or in part, on Langley. Any issues resulting from whether the requisite notice was given in a timely way have nothing to do with the plaintiff's conduct. The same is true of the facts and law dealing with Langley's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the facts of this case, keeping in mind that the defendants' counsel was aware that there was a claim made and gave notice December 15, 2014, so a year and a half ago, there has been a delay of over a year without explanation. Mr. Gill properly conceded that there was no explanation for that delay.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issues, while they might minimally overlap, are substantially different. Allowing the third party proceedings on the facts of this case is the unpalatable option. In the circumstances, the application is dismissed.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costs with respect to the existing action should be to the plaintiff in the cause. The parties can address the issue of costs as between the defendants and the proposed third party if they cannot work out a resolution.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MASTER R. McDIARMID</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1" style="position:absolute;z-index:2518968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42"/>
          <w:headerReference w:type="default" r:id="rId1043"/>
          <w:footerReference w:type="even" r:id="rId1044"/>
          <w:footerReference w:type="default" r:id="rId1045"/>
          <w:headerReference w:type="first" r:id="rId1046"/>
          <w:footerReference w:type="first" r:id="rId104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48" w:history="1">
        <w:r>
          <w:rPr>
            <w:rFonts w:ascii="arial" w:eastAsia="arial" w:hAnsi="arial" w:cs="arial"/>
            <w:b/>
            <w:bCs/>
            <w:i/>
            <w:color w:val="0077CC"/>
            <w:kern w:val="32"/>
            <w:sz w:val="28"/>
            <w:szCs w:val="32"/>
            <w:u w:val="single"/>
            <w:shd w:val="clear" w:color="auto" w:fill="FFFFFF"/>
            <w:lang w:val="en-US" w:eastAsia="en-US" w:bidi="ar-SA"/>
          </w:rPr>
          <w:t>Le v. British Columbia, [2016] B.C.J. No. 1107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M.B. Blok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5,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31,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S27715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Chilliwack</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1107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966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Martin Le, Plaintiff, and Her Majesty the Queen in Right of the Province of British Columbia,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2" style="position:absolute;z-index:2517063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99" w:name="Keywords_45"/>
      <w:bookmarkEnd w:id="299"/>
      <w:r>
        <w:rPr>
          <w:rFonts w:ascii="arial" w:eastAsia="arial" w:hAnsi="arial" w:cs="arial"/>
          <w:b/>
          <w:color w:val="000000"/>
          <w:sz w:val="20"/>
          <w:lang w:val="en-US" w:eastAsia="en-US" w:bidi="ar-SA"/>
        </w:rPr>
        <w:t xml:space="preserve">Civil litigation — Civil procedure — Judgments and orders — Summary judgment — Availability — Evidence — To dismiss action allowed — Application by the defendant Province of British Columbia for summary judgment dismissing the plaintiff's claim allowed — The plaintiff claimed damages against the defendant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with respect to an alleged assault by another inmate at the North-Fraser Pre-Trial Centre in 2013 — While the defendant owed the plaintiff a duty of care, there was nothing in the evidence to suggest that there had been a foreseeable risk of harm to the plaintiff — The affidavit evidence, from deputy warden, two corrections offers, and the plaintiff, was sufficient to dismiss the plaintiff's claim on a summary basis.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00" w:name="Case Summary_41"/>
            <w:bookmarkEnd w:id="30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Province of British Columbia for summary judgment dismissing the plaintiff's claim. The plaintiff claimed damages against the defendant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with respect to an alleged assault by another inmate at the North-Fraser Pre-Trial Centre (Centre) in 2013. Evidence on the application were affidavits from the deputy warden of the Centre, two corrections officers, and the plaintiff. The Deputy Warden deposed that the plaintiff and the other inmate who assaulted were both admitted to the Centre on the same day. Several days later, a fight occurred between the two, but was not reported by the plaintiff to Centre staff. The plaintiff suffered broken blood vessels in both eyes, blunt trauma to the eye, and possible orbital fracture. Later, a video recording revealed to staff that the fight had occurred that afternoon. Both were charged with assault pursuant to the Correction Act regulation. Upon review staff concluded that the other inmate had instigated the fight, and that the plaintiff acted in self-defence. The two corrections officers deposed similarly, noting that they noted nothing of concern that day or with the two inmates' intake procedure. The plaintiff claimed in his examination for discovery that he had no interactions with other inmates that caused him concern prior to the fight. The plaintiff claimed that medical professionals had informed him that he might be visually impaired for life. He also claimed that he suffered due to the stigma of non-linear eye alignment. He claimed that the defendant was negligent, and that his s. 7 Charter rights had been violated. The defendant argued that it had met its duty of care to the plaintiff and took reasonable care to protect him from reasonably foreseeable risks. Here, there had been no "pre-indicator of violence" and the assault was not reasonably foreseeable.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01" w:name="Holdings of Court_31"/>
            <w:bookmarkEnd w:id="301"/>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 would require facts establishing actual or constructive knowledge on the part of prison authorities that there was a risk to the plaintiff's safety. Here, the Centre's staff had not had any information which alerted them, or should have alerted them, of the attack on the plaintiff. The Court had sufficient evidence, particularly where examination for discovery had been completed, to determine the issues in this matter. There had been no pre-indicators of violence, and therefore the Centre had met its duty of care to the plaintiff and the action was dismissed.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02" w:name="Legislation Cited_35"/>
      <w:bookmarkEnd w:id="30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53" style="position:absolute;z-index:2517575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Canadian Charter of Rights and Freedoms, s.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Correction Act Regulation,</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03" w:name="Counsel_46"/>
      <w:bookmarkEnd w:id="30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4" style="position:absolute;z-index:251808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C. Terepocki.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L. Johnston.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4" w:name="Judgment_46"/>
      <w:bookmarkEnd w:id="304"/>
      <w:r>
        <w:pict>
          <v:line id="_x0000_s1255" style="position:absolute;z-index:25185894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05" w:name="M.B. BLOK J."/>
            <w:bookmarkEnd w:id="305"/>
            <w:r>
              <w:rPr>
                <w:rFonts w:ascii="arial" w:eastAsia="arial" w:hAnsi="arial" w:cs="arial"/>
                <w:b/>
                <w:color w:val="000000"/>
                <w:sz w:val="30"/>
                <w:lang w:val="en-US" w:eastAsia="en-US" w:bidi="ar-SA"/>
              </w:rPr>
              <w:t>M.B. BLOK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 applies by way of a summary trial for dismissal of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his action, the plaintiff claims damages for personal injury suffered when he was assaulted by another inmate while both were incarcerated at North Fraser Pre- trial Centre ("NFPC"). The alleged assault took place on September 19,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brief, the plaintiff's claim is that the defendant was negligent in failing to take steps to protect him from an assault by another inmate. The defendant says there was nothing in the information available to it that suggested any reasonably foreseeable risk of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 disagrees that this matter is suitable for disposition by summary trial. I will discuss this issue later, as it is bound together with an assessment of the evidence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This action is scheduled for a four-day trial commencing August 2,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evidence on this application came from the affidavits of the deputy warden, two correctional officers and from the plaintiff himself. The transcript from the plaintiff's examination for discovery was also in evidence. I summarize the evidence under the headings that follow.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Deputy Warden 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Deputy Warden Smith gave evidence about NFPC and its staffing, the applicable policies and procedures of the institution, and the information contained in the relevant records of NFPC and Corrections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NFPC is a correctional facility located in Port Coquitlam, B.C. It is comprised of three "pods". Two of the pods have four living units and the third pod has two specialized units. Each living unit has a courtyard or exercise area. The assault in question took place in the courtyard of B Pod South.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During the week (Monday to Friday) the living units are unlocked daily between 8:00 a.m. and 9:45 p.m., and during that time inmates are free to access the courtyard of the living unit. The living units are staffed with one correctional officer for each living unit (four officers in total for each pod), plus two "prowl" officers who patrol the entire pod, one supervising officer per pod and one officer in pod control, which is the area where the surveillance camera monitors are located.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courtyards of the living units are not staffed, that is, there is no Corrections officer monitoring that area on a continuous basis. The courtyards are supervised and monitored by the living unit officer when he or she conducts rounds of the living unit. NFPC policy is that visual checks are to be conducted by the living unit officer at intervals that are not to exceed 45 minutes. These visual checks are recorded in the log book for the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unit log book for September 19, 2013 has not been located despite a staff search. Deputy Warden Smith said he does not know why this log book cannot be located, but he has no reason to believe it was intentionally misplaced or destroyed. He notes that NFPC produces and maintains "vast amounts of documents" and "from time to time documents are misplaced and go missing".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addition to the visual checks described earlier, there is a surveillance camera in the courtyard that can be viewed at any time by the officer in pod control. However, this camera is not monitored on a continuous basis as it is one of hundreds of surveillance cameras situated throughout the correctional facility.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arrival at the facility, inmates go through an intake screening process, which includes an intake interview. During their interview they are asked whether they have any contact concerns or gang affiliations. Inmates will not be housed in living units with inmates who have been identified as a contact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addition to the information obtained from the inmates themselves, the inmate's correctional history is also reviewed to assess for contact concerns. Also, if an inmate advises correctional staff that he does not want to be placed in a living unit because of a contact concern NFPC will not place that inmate in that living unit. NFPC staff also try to maintain a record of any known or verified gang affiliations of inmates and that record is used to assist correctional supervisors in completing internal placement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this case the plaintiff was not a newcomer to the British Columbia correctional system as he had been incarcerated at NFPC on two previous occasions, the first in April 2005 and the second in June 2009, and he had also been incarcerated at Fraser Regional Correctional Centre. The plaintiff's corrections record indicated no history of institutional violence or infractions.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arrived at NFPC on September 17, 2013 and was interviewed by Correctional Officer Andronyk. I will summarize that officer's evidence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Deputy Warden Smith deposed that the inmate who assaulted the plaintiff, who I will refer to as "C.R.", was also admitted to NFPC on September 17, 2013. The assessment form created that day indicates that C.R. did not have any gang affiliations or contact concerns. Deputy Warden Smith deposed:</w:t>
      </w:r>
      <w:r>
        <w:rPr>
          <w:rFonts w:ascii="arial" w:eastAsia="arial" w:hAnsi="arial" w:cs="arial"/>
          <w:sz w:val="20"/>
          <w:lang w:val="en-US" w:eastAsia="en-US" w:bidi="ar-SA"/>
        </w:rPr>
        <w:cr/>
      </w:r>
    </w:p>
    <w:p>
      <w:pPr>
        <w:numPr>
          <w:numId w:val="3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Also attached and marked as Exhibits "E" and ":F" to this affidavit is a copy of [C.R.'s] Client Log and the Client Alerts for [C.R.]. There is no information in either of those records that would alert NFPC staff to have any specific or heightened concerns about [C.R.]. There is no information which would indicate that [C.R.] had a history of incompatibilities with other inmates, or that he was known to be an aggressive inmate.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reviewed all the relevant and available information regarding Le and [C.R.] and I can see no information to indicate or alert staff of any basis for a concern that [C.R.] and Le should not be housed in the same living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 pause to note that the client log for C.R. shows he had been in custody since July 22, 2013 and he was transferred to NFPC from another correctional facility on September 17,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 fight occurred between the plaintiff and C.R. late in the afternoon of September 19, 2013. When the fight ended the plaintiff left the courtyard and returned to his cell. He did not report to any NFPC staff member that he had been in a fight or that he was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Later that evening Corrections staff reviewed the video recording of the courtyard from earlier in the day, which revealed that there had been a fight between the two inmates. Although both inmates were charged with assault under the </w:t>
      </w:r>
      <w:r>
        <w:rPr>
          <w:rFonts w:ascii="arial" w:eastAsia="arial" w:hAnsi="arial" w:cs="arial"/>
          <w:i/>
          <w:color w:val="000000"/>
          <w:sz w:val="20"/>
          <w:lang w:val="en-US" w:eastAsia="en-US" w:bidi="ar-SA"/>
        </w:rPr>
        <w:t>Correction Act</w:t>
      </w:r>
      <w:r>
        <w:rPr>
          <w:rFonts w:ascii="arial" w:eastAsia="arial" w:hAnsi="arial" w:cs="arial"/>
          <w:color w:val="000000"/>
          <w:sz w:val="20"/>
          <w:lang w:val="en-US" w:eastAsia="en-US" w:bidi="ar-SA"/>
        </w:rPr>
        <w:t xml:space="preserve"> regulation, on further review Corrections staff concluded that C.R. had instigated the fight and the plaintiff acted in self-defence. The charge against the plaintiff was dropped.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Correctional Officer Andronyk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Officer Andronyk was the correctional officer who interviewed the plaintiff and performed the intake assessment. He has been employed by Corrections since 1996 and he has worked as a classification officer since 2012. Officer Andronyk said his duties as classification officer include interviewing and processing new intakes in order to determine where in NFPC the inmate should be housed and whether there are any safety issues or concerns.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Although Officer Andronyk did not remember the plaintiff specifically, he said his practice is to review all information Corrections has on hand about an inmate. This is done prior to the interview with the inmate.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arrived at NFPC on September 17, 2013. He had been given a sentence of 34 months in jail following a conviction for possession of a controlled substance for the purpose of trafficking, and he was transferred to NFPC on a temporary basis pending transfer to a federal intuition.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Officer Andronyk created an Inmate Assessment form for the plaintiff at the time of intake on September 17, 2013. In order to complete this form he would have interviewed the plaintiff and asked him if he had any peer issues, any problems with people on the street that might have followed him into jail, and generally any new information to add since his last time in custody.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Corrections records for the plaintiff show a 2009 alert for being a suspected gang associate of a particular gang. Officer Andronyk deposed that this alert would have prompted him to ask the plaintiff about any gang associations. On the Inmate Assessment form for the plaintiff Officer Andronyk made no reference to gang associations and he recorded that the plaintiff had "no contact concerns". These indicated to Officer Andronyk that the plaintiff had denied any gang associations when he interviewed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Corrections records showed that the plaintiff was incarcerated in NFPC in July 2009 and was placed in general population on that occasion as there were no contact concerns. Officer Andronyk said there is nothing in the plaintiff's correctional history to indicate that the plaintiff had any contact concerns or that he had experienced any previous problems with other inmates.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The Plaintiff's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 confirmed he met with a corrections officer for intake purposes at NFPC and was asked if he had been there before and if he "had any gang ties and such". He said he told the intake officer that he had been there twice before. The intake officer told the plaintiff there was a note about gang ties on the file, but the plaintiff denied to the officer that he had any gang ties. When asked on discovery if he did, in fact, have any gang ties at that point in time, the plaintiff said "I didn't, but I knew some people that were in gangs". Later in his examination for discovery he said "I knew people who are in gangs and that's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Also at his examination for discovery, the plaintiff was asked about anything that might have happened in the two days between the intake interview and the assault. He said that during that time he did not have any interactions with any inmates that caused him any concern, he never felt threatened and he did not report any concerns to any NFPC officers. He said he had no prior interaction with the inmate who assaulted him.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Correctional Officer Kim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Officer Kim was the Corrections officer on duty in the subject living unit at the time of the assault. He had been a correctional officer for around one month prior to day of the event. He said he did not observe the fight and only learned of it afterwards. He said he remembered the fight because it was the first time a fight between inmates occurred after he started working at NFPC.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Officer Kim said he was required to do rounds every 45 minutes, and he had conducted rounds sometime between 4:15 p.m. and 5:00 p.m. that day. He did not observe any problems or indications that there were, or that there was a potential to be, issues or problems between the plaintiff and any other inmates in the living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After his rounds Officer Kim returned to a desk on the unit to log information into the Corrections database. From his desk position he cannot see into the courtyard, but he can see the entrance. When he does rounds he goes into the courtyard.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While he was at the desk he did not see or hear anything that alerted him to any problem in the courtyard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Around 7:15 p.m. Officer Kim entered the plaintiff's cell to speak with the plaintiff about a new roommate. He noticed the plaintiff's face was red and bruised. He asked the plaintiff what had happened and the plaintiff told him he had fallen off the bed. The plaintiff refused to go to healthcare. A supervisor was called and he directed the plaintiff to attend healthcare. The plaintiff refused. The plaintiff was then placed in handcuffs and taken to healthcare.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Afterwards, Officer Kim reviewed the digital video recording from the courtyard camera. This recording showed that the plaintiff had been in a fight with C.R. starting at approximately 5:12 p.m.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his affidavit sworn in opposition to this summary trial application, the plaintiff said that just prior to the assault he was sitting on a bench in the courtyard. He said "I was accosted by another inmate ... I knew from the community". The plaintiff said that during his time at NFPC the other inmate had approached him several times and asked him about his gang affiliations. Because he did not want trouble he told the other inmate he had no gang affiliations, despite the fact that "I am affiliated to the [X] gang".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 said that the other inmate then attacked him. The event lasted approximately two or three minutes. He said "I kept expecting that correctional officers would intervene to end the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When the assault ended he returned to his cell. He did not ask for medical treatment because any inmate who contacts staff "is at risk of being labelled a rat and targeted for violence". Nonetheless, he said he believed that staff would become aware of the assault shortly after he returned to his cell, if they had not become aware of it already.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 said he suffered the following injuries as a result of the assault: (1) facial bruising and swelling; (2) broken blood vessels of both eyes; (3) blunt trauma to the eye; (4) possible orbital fracture; and (5) muscular entrapment of the left eye. This has caused him pain, discomfort, blurred vision, and double vision on certain movements, as well as fear and anxiety as a result of the assault and ongoing stigma and embarrassment of having non-linear eye alignment.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plaintiff says medical professionals have told him he may be visually impaired for life and will require further medical care and rehabilitation.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Positions of the Parties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A.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defendant submits that this matter is suitable for disposition by summary trial because there is sufficient evidence before the court to decide the issues. While conceding that the defendant owed a duty of care to the plaintiff, that duty was limited to exercising reasonable care to protect inmates from reasonably foreseeable risks. Here, leaving aside the sufficiency of staffing generally which, the defendant submits, is not reviewable because that is a policy issue, there is no evidence establishing a "pre-indicator of violence". The assault in question was therefore not reasonably foreseeable.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B.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 submits that this matter is not suitable for disposition by summary trial because the matter is complex. Counsel wishes to have the opportunity to explore the "dynamic factors" that were at play in the living unit, by cross-examining the living unit officer and the two prowl officers.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 noted that Officer Kim's evidence in particular will be challenged at trial. He had only been a correctional officer for a month and he seemed to have unusually detailed recollection of the event, despite the missing log.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 also submits that the matter is not suitable for disposition by summary trial because of the potentially significant consequences the plaintiff suffered as a result of the assault. He suffered an eye injury in the altercation and that damage may be permanent.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On liability, counsel said that the plaintiff is not challenging staffing levels or the security set-up generally, but submits that the assault could have been prevented by responding to the dynamics on the unit. Counsel added that he wanted to "dig further" about who was allowed to go to the courtyard.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 does not dispute the law as stated by the defendant, and concedes that the duty owed by the defendant to the plaintiff is that of reasonable care and it is not a standard of perfection.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Finally, counsel noted that there are some cases that have imposed liability on correctional authorities even where there are no "pre-indicators" leading up to the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his notice of civil claim the plaintiff frames his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he also claims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damages on the basis of an alleged breach of his s. 7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right (the right to life, liberty and security of the person). During submissions no mention was made of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claim, perhaps because that claim relies on the very same conduct as is alleged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In his submissions counsel for the plaintiff confirmed that the plaintiff's case "is based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his notice of civil claim the plaintiff alleges NFPC staff were negligent in that they:</w:t>
      </w:r>
      <w:r>
        <w:rPr>
          <w:rFonts w:ascii="arial" w:eastAsia="arial" w:hAnsi="arial" w:cs="arial"/>
          <w:sz w:val="20"/>
          <w:lang w:val="en-US" w:eastAsia="en-US" w:bidi="ar-SA"/>
        </w:rPr>
        <w:cr/>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ensure that the plaintiff, with file information that indicated potential gang incompatibilities, was protected against violent attack;</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monitor areas of the correctional facility adequately to prevent violent attacks;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promptly respond to the attack; and</w:t>
      </w:r>
    </w:p>
    <w:p>
      <w:pPr>
        <w:numPr>
          <w:numId w:val="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protect the plaintiff from foreseeable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submissions, counsel for the plaintiff made it clear that the plaintiff was not challenging the staffing level or deployment at the facility, decisions he conceded fell within the rubric of policy decisions. He submits, however, that once a decision is made to post an officer on the living unit, that officer should monitor and ensure safety on the unit by, among other things, interacting with the inmates.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Both counsel were generally agreed on the applicable standard of care. That standard was conveniently summarized in </w:t>
      </w:r>
      <w:r>
        <w:rPr>
          <w:rFonts w:ascii="arial" w:eastAsia="arial" w:hAnsi="arial" w:cs="arial"/>
          <w:i/>
          <w:color w:val="000000"/>
          <w:sz w:val="20"/>
          <w:lang w:val="en-US" w:eastAsia="en-US" w:bidi="ar-SA"/>
        </w:rPr>
        <w:t>Row v. HMTQ</w:t>
      </w:r>
      <w:r>
        <w:rPr>
          <w:rFonts w:ascii="arial" w:eastAsia="arial" w:hAnsi="arial" w:cs="arial"/>
          <w:color w:val="000000"/>
          <w:sz w:val="20"/>
          <w:lang w:val="en-US" w:eastAsia="en-US" w:bidi="ar-SA"/>
        </w:rPr>
        <w:t xml:space="preserve">, </w:t>
      </w:r>
      <w:hyperlink r:id="rId1049" w:history="1">
        <w:r>
          <w:rPr>
            <w:rFonts w:ascii="arial" w:eastAsia="arial" w:hAnsi="arial" w:cs="arial"/>
            <w:i/>
            <w:color w:val="0077CC"/>
            <w:sz w:val="20"/>
            <w:u w:val="single"/>
            <w:shd w:val="clear" w:color="auto" w:fill="FFFFFF"/>
            <w:lang w:val="en-US" w:eastAsia="en-US" w:bidi="ar-SA"/>
          </w:rPr>
          <w:t>2006 BCSC 199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Row</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The Provincial Crown does not dispute that the guards and other staff at a prison owe a duty to their inmates to take reasonable care for their safety while they are in their custody. This duty includes an obligation to take reasonable steps to protect an inmate from other inmates: </w:t>
      </w:r>
      <w:r>
        <w:rPr>
          <w:rFonts w:ascii="arial" w:eastAsia="arial" w:hAnsi="arial" w:cs="arial"/>
          <w:i/>
          <w:color w:val="000000"/>
          <w:sz w:val="20"/>
          <w:lang w:val="en-US" w:eastAsia="en-US" w:bidi="ar-SA"/>
        </w:rPr>
        <w:t>Eng v. Canada (Correctional Services)</w:t>
      </w:r>
      <w:r>
        <w:rPr>
          <w:rFonts w:ascii="arial" w:eastAsia="arial" w:hAnsi="arial" w:cs="arial"/>
          <w:color w:val="000000"/>
          <w:sz w:val="20"/>
          <w:lang w:val="en-US" w:eastAsia="en-US" w:bidi="ar-SA"/>
        </w:rPr>
        <w:t xml:space="preserve">, </w:t>
      </w:r>
      <w:hyperlink r:id="rId1050" w:history="1">
        <w:r>
          <w:rPr>
            <w:rFonts w:ascii="arial" w:eastAsia="arial" w:hAnsi="arial" w:cs="arial"/>
            <w:i/>
            <w:color w:val="0077CC"/>
            <w:sz w:val="20"/>
            <w:u w:val="single"/>
            <w:shd w:val="clear" w:color="auto" w:fill="FFFFFF"/>
            <w:lang w:val="en-US" w:eastAsia="en-US" w:bidi="ar-SA"/>
          </w:rPr>
          <w:t>[1997] F.C.J. No. 380</w:t>
        </w:r>
      </w:hyperlink>
      <w:r>
        <w:rPr>
          <w:rFonts w:ascii="arial" w:eastAsia="arial" w:hAnsi="arial" w:cs="arial"/>
          <w:color w:val="000000"/>
          <w:sz w:val="20"/>
          <w:lang w:val="en-US" w:eastAsia="en-US" w:bidi="ar-SA"/>
        </w:rPr>
        <w:t xml:space="preserve"> (T.D.) at para. 35; </w:t>
      </w:r>
      <w:r>
        <w:rPr>
          <w:rFonts w:ascii="arial" w:eastAsia="arial" w:hAnsi="arial" w:cs="arial"/>
          <w:i/>
          <w:color w:val="000000"/>
          <w:sz w:val="20"/>
          <w:lang w:val="en-US" w:eastAsia="en-US" w:bidi="ar-SA"/>
        </w:rPr>
        <w:t>Coumont v. Canada (Correctional Service)</w:t>
      </w:r>
      <w:r>
        <w:rPr>
          <w:rFonts w:ascii="arial" w:eastAsia="arial" w:hAnsi="arial" w:cs="arial"/>
          <w:color w:val="000000"/>
          <w:sz w:val="20"/>
          <w:lang w:val="en-US" w:eastAsia="en-US" w:bidi="ar-SA"/>
        </w:rPr>
        <w:t xml:space="preserve">, </w:t>
      </w:r>
      <w:hyperlink r:id="rId1051" w:history="1">
        <w:r>
          <w:rPr>
            <w:rFonts w:ascii="arial" w:eastAsia="arial" w:hAnsi="arial" w:cs="arial"/>
            <w:i/>
            <w:color w:val="0077CC"/>
            <w:sz w:val="20"/>
            <w:u w:val="single"/>
            <w:shd w:val="clear" w:color="auto" w:fill="FFFFFF"/>
            <w:lang w:val="en-US" w:eastAsia="en-US" w:bidi="ar-SA"/>
          </w:rPr>
          <w:t>[1994] F.C.J. No. 655</w:t>
        </w:r>
      </w:hyperlink>
      <w:r>
        <w:rPr>
          <w:rFonts w:ascii="arial" w:eastAsia="arial" w:hAnsi="arial" w:cs="arial"/>
          <w:color w:val="000000"/>
          <w:sz w:val="20"/>
          <w:lang w:val="en-US" w:eastAsia="en-US" w:bidi="ar-SA"/>
        </w:rPr>
        <w:t xml:space="preserve"> (T.D.) at para. 38.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However, the standard of care is not perfection. Prisons are by nature dangerous places, and the behaviour of inmates can be unpredictable: </w:t>
      </w:r>
      <w:r>
        <w:rPr>
          <w:rFonts w:ascii="arial" w:eastAsia="arial" w:hAnsi="arial" w:cs="arial"/>
          <w:i/>
          <w:color w:val="000000"/>
          <w:sz w:val="20"/>
          <w:lang w:val="en-US" w:eastAsia="en-US" w:bidi="ar-SA"/>
        </w:rPr>
        <w:t>Pete v. Axworthy</w:t>
      </w:r>
      <w:r>
        <w:rPr>
          <w:rFonts w:ascii="arial" w:eastAsia="arial" w:hAnsi="arial" w:cs="arial"/>
          <w:color w:val="000000"/>
          <w:sz w:val="20"/>
          <w:lang w:val="en-US" w:eastAsia="en-US" w:bidi="ar-SA"/>
        </w:rPr>
        <w:t xml:space="preserve">, </w:t>
      </w:r>
      <w:hyperlink r:id="rId1052" w:history="1">
        <w:r>
          <w:rPr>
            <w:rFonts w:ascii="arial" w:eastAsia="arial" w:hAnsi="arial" w:cs="arial"/>
            <w:i/>
            <w:color w:val="0077CC"/>
            <w:sz w:val="20"/>
            <w:u w:val="single"/>
            <w:shd w:val="clear" w:color="auto" w:fill="FFFFFF"/>
            <w:lang w:val="en-US" w:eastAsia="en-US" w:bidi="ar-SA"/>
          </w:rPr>
          <w:t>2005 BCCA 449</w:t>
        </w:r>
      </w:hyperlink>
      <w:r>
        <w:rPr>
          <w:rFonts w:ascii="arial" w:eastAsia="arial" w:hAnsi="arial" w:cs="arial"/>
          <w:color w:val="000000"/>
          <w:sz w:val="20"/>
          <w:lang w:val="en-US" w:eastAsia="en-US" w:bidi="ar-SA"/>
        </w:rPr>
        <w:t xml:space="preserve"> at para. 53. What is required is that those who operate prisons exercise reasonable care to protect their inmates from foreseeable risks: </w:t>
      </w:r>
      <w:r>
        <w:rPr>
          <w:rFonts w:ascii="arial" w:eastAsia="arial" w:hAnsi="arial" w:cs="arial"/>
          <w:i/>
          <w:color w:val="000000"/>
          <w:sz w:val="20"/>
          <w:lang w:val="en-US" w:eastAsia="en-US" w:bidi="ar-SA"/>
        </w:rPr>
        <w:t>Smith v. B.C. (A.G.)</w:t>
      </w:r>
      <w:r>
        <w:rPr>
          <w:rFonts w:ascii="arial" w:eastAsia="arial" w:hAnsi="arial" w:cs="arial"/>
          <w:color w:val="000000"/>
          <w:sz w:val="20"/>
          <w:lang w:val="en-US" w:eastAsia="en-US" w:bidi="ar-SA"/>
        </w:rPr>
        <w:t xml:space="preserve"> </w:t>
      </w:r>
      <w:hyperlink r:id="rId1053" w:history="1">
        <w:r>
          <w:rPr>
            <w:rFonts w:ascii="arial" w:eastAsia="arial" w:hAnsi="arial" w:cs="arial"/>
            <w:i/>
            <w:color w:val="0077CC"/>
            <w:sz w:val="20"/>
            <w:u w:val="single"/>
            <w:shd w:val="clear" w:color="auto" w:fill="FFFFFF"/>
            <w:lang w:val="en-US" w:eastAsia="en-US" w:bidi="ar-SA"/>
          </w:rPr>
          <w:t>(1988), 30 B.C.L.R. (2d) 356</w:t>
        </w:r>
      </w:hyperlink>
      <w:r>
        <w:rPr>
          <w:rFonts w:ascii="arial" w:eastAsia="arial" w:hAnsi="arial" w:cs="arial"/>
          <w:color w:val="000000"/>
          <w:sz w:val="20"/>
          <w:lang w:val="en-US" w:eastAsia="en-US" w:bidi="ar-SA"/>
        </w:rPr>
        <w:t xml:space="preserve"> (C.A.) at p. 366; </w:t>
      </w:r>
      <w:r>
        <w:rPr>
          <w:rFonts w:ascii="arial" w:eastAsia="arial" w:hAnsi="arial" w:cs="arial"/>
          <w:i/>
          <w:color w:val="000000"/>
          <w:sz w:val="20"/>
          <w:lang w:val="en-US" w:eastAsia="en-US" w:bidi="ar-SA"/>
        </w:rPr>
        <w:t>Funk v. Clapp</w:t>
      </w:r>
      <w:r>
        <w:rPr>
          <w:rFonts w:ascii="arial" w:eastAsia="arial" w:hAnsi="arial" w:cs="arial"/>
          <w:color w:val="000000"/>
          <w:sz w:val="20"/>
          <w:lang w:val="en-US" w:eastAsia="en-US" w:bidi="ar-SA"/>
        </w:rPr>
        <w:t xml:space="preserve"> </w:t>
      </w:r>
      <w:hyperlink r:id="rId1054" w:history="1">
        <w:r>
          <w:rPr>
            <w:rFonts w:ascii="arial" w:eastAsia="arial" w:hAnsi="arial" w:cs="arial"/>
            <w:i/>
            <w:color w:val="0077CC"/>
            <w:sz w:val="20"/>
            <w:u w:val="single"/>
            <w:shd w:val="clear" w:color="auto" w:fill="FFFFFF"/>
            <w:lang w:val="en-US" w:eastAsia="en-US" w:bidi="ar-SA"/>
          </w:rPr>
          <w:t>(1986), 35 B.C.L.R. (2d) 222</w:t>
        </w:r>
      </w:hyperlink>
      <w:r>
        <w:rPr>
          <w:rFonts w:ascii="arial" w:eastAsia="arial" w:hAnsi="arial" w:cs="arial"/>
          <w:color w:val="000000"/>
          <w:sz w:val="20"/>
          <w:lang w:val="en-US" w:eastAsia="en-US" w:bidi="ar-SA"/>
        </w:rPr>
        <w:t xml:space="preserve">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The issue in this case is whether the conduct of officials at VPSC breached that standard of care. Did their acts or omissions fall below the standard of conduct of a reasonable person of ordinary prudence in the circumstances: </w:t>
      </w:r>
      <w:r>
        <w:rPr>
          <w:rFonts w:ascii="arial" w:eastAsia="arial" w:hAnsi="arial" w:cs="arial"/>
          <w:i/>
          <w:color w:val="000000"/>
          <w:sz w:val="20"/>
          <w:lang w:val="en-US" w:eastAsia="en-US" w:bidi="ar-SA"/>
        </w:rPr>
        <w:t>Russell v. Canada</w:t>
      </w:r>
      <w:r>
        <w:rPr>
          <w:rFonts w:ascii="arial" w:eastAsia="arial" w:hAnsi="arial" w:cs="arial"/>
          <w:color w:val="000000"/>
          <w:sz w:val="20"/>
          <w:lang w:val="en-US" w:eastAsia="en-US" w:bidi="ar-SA"/>
        </w:rPr>
        <w:t xml:space="preserve">, </w:t>
      </w:r>
      <w:hyperlink r:id="rId1055" w:history="1">
        <w:r>
          <w:rPr>
            <w:rFonts w:ascii="arial" w:eastAsia="arial" w:hAnsi="arial" w:cs="arial"/>
            <w:i/>
            <w:color w:val="0077CC"/>
            <w:sz w:val="20"/>
            <w:u w:val="single"/>
            <w:shd w:val="clear" w:color="auto" w:fill="FFFFFF"/>
            <w:lang w:val="en-US" w:eastAsia="en-US" w:bidi="ar-SA"/>
          </w:rPr>
          <w:t>2000 BCSC 650</w:t>
        </w:r>
      </w:hyperlink>
      <w:r>
        <w:rPr>
          <w:rFonts w:ascii="arial" w:eastAsia="arial" w:hAnsi="arial" w:cs="arial"/>
          <w:color w:val="000000"/>
          <w:sz w:val="20"/>
          <w:lang w:val="en-US" w:eastAsia="en-US" w:bidi="ar-SA"/>
        </w:rPr>
        <w:t xml:space="preserve"> at para. 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Both parties cited cases that illustrated the application of these general principles. While most cases focus on pre-indicators of violence between specific inmates or groups that were known or should have been known to the prison authorities, in some cases liability has been imposed without pre-indicators of violence. In those latter cases, however, some other aspect of potential violence has been present. Examples of the former include </w:t>
      </w:r>
      <w:r>
        <w:rPr>
          <w:rFonts w:ascii="arial" w:eastAsia="arial" w:hAnsi="arial" w:cs="arial"/>
          <w:i/>
          <w:color w:val="000000"/>
          <w:sz w:val="20"/>
          <w:lang w:val="en-US" w:eastAsia="en-US" w:bidi="ar-SA"/>
        </w:rPr>
        <w:t>Walters v. Ontario</w:t>
      </w:r>
      <w:r>
        <w:rPr>
          <w:rFonts w:ascii="arial" w:eastAsia="arial" w:hAnsi="arial" w:cs="arial"/>
          <w:color w:val="000000"/>
          <w:sz w:val="20"/>
          <w:lang w:val="en-US" w:eastAsia="en-US" w:bidi="ar-SA"/>
        </w:rPr>
        <w:t xml:space="preserve">, </w:t>
      </w:r>
      <w:hyperlink r:id="rId1056" w:history="1">
        <w:r>
          <w:rPr>
            <w:rFonts w:ascii="arial" w:eastAsia="arial" w:hAnsi="arial" w:cs="arial"/>
            <w:i/>
            <w:color w:val="0077CC"/>
            <w:sz w:val="20"/>
            <w:u w:val="single"/>
            <w:shd w:val="clear" w:color="auto" w:fill="FFFFFF"/>
            <w:lang w:val="en-US" w:eastAsia="en-US" w:bidi="ar-SA"/>
          </w:rPr>
          <w:t>2015 ONSC 4855</w:t>
        </w:r>
      </w:hyperlink>
      <w:r>
        <w:rPr>
          <w:rFonts w:ascii="arial" w:eastAsia="arial" w:hAnsi="arial" w:cs="arial"/>
          <w:color w:val="000000"/>
          <w:sz w:val="20"/>
          <w:lang w:val="en-US" w:eastAsia="en-US" w:bidi="ar-SA"/>
        </w:rPr>
        <w:t xml:space="preserve">, where prison authorities failed to assess and recognize the potential for violence between two inmates who were members of rival gangs, and </w:t>
      </w:r>
      <w:r>
        <w:rPr>
          <w:rFonts w:ascii="arial" w:eastAsia="arial" w:hAnsi="arial" w:cs="arial"/>
          <w:i/>
          <w:color w:val="000000"/>
          <w:sz w:val="20"/>
          <w:lang w:val="en-US" w:eastAsia="en-US" w:bidi="ar-SA"/>
        </w:rPr>
        <w:t>McLellan v. Canada (Attorney General)</w:t>
      </w:r>
      <w:r>
        <w:rPr>
          <w:rFonts w:ascii="arial" w:eastAsia="arial" w:hAnsi="arial" w:cs="arial"/>
          <w:color w:val="000000"/>
          <w:sz w:val="20"/>
          <w:lang w:val="en-US" w:eastAsia="en-US" w:bidi="ar-SA"/>
        </w:rPr>
        <w:t xml:space="preserve">, </w:t>
      </w:r>
      <w:hyperlink r:id="rId1057" w:history="1">
        <w:r>
          <w:rPr>
            <w:rFonts w:ascii="arial" w:eastAsia="arial" w:hAnsi="arial" w:cs="arial"/>
            <w:i/>
            <w:color w:val="0077CC"/>
            <w:sz w:val="20"/>
            <w:u w:val="single"/>
            <w:shd w:val="clear" w:color="auto" w:fill="FFFFFF"/>
            <w:lang w:val="en-US" w:eastAsia="en-US" w:bidi="ar-SA"/>
          </w:rPr>
          <w:t>2005 ABQB 486</w:t>
        </w:r>
      </w:hyperlink>
      <w:r>
        <w:rPr>
          <w:rFonts w:ascii="arial" w:eastAsia="arial" w:hAnsi="arial" w:cs="arial"/>
          <w:color w:val="000000"/>
          <w:sz w:val="20"/>
          <w:lang w:val="en-US" w:eastAsia="en-US" w:bidi="ar-SA"/>
        </w:rPr>
        <w:t>, where there were a number of pre-indicators of violence between two inmates which, in cumulative fashion, established a foreseeable risk of danger.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Examples of cases in which liability was imposed despite the absence of pre-indicators of violence between specific inmates include </w:t>
      </w:r>
      <w:r>
        <w:rPr>
          <w:rFonts w:ascii="arial" w:eastAsia="arial" w:hAnsi="arial" w:cs="arial"/>
          <w:i/>
          <w:color w:val="000000"/>
          <w:sz w:val="20"/>
          <w:lang w:val="en-US" w:eastAsia="en-US" w:bidi="ar-SA"/>
        </w:rPr>
        <w:t>Row</w:t>
      </w:r>
      <w:r>
        <w:rPr>
          <w:rFonts w:ascii="arial" w:eastAsia="arial" w:hAnsi="arial" w:cs="arial"/>
          <w:color w:val="000000"/>
          <w:sz w:val="20"/>
          <w:lang w:val="en-US" w:eastAsia="en-US" w:bidi="ar-SA"/>
        </w:rPr>
        <w:t xml:space="preserve">, where the institution had, contrary to policy, a routinely predictable period of unsupervised freedom for inmates during staff shift changes, and -- perhaps -- </w:t>
      </w:r>
      <w:r>
        <w:rPr>
          <w:rFonts w:ascii="arial" w:eastAsia="arial" w:hAnsi="arial" w:cs="arial"/>
          <w:i/>
          <w:color w:val="000000"/>
          <w:sz w:val="20"/>
          <w:lang w:val="en-US" w:eastAsia="en-US" w:bidi="ar-SA"/>
        </w:rPr>
        <w:t>Carr v. Canada</w:t>
      </w:r>
      <w:r>
        <w:rPr>
          <w:rFonts w:ascii="arial" w:eastAsia="arial" w:hAnsi="arial" w:cs="arial"/>
          <w:color w:val="000000"/>
          <w:sz w:val="20"/>
          <w:lang w:val="en-US" w:eastAsia="en-US" w:bidi="ar-SA"/>
        </w:rPr>
        <w:t xml:space="preserve">, </w:t>
      </w:r>
      <w:hyperlink r:id="rId1058" w:history="1">
        <w:r>
          <w:rPr>
            <w:rFonts w:ascii="arial" w:eastAsia="arial" w:hAnsi="arial" w:cs="arial"/>
            <w:i/>
            <w:color w:val="0077CC"/>
            <w:sz w:val="20"/>
            <w:u w:val="single"/>
            <w:shd w:val="clear" w:color="auto" w:fill="FFFFFF"/>
            <w:lang w:val="en-US" w:eastAsia="en-US" w:bidi="ar-SA"/>
          </w:rPr>
          <w:t>2009 FC 576</w:t>
        </w:r>
      </w:hyperlink>
      <w:r>
        <w:rPr>
          <w:rFonts w:ascii="arial" w:eastAsia="arial" w:hAnsi="arial" w:cs="arial"/>
          <w:color w:val="000000"/>
          <w:sz w:val="20"/>
          <w:lang w:val="en-US" w:eastAsia="en-US" w:bidi="ar-SA"/>
        </w:rPr>
        <w:t xml:space="preserve">, where as-yet-unassessed inmates accessing a telephone room that was in high demand created a "highly-charged atmosphere" requiring much closer supervision than was provided. I have said "perhaps" above because in </w:t>
      </w:r>
      <w:r>
        <w:rPr>
          <w:rFonts w:ascii="arial" w:eastAsia="arial" w:hAnsi="arial" w:cs="arial"/>
          <w:i/>
          <w:color w:val="000000"/>
          <w:sz w:val="20"/>
          <w:lang w:val="en-US" w:eastAsia="en-US" w:bidi="ar-SA"/>
        </w:rPr>
        <w:t>Carr</w:t>
      </w:r>
      <w:r>
        <w:rPr>
          <w:rFonts w:ascii="arial" w:eastAsia="arial" w:hAnsi="arial" w:cs="arial"/>
          <w:color w:val="000000"/>
          <w:sz w:val="20"/>
          <w:lang w:val="en-US" w:eastAsia="en-US" w:bidi="ar-SA"/>
        </w:rPr>
        <w:t xml:space="preserve"> there was a pre-indicator of violence between the specific inmates in question as a result of the prothonotary's conclusion that a supervising officer probably saw an earlier altercation between those inmates.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Following a similar (but more thorough) analysis, the court in </w:t>
      </w:r>
      <w:r>
        <w:rPr>
          <w:rFonts w:ascii="arial" w:eastAsia="arial" w:hAnsi="arial" w:cs="arial"/>
          <w:i/>
          <w:color w:val="000000"/>
          <w:sz w:val="20"/>
          <w:lang w:val="en-US" w:eastAsia="en-US" w:bidi="ar-SA"/>
        </w:rPr>
        <w:t>Adams v. Canada (Attorney General)</w:t>
      </w:r>
      <w:r>
        <w:rPr>
          <w:rFonts w:ascii="arial" w:eastAsia="arial" w:hAnsi="arial" w:cs="arial"/>
          <w:color w:val="000000"/>
          <w:sz w:val="20"/>
          <w:lang w:val="en-US" w:eastAsia="en-US" w:bidi="ar-SA"/>
        </w:rPr>
        <w:t xml:space="preserve">, </w:t>
      </w:r>
      <w:hyperlink r:id="rId1059" w:history="1">
        <w:r>
          <w:rPr>
            <w:rFonts w:ascii="arial" w:eastAsia="arial" w:hAnsi="arial" w:cs="arial"/>
            <w:i/>
            <w:color w:val="0077CC"/>
            <w:sz w:val="20"/>
            <w:u w:val="single"/>
            <w:shd w:val="clear" w:color="auto" w:fill="FFFFFF"/>
            <w:lang w:val="en-US" w:eastAsia="en-US" w:bidi="ar-SA"/>
          </w:rPr>
          <w:t>2015 ABQB 527</w:t>
        </w:r>
      </w:hyperlink>
      <w:r>
        <w:rPr>
          <w:rFonts w:ascii="arial" w:eastAsia="arial" w:hAnsi="arial" w:cs="arial"/>
          <w:color w:val="000000"/>
          <w:sz w:val="20"/>
          <w:lang w:val="en-US" w:eastAsia="en-US" w:bidi="ar-SA"/>
        </w:rPr>
        <w:t>,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[50] Apart perhaps from </w:t>
      </w:r>
      <w:r>
        <w:rPr>
          <w:rFonts w:ascii="arial" w:eastAsia="arial" w:hAnsi="arial" w:cs="arial"/>
          <w:i/>
          <w:color w:val="000000"/>
          <w:sz w:val="20"/>
          <w:lang w:val="en-US" w:eastAsia="en-US" w:bidi="ar-SA"/>
        </w:rPr>
        <w:t>Row</w:t>
      </w:r>
      <w:r>
        <w:rPr>
          <w:rFonts w:ascii="arial" w:eastAsia="arial" w:hAnsi="arial" w:cs="arial"/>
          <w:color w:val="000000"/>
          <w:sz w:val="20"/>
          <w:lang w:val="en-US" w:eastAsia="en-US" w:bidi="ar-SA"/>
        </w:rPr>
        <w:t xml:space="preserve">, no case law was identified by the parties in which the CSC was held responsible for inmate conduct without incompatibles or other inmate-related pre-indicators. Despite this, I must consider whether the absence of appropriate security measures could make violence between inmates foreseeable even where no pre-indicators exist. This possibility is consistent with statements from other courts that the CSC has a higher obligation to take reasonable steps to ensure the safety of the at-risk inmate where pre-indicators of violence exist or if violence is otherwise predictable: </w:t>
      </w:r>
      <w:r>
        <w:rPr>
          <w:rFonts w:ascii="arial" w:eastAsia="arial" w:hAnsi="arial" w:cs="arial"/>
          <w:i/>
          <w:color w:val="000000"/>
          <w:sz w:val="20"/>
          <w:lang w:val="en-US" w:eastAsia="en-US" w:bidi="ar-SA"/>
        </w:rPr>
        <w:t>Coumont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Coumont v. Canada (Correctional</w:t>
      </w:r>
      <w:r>
        <w:rPr>
          <w:rFonts w:ascii="arial" w:eastAsia="arial" w:hAnsi="arial" w:cs="arial"/>
          <w:color w:val="000000"/>
          <w:sz w:val="20"/>
          <w:lang w:val="en-US" w:eastAsia="en-US" w:bidi="ar-SA"/>
        </w:rPr>
        <w:t xml:space="preserve"> Service, </w:t>
      </w:r>
      <w:hyperlink r:id="rId1051" w:history="1">
        <w:r>
          <w:rPr>
            <w:rFonts w:ascii="arial" w:eastAsia="arial" w:hAnsi="arial" w:cs="arial"/>
            <w:i/>
            <w:color w:val="0077CC"/>
            <w:sz w:val="20"/>
            <w:u w:val="single"/>
            <w:shd w:val="clear" w:color="auto" w:fill="FFFFFF"/>
            <w:lang w:val="en-US" w:eastAsia="en-US" w:bidi="ar-SA"/>
          </w:rPr>
          <w:t>(1994), 77 F.T.R. 253</w:t>
        </w:r>
      </w:hyperlink>
      <w:r>
        <w:rPr>
          <w:rFonts w:ascii="arial" w:eastAsia="arial" w:hAnsi="arial" w:cs="arial"/>
          <w:color w:val="000000"/>
          <w:sz w:val="20"/>
          <w:lang w:val="en-US" w:eastAsia="en-US" w:bidi="ar-SA"/>
        </w:rPr>
        <w:t xml:space="preserve">] at paras 38-39; </w:t>
      </w:r>
      <w:r>
        <w:rPr>
          <w:rFonts w:ascii="arial" w:eastAsia="arial" w:hAnsi="arial" w:cs="arial"/>
          <w:i/>
          <w:color w:val="000000"/>
          <w:sz w:val="20"/>
          <w:lang w:val="en-US" w:eastAsia="en-US" w:bidi="ar-SA"/>
        </w:rPr>
        <w:t>Miclash</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Miclash v. Canada</w:t>
      </w:r>
      <w:r>
        <w:rPr>
          <w:rFonts w:ascii="arial" w:eastAsia="arial" w:hAnsi="arial" w:cs="arial"/>
          <w:color w:val="000000"/>
          <w:sz w:val="20"/>
          <w:lang w:val="en-US" w:eastAsia="en-US" w:bidi="ar-SA"/>
        </w:rPr>
        <w:t xml:space="preserve"> </w:t>
      </w:r>
      <w:hyperlink r:id="rId1060" w:history="1">
        <w:r>
          <w:rPr>
            <w:rFonts w:ascii="arial" w:eastAsia="arial" w:hAnsi="arial" w:cs="arial"/>
            <w:i/>
            <w:color w:val="0077CC"/>
            <w:sz w:val="20"/>
            <w:u w:val="single"/>
            <w:shd w:val="clear" w:color="auto" w:fill="FFFFFF"/>
            <w:lang w:val="en-US" w:eastAsia="en-US" w:bidi="ar-SA"/>
          </w:rPr>
          <w:t>(2003), 227 F.T.R. 116</w:t>
        </w:r>
      </w:hyperlink>
      <w:r>
        <w:rPr>
          <w:rFonts w:ascii="arial" w:eastAsia="arial" w:hAnsi="arial" w:cs="arial"/>
          <w:color w:val="000000"/>
          <w:sz w:val="20"/>
          <w:lang w:val="en-US" w:eastAsia="en-US" w:bidi="ar-SA"/>
        </w:rPr>
        <w:t>] at para 37. The issue is when violence is predictable in the absence of incompatibles or other pre-indicators.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[57] These cases provide only minimal support for the notion that, absent incompatibles or other pre-indicators, inadequate security measures could render the CSC liable for injuries resulting from an inmate assault. The harm to Mr. Adams must have been foreseeable in that the CSC knew or ought to have known of the risk of the assault. Where there are no incompatibles or other pre-indicators to forewarn the CSC, as </w:t>
      </w:r>
      <w:r>
        <w:rPr>
          <w:rFonts w:ascii="arial" w:eastAsia="arial" w:hAnsi="arial" w:cs="arial"/>
          <w:i/>
          <w:color w:val="000000"/>
          <w:sz w:val="20"/>
          <w:lang w:val="en-US" w:eastAsia="en-US" w:bidi="ar-SA"/>
        </w:rPr>
        <w:t>Row</w:t>
      </w:r>
      <w:r>
        <w:rPr>
          <w:rFonts w:ascii="arial" w:eastAsia="arial" w:hAnsi="arial" w:cs="arial"/>
          <w:color w:val="000000"/>
          <w:sz w:val="20"/>
          <w:lang w:val="en-US" w:eastAsia="en-US" w:bidi="ar-SA"/>
        </w:rPr>
        <w:t xml:space="preserve"> suggests, an inmate assault will be considered foreseeable only if there was a substantial security breach.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 agree with that general conclusion, although I would not adopt the phrase "substantial security breach" that is used at the end of the last paragraph. Instead, I would say that there must be other facts that establish actual or constructive knowledge on the part of prison authorities of a risk or threat to inmate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 turn now to the facts of this case. I am satisfied that there was no information known to NFPC staff that alerted them, or should have alerted them, to any risk of an attack by C.R. on the plaintiff. Although in his affidavit he says he had some prior interactions with C.R., an assertion that is contrary to the evidence he gave at his examination for discovery, he does not say that the interactions were threatening or negative. He also does not assert facts that would lead to the conclusion that NFPC staff knew or should have known of these interactions or that they should have concluded there was a heightened security risk as a result, as was the case, for example, in </w:t>
      </w:r>
      <w:r>
        <w:rPr>
          <w:rFonts w:ascii="arial" w:eastAsia="arial" w:hAnsi="arial" w:cs="arial"/>
          <w:i/>
          <w:color w:val="000000"/>
          <w:sz w:val="20"/>
          <w:lang w:val="en-US" w:eastAsia="en-US" w:bidi="ar-SA"/>
        </w:rPr>
        <w:t>Carr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Leaving aside evidence of pre-indicators of violence, the plaintiff did not lead or refer to any evidence that indicated there was some other situation within the unit, akin to those in </w:t>
      </w:r>
      <w:r>
        <w:rPr>
          <w:rFonts w:ascii="arial" w:eastAsia="arial" w:hAnsi="arial" w:cs="arial"/>
          <w:i/>
          <w:color w:val="000000"/>
          <w:sz w:val="20"/>
          <w:lang w:val="en-US" w:eastAsia="en-US" w:bidi="ar-SA"/>
        </w:rPr>
        <w:t>Row</w:t>
      </w:r>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Carr</w:t>
      </w:r>
      <w:r>
        <w:rPr>
          <w:rFonts w:ascii="arial" w:eastAsia="arial" w:hAnsi="arial" w:cs="arial"/>
          <w:color w:val="000000"/>
          <w:sz w:val="20"/>
          <w:lang w:val="en-US" w:eastAsia="en-US" w:bidi="ar-SA"/>
        </w:rPr>
        <w:t>, which created an identifiable risk of violence to the inmates generally or to the plaintiff in particular.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Plaintiff's counsel submitted that the assault could have been prevented by NFPC staff "responding to the dynamics". However, no "dynamics" were identified in either the evidence or the plaintiff's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primary thrust of the plaintiff's submissions was that the matter was not suitable for summary trial. The plaintiff emphasized that his injuries may have significant consequences for him, the matter is complex, there is no urgency and credibility is at issue. On the latter point, plaintiff's counsel said he wishes to: (1) cross-examine Officer Kim because the officer's recollection seems "unusually extensive: (2) subpoena the prowl officers so that he may examine them; and (3) pursue questions that might flow from the missing log. All of this was said to be for the purpose of "digging deeper" and determining the "dynamic factors at play" on the living unit.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note that both parties have conducted examinations for discovery. The plaintiff examined the deputy warden. Yet, even at this relatively late stage in the action the plaintiff does not seem to have a focused theory of liability. Instead, the plaintiff wishes to proceed to a full trial in the hope that something might turn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In Everest Canadian Properties Ltd. v. Mallmann, </w:t>
      </w:r>
      <w:hyperlink r:id="rId199" w:history="1">
        <w:r>
          <w:rPr>
            <w:rFonts w:ascii="arial" w:eastAsia="arial" w:hAnsi="arial" w:cs="arial"/>
            <w:i/>
            <w:color w:val="0077CC"/>
            <w:sz w:val="20"/>
            <w:u w:val="single"/>
            <w:shd w:val="clear" w:color="auto" w:fill="FFFFFF"/>
            <w:lang w:val="en-US" w:eastAsia="en-US" w:bidi="ar-SA"/>
          </w:rPr>
          <w:t>2008 BCCA 275</w:t>
        </w:r>
      </w:hyperlink>
      <w:r>
        <w:rPr>
          <w:rFonts w:ascii="arial" w:eastAsia="arial" w:hAnsi="arial" w:cs="arial"/>
          <w:color w:val="000000"/>
          <w:sz w:val="20"/>
          <w:lang w:val="en-US" w:eastAsia="en-US" w:bidi="ar-SA"/>
        </w:rPr>
        <w:t>, the court said: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It is trite law that where an application for summary determination under Rule 18A is set down, the parties are obliged to take every reasonable step to put themselves in the best position possible. As this court noted in </w:t>
      </w:r>
      <w:r>
        <w:rPr>
          <w:rFonts w:ascii="arial" w:eastAsia="arial" w:hAnsi="arial" w:cs="arial"/>
          <w:i/>
          <w:color w:val="000000"/>
          <w:sz w:val="20"/>
          <w:lang w:val="en-US" w:eastAsia="en-US" w:bidi="ar-SA"/>
        </w:rPr>
        <w:t>Anglo Canadian Shipping Co. v. Pulp, Paper &amp; Woodworkers of Canada, Local 8</w:t>
      </w:r>
      <w:r>
        <w:rPr>
          <w:rFonts w:ascii="arial" w:eastAsia="arial" w:hAnsi="arial" w:cs="arial"/>
          <w:color w:val="000000"/>
          <w:sz w:val="20"/>
          <w:lang w:val="en-US" w:eastAsia="en-US" w:bidi="ar-SA"/>
        </w:rPr>
        <w:t xml:space="preserve"> </w:t>
      </w:r>
      <w:hyperlink r:id="rId1061" w:history="1">
        <w:r>
          <w:rPr>
            <w:rFonts w:ascii="arial" w:eastAsia="arial" w:hAnsi="arial" w:cs="arial"/>
            <w:i/>
            <w:color w:val="0077CC"/>
            <w:sz w:val="20"/>
            <w:u w:val="single"/>
            <w:shd w:val="clear" w:color="auto" w:fill="FFFFFF"/>
            <w:lang w:val="en-US" w:eastAsia="en-US" w:bidi="ar-SA"/>
          </w:rPr>
          <w:t>(1988) 27 B.C.L.R. (2d) 378</w:t>
        </w:r>
      </w:hyperlink>
      <w:r>
        <w:rPr>
          <w:rFonts w:ascii="arial" w:eastAsia="arial" w:hAnsi="arial" w:cs="arial"/>
          <w:color w:val="000000"/>
          <w:sz w:val="20"/>
          <w:lang w:val="en-US" w:eastAsia="en-US" w:bidi="ar-SA"/>
        </w:rPr>
        <w:t xml:space="preserve"> at 382, a party cannot, by failing to take such steps, frustrate the benefits of the summary trial process. </w:t>
      </w:r>
      <w:r>
        <w:rPr>
          <w:rFonts w:ascii="arial" w:eastAsia="arial" w:hAnsi="arial" w:cs="arial"/>
          <w:color w:val="000000"/>
          <w:sz w:val="20"/>
          <w:u w:val="single"/>
          <w:lang w:val="en-US" w:eastAsia="en-US" w:bidi="ar-SA"/>
        </w:rPr>
        <w:t>Where the application is brought by a plaintiff, the defendant may not simply insist on a full trial in hopes that with the benefit of</w:t>
      </w:r>
      <w:r>
        <w:rPr>
          <w:rFonts w:ascii="arial" w:eastAsia="arial" w:hAnsi="arial" w:cs="arial"/>
          <w:color w:val="000000"/>
          <w:sz w:val="20"/>
          <w:lang w:val="en-US" w:eastAsia="en-US" w:bidi="ar-SA"/>
        </w:rPr>
        <w:t xml:space="preserve"> </w:t>
      </w:r>
      <w:r>
        <w:rPr>
          <w:rFonts w:ascii="arial" w:eastAsia="arial" w:hAnsi="arial" w:cs="arial"/>
          <w:i/>
          <w:color w:val="000000"/>
          <w:sz w:val="20"/>
          <w:u w:val="single"/>
          <w:lang w:val="en-US" w:eastAsia="en-US" w:bidi="ar-SA"/>
        </w:rPr>
        <w:t>viva voce</w:t>
      </w:r>
      <w:r>
        <w:rPr>
          <w:rFonts w:ascii="arial" w:eastAsia="arial" w:hAnsi="arial" w:cs="arial"/>
          <w:color w:val="000000"/>
          <w:sz w:val="20"/>
          <w:lang w:val="en-US" w:eastAsia="en-US" w:bidi="ar-SA"/>
        </w:rPr>
        <w:t xml:space="preserve"> </w:t>
      </w:r>
      <w:r>
        <w:rPr>
          <w:rFonts w:ascii="arial" w:eastAsia="arial" w:hAnsi="arial" w:cs="arial"/>
          <w:color w:val="000000"/>
          <w:sz w:val="20"/>
          <w:u w:val="single"/>
          <w:lang w:val="en-US" w:eastAsia="en-US" w:bidi="ar-SA"/>
        </w:rPr>
        <w:t>evidence, 'something might turn up'</w:t>
      </w:r>
      <w:r>
        <w:rPr>
          <w:rFonts w:ascii="arial" w:eastAsia="arial" w:hAnsi="arial" w:cs="arial"/>
          <w:color w:val="000000"/>
          <w:sz w:val="20"/>
          <w:lang w:val="en-US" w:eastAsia="en-US" w:bidi="ar-SA"/>
        </w:rPr>
        <w:t xml:space="preserve">: see </w:t>
      </w:r>
      <w:r>
        <w:rPr>
          <w:rFonts w:ascii="arial" w:eastAsia="arial" w:hAnsi="arial" w:cs="arial"/>
          <w:i/>
          <w:color w:val="000000"/>
          <w:sz w:val="20"/>
          <w:lang w:val="en-US" w:eastAsia="en-US" w:bidi="ar-SA"/>
        </w:rPr>
        <w:t>Hamilton v. Sutherland</w:t>
      </w:r>
      <w:r>
        <w:rPr>
          <w:rFonts w:ascii="arial" w:eastAsia="arial" w:hAnsi="arial" w:cs="arial"/>
          <w:color w:val="000000"/>
          <w:sz w:val="20"/>
          <w:lang w:val="en-US" w:eastAsia="en-US" w:bidi="ar-SA"/>
        </w:rPr>
        <w:t xml:space="preserve"> </w:t>
      </w:r>
      <w:hyperlink r:id="rId1062" w:history="1">
        <w:r>
          <w:rPr>
            <w:rFonts w:ascii="arial" w:eastAsia="arial" w:hAnsi="arial" w:cs="arial"/>
            <w:i/>
            <w:color w:val="0077CC"/>
            <w:sz w:val="20"/>
            <w:u w:val="single"/>
            <w:shd w:val="clear" w:color="auto" w:fill="FFFFFF"/>
            <w:lang w:val="en-US" w:eastAsia="en-US" w:bidi="ar-SA"/>
          </w:rPr>
          <w:t>(1992) 68 B.C.L.R. (2d) 115</w:t>
        </w:r>
      </w:hyperlink>
      <w:r>
        <w:rPr>
          <w:rFonts w:ascii="arial" w:eastAsia="arial" w:hAnsi="arial" w:cs="arial"/>
          <w:color w:val="000000"/>
          <w:sz w:val="20"/>
          <w:lang w:val="en-US" w:eastAsia="en-US" w:bidi="ar-SA"/>
        </w:rPr>
        <w:t xml:space="preserve">, </w:t>
      </w:r>
      <w:hyperlink r:id="rId1062" w:history="1">
        <w:r>
          <w:rPr>
            <w:rFonts w:ascii="arial" w:eastAsia="arial" w:hAnsi="arial" w:cs="arial"/>
            <w:i/>
            <w:color w:val="0077CC"/>
            <w:sz w:val="20"/>
            <w:u w:val="single"/>
            <w:shd w:val="clear" w:color="auto" w:fill="FFFFFF"/>
            <w:lang w:val="en-US" w:eastAsia="en-US" w:bidi="ar-SA"/>
          </w:rPr>
          <w:t>[1992] 5 W.W.R. 151</w:t>
        </w:r>
      </w:hyperlink>
      <w:r>
        <w:rPr>
          <w:rFonts w:ascii="arial" w:eastAsia="arial" w:hAnsi="arial" w:cs="arial"/>
          <w:color w:val="000000"/>
          <w:sz w:val="20"/>
          <w:lang w:val="en-US" w:eastAsia="en-US" w:bidi="ar-SA"/>
        </w:rPr>
        <w:t xml:space="preserve"> (B.C.C.A.) at paras. 66-7. </w:t>
      </w:r>
      <w:r>
        <w:rPr>
          <w:rFonts w:ascii="arial" w:eastAsia="arial" w:hAnsi="arial" w:cs="arial"/>
          <w:color w:val="000000"/>
          <w:sz w:val="20"/>
          <w:u w:val="single"/>
          <w:lang w:val="en-US" w:eastAsia="en-US" w:bidi="ar-SA"/>
        </w:rPr>
        <w:t>The same is true of a plaintiff where the defence has brought the R.18A motion</w:t>
      </w:r>
      <w:r>
        <w:rPr>
          <w:rFonts w:ascii="arial" w:eastAsia="arial" w:hAnsi="arial" w:cs="arial"/>
          <w:color w:val="000000"/>
          <w:sz w:val="20"/>
          <w:lang w:val="en-US" w:eastAsia="en-US" w:bidi="ar-SA"/>
        </w:rPr>
        <w: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conclude that this matter is suitable for determination by summary trial because: (1) the parties have completed examinations for discovery; (2) there is no material conflict in the evidence; the only evidentiary conflict arises out of the plaintiff's own contradictory evidence and even the version most favourable to the plaintiff does not provide a basis for liability against the defendant; (3) I am able to find the facts necessary to decide the issues; and (4) hoping that something might turn up through a full trial is not a sound reason to decline to determine a matter by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summary on the issue of liability:</w:t>
      </w:r>
      <w:r>
        <w:rPr>
          <w:rFonts w:ascii="arial" w:eastAsia="arial" w:hAnsi="arial" w:cs="arial"/>
          <w:sz w:val="20"/>
          <w:lang w:val="en-US" w:eastAsia="en-US" w:bidi="ar-SA"/>
        </w:rPr>
        <w:cr/>
      </w:r>
    </w:p>
    <w:p>
      <w:pPr>
        <w:numPr>
          <w:numId w:val="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agree that prison administrators and staff owe a duty to their inmates to take reasonable care for their inmates while they are in their custody, which includes a duty to take reasonable steps to protect an inmate from other inmates;</w:t>
      </w:r>
    </w:p>
    <w:p>
      <w:pPr>
        <w:numPr>
          <w:numId w:val="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standard is not one of perfection but instead is an obligation to exercise reasonable care to protect inmates from foreseeable risks;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does not challenge the staffing level or staff deployment at the facility, decisions he conceded fall within the rubric of policy;</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around 5:12 p.m. on September 19, 2013 a fight occurred between the plaintiff and C.R. in the courtyard of their living unit. The fight lasted two or three minutes;</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information known to NFPC staff that alerted them, or should have alerted them, to any risk of an attack by C.R. on the plaintiff; and</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Officer Kim, the correctional officer on the living unit, did rounds of the living unit between 4:15 p.m. and 5:00 p.m. that day. When he does his regular rounds he goes into the courtyard itself. During this particular round he did not observe any problems or indications of potential problems between the plaintiff and any other inmates in the living unit. After his round he returned to a desk on the living unit. From that desk he is able to see the entrance to the courtyard, although he cannot see into the courtyard itself. While he was at the desk that afternoon he did not see or hear anything that alerted him to any problem in the courtyard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brief, there were no pre-indicators of violence or potential violence known to prison staff following reasonable inquiries on their part, and no situation on the living unit that created an identifiable risk of violence or otherwise suggests the assault was, or should have been, foreseeable. Accordingly, the plaintiff has failed to establish that the defendant breached the standard of care it owed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action is dismissed with costs to the defendant, if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M.B. BLOK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6" style="position:absolute;z-index:2518978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63"/>
          <w:headerReference w:type="default" r:id="rId1064"/>
          <w:footerReference w:type="even" r:id="rId1065"/>
          <w:footerReference w:type="default" r:id="rId1066"/>
          <w:headerReference w:type="first" r:id="rId1067"/>
          <w:footerReference w:type="first" r:id="rId106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69" w:history="1">
        <w:r>
          <w:rPr>
            <w:rFonts w:ascii="arial" w:eastAsia="arial" w:hAnsi="arial" w:cs="arial"/>
            <w:b/>
            <w:bCs/>
            <w:i/>
            <w:color w:val="0077CC"/>
            <w:kern w:val="32"/>
            <w:sz w:val="28"/>
            <w:szCs w:val="32"/>
            <w:u w:val="single"/>
            <w:shd w:val="clear" w:color="auto" w:fill="FFFFFF"/>
            <w:lang w:val="en-US" w:eastAsia="en-US" w:bidi="ar-SA"/>
          </w:rPr>
          <w:t>Liu (Litigation guardian of) v. Chu, [2009] B.C.J. No. 1138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L.D. Russell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14,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8,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S021553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1138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70" w:history="1">
        <w:r>
          <w:rPr>
            <w:rFonts w:ascii="arial" w:eastAsia="arial" w:hAnsi="arial" w:cs="arial"/>
            <w:i/>
            <w:color w:val="0077CC"/>
            <w:sz w:val="20"/>
            <w:u w:val="single"/>
            <w:shd w:val="clear" w:color="auto" w:fill="FFFFFF"/>
            <w:lang w:val="en-US" w:eastAsia="en-US" w:bidi="ar-SA"/>
          </w:rPr>
          <w:t>2009 BCSC 753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70" w:history="1">
        <w:r>
          <w:rPr>
            <w:rFonts w:ascii="arial" w:eastAsia="arial" w:hAnsi="arial" w:cs="arial"/>
            <w:i/>
            <w:color w:val="0077CC"/>
            <w:sz w:val="20"/>
            <w:u w:val="single"/>
            <w:shd w:val="clear" w:color="auto" w:fill="FFFFFF"/>
            <w:lang w:val="en-US" w:eastAsia="en-US" w:bidi="ar-SA"/>
          </w:rPr>
          <w:t>74 C.C.L.I. (4th) 242</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70" w:history="1">
        <w:r>
          <w:rPr>
            <w:rFonts w:ascii="arial" w:eastAsia="arial" w:hAnsi="arial" w:cs="arial"/>
            <w:i/>
            <w:color w:val="0077CC"/>
            <w:sz w:val="20"/>
            <w:u w:val="single"/>
            <w:shd w:val="clear" w:color="auto" w:fill="FFFFFF"/>
            <w:lang w:val="en-US" w:eastAsia="en-US" w:bidi="ar-SA"/>
          </w:rPr>
          <w:t>[2009] I.L.R. I-4848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70" w:history="1">
        <w:r>
          <w:rPr>
            <w:rFonts w:ascii="arial" w:eastAsia="arial" w:hAnsi="arial" w:cs="arial"/>
            <w:i/>
            <w:color w:val="0077CC"/>
            <w:sz w:val="20"/>
            <w:u w:val="single"/>
            <w:shd w:val="clear" w:color="auto" w:fill="FFFFFF"/>
            <w:lang w:val="en-US" w:eastAsia="en-US" w:bidi="ar-SA"/>
          </w:rPr>
          <w:t>2009 CarswellBC 1522</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70" w:history="1">
        <w:r>
          <w:rPr>
            <w:rFonts w:ascii="arial" w:eastAsia="arial" w:hAnsi="arial" w:cs="arial"/>
            <w:i/>
            <w:color w:val="0077CC"/>
            <w:sz w:val="20"/>
            <w:u w:val="single"/>
            <w:shd w:val="clear" w:color="auto" w:fill="FFFFFF"/>
            <w:lang w:val="en-US" w:eastAsia="en-US" w:bidi="ar-SA"/>
          </w:rPr>
          <w:t>178 A.C.W.S. (3d) 437</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Coltyn Go Yen Liu, by his Litigation Guardian Jeannea Lois Miles, Plaintiff, and Raymond Man You Chu, Maxim's Bakery Ltd., and The Manufacturers Life Insurance Company La Compagnie D'Assurance-Vie Manufatures doing business as Manulife Financial, Defendants, and The Boss Bakery and Restaurant Ltd., Maxim's Bakery Ltd., Sovereign General Insurance Company, The Manufacturers Life Insurance Company La Compagnie D'Assurance-Vie Manufactures doing business as Manulife Financial, Kathleen Shiels and Raymond Man You Chu,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7" style="position:absolute;z-index:2517073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06" w:name="Keywords_46"/>
      <w:bookmarkEnd w:id="306"/>
      <w:r>
        <w:rPr>
          <w:rFonts w:ascii="arial" w:eastAsia="arial" w:hAnsi="arial" w:cs="arial"/>
          <w:b/>
          <w:color w:val="000000"/>
          <w:sz w:val="20"/>
          <w:lang w:val="en-US" w:eastAsia="en-US" w:bidi="ar-SA"/>
        </w:rPr>
        <w:t>Insurance law — Insurers — Duties — Duty to defend — Application by Manufacturer's Life for declaration that Sovereign General owed it a duty to defend allowed — Manulife owned a mall — An employee of a mall tenant hit the plaintiff with a cart while delivering goods in the mall — Tenant was insured with Sovereign — Policy named Manulife as an additional insured — Sovereign owed a duty to defend Manulife as employee's delivery of goods to its premises in the mall fell within the scope of the policy.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07" w:name="Case Summary_42"/>
            <w:bookmarkEnd w:id="30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third party, Manufacturer's Life for a declaration that the third party, Sovereign General, owed it a duty to defend in proceedings commenced against it. The action arose out of an accident which occurred in a mall owned by Manulife. The plaintiff was injured by an employee of a mall tenant who struck the plaintiff with a cart while delivering goods in the mall. The tenant obtained an insurance policy with Sovereign which named Manulife as an additional insured. Sovereign argued that it did not owe a duty to defend Manulife as the only duty of care articulated in the statement of claim was that owed by Manulife as an occupier. Sovereign alleged that any duties owed by Manulife under the Occupiers Liability Act were independent of and not covered by the insurance policy at issue.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08" w:name="Holdings of Court_32"/>
            <w:bookmarkEnd w:id="308"/>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Sovereign owed Manulife a duty to defend. The act of the employee in effecting a delivery of goods to its premises in the mall on a cart fell within the scope of the policy. Such an act clearly comprised part of the legal operations of the tenant and any claims arising from such actions would permit Manulife to rely on the additional insured clause in the policy. The plaintiff's injuries arose out of an integral part of the tenant's operations and not through an independent obligation of Manulife in respect of its duties as an occupier. Even a broad reading of the pleadings still disclosed a nexus between the injury and the tenant's operations which Sovereign agreed to insure.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09" w:name="Legislation Cited_36"/>
      <w:bookmarkEnd w:id="30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58" style="position:absolute;z-index:2517585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Occupiers Liability Act, </w:t>
      </w:r>
      <w:r>
        <w:rPr>
          <w:rFonts w:ascii="arial" w:eastAsia="arial" w:hAnsi="arial" w:cs="arial"/>
          <w:i/>
          <w:color w:val="000000"/>
          <w:sz w:val="20"/>
          <w:lang w:val="en-US" w:eastAsia="en-US" w:bidi="ar-SA"/>
        </w:rPr>
        <w:t>RSBC 1996, CHAPTER 337</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10" w:name="Counsel_47"/>
      <w:bookmarkEnd w:id="31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9" style="position:absolute;z-index:251809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Defendant &amp; Third Party, Manulife Financial: O.G. Jones.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Sovereign General Insurance Company: J.B. Arnesen.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11" w:name="Judgment_47"/>
      <w:bookmarkEnd w:id="311"/>
      <w:r>
        <w:pict>
          <v:line id="_x0000_s1260" style="position:absolute;z-index:25185996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12" w:name="L.D. RUSSELL J._1"/>
            <w:bookmarkEnd w:id="312"/>
            <w:r>
              <w:rPr>
                <w:rFonts w:ascii="arial" w:eastAsia="arial" w:hAnsi="arial" w:cs="arial"/>
                <w:b/>
                <w:color w:val="000000"/>
                <w:sz w:val="30"/>
                <w:lang w:val="en-US" w:eastAsia="en-US" w:bidi="ar-SA"/>
              </w:rPr>
              <w:t>L.D. RUSSELL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 third party, Manufacturer's Life Insurance Company ("Manulife"), seeks a declaration that the third party, Sovereign General Insurance ("Sovereign"), owes it a duty to defend in proceedings commenced against it. The proceedings arose as a result of a collision which occurred at Metrotown Centre when an employee of one of the mall's tenants (the defendant Maxim's Bakery) struck the plaintiff with a cart while delivering goods.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Sovereign argues that it does not owe a duty to defend Manulife as the only duty of care articulated in the statement of claim is that owed by Manulife as an occupier, pursuant to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as the accident occurred in a common area of the mall. Any duties owed by Manulife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are independent of, and therefore not covered by, the insurance policy 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Sovereign's duty to defend turns on whether the event giving rise to the proceedings falls within the scope of coverage provided by the insurance policy issued by Sovereign. For the reasons that follow I conclude that Sovereign owes Manulife a duty to defend as the event in question does fall within the scope of coverage provided by the insurance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Manulife owns the Metrotown Centre in Burnaby, B.C. The defendant Maxim's Bakery is a tenant in Metrotown and entered into a lease agreement with Manulife in February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Maxim's obtained an insurance policy (the "Policy") through Sovereign as part of its leasing obligations. The Policy provided Maxim's with comprehensive liability insurance of $5,000,000 and named Manulife as an "Additional Insured". The Policy stated,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Insuring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Insurer will pay those sums that the Insured becomes legally obligated to pay as compensatory damages because of "bodily injury" or "property damage" to which this insurance applies ... The Insurer will have the right and duty to defend any "action" seeking those compensatory damages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Policy provides the following in respect of Manulife: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Additional Insureds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Manufacturers Life Insurance Company and Aberdeen Investments Ltd.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their Liability arising from the Legal Operations of the Named Insured at Locations 4, 7 &amp;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the "Additional Insured Extension Endorsement", that agreement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Form includes the party or parties named in the Declarations as an Additional Insured but only with respect to the operations performed by or on behalf of the Named Insured. Such insurance as is afforded by this Extension does not insure liability arising out of the operations of the Additional Insured or its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event giving rise to the present action occurred on May 25, 2001 when an employee of Maxim's was delivering goods on a cart, during the course of employment, and struck the plaintiff. The collision allegedly caused a number of physical injuries. The plaintiff commenced an action and named the employee, Maxim's and Manulife as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parties agree that the collision occurred in the common area of Metrotown, as defined in the lease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Following the commencement of the plaintiff's proceedings, Manulife sought to rely on the Policy and have Sovereign defend it in the proceedings, giving rise to the present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Sovereign's position may be summarized as follows. It argues that it only owes a duty if the claim alleged against Manulife falls within the scope of coverage of the Policy. It submits the present claim is not covered by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Sovereign argues that the particulars alleged against Manulife in the statement of claim only relate to breaches of Manulife's statutory duties required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Those duties are imposed on the basis that Manulife is the occupier of the common areas of Metrotown. They are, therefore, stand-alone or independent duties that exist regardless of the involvement or activities of a tenant. On that basis, the alleged breach of Manulife's statutory duties do not involve the operations performed by, or on behalf of, the defendant Maxim's.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Manulife argues that all of the plaintiff's allegations of fault ultimately arise from the actions of Maxim's and its employee when he struck the plaintiff with a cart.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issue to determine is whether the claims, as alleged in the pleadings, fall within the scope of Manulife's coverage outlined in the Policy. Thus, can it be said that the event in question arose from the legal operations performed by, or on behalf of, the named insured requiring Sovereign to defend Manulife, or, did the event occur due to the statutory breaches of Manulife, as an occupier,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duty of an insurer to defend an insured was discussed in </w:t>
      </w:r>
      <w:r>
        <w:rPr>
          <w:rFonts w:ascii="arial" w:eastAsia="arial" w:hAnsi="arial" w:cs="arial"/>
          <w:i/>
          <w:color w:val="000000"/>
          <w:sz w:val="20"/>
          <w:lang w:val="en-US" w:eastAsia="en-US" w:bidi="ar-SA"/>
        </w:rPr>
        <w:t>Nichols v. American Home Assurance Co.</w:t>
      </w:r>
      <w:r>
        <w:rPr>
          <w:rFonts w:ascii="arial" w:eastAsia="arial" w:hAnsi="arial" w:cs="arial"/>
          <w:color w:val="000000"/>
          <w:sz w:val="20"/>
          <w:lang w:val="en-US" w:eastAsia="en-US" w:bidi="ar-SA"/>
        </w:rPr>
        <w:t xml:space="preserve">, </w:t>
      </w:r>
      <w:hyperlink r:id="rId298" w:history="1">
        <w:r>
          <w:rPr>
            <w:rFonts w:ascii="arial" w:eastAsia="arial" w:hAnsi="arial" w:cs="arial"/>
            <w:i/>
            <w:color w:val="0077CC"/>
            <w:sz w:val="20"/>
            <w:u w:val="single"/>
            <w:shd w:val="clear" w:color="auto" w:fill="FFFFFF"/>
            <w:lang w:val="en-US" w:eastAsia="en-US" w:bidi="ar-SA"/>
          </w:rPr>
          <w:t>[1990] 1 S.C.R. 801</w:t>
        </w:r>
      </w:hyperlink>
      <w:r>
        <w:rPr>
          <w:rFonts w:ascii="arial" w:eastAsia="arial" w:hAnsi="arial" w:cs="arial"/>
          <w:color w:val="000000"/>
          <w:sz w:val="20"/>
          <w:lang w:val="en-US" w:eastAsia="en-US" w:bidi="ar-SA"/>
        </w:rPr>
        <w:t>. McLachlin J. (as she then was) explained that for the duty to defend to be triggered the court must examine the exclusion clause and determine whether an ambiguity exists. She noted that the purpose of an exclusion clause was related, primarily, to the duty to indemnify, which in turn may trigger the duty to defend. The duty to defend is triggered by allegations in the pleadings and thus "the scope of the duty to defend is not conditioned directly by the exclusion clause, but only indirectly through that clause's definition of the scope of coverage": at para. 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reviewing the general principles relating to the construction of insurance contracts and the duty to defend, McLachlin J. noted that the pleadings govern an insurer's duty to defend. Therefore, a duty to defend arises only when the pleadings raise claims which would be payable under the insurance policy. She went on to note, however, that "The widest latitude should be given to the allegations in the pleadings in determining whether they raise a claim within the policy": at para. 21. Thus, it is not necessary to prove the obligation to indemnify will arise in order to trigger the duty to defend, but rather the "mere possibility" that a claim within the policy may succeed will suffice: at para. 17. In this regard, an insurer's duty to defend is broader than the duty to indemnify.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defendant relies on </w:t>
      </w:r>
      <w:r>
        <w:rPr>
          <w:rFonts w:ascii="arial" w:eastAsia="arial" w:hAnsi="arial" w:cs="arial"/>
          <w:i/>
          <w:color w:val="000000"/>
          <w:sz w:val="20"/>
          <w:lang w:val="en-US" w:eastAsia="en-US" w:bidi="ar-SA"/>
        </w:rPr>
        <w:t>D'Cruz v. B.P. Landscaping Ltd.,</w:t>
      </w:r>
      <w:r>
        <w:rPr>
          <w:rFonts w:ascii="arial" w:eastAsia="arial" w:hAnsi="arial" w:cs="arial"/>
          <w:color w:val="000000"/>
          <w:sz w:val="20"/>
          <w:lang w:val="en-US" w:eastAsia="en-US" w:bidi="ar-SA"/>
        </w:rPr>
        <w:t xml:space="preserve"> </w:t>
      </w:r>
      <w:hyperlink r:id="rId1071" w:history="1">
        <w:r>
          <w:rPr>
            <w:rFonts w:ascii="arial" w:eastAsia="arial" w:hAnsi="arial" w:cs="arial"/>
            <w:i/>
            <w:color w:val="0077CC"/>
            <w:sz w:val="20"/>
            <w:u w:val="single"/>
            <w:shd w:val="clear" w:color="auto" w:fill="FFFFFF"/>
            <w:lang w:val="en-US" w:eastAsia="en-US" w:bidi="ar-SA"/>
          </w:rPr>
          <w:t>[2007] O.J. No. 2704</w:t>
        </w:r>
      </w:hyperlink>
      <w:r>
        <w:rPr>
          <w:rFonts w:ascii="arial" w:eastAsia="arial" w:hAnsi="arial" w:cs="arial"/>
          <w:color w:val="000000"/>
          <w:sz w:val="20"/>
          <w:lang w:val="en-US" w:eastAsia="en-US" w:bidi="ar-SA"/>
        </w:rPr>
        <w:t xml:space="preserve"> (S.C.J.). In that case the defendant Peel Housing contracted with the defendant B.P. Landscaping to provide winter maintenance. B.P. Landscaping had named Peel as an additional insured under their insurance policy. The plaintiff (D'Cruz) slipped on a patch of ice located on the property of Peel Housing and sued both parties. Peel claimed that that third party insurer owed it a duty to defend.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trial judge dismissed the claim and held that the allegations in the pleadings could be divided into two categories: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with respect to landscaping services of B.P. Landscaping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operations of Peel as an occupier. The trial judge concluded that Peel was only covered, as an additional insured,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B.P. Landscaping with respect to winter maintenance. As the insurer was already defending B.P. Landscaping on such matters, it was unnecessary for the insurer to defend Peel. The trial judge went on to note that B.P. Landscaping's coverage did not extend to acts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resulting from the operations of Peel as an occupier. Such claims would be covered under Peel's insurance, not B.P. Landscaping's.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Unfortunately, the facts of the case are not set out sufficiently to permit analysis of the basis for the trial judge's distinction between the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plaintiff relies on </w:t>
      </w:r>
      <w:r>
        <w:rPr>
          <w:rFonts w:ascii="arial" w:eastAsia="arial" w:hAnsi="arial" w:cs="arial"/>
          <w:i/>
          <w:color w:val="000000"/>
          <w:sz w:val="20"/>
          <w:lang w:val="en-US" w:eastAsia="en-US" w:bidi="ar-SA"/>
        </w:rPr>
        <w:t>Cowichan Valley School District No. 79 v. Lloyd's Underwriters, Lloyd's, London</w:t>
      </w:r>
      <w:r>
        <w:rPr>
          <w:rFonts w:ascii="arial" w:eastAsia="arial" w:hAnsi="arial" w:cs="arial"/>
          <w:color w:val="000000"/>
          <w:sz w:val="20"/>
          <w:lang w:val="en-US" w:eastAsia="en-US" w:bidi="ar-SA"/>
        </w:rPr>
        <w:t xml:space="preserve">, </w:t>
      </w:r>
      <w:hyperlink r:id="rId1072" w:history="1">
        <w:r>
          <w:rPr>
            <w:rFonts w:ascii="arial" w:eastAsia="arial" w:hAnsi="arial" w:cs="arial"/>
            <w:i/>
            <w:color w:val="0077CC"/>
            <w:sz w:val="20"/>
            <w:u w:val="single"/>
            <w:shd w:val="clear" w:color="auto" w:fill="FFFFFF"/>
            <w:lang w:val="en-US" w:eastAsia="en-US" w:bidi="ar-SA"/>
          </w:rPr>
          <w:t>2003 BCSC 1303</w:t>
        </w:r>
      </w:hyperlink>
      <w:r>
        <w:rPr>
          <w:rFonts w:ascii="arial" w:eastAsia="arial" w:hAnsi="arial" w:cs="arial"/>
          <w:color w:val="000000"/>
          <w:sz w:val="20"/>
          <w:lang w:val="en-US" w:eastAsia="en-US" w:bidi="ar-SA"/>
        </w:rPr>
        <w:t xml:space="preserve"> (In Chambers). In this case, Cowichan sought an order that Lloyd's defend it in a claim arising out of a baseball tournament. Cowichan agreed to allow a local hockey club (Appollo) to use one of its fields for a baseball tournament. One of the participants was injured, he alleged, due to an "irregularity on the field".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Appollo obtained third party liability insurance and named Cowichan as an additional insured, as required under their agreement for the use of the field. The insurance policy read,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Locations and operations to which this certificate applies: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Solely with respect to a baseball tournament, including beer gardens and dances, held at several locations throughout the Cowichan Valley, B.C.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Other insureds: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understood and agreed that the following are added as additional insureds, but only with respect to liability arising out of the operations of the named insured for the coverage term indicated.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Cowichan Valley School District No. 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issue in that case was whether the allegations against Cowichan were part of the operations of Appollo in hosting the baseball tournament. Rogers J. concluded that Lloyd's had a duty to defend Cowichan on the basis that the pleadings established a clear nexus between the baseball tournament,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alleged injury. The injury arose out of the operations of Appollo's baseball tournament, which the insurer had agreed to insure.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In applying the facts and law in this case, I first turn to the pleadings. The pleadings allege that the injuries arose due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or breach of duty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of the employee and agents of Maxim's and Manulife. In regard to Maxim's and Manulife, the statement of claim alleges the following, at p. 4:</w:t>
      </w:r>
      <w:r>
        <w:rPr>
          <w:rFonts w:ascii="arial" w:eastAsia="arial" w:hAnsi="arial" w:cs="arial"/>
          <w:sz w:val="20"/>
          <w:lang w:val="en-US" w:eastAsia="en-US" w:bidi="ar-SA"/>
        </w:rPr>
        <w:cr/>
      </w:r>
    </w:p>
    <w:p>
      <w:pPr>
        <w:numPr>
          <w:numId w:val="3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properly maintain or inspect the Premises;</w:t>
      </w:r>
    </w:p>
    <w:p>
      <w:pPr>
        <w:numPr>
          <w:numId w:val="3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provide any or, alternatively, any adequate means of warning to the Plaintiff of the danger of moving carts on the Premises;</w:t>
      </w:r>
    </w:p>
    <w:p>
      <w:pPr>
        <w:numPr>
          <w:numId w:val="3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keep a proper, or any lookout for moving carts on the Premises;</w:t>
      </w:r>
    </w:p>
    <w:p>
      <w:pPr>
        <w:numPr>
          <w:numId w:val="3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Exposing the Plaintiff to a risk of injury from dangers of which the Defendants and each of them knew, or ought to have known;</w:t>
      </w:r>
    </w:p>
    <w:p>
      <w:pPr>
        <w:numPr>
          <w:numId w:val="3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take any, or any reasonable care under all of the circumstances to ensure that the Plaintiff would be reasonably safe in using the Premises;</w:t>
      </w:r>
    </w:p>
    <w:p>
      <w:pPr>
        <w:numPr>
          <w:numId w:val="3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take any, or any adequate measures to render the Premises safe to use when the Defendants and each of them knew or ought to have know that it was in a dangerous condition; and</w:t>
      </w:r>
    </w:p>
    <w:p>
      <w:pPr>
        <w:numPr>
          <w:numId w:val="3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properly supervise or instruct the Defendant CHU in the use and operation of the cart within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allegations, in essence, state that the defendants did not take all reasonable steps to ensure the premises were reasonably safe for the operation of a cart.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Turning to the second task, I must examine the insurance policy and determine whether the allegations against Manulife fall within the Policy. Thus, are the allegations "arising from the legal operations" of Maxim's?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Sovereign's position that Manulife's liability arises from its duties as an occupier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may be convincing at first glance. However, it disregards the nexus between the plaintiff's claim and the coverage that Sovereign agreed to provide Maxim's. It would be without dispute that the act of Maxim's employee in effecting a delivery of goods to its premises in Metrotown on a cart would fall within the scope of the Policy. Such an act clearly comprises part of the legal operations of Maxim's and any claims arising from such actions would permit Manulife to rely on the additional insured clause in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This case bears much resemblance to the situation in </w:t>
      </w:r>
      <w:r>
        <w:rPr>
          <w:rFonts w:ascii="arial" w:eastAsia="arial" w:hAnsi="arial" w:cs="arial"/>
          <w:i/>
          <w:color w:val="000000"/>
          <w:sz w:val="20"/>
          <w:lang w:val="en-US" w:eastAsia="en-US" w:bidi="ar-SA"/>
        </w:rPr>
        <w:t>Cowichan</w:t>
      </w:r>
      <w:r>
        <w:rPr>
          <w:rFonts w:ascii="arial" w:eastAsia="arial" w:hAnsi="arial" w:cs="arial"/>
          <w:color w:val="000000"/>
          <w:sz w:val="20"/>
          <w:lang w:val="en-US" w:eastAsia="en-US" w:bidi="ar-SA"/>
        </w:rPr>
        <w:t xml:space="preserve"> and I find the reasoning of Rogers J. persuasive. In </w:t>
      </w:r>
      <w:r>
        <w:rPr>
          <w:rFonts w:ascii="arial" w:eastAsia="arial" w:hAnsi="arial" w:cs="arial"/>
          <w:i/>
          <w:color w:val="000000"/>
          <w:sz w:val="20"/>
          <w:lang w:val="en-US" w:eastAsia="en-US" w:bidi="ar-SA"/>
        </w:rPr>
        <w:t>Cowichan</w:t>
      </w:r>
      <w:r>
        <w:rPr>
          <w:rFonts w:ascii="arial" w:eastAsia="arial" w:hAnsi="arial" w:cs="arial"/>
          <w:color w:val="000000"/>
          <w:sz w:val="20"/>
          <w:lang w:val="en-US" w:eastAsia="en-US" w:bidi="ar-SA"/>
        </w:rPr>
        <w:t xml:space="preserve"> the insurer sought to avoid a duty to defend on a similar basis as that advanced by Sovereign: liability for the injury arose out of the District of Cowichan's obligations as an owner, not through the operations of the tournament organizer (Appollo). In rejecting that argument, Rogers J. stated, at para. 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There is some logic in Lloyd's position, and it might have carried the day if Mr. Mayo's [plaintiff] claim were not so clearly associated with the very activity Lloyd's agreed to insure, vis playing baseball. Had Mr. Mayo's head been injured in the field's parking lot when a tile fell off the roof and struck him, then it would be no great feat to locate a distinction between Appollo's operation of hosting the tournament and the District's obligation to keep the grandstand roof in good repair.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this case, the plaintiff's injuries, and subsequent claim, arose out of an integral part of Maxim's operations, namely the delivery of goods, and not through an independent obligation of Manulife in respect of its duties as an occupier.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Cowichan</w:t>
      </w:r>
      <w:r>
        <w:rPr>
          <w:rFonts w:ascii="arial" w:eastAsia="arial" w:hAnsi="arial" w:cs="arial"/>
          <w:color w:val="000000"/>
          <w:sz w:val="20"/>
          <w:lang w:val="en-US" w:eastAsia="en-US" w:bidi="ar-SA"/>
        </w:rPr>
        <w:t>, Rogers J. held the pleadings, injury and activity with which the insurer agreed to insure were all connected, and stated, at paras. 21-23: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There is a clear nexus on the pleadings between the tournament,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alleged injury. Mr. Mayo's claims arise, therefore, out of the operations of Apollo [sic] as host of the tournament.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[22] As Mr. Mayo's pleadings have been drafted, the allegations against the District are inseparable from the allegations against Appollo. With respect to failure to inspect and warn, those allegations are obviously associated with Appollo's operation of the tournament. With respect to failure to maintain, a liberal reading of the pleadings allows for the possibility that the putative hole at the second base developed during play and that it was not repaired by proper maintenance.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[23] Both theories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arise out of the operations of Appollo, and are connected to the ball tournament. The allegations against the District are not separate and distinct from the allegations against Appollo. The allegations against the District depend on Appollo having hosted the tournament and on Mr. Mayo's game having taken place at the District's field. Those were the very operations Lloyd's agreed to insure.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Like the </w:t>
      </w:r>
      <w:r>
        <w:rPr>
          <w:rFonts w:ascii="arial" w:eastAsia="arial" w:hAnsi="arial" w:cs="arial"/>
          <w:i/>
          <w:color w:val="000000"/>
          <w:sz w:val="20"/>
          <w:lang w:val="en-US" w:eastAsia="en-US" w:bidi="ar-SA"/>
        </w:rPr>
        <w:t>Cowichan</w:t>
      </w:r>
      <w:r>
        <w:rPr>
          <w:rFonts w:ascii="arial" w:eastAsia="arial" w:hAnsi="arial" w:cs="arial"/>
          <w:color w:val="000000"/>
          <w:sz w:val="20"/>
          <w:lang w:val="en-US" w:eastAsia="en-US" w:bidi="ar-SA"/>
        </w:rPr>
        <w:t xml:space="preserve"> decision, the collision is clearly connected to the operation that Sovereign agreed to insure. The defendant employee injured the plaintiff while delivering goods in the course of his employment with Maxim's. The allegations contained within the statement of claim are predicated upon that act of the employee. Even a broad reading of the pleadings still discloses a nexus between the injury and Maxim's operations, which Sovereign agreed to insure.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Further, unlike </w:t>
      </w:r>
      <w:r>
        <w:rPr>
          <w:rFonts w:ascii="arial" w:eastAsia="arial" w:hAnsi="arial" w:cs="arial"/>
          <w:i/>
          <w:color w:val="000000"/>
          <w:sz w:val="20"/>
          <w:lang w:val="en-US" w:eastAsia="en-US" w:bidi="ar-SA"/>
        </w:rPr>
        <w:t>D'Cruz</w:t>
      </w:r>
      <w:r>
        <w:rPr>
          <w:rFonts w:ascii="arial" w:eastAsia="arial" w:hAnsi="arial" w:cs="arial"/>
          <w:color w:val="000000"/>
          <w:sz w:val="20"/>
          <w:lang w:val="en-US" w:eastAsia="en-US" w:bidi="ar-SA"/>
        </w:rPr>
        <w:t>, the pleadings do not disclose separate and distinct claims of liability against Manulife. In addition, there was no explanation of the factual basis which demonstrated the basis upon which Peel could be held separately liable in the proceedings. In this case, the pleadings make allegations against Manulife and Maxim's in relation to the premises and operation of the cart. As stated above, the allegations depend on the negligent act of the defendant employee in operating the cart, an operation which Sovereign agreed to insure.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Therefore, based on my interpretation of the Policy, pleadings and facts, I conclude Sovereign owes Manulife a duty to defend with respect to the proceedings 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No submissions were made with respect to the level of indemnity which the Policy provides Manulife as an additional insured. Therefore, I leave this issue to the parties for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Manulife is entitled to costs on a party and party basis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L.D. RUSSELL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61"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73"/>
          <w:headerReference w:type="default" r:id="rId1074"/>
          <w:footerReference w:type="even" r:id="rId1075"/>
          <w:footerReference w:type="default" r:id="rId1076"/>
          <w:headerReference w:type="first" r:id="rId1077"/>
          <w:footerReference w:type="first" r:id="rId107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1079" w:history="1">
        <w:r>
          <w:rPr>
            <w:rFonts w:ascii="arial" w:eastAsia="arial" w:hAnsi="arial" w:cs="arial"/>
            <w:b/>
            <w:bCs/>
            <w:i/>
            <w:color w:val="0077CC"/>
            <w:kern w:val="32"/>
            <w:sz w:val="28"/>
            <w:szCs w:val="32"/>
            <w:u w:val="single"/>
            <w:shd w:val="clear" w:color="auto" w:fill="FFFFFF"/>
            <w:lang w:val="en-US" w:eastAsia="en-US" w:bidi="ar-SA"/>
          </w:rPr>
          <w:t>Logan v. Dermatech, 2010 CHFL para. 15,581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Health Facilities Law Guide</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Before: Sewell J.</w:t>
      </w:r>
    </w:p>
    <w:p>
      <w:pPr>
        <w:spacing w:before="120" w:line="260" w:lineRule="atLeast"/>
        <w:jc w:val="center"/>
        <w:rPr>
          <w:lang w:val="en-US" w:eastAsia="en-US" w:bidi="ar-SA"/>
        </w:rPr>
      </w:pPr>
      <w:r>
        <w:rPr>
          <w:rFonts w:ascii="arial" w:eastAsia="arial" w:hAnsi="arial" w:cs="arial"/>
          <w:color w:val="000000"/>
          <w:sz w:val="20"/>
          <w:lang w:val="en-US" w:eastAsia="en-US" w:bidi="ar-SA"/>
        </w:rPr>
        <w:t>Decision: April 9, 2010.</w:t>
      </w:r>
    </w:p>
    <w:p>
      <w:pPr>
        <w:spacing w:before="120" w:line="260" w:lineRule="atLeast"/>
        <w:jc w:val="center"/>
        <w:rPr>
          <w:lang w:val="en-US" w:eastAsia="en-US" w:bidi="ar-SA"/>
        </w:rPr>
      </w:pPr>
      <w:r>
        <w:rPr>
          <w:rFonts w:ascii="arial" w:eastAsia="arial" w:hAnsi="arial" w:cs="arial"/>
          <w:color w:val="000000"/>
          <w:sz w:val="20"/>
          <w:lang w:val="en-US" w:eastAsia="en-US" w:bidi="ar-SA"/>
        </w:rPr>
        <w:t>Docket No. S090937</w:t>
      </w:r>
    </w:p>
    <w:p>
      <w:pPr>
        <w:rPr>
          <w:lang w:val="en-US" w:eastAsia="en-US" w:bidi="ar-SA"/>
        </w:rPr>
      </w:pPr>
    </w:p>
    <w:p>
      <w:pPr>
        <w:spacing w:before="120" w:after="120" w:line="280" w:lineRule="atLeast"/>
        <w:rPr>
          <w:lang w:val="en-US" w:eastAsia="en-US" w:bidi="ar-SA"/>
        </w:rPr>
      </w:pPr>
      <w:r>
        <w:rPr>
          <w:rFonts w:ascii="arial" w:eastAsia="arial" w:hAnsi="arial" w:cs="arial"/>
          <w:b/>
          <w:i/>
          <w:color w:val="000000"/>
          <w:sz w:val="22"/>
          <w:lang w:val="en-US" w:eastAsia="en-US" w:bidi="ar-SA"/>
        </w:rPr>
        <w:t xml:space="preserve">Canadian Health Facilities Law Guide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2010 CHFL para. 15,581</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1080" w:history="1">
        <w:r>
          <w:rPr>
            <w:rFonts w:ascii="arial" w:eastAsia="arial" w:hAnsi="arial" w:cs="arial"/>
            <w:i/>
            <w:color w:val="0077CC"/>
            <w:sz w:val="20"/>
            <w:u w:val="single"/>
            <w:shd w:val="clear" w:color="auto" w:fill="FFFFFF"/>
            <w:lang w:val="en-US" w:eastAsia="en-US" w:bidi="ar-SA"/>
          </w:rPr>
          <w:t>2010 BCSC 481</w:t>
        </w:r>
      </w:hyperlink>
    </w:p>
    <w:p>
      <w:pPr>
        <w:spacing w:before="120" w:line="260" w:lineRule="atLeast"/>
        <w:rPr>
          <w:lang w:val="en-US" w:eastAsia="en-US" w:bidi="ar-SA"/>
        </w:rPr>
      </w:pPr>
      <w:r>
        <w:rPr>
          <w:rFonts w:ascii="arial" w:eastAsia="arial" w:hAnsi="arial" w:cs="arial"/>
          <w:color w:val="000000"/>
          <w:sz w:val="20"/>
          <w:lang w:val="en-US" w:eastAsia="en-US" w:bidi="ar-SA"/>
        </w:rPr>
        <w:t>Logan v. Dermatech, Intradermal Distribution Inc., and Vivier Pharma Inc.</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62" style="position:absolute;z-index:251708416"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313" w:name="Keywords_47"/>
      <w:bookmarkEnd w:id="313"/>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Application by Health Canada to strike third-party notice — Plaintiff sued pharmaceutical companies for damages suffered from use of a cosmetic product — Defendants filed third-party notice alleging that Health Canada, by licensing the product for use, represented the product met safety requirements — Third-party notice alleged any losses were caused by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or breaches of duty by Health Canada — Application allowed — Plain and obvious third-party notice did not disclose reasonable claim against Health Canada — Health Canada did not owe duty of care to plaintiff — Food and Drugs Act, R.S.C. 1985, c. F.-27 — Medical Devices Regulations, </w:t>
      </w:r>
      <w:hyperlink r:id="rId1081" w:history="1">
        <w:r>
          <w:rPr>
            <w:rFonts w:ascii="arial" w:eastAsia="arial" w:hAnsi="arial" w:cs="arial"/>
            <w:b/>
            <w:i/>
            <w:color w:val="0077CC"/>
            <w:sz w:val="20"/>
            <w:u w:val="single"/>
            <w:shd w:val="clear" w:color="auto" w:fill="FFFFFF"/>
            <w:lang w:val="en-US" w:eastAsia="en-US" w:bidi="ar-SA"/>
          </w:rPr>
          <w:t>SOR/98-282</w:t>
        </w:r>
      </w:hyperlink>
      <w:r>
        <w:rPr>
          <w:rFonts w:ascii="arial" w:eastAsia="arial" w:hAnsi="arial" w:cs="arial"/>
          <w:b/>
          <w:color w:val="000000"/>
          <w:sz w:val="20"/>
          <w:lang w:val="en-US" w:eastAsia="en-US" w:bidi="ar-SA"/>
        </w:rPr>
        <w:t>.</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314" w:name="Case Summary_43"/>
            <w:bookmarkEnd w:id="314"/>
          </w:p>
          <w:p>
            <w:pPr>
              <w:spacing w:before="120" w:line="260" w:lineRule="atLeast"/>
              <w:ind w:left="240"/>
              <w:jc w:val="both"/>
              <w:rPr>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This was an application by Health Canada for an order to strike out and dismiss a third-party notice filed by the defendant pharmaceutical companies Intradermal Distribution Inc. and Vivier Pharma Inc. The plaintiff, Logan, sued the defendants for damages suffered as a result of the use of a cosmetic product called Dermalive. Logan alleged that the use of Dermalive had serious adverse side effects and that the defendants knew or ought to have known that Dermalive and its use by Logan and other consumers in Canada could cause harm. Logan alleged that she would not have agreed to being injected with Dermalive if she had been suitably warned by the defendants of the risks associated with Dermalive and Dermalive had not been available in Canada as a licensed medical device. </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In the third-party notice, the defendants alleged that by licensing Dermalive, Health Canada represented that Dermalive met the safety requirements set out in the </w:t>
            </w:r>
            <w:r>
              <w:rPr>
                <w:rFonts w:ascii="arial" w:eastAsia="arial" w:hAnsi="arial" w:cs="arial"/>
                <w:i/>
                <w:color w:val="000000"/>
                <w:sz w:val="20"/>
                <w:lang w:val="en-US" w:eastAsia="en-US" w:bidi="ar-SA"/>
              </w:rPr>
              <w:t>Food and Drugs Act</w:t>
            </w:r>
            <w:r>
              <w:rPr>
                <w:rFonts w:ascii="arial" w:eastAsia="arial" w:hAnsi="arial" w:cs="arial"/>
                <w:color w:val="000000"/>
                <w:sz w:val="20"/>
                <w:lang w:val="en-US" w:eastAsia="en-US" w:bidi="ar-SA"/>
              </w:rPr>
              <w:t xml:space="preserve"> (the "FDA") and the Medical Devices Regulations (the "Regulations"). The defendants alleged that Health Canada had a duty to protect the health of residents of Canada by prohibiting the sale of or refusing to license medical devices that could cause injury, conducting adequate reviews of applications to license medical devices, and establishing and controlling safety standards for medical devices. The defendants made a number of allegations dealing with inadequacies on the part of Health Canada in exercising its licensing and supervisory powers with respect to Dermalive. The third-party notice alleged that any loss, damage, or expense suffered by Logan was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duty by Health Canada. Health Canada argued that in its capacity as regulator and licensor under the FDA and the Regulations it did not owe a duty of care to Logan. Health Canada argued that the sole allegation made against it related to the manner in which it carried out its functions pursuant to the FDA and the Regulations, and in particular its responsibility to issue licences pursuant to the FDA. It was agreed that to succeed on the application, Health Canada had to establish that it was plain and obvious the third-party notice did not disclose a reasonable claim. </w:t>
            </w:r>
            <w:r>
              <w:rPr>
                <w:lang w:val="en-US" w:eastAsia="en-US" w:bidi="ar-SA"/>
              </w:rPr>
              <w:cr/>
            </w:r>
          </w:p>
          <w:p>
            <w:pPr>
              <w:spacing w:before="120" w:line="260" w:lineRule="atLeast"/>
              <w:ind w:left="240"/>
              <w:jc w:val="both"/>
              <w:rPr>
                <w:lang w:val="en-US" w:eastAsia="en-US" w:bidi="ar-SA"/>
              </w:rPr>
            </w:pPr>
            <w:bookmarkStart w:id="315" w:name="Holdings of Court_33"/>
            <w:bookmarkEnd w:id="315"/>
            <w:r>
              <w:rPr>
                <w:rFonts w:ascii="arial" w:eastAsia="arial" w:hAnsi="arial" w:cs="arial"/>
                <w:color w:val="000000"/>
                <w:sz w:val="20"/>
                <w:lang w:val="en-US" w:eastAsia="en-US" w:bidi="ar-SA"/>
              </w:rPr>
              <w:t>HELD: The application was allowed.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It was plain and obvious that the third-party notice did not disclose a reasonable claim against Health Canada. Health Canada did not owe a duty of care to Logan in exercising its regulatory and licensing powers pursuant to the FDA and the Regulations. Consequently, the third-party claim against Health Canada was dismissed. </w:t>
            </w:r>
            <w:r>
              <w:rPr>
                <w:lang w:val="en-US" w:eastAsia="en-US" w:bidi="ar-SA"/>
              </w:rPr>
              <w:cr/>
            </w:r>
          </w:p>
          <w:p>
            <w:pPr>
              <w:rPr>
                <w:lang w:val="en-US" w:eastAsia="en-US" w:bidi="ar-SA"/>
              </w:rPr>
            </w:pPr>
          </w:p>
        </w:tc>
      </w:tr>
    </w:tbl>
    <w:p>
      <w:pPr>
        <w:jc w:val="both"/>
        <w:rPr>
          <w:lang w:val="en-US" w:eastAsia="en-US" w:bidi="ar-SA"/>
        </w:rPr>
      </w:pPr>
      <w:bookmarkStart w:id="316" w:name="Counsel_48"/>
      <w:bookmarkEnd w:id="316"/>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63" style="position:absolute;z-index:251759616"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D. Rosenberg, Q.C., for the plaintiff; J.A. Vamplew for the defendants Intradermal Distribution Inc. and Vivier Pharma Inc.; M. Palmer and B. Hay for the third party Health Canada.</w:t>
      </w:r>
      <w:r>
        <w:rPr>
          <w:lang w:val="en-US" w:eastAsia="en-US" w:bidi="ar-SA"/>
        </w:rPr>
        <w:cr/>
      </w:r>
    </w:p>
    <w:p>
      <w:pPr>
        <w:rPr>
          <w:lang w:val="en-US" w:eastAsia="en-US" w:bidi="ar-SA"/>
        </w:rPr>
      </w:pPr>
    </w:p>
    <w:p>
      <w:pPr>
        <w:ind w:left="200"/>
        <w:rPr>
          <w:lang w:val="en-US" w:eastAsia="en-US" w:bidi="ar-SA"/>
        </w:rPr>
      </w:pPr>
      <w:r>
        <w:rPr>
          <w:lang w:val="en-US" w:eastAsia="en-US" w:bidi="ar-SA"/>
        </w:rPr>
        <w:br/>
      </w:r>
      <w:r>
        <w:pict>
          <v:line id="_x0000_s1264" style="position:absolute;z-index:2518108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Strata Plan NW 3341 v. Canlan Ice Sports Corp., [2001] B.C.J. No. 1723</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Morris v. John Doe, [2011] B.C.J. No. 334</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Arbutus Bay Estates Ltd. v. Canada (Attorney General), [2016] B.C.J. No. 2351</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Bideci v. Neuhold, [2014] B.C.J. No. 1382</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Boehmke v. Grant, [2010] B.C.J. No. 892</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Bradley v. Bath, [2008] B.C.J. No. 1485</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D2 Contracting Ltd. v. Bank of Nova Scotia, [2015] B.C.J. No. 1946</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Galapia v. Northern Health Authority (c.o.b. Dawson Creek and District Hospital), [2013] B.C.J. No. 2216</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Spookw v. Gitxsan Treaty Society, [2012] 1 C.N.L.R. 422</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Hartoft v. Bell, [2006] B.C.J. No. 551</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Jampolsky v. Shattler, [2011] B.C.J. No. 719</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Jones (Litigation guardian of) v. Donaghey, [2010] B.C.J. No. 2071</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Progressive Homes Ltd. v. Lombard General Insurance Co. of Canada, [2007] B.C.J. No. 651</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Reliable Mortgages Investment Corp. v. Chan, [2016] B.C.J. No. 481</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Royal &amp; Sun Alliance Insurance Co. of Canada v. Araujo, [2012] B.C.J. No. 1677</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Singh v. Soper, [2012] B.C.J. No. 1846</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Smith v. Both, [2013] B.C.J. No. 2406</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Vintila v. Kirkwood, [2016] B.C.J. No. 1073</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Zappala v. Mann, 2007 BREG para. 50,488</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British Columbia v. Hutchinson, [2005] B.C.J. No. 2270</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Samaroo v. Canada Revenue Agency, [2014] B.C.J. No. 1879</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Pinsent (Guardian ad litem) v. Brown, [2013] B.C.J. No. 939</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445001 B.C. Ltd. v. Derby Reach Holdings Ltd., [2001] B.C.J. No. 403</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Abay v. Keung, [2006] B.C.J. No. 1861</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Albrecht (Guardian ad litem of) v. Mitchell, [2002] B.C.J. No. 868</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AME Distribution Inc. v. Wang (c.o.b. Coastal Metal Depot), [2018] B.C.J. No. 491</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Baptiste v. Cahoose, [2002] B.C.J. No. 273</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Bingul v. Youngson, [2016] B.C.J. No. 2120</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Bradaric v. Dr. B.B.K. Pirani Inc., [2006] B.C.J. No. 1683</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Bryant v. Machado, [2000] B.C.J. No. 2073</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Camosun College v. Peterson, [2012] B.C.J. No. 957</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Carlson v. Steeves, [2008] B.C.J. No. 371</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Chapman v. Stacey, 2016 BREG para. 50,842</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Clark v. Hebb, [2007] B.C.J. No. 1340</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Cornester (c.o.b. Millennium Trading) v. Intact Insurance Co., [2012] B.C.J. No. 2440</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Cote v. Halmaghi, [2015] B.C.J. No. 512</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Danicek v. Alexander Holburn Beaudin &amp; Lang, [2011] B.C.J. No. 78</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Day v. Central Okanagan (Regional District), [2000] B.C.J. No. 1417</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Dosanjh v. Leblanc, [2011] B.C.J. No. 2332</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England v. Research Capital Corp., [2008] B.C.J. No. 829</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Golden Hill Ventures Ltd. v. Kemess Mines Inc., [2002] B.C.J. No. 2340</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Haines v. Rossland (City), [2018] B.C.J. No. 292</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Henricks v. Martel, [2007] B.C.J. No. 460</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Henry v. British Columbia (Attorney General), [2015] B.C.J. No. 2138</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Karran v. Anderson, [2008] B.C.J. No. 440</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Laichkwiltach Enterprises Ltd. v. F/V Pacific Faith (The), [2007] B.C.J. No. 2731</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Leijenhorst v. Turner, [2016] B.C.J. No. 1788</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 v. British Columbia, [2016] B.C.J. No. 1107</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Liu (Litigation guardian of) v. Chu, [2009] B.C.J. No. 1138</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Logan v. Dermatech, 2010 CHFL para. 15,581</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4"/>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lowerRoman"/>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ii)"/>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iii)"/>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1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1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iv)"/>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7"/>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v)"/>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7"/>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17."/>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1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b)"/>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2"/>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4"/>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i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iv)"/>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4"/>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low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
      <w:numFmt w:val="decimal"/>
      <w:lvlText w:val="(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1"/>
      <w:numFmt w:val="decimal"/>
      <w:lvlText w:val="(Z)"/>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1"/>
      <w:numFmt w:val="decimal"/>
      <w:lvlText w:val="(AA)"/>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1"/>
      <w:numFmt w:val="decimal"/>
      <w:lvlText w:val="(BB)"/>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1"/>
      <w:numFmt w:val="upp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1"/>
      <w:numFmt w:val="decimal"/>
      <w:lvlText w:val="(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1"/>
      <w:numFmt w:val="decimal"/>
      <w:lvlText w:val="(I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1"/>
      <w:numFmt w:val="decimal"/>
      <w:lvlText w:val="(IV)"/>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1"/>
      <w:numFmt w:val="decimal"/>
      <w:lvlText w:val="(CC)"/>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1"/>
      <w:numFmt w:val="decimal"/>
      <w:lvlText w:val="(DD)"/>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1"/>
      <w:numFmt w:val="upperLetter"/>
      <w:lvlText w:val="(%1)"/>
      <w:lvlJc w:val="left"/>
      <w:pPr>
        <w:tabs>
          <w:tab w:val="num" w:pos="2560"/>
        </w:tabs>
        <w:ind w:left="25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2"/>
      <w:numFmt w:val="upp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3"/>
      <w:numFmt w:val="upp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4"/>
      <w:numFmt w:val="upp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5"/>
      <w:numFmt w:val="upperLetter"/>
      <w:lvlText w:val="(%1)"/>
      <w:lvlJc w:val="left"/>
      <w:pPr>
        <w:tabs>
          <w:tab w:val="num" w:pos="2560"/>
        </w:tabs>
        <w:ind w:left="25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1"/>
      <w:numFmt w:val="upperRoman"/>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00000047"/>
    <w:multiLevelType w:val="multilevel"/>
    <w:tmpl w:val="00000047"/>
    <w:lvl w:ilvl="0">
      <w:start w:val="1"/>
      <w:numFmt w:val="decimal"/>
      <w:lvlText w:val="(II)"/>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00000048"/>
    <w:multiLevelType w:val="multilevel"/>
    <w:tmpl w:val="00000048"/>
    <w:lvl w:ilvl="0">
      <w:start w:val="1"/>
      <w:numFmt w:val="decimal"/>
      <w:lvlText w:val="(III)"/>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multilevel"/>
    <w:tmpl w:val="00000049"/>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multilevel"/>
    <w:tmpl w:val="0000004A"/>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000004B"/>
    <w:multiLevelType w:val="multilevel"/>
    <w:tmpl w:val="0000004B"/>
    <w:lvl w:ilvl="0">
      <w:start w:val="3"/>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000004C"/>
    <w:multiLevelType w:val="multilevel"/>
    <w:tmpl w:val="0000004C"/>
    <w:lvl w:ilvl="0">
      <w:start w:val="4"/>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000004D"/>
    <w:multiLevelType w:val="multilevel"/>
    <w:tmpl w:val="0000004D"/>
    <w:lvl w:ilvl="0">
      <w:start w:val="6"/>
      <w:numFmt w:val="upp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000004E"/>
    <w:multiLevelType w:val="multilevel"/>
    <w:tmpl w:val="0000004E"/>
    <w:lvl w:ilvl="0">
      <w:start w:val="1"/>
      <w:numFmt w:val="upperRoman"/>
      <w:lvlText w:val="(%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0000004F"/>
    <w:multiLevelType w:val="multilevel"/>
    <w:tmpl w:val="0000004F"/>
    <w:lvl w:ilvl="0">
      <w:start w:val="1"/>
      <w:numFmt w:val="decimal"/>
      <w:lvlText w:val="(II)"/>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00000050"/>
    <w:multiLevelType w:val="multilevel"/>
    <w:tmpl w:val="00000050"/>
    <w:lvl w:ilvl="0">
      <w:start w:val="1"/>
      <w:numFmt w:val="decimal"/>
      <w:lvlText w:val="(III)"/>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00000051"/>
    <w:multiLevelType w:val="multilevel"/>
    <w:tmpl w:val="00000051"/>
    <w:lvl w:ilvl="0">
      <w:start w:val="1"/>
      <w:numFmt w:val="decimal"/>
      <w:lvlText w:val="(IV)"/>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00000052"/>
    <w:multiLevelType w:val="multilevel"/>
    <w:tmpl w:val="00000052"/>
    <w:lvl w:ilvl="0">
      <w:start w:val="1"/>
      <w:numFmt w:val="decimal"/>
      <w:lvlText w:val="(V)"/>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00000053"/>
    <w:multiLevelType w:val="multilevel"/>
    <w:tmpl w:val="00000053"/>
    <w:lvl w:ilvl="0">
      <w:start w:val="1"/>
      <w:numFmt w:val="decimal"/>
      <w:lvlText w:val="(VI)"/>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00000054"/>
    <w:multiLevelType w:val="multilevel"/>
    <w:tmpl w:val="00000054"/>
    <w:lvl w:ilvl="0">
      <w:start w:val="1"/>
      <w:numFmt w:val="decimal"/>
      <w:lvlText w:val="(VII)"/>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00000055"/>
    <w:multiLevelType w:val="multilevel"/>
    <w:tmpl w:val="00000055"/>
    <w:lvl w:ilvl="0">
      <w:start w:val="7"/>
      <w:numFmt w:val="upp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00000056"/>
    <w:multiLevelType w:val="multilevel"/>
    <w:tmpl w:val="00000056"/>
    <w:lvl w:ilvl="0">
      <w:start w:val="8"/>
      <w:numFmt w:val="upp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00000057"/>
    <w:multiLevelType w:val="multilevel"/>
    <w:tmpl w:val="00000057"/>
    <w:lvl w:ilvl="0">
      <w:start w:val="1"/>
      <w:numFmt w:val="upperRoman"/>
      <w:lvlText w:val="(%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00000058"/>
    <w:multiLevelType w:val="multilevel"/>
    <w:tmpl w:val="00000058"/>
    <w:lvl w:ilvl="0">
      <w:start w:val="1"/>
      <w:numFmt w:val="decimal"/>
      <w:lvlText w:val="(II)"/>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00000059"/>
    <w:multiLevelType w:val="multilevel"/>
    <w:tmpl w:val="00000059"/>
    <w:lvl w:ilvl="0">
      <w:start w:val="1"/>
      <w:numFmt w:val="decimal"/>
      <w:lvlText w:val="(III)"/>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0000005A"/>
    <w:multiLevelType w:val="multilevel"/>
    <w:tmpl w:val="0000005A"/>
    <w:lvl w:ilvl="0">
      <w:start w:val="1"/>
      <w:numFmt w:val="decimal"/>
      <w:lvlText w:val="(IV)"/>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0000005B"/>
    <w:multiLevelType w:val="multilevel"/>
    <w:tmpl w:val="0000005B"/>
    <w:lvl w:ilvl="0">
      <w:start w:val="1"/>
      <w:numFmt w:val="decimal"/>
      <w:lvlText w:val="(V)"/>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0000005C"/>
    <w:multiLevelType w:val="multilevel"/>
    <w:tmpl w:val="0000005C"/>
    <w:lvl w:ilvl="0">
      <w:start w:val="1"/>
      <w:numFmt w:val="decimal"/>
      <w:lvlText w:val="(VI)"/>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0000005D"/>
    <w:multiLevelType w:val="multilevel"/>
    <w:tmpl w:val="0000005D"/>
    <w:lvl w:ilvl="0">
      <w:start w:val="1"/>
      <w:numFmt w:val="decimal"/>
      <w:lvlText w:val="(VII)"/>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0000005E"/>
    <w:multiLevelType w:val="multilevel"/>
    <w:tmpl w:val="0000005E"/>
    <w:lvl w:ilvl="0">
      <w:start w:val="1"/>
      <w:numFmt w:val="decimal"/>
      <w:lvlText w:val="(VIII)"/>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0000005F"/>
    <w:multiLevelType w:val="multilevel"/>
    <w:tmpl w:val="0000005F"/>
    <w:lvl w:ilvl="0">
      <w:start w:val="1"/>
      <w:numFmt w:val="decimal"/>
      <w:lvlText w:val="(IX)"/>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00000060"/>
    <w:multiLevelType w:val="multilevel"/>
    <w:tmpl w:val="00000060"/>
    <w:lvl w:ilvl="0">
      <w:start w:val="1"/>
      <w:numFmt w:val="decimal"/>
      <w:lvlText w:val="(X)"/>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00000061"/>
    <w:multiLevelType w:val="multilevel"/>
    <w:tmpl w:val="00000061"/>
    <w:lvl w:ilvl="0">
      <w:start w:val="1"/>
      <w:numFmt w:val="upperRoman"/>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00000062"/>
    <w:multiLevelType w:val="multilevel"/>
    <w:tmpl w:val="00000062"/>
    <w:lvl w:ilvl="0">
      <w:start w:val="1"/>
      <w:numFmt w:val="upperRoman"/>
      <w:lvlText w:val="(%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00000063"/>
    <w:multiLevelType w:val="multilevel"/>
    <w:tmpl w:val="00000063"/>
    <w:lvl w:ilvl="0">
      <w:start w:val="1"/>
      <w:numFmt w:val="decimal"/>
      <w:lvlText w:val="(II)"/>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00000064"/>
    <w:multiLevelType w:val="multilevel"/>
    <w:tmpl w:val="00000064"/>
    <w:lvl w:ilvl="0">
      <w:start w:val="1"/>
      <w:numFmt w:val="decimal"/>
      <w:lvlText w:val="(III)"/>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00000065"/>
    <w:multiLevelType w:val="multilevel"/>
    <w:tmpl w:val="00000065"/>
    <w:lvl w:ilvl="0">
      <w:start w:val="1"/>
      <w:numFmt w:val="decimal"/>
      <w:lvlText w:val="(IV)"/>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00000066"/>
    <w:multiLevelType w:val="multilevel"/>
    <w:tmpl w:val="00000066"/>
    <w:lvl w:ilvl="0">
      <w:start w:val="10"/>
      <w:numFmt w:val="upp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00000067"/>
    <w:multiLevelType w:val="multilevel"/>
    <w:tmpl w:val="00000067"/>
    <w:lvl w:ilvl="0">
      <w:start w:val="11"/>
      <w:numFmt w:val="upp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00000068"/>
    <w:multiLevelType w:val="multilevel"/>
    <w:tmpl w:val="00000068"/>
    <w:lvl w:ilvl="0">
      <w:start w:val="12"/>
      <w:numFmt w:val="upp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00000069"/>
    <w:multiLevelType w:val="multilevel"/>
    <w:tmpl w:val="00000069"/>
    <w:lvl w:ilvl="0">
      <w:start w:val="1"/>
      <w:numFmt w:val="upperRoman"/>
      <w:lvlText w:val="(%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0000006A"/>
    <w:multiLevelType w:val="multilevel"/>
    <w:tmpl w:val="0000006A"/>
    <w:lvl w:ilvl="0">
      <w:start w:val="1"/>
      <w:numFmt w:val="decimal"/>
      <w:lvlText w:val="(II)"/>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0000006B"/>
    <w:multiLevelType w:val="multilevel"/>
    <w:tmpl w:val="0000006B"/>
    <w:lvl w:ilvl="0">
      <w:start w:val="1"/>
      <w:numFmt w:val="decimal"/>
      <w:lvlText w:val="(III)"/>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0000006C"/>
    <w:multiLevelType w:val="multilevel"/>
    <w:tmpl w:val="0000006C"/>
    <w:lvl w:ilvl="0">
      <w:start w:val="13"/>
      <w:numFmt w:val="upp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0000006D"/>
    <w:multiLevelType w:val="multilevel"/>
    <w:tmpl w:val="0000006D"/>
    <w:lvl w:ilvl="0">
      <w:start w:val="14"/>
      <w:numFmt w:val="upperLetter"/>
      <w:lvlText w:val="(%1)"/>
      <w:lvlJc w:val="left"/>
      <w:pPr>
        <w:tabs>
          <w:tab w:val="num" w:pos="2560"/>
        </w:tabs>
        <w:ind w:left="25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0000006E"/>
    <w:multiLevelType w:val="multilevel"/>
    <w:tmpl w:val="0000006E"/>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0000006F"/>
    <w:multiLevelType w:val="multilevel"/>
    <w:tmpl w:val="0000006F"/>
    <w:lvl w:ilvl="0">
      <w:start w:val="1"/>
      <w:numFmt w:val="upperRoman"/>
      <w:lvlText w:val="(%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00000070"/>
    <w:multiLevelType w:val="multilevel"/>
    <w:tmpl w:val="00000070"/>
    <w:lvl w:ilvl="0">
      <w:start w:val="15"/>
      <w:numFmt w:val="upp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00000071"/>
    <w:multiLevelType w:val="multilevel"/>
    <w:tmpl w:val="00000071"/>
    <w:lvl w:ilvl="0">
      <w:start w:val="1"/>
      <w:numFmt w:val="upperRoman"/>
      <w:lvlText w:val="(%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00000072"/>
    <w:multiLevelType w:val="multilevel"/>
    <w:tmpl w:val="00000072"/>
    <w:lvl w:ilvl="0">
      <w:start w:val="1"/>
      <w:numFmt w:val="decimal"/>
      <w:lvlText w:val="(II)"/>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4">
    <w:nsid w:val="00000073"/>
    <w:multiLevelType w:val="multilevel"/>
    <w:tmpl w:val="00000073"/>
    <w:lvl w:ilvl="0">
      <w:start w:val="1"/>
      <w:numFmt w:val="decimal"/>
      <w:lvlText w:val="(III)"/>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00000074"/>
    <w:multiLevelType w:val="multilevel"/>
    <w:tmpl w:val="00000074"/>
    <w:lvl w:ilvl="0">
      <w:start w:val="1"/>
      <w:numFmt w:val="decimal"/>
      <w:lvlText w:val="(IV)"/>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00000075"/>
    <w:multiLevelType w:val="multilevel"/>
    <w:tmpl w:val="00000075"/>
    <w:lvl w:ilvl="0">
      <w:start w:val="16"/>
      <w:numFmt w:val="upp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nsid w:val="00000076"/>
    <w:multiLevelType w:val="multilevel"/>
    <w:tmpl w:val="00000076"/>
    <w:lvl w:ilvl="0">
      <w:start w:val="1"/>
      <w:numFmt w:val="upperRoman"/>
      <w:lvlText w:val="(%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nsid w:val="00000077"/>
    <w:multiLevelType w:val="multilevel"/>
    <w:tmpl w:val="00000077"/>
    <w:lvl w:ilvl="0">
      <w:start w:val="1"/>
      <w:numFmt w:val="decimal"/>
      <w:lvlText w:val="(II)"/>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nsid w:val="00000078"/>
    <w:multiLevelType w:val="multilevel"/>
    <w:tmpl w:val="00000078"/>
    <w:lvl w:ilvl="0">
      <w:start w:val="1"/>
      <w:numFmt w:val="decimal"/>
      <w:lvlText w:val="(III)"/>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nsid w:val="00000079"/>
    <w:multiLevelType w:val="multilevel"/>
    <w:tmpl w:val="00000079"/>
    <w:lvl w:ilvl="0">
      <w:start w:val="1"/>
      <w:numFmt w:val="decimal"/>
      <w:lvlText w:val="(IV)"/>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1">
    <w:nsid w:val="0000007A"/>
    <w:multiLevelType w:val="multilevel"/>
    <w:tmpl w:val="0000007A"/>
    <w:lvl w:ilvl="0">
      <w:start w:val="1"/>
      <w:numFmt w:val="decimal"/>
      <w:lvlText w:val="(V)"/>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2">
    <w:nsid w:val="0000007B"/>
    <w:multiLevelType w:val="multilevel"/>
    <w:tmpl w:val="0000007B"/>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3">
    <w:nsid w:val="0000007C"/>
    <w:multiLevelType w:val="multilevel"/>
    <w:tmpl w:val="0000007C"/>
    <w:lvl w:ilvl="0">
      <w:start w:val="1"/>
      <w:numFmt w:val="decimal"/>
      <w:lvlText w:val="(VI)"/>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4">
    <w:nsid w:val="0000007D"/>
    <w:multiLevelType w:val="multilevel"/>
    <w:tmpl w:val="0000007D"/>
    <w:lvl w:ilvl="0">
      <w:start w:val="1"/>
      <w:numFmt w:val="decimal"/>
      <w:lvlText w:val="(VII)"/>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5">
    <w:nsid w:val="0000007E"/>
    <w:multiLevelType w:val="multilevel"/>
    <w:tmpl w:val="0000007E"/>
    <w:lvl w:ilvl="0">
      <w:start w:val="17"/>
      <w:numFmt w:val="upp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6">
    <w:nsid w:val="0000007F"/>
    <w:multiLevelType w:val="multilevel"/>
    <w:tmpl w:val="0000007F"/>
    <w:lvl w:ilvl="0">
      <w:start w:val="1"/>
      <w:numFmt w:val="upperRoman"/>
      <w:lvlText w:val="(%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7">
    <w:nsid w:val="00000080"/>
    <w:multiLevelType w:val="multilevel"/>
    <w:tmpl w:val="00000080"/>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8">
    <w:nsid w:val="00000081"/>
    <w:multiLevelType w:val="multilevel"/>
    <w:tmpl w:val="00000081"/>
    <w:lvl w:ilvl="0">
      <w:start w:val="1"/>
      <w:numFmt w:val="decimal"/>
      <w:lvlText w:val="(II)"/>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9">
    <w:nsid w:val="00000082"/>
    <w:multiLevelType w:val="multilevel"/>
    <w:tmpl w:val="00000082"/>
    <w:lvl w:ilvl="0">
      <w:start w:val="17"/>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0">
    <w:nsid w:val="00000083"/>
    <w:multiLevelType w:val="multilevel"/>
    <w:tmpl w:val="00000083"/>
    <w:lvl w:ilvl="0">
      <w:start w:val="1"/>
      <w:numFmt w:val="decimal"/>
      <w:lvlText w:val="(I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1">
    <w:nsid w:val="00000084"/>
    <w:multiLevelType w:val="multilevel"/>
    <w:tmpl w:val="00000084"/>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2">
    <w:nsid w:val="00000085"/>
    <w:multiLevelType w:val="multilevel"/>
    <w:tmpl w:val="00000085"/>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3">
    <w:nsid w:val="00000086"/>
    <w:multiLevelType w:val="multilevel"/>
    <w:tmpl w:val="00000086"/>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4">
    <w:nsid w:val="00000087"/>
    <w:multiLevelType w:val="multilevel"/>
    <w:tmpl w:val="00000087"/>
    <w:lvl w:ilvl="0">
      <w:start w:val="3"/>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5">
    <w:nsid w:val="00000088"/>
    <w:multiLevelType w:val="multilevel"/>
    <w:tmpl w:val="00000088"/>
    <w:lvl w:ilvl="0">
      <w:start w:val="4"/>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6">
    <w:nsid w:val="00000089"/>
    <w:multiLevelType w:val="multilevel"/>
    <w:tmpl w:val="00000089"/>
    <w:lvl w:ilvl="0">
      <w:start w:val="5"/>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7">
    <w:nsid w:val="0000008A"/>
    <w:multiLevelType w:val="multilevel"/>
    <w:tmpl w:val="0000008A"/>
    <w:lvl w:ilvl="0">
      <w:start w:val="6"/>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8">
    <w:nsid w:val="0000008B"/>
    <w:multiLevelType w:val="multilevel"/>
    <w:tmpl w:val="0000008B"/>
    <w:lvl w:ilvl="0">
      <w:start w:val="1"/>
      <w:numFmt w:val="decimal"/>
      <w:lvlText w:val="(IV)"/>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9">
    <w:nsid w:val="0000008C"/>
    <w:multiLevelType w:val="multilevel"/>
    <w:tmpl w:val="0000008C"/>
    <w:lvl w:ilvl="0">
      <w:start w:val="1"/>
      <w:numFmt w:val="decimal"/>
      <w:lvlText w:val="(V)"/>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0">
    <w:nsid w:val="0000008D"/>
    <w:multiLevelType w:val="multilevel"/>
    <w:tmpl w:val="0000008D"/>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1">
    <w:nsid w:val="0000008E"/>
    <w:multiLevelType w:val="multilevel"/>
    <w:tmpl w:val="0000008E"/>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2">
    <w:nsid w:val="0000008F"/>
    <w:multiLevelType w:val="multilevel"/>
    <w:tmpl w:val="0000008F"/>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3">
    <w:nsid w:val="00000090"/>
    <w:multiLevelType w:val="multilevel"/>
    <w:tmpl w:val="00000090"/>
    <w:lvl w:ilvl="0">
      <w:start w:val="3"/>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4">
    <w:nsid w:val="00000091"/>
    <w:multiLevelType w:val="multilevel"/>
    <w:tmpl w:val="00000091"/>
    <w:lvl w:ilvl="0">
      <w:start w:val="4"/>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5">
    <w:nsid w:val="00000092"/>
    <w:multiLevelType w:val="multilevel"/>
    <w:tmpl w:val="00000092"/>
    <w:lvl w:ilvl="0">
      <w:start w:val="3"/>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6">
    <w:nsid w:val="00000093"/>
    <w:multiLevelType w:val="multilevel"/>
    <w:tmpl w:val="00000093"/>
    <w:lvl w:ilvl="0">
      <w:start w:val="5"/>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7">
    <w:nsid w:val="00000094"/>
    <w:multiLevelType w:val="multilevel"/>
    <w:tmpl w:val="00000094"/>
    <w:lvl w:ilvl="0">
      <w:start w:val="1"/>
      <w:numFmt w:val="decimal"/>
      <w:lvlText w:val="(VI)"/>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8">
    <w:nsid w:val="00000095"/>
    <w:multiLevelType w:val="multilevel"/>
    <w:tmpl w:val="00000095"/>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9">
    <w:nsid w:val="00000096"/>
    <w:multiLevelType w:val="multilevel"/>
    <w:tmpl w:val="00000096"/>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0">
    <w:nsid w:val="00000097"/>
    <w:multiLevelType w:val="multilevel"/>
    <w:tmpl w:val="00000097"/>
    <w:lvl w:ilvl="0">
      <w:start w:val="3"/>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1">
    <w:nsid w:val="00000098"/>
    <w:multiLevelType w:val="multilevel"/>
    <w:tmpl w:val="00000098"/>
    <w:lvl w:ilvl="0">
      <w:start w:val="4"/>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2">
    <w:nsid w:val="00000099"/>
    <w:multiLevelType w:val="multilevel"/>
    <w:tmpl w:val="00000099"/>
    <w:lvl w:ilvl="0">
      <w:start w:val="5"/>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3">
    <w:nsid w:val="0000009A"/>
    <w:multiLevelType w:val="multilevel"/>
    <w:tmpl w:val="0000009A"/>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4">
    <w:nsid w:val="0000009B"/>
    <w:multiLevelType w:val="multilevel"/>
    <w:tmpl w:val="0000009B"/>
    <w:lvl w:ilvl="0">
      <w:start w:val="1"/>
      <w:numFmt w:val="decimal"/>
      <w:lvlText w:val="(V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5">
    <w:nsid w:val="0000009C"/>
    <w:multiLevelType w:val="multilevel"/>
    <w:tmpl w:val="0000009C"/>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6">
    <w:nsid w:val="0000009D"/>
    <w:multiLevelType w:val="multilevel"/>
    <w:tmpl w:val="0000009D"/>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7">
    <w:nsid w:val="0000009E"/>
    <w:multiLevelType w:val="multilevel"/>
    <w:tmpl w:val="0000009E"/>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8">
    <w:nsid w:val="0000009F"/>
    <w:multiLevelType w:val="multilevel"/>
    <w:tmpl w:val="0000009F"/>
    <w:lvl w:ilvl="0">
      <w:start w:val="3"/>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9">
    <w:nsid w:val="000000A0"/>
    <w:multiLevelType w:val="multilevel"/>
    <w:tmpl w:val="000000A0"/>
    <w:lvl w:ilvl="0">
      <w:start w:val="4"/>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0">
    <w:nsid w:val="000000A1"/>
    <w:multiLevelType w:val="multilevel"/>
    <w:tmpl w:val="000000A1"/>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1">
    <w:nsid w:val="000000A2"/>
    <w:multiLevelType w:val="multilevel"/>
    <w:tmpl w:val="000000A2"/>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2">
    <w:nsid w:val="000000A3"/>
    <w:multiLevelType w:val="multilevel"/>
    <w:tmpl w:val="000000A3"/>
    <w:lvl w:ilvl="0">
      <w:start w:val="4"/>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3">
    <w:nsid w:val="000000A4"/>
    <w:multiLevelType w:val="multilevel"/>
    <w:tmpl w:val="000000A4"/>
    <w:lvl w:ilvl="0">
      <w:start w:val="5"/>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4">
    <w:nsid w:val="000000A5"/>
    <w:multiLevelType w:val="multilevel"/>
    <w:tmpl w:val="000000A5"/>
    <w:lvl w:ilvl="0">
      <w:start w:val="6"/>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5">
    <w:nsid w:val="000000A6"/>
    <w:multiLevelType w:val="multilevel"/>
    <w:tmpl w:val="000000A6"/>
    <w:lvl w:ilvl="0">
      <w:start w:val="7"/>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6">
    <w:nsid w:val="000000A7"/>
    <w:multiLevelType w:val="multilevel"/>
    <w:tmpl w:val="000000A7"/>
    <w:lvl w:ilvl="0">
      <w:start w:val="8"/>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7">
    <w:nsid w:val="000000A8"/>
    <w:multiLevelType w:val="multilevel"/>
    <w:tmpl w:val="000000A8"/>
    <w:lvl w:ilvl="0">
      <w:start w:val="9"/>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8">
    <w:nsid w:val="000000A9"/>
    <w:multiLevelType w:val="multilevel"/>
    <w:tmpl w:val="000000A9"/>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9">
    <w:nsid w:val="000000AA"/>
    <w:multiLevelType w:val="multilevel"/>
    <w:tmpl w:val="000000AA"/>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0">
    <w:nsid w:val="000000AB"/>
    <w:multiLevelType w:val="multilevel"/>
    <w:tmpl w:val="000000AB"/>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1">
    <w:nsid w:val="000000AC"/>
    <w:multiLevelType w:val="multilevel"/>
    <w:tmpl w:val="000000AC"/>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2">
    <w:nsid w:val="000000AD"/>
    <w:multiLevelType w:val="multilevel"/>
    <w:tmpl w:val="000000AD"/>
    <w:lvl w:ilvl="0">
      <w:start w:val="1"/>
      <w:numFmt w:val="decimal"/>
      <w:lvlText w:val="(1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3">
    <w:nsid w:val="000000AE"/>
    <w:multiLevelType w:val="multilevel"/>
    <w:tmpl w:val="000000AE"/>
    <w:lvl w:ilvl="0">
      <w:start w:val="1"/>
      <w:numFmt w:val="decimal"/>
      <w:lvlText w:val="(1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4">
    <w:nsid w:val="000000AF"/>
    <w:multiLevelType w:val="multilevel"/>
    <w:tmpl w:val="000000AF"/>
    <w:lvl w:ilvl="0">
      <w:start w:val="1"/>
      <w:numFmt w:val="decimal"/>
      <w:lvlText w:val="(1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5">
    <w:nsid w:val="000000B0"/>
    <w:multiLevelType w:val="multilevel"/>
    <w:tmpl w:val="000000B0"/>
    <w:lvl w:ilvl="0">
      <w:start w:val="1"/>
      <w:numFmt w:val="decimal"/>
      <w:lvlText w:val="(1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6">
    <w:nsid w:val="000000B1"/>
    <w:multiLevelType w:val="multilevel"/>
    <w:tmpl w:val="000000B1"/>
    <w:lvl w:ilvl="0">
      <w:start w:val="1"/>
      <w:numFmt w:val="decimal"/>
      <w:lvlText w:val="(VI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7">
    <w:nsid w:val="000000B2"/>
    <w:multiLevelType w:val="multilevel"/>
    <w:tmpl w:val="000000B2"/>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8">
    <w:nsid w:val="000000B3"/>
    <w:multiLevelType w:val="multilevel"/>
    <w:tmpl w:val="000000B3"/>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9">
    <w:nsid w:val="000000B4"/>
    <w:multiLevelType w:val="multilevel"/>
    <w:tmpl w:val="000000B4"/>
    <w:lvl w:ilvl="0">
      <w:start w:val="3"/>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0">
    <w:nsid w:val="000000B5"/>
    <w:multiLevelType w:val="multilevel"/>
    <w:tmpl w:val="000000B5"/>
    <w:lvl w:ilvl="0">
      <w:start w:val="4"/>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1">
    <w:nsid w:val="000000B6"/>
    <w:multiLevelType w:val="multilevel"/>
    <w:tmpl w:val="000000B6"/>
    <w:lvl w:ilvl="0">
      <w:start w:val="1"/>
      <w:numFmt w:val="decimal"/>
      <w:lvlText w:val="(IX)"/>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2">
    <w:nsid w:val="000000B7"/>
    <w:multiLevelType w:val="multilevel"/>
    <w:tmpl w:val="000000B7"/>
    <w:lvl w:ilvl="0">
      <w:start w:val="1"/>
      <w:numFmt w:val="decimal"/>
      <w:lvlText w:val="(X)"/>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3">
    <w:nsid w:val="000000B8"/>
    <w:multiLevelType w:val="multilevel"/>
    <w:tmpl w:val="000000B8"/>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4">
    <w:nsid w:val="000000B9"/>
    <w:multiLevelType w:val="multilevel"/>
    <w:tmpl w:val="000000B9"/>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5">
    <w:nsid w:val="000000BA"/>
    <w:multiLevelType w:val="multilevel"/>
    <w:tmpl w:val="000000BA"/>
    <w:lvl w:ilvl="0">
      <w:start w:val="3"/>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6">
    <w:nsid w:val="000000BB"/>
    <w:multiLevelType w:val="multilevel"/>
    <w:tmpl w:val="000000BB"/>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7">
    <w:nsid w:val="000000BC"/>
    <w:multiLevelType w:val="multilevel"/>
    <w:tmpl w:val="000000BC"/>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8">
    <w:nsid w:val="000000BD"/>
    <w:multiLevelType w:val="multilevel"/>
    <w:tmpl w:val="000000BD"/>
    <w:lvl w:ilvl="0">
      <w:start w:val="2"/>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9">
    <w:nsid w:val="000000BE"/>
    <w:multiLevelType w:val="multilevel"/>
    <w:tmpl w:val="000000BE"/>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0">
    <w:nsid w:val="000000BF"/>
    <w:multiLevelType w:val="multilevel"/>
    <w:tmpl w:val="000000BF"/>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1">
    <w:nsid w:val="000000C0"/>
    <w:multiLevelType w:val="multilevel"/>
    <w:tmpl w:val="000000C0"/>
    <w:lvl w:ilvl="0">
      <w:start w:val="4"/>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2">
    <w:nsid w:val="000000C1"/>
    <w:multiLevelType w:val="multilevel"/>
    <w:tmpl w:val="000000C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3">
    <w:nsid w:val="000000C2"/>
    <w:multiLevelType w:val="multilevel"/>
    <w:tmpl w:val="000000C2"/>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4">
    <w:nsid w:val="000000C3"/>
    <w:multiLevelType w:val="multilevel"/>
    <w:tmpl w:val="000000C3"/>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5">
    <w:nsid w:val="000000C4"/>
    <w:multiLevelType w:val="multilevel"/>
    <w:tmpl w:val="000000C4"/>
    <w:lvl w:ilvl="0">
      <w:start w:val="17"/>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6">
    <w:nsid w:val="000000C5"/>
    <w:multiLevelType w:val="multilevel"/>
    <w:tmpl w:val="000000C5"/>
    <w:lvl w:ilvl="0">
      <w:start w:val="5"/>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7">
    <w:nsid w:val="000000C6"/>
    <w:multiLevelType w:val="multilevel"/>
    <w:tmpl w:val="000000C6"/>
    <w:lvl w:ilvl="0">
      <w:start w:val="6"/>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8">
    <w:nsid w:val="000000C7"/>
    <w:multiLevelType w:val="multilevel"/>
    <w:tmpl w:val="000000C7"/>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9">
    <w:nsid w:val="000000C8"/>
    <w:multiLevelType w:val="multilevel"/>
    <w:tmpl w:val="000000C8"/>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0">
    <w:nsid w:val="000000C9"/>
    <w:multiLevelType w:val="multilevel"/>
    <w:tmpl w:val="000000C9"/>
    <w:lvl w:ilvl="0">
      <w:start w:val="7"/>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1">
    <w:nsid w:val="000000CA"/>
    <w:multiLevelType w:val="multilevel"/>
    <w:tmpl w:val="000000CA"/>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2">
    <w:nsid w:val="000000CB"/>
    <w:multiLevelType w:val="multilevel"/>
    <w:tmpl w:val="000000CB"/>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3">
    <w:nsid w:val="000000CC"/>
    <w:multiLevelType w:val="multilevel"/>
    <w:tmpl w:val="000000CC"/>
    <w:lvl w:ilvl="0">
      <w:start w:val="3"/>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4">
    <w:nsid w:val="000000CD"/>
    <w:multiLevelType w:val="multilevel"/>
    <w:tmpl w:val="000000CD"/>
    <w:lvl w:ilvl="0">
      <w:start w:val="8"/>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5">
    <w:nsid w:val="000000CE"/>
    <w:multiLevelType w:val="multilevel"/>
    <w:tmpl w:val="000000CE"/>
    <w:lvl w:ilvl="0">
      <w:start w:val="1"/>
      <w:numFmt w:val="decimal"/>
      <w:lvlText w:val="(X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6">
    <w:nsid w:val="000000CF"/>
    <w:multiLevelType w:val="multilevel"/>
    <w:tmpl w:val="000000CF"/>
    <w:lvl w:ilvl="0">
      <w:start w:val="18"/>
      <w:numFmt w:val="upp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7">
    <w:nsid w:val="000000D0"/>
    <w:multiLevelType w:val="multilevel"/>
    <w:tmpl w:val="000000D0"/>
    <w:lvl w:ilvl="0">
      <w:start w:val="1"/>
      <w:numFmt w:val="upperRoman"/>
      <w:lvlText w:val="(%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8">
    <w:nsid w:val="000000D1"/>
    <w:multiLevelType w:val="multilevel"/>
    <w:tmpl w:val="000000D1"/>
    <w:lvl w:ilvl="0">
      <w:start w:val="1"/>
      <w:numFmt w:val="decimal"/>
      <w:lvlText w:val="(II)"/>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9">
    <w:nsid w:val="000000D2"/>
    <w:multiLevelType w:val="multilevel"/>
    <w:tmpl w:val="000000D2"/>
    <w:lvl w:ilvl="0">
      <w:start w:val="1"/>
      <w:numFmt w:val="decimal"/>
      <w:lvlText w:val="(III)"/>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0">
    <w:nsid w:val="000000D3"/>
    <w:multiLevelType w:val="multilevel"/>
    <w:tmpl w:val="000000D3"/>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1">
    <w:nsid w:val="000000D4"/>
    <w:multiLevelType w:val="multilevel"/>
    <w:tmpl w:val="000000D4"/>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2">
    <w:nsid w:val="000000D5"/>
    <w:multiLevelType w:val="multilevel"/>
    <w:tmpl w:val="000000D5"/>
    <w:lvl w:ilvl="0">
      <w:start w:val="3"/>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3">
    <w:nsid w:val="000000D6"/>
    <w:multiLevelType w:val="multilevel"/>
    <w:tmpl w:val="000000D6"/>
    <w:lvl w:ilvl="0">
      <w:start w:val="1"/>
      <w:numFmt w:val="decimal"/>
      <w:lvlText w:val="(IV)"/>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4">
    <w:nsid w:val="000000D7"/>
    <w:multiLevelType w:val="multilevel"/>
    <w:tmpl w:val="000000D7"/>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5">
    <w:nsid w:val="000000D8"/>
    <w:multiLevelType w:val="multilevel"/>
    <w:tmpl w:val="000000D8"/>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6">
    <w:nsid w:val="000000D9"/>
    <w:multiLevelType w:val="multilevel"/>
    <w:tmpl w:val="000000D9"/>
    <w:lvl w:ilvl="0">
      <w:start w:val="1"/>
      <w:numFmt w:val="decimal"/>
      <w:lvlText w:val="(V)"/>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7">
    <w:nsid w:val="000000DA"/>
    <w:multiLevelType w:val="multilevel"/>
    <w:tmpl w:val="000000DA"/>
    <w:lvl w:ilvl="0">
      <w:start w:val="1"/>
      <w:numFmt w:val="decimal"/>
      <w:lvlText w:val="(V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8">
    <w:nsid w:val="000000DB"/>
    <w:multiLevelType w:val="multilevel"/>
    <w:tmpl w:val="000000DB"/>
    <w:lvl w:ilvl="0">
      <w:start w:val="1"/>
      <w:numFmt w:val="decimal"/>
      <w:lvlText w:val="(VII)"/>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9">
    <w:nsid w:val="000000DC"/>
    <w:multiLevelType w:val="multilevel"/>
    <w:tmpl w:val="000000DC"/>
    <w:lvl w:ilvl="0">
      <w:start w:val="1"/>
      <w:numFmt w:val="decimal"/>
      <w:lvlText w:val="(VIII)"/>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0">
    <w:nsid w:val="000000DD"/>
    <w:multiLevelType w:val="multilevel"/>
    <w:tmpl w:val="000000DD"/>
    <w:lvl w:ilvl="0">
      <w:start w:val="1"/>
      <w:numFmt w:val="decimal"/>
      <w:lvlText w:val="(IX)"/>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1">
    <w:nsid w:val="000000DE"/>
    <w:multiLevelType w:val="multilevel"/>
    <w:tmpl w:val="000000DE"/>
    <w:lvl w:ilvl="0">
      <w:start w:val="1"/>
      <w:numFmt w:val="decimal"/>
      <w:lvlText w:val="(X)"/>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2">
    <w:nsid w:val="000000DF"/>
    <w:multiLevelType w:val="multilevel"/>
    <w:tmpl w:val="000000DF"/>
    <w:lvl w:ilvl="0">
      <w:start w:val="1"/>
      <w:numFmt w:val="decimal"/>
      <w:lvlText w:val="(XI)"/>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3">
    <w:nsid w:val="000000E0"/>
    <w:multiLevelType w:val="multilevel"/>
    <w:tmpl w:val="000000E0"/>
    <w:lvl w:ilvl="0">
      <w:start w:val="1"/>
      <w:numFmt w:val="decimal"/>
      <w:lvlText w:val="(XII)"/>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4">
    <w:nsid w:val="000000E1"/>
    <w:multiLevelType w:val="multilevel"/>
    <w:tmpl w:val="000000E1"/>
    <w:lvl w:ilvl="0">
      <w:start w:val="1"/>
      <w:numFmt w:val="decimal"/>
      <w:lvlText w:val="(XIII)"/>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5">
    <w:nsid w:val="000000E2"/>
    <w:multiLevelType w:val="multilevel"/>
    <w:tmpl w:val="000000E2"/>
    <w:lvl w:ilvl="0">
      <w:start w:val="1"/>
      <w:numFmt w:val="decimal"/>
      <w:lvlText w:val="(XIV)"/>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6">
    <w:nsid w:val="000000E3"/>
    <w:multiLevelType w:val="multilevel"/>
    <w:tmpl w:val="000000E3"/>
    <w:lvl w:ilvl="0">
      <w:start w:val="1"/>
      <w:numFmt w:val="decimal"/>
      <w:lvlText w:val="(XV)"/>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7">
    <w:nsid w:val="000000E4"/>
    <w:multiLevelType w:val="multilevel"/>
    <w:tmpl w:val="000000E4"/>
    <w:lvl w:ilvl="0">
      <w:start w:val="19"/>
      <w:numFmt w:val="upp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8">
    <w:nsid w:val="000000E5"/>
    <w:multiLevelType w:val="multilevel"/>
    <w:tmpl w:val="000000E5"/>
    <w:lvl w:ilvl="0">
      <w:start w:val="1"/>
      <w:numFmt w:val="upperRoman"/>
      <w:lvlText w:val="(%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9">
    <w:nsid w:val="000000E6"/>
    <w:multiLevelType w:val="multilevel"/>
    <w:tmpl w:val="000000E6"/>
    <w:lvl w:ilvl="0">
      <w:start w:val="1"/>
      <w:numFmt w:val="decimal"/>
      <w:lvlText w:val="(II)"/>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0">
    <w:nsid w:val="000000E7"/>
    <w:multiLevelType w:val="multilevel"/>
    <w:tmpl w:val="000000E7"/>
    <w:lvl w:ilvl="0">
      <w:start w:val="1"/>
      <w:numFmt w:val="decimal"/>
      <w:lvlText w:val="(III)"/>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1">
    <w:nsid w:val="000000E8"/>
    <w:multiLevelType w:val="multilevel"/>
    <w:tmpl w:val="000000E8"/>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2">
    <w:nsid w:val="000000E9"/>
    <w:multiLevelType w:val="multilevel"/>
    <w:tmpl w:val="000000E9"/>
    <w:lvl w:ilvl="0">
      <w:start w:val="1"/>
      <w:numFmt w:val="decimal"/>
      <w:lvlText w:val="(IV)"/>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3">
    <w:nsid w:val="000000EA"/>
    <w:multiLevelType w:val="multilevel"/>
    <w:tmpl w:val="000000EA"/>
    <w:lvl w:ilvl="0">
      <w:start w:val="1"/>
      <w:numFmt w:val="decimal"/>
      <w:lvlText w:val="(V)"/>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4">
    <w:nsid w:val="000000EB"/>
    <w:multiLevelType w:val="multilevel"/>
    <w:tmpl w:val="000000EB"/>
    <w:lvl w:ilvl="0">
      <w:start w:val="20"/>
      <w:numFmt w:val="upperLetter"/>
      <w:lvlText w:val="(%1)"/>
      <w:lvlJc w:val="left"/>
      <w:pPr>
        <w:tabs>
          <w:tab w:val="num" w:pos="2560"/>
        </w:tabs>
        <w:ind w:left="25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5">
    <w:nsid w:val="000000EC"/>
    <w:multiLevelType w:val="multilevel"/>
    <w:tmpl w:val="000000EC"/>
    <w:lvl w:ilvl="0">
      <w:start w:val="1"/>
      <w:numFmt w:val="upperRoman"/>
      <w:lvlText w:val="(%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6">
    <w:nsid w:val="000000ED"/>
    <w:multiLevelType w:val="multilevel"/>
    <w:tmpl w:val="000000ED"/>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7">
    <w:nsid w:val="000000EE"/>
    <w:multiLevelType w:val="multilevel"/>
    <w:tmpl w:val="000000EE"/>
    <w:lvl w:ilvl="0">
      <w:start w:val="1"/>
      <w:numFmt w:val="decimal"/>
      <w:lvlText w:val="(II)"/>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8">
    <w:nsid w:val="000000EF"/>
    <w:multiLevelType w:val="multilevel"/>
    <w:tmpl w:val="000000EF"/>
    <w:lvl w:ilvl="0">
      <w:start w:val="1"/>
      <w:numFmt w:val="decimal"/>
      <w:lvlText w:val="(III)"/>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9">
    <w:nsid w:val="000000F0"/>
    <w:multiLevelType w:val="multilevel"/>
    <w:tmpl w:val="000000F0"/>
    <w:lvl w:ilvl="0">
      <w:start w:val="1"/>
      <w:numFmt w:val="decimal"/>
      <w:lvlText w:val="(IV)"/>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0">
    <w:nsid w:val="000000F1"/>
    <w:multiLevelType w:val="multilevel"/>
    <w:tmpl w:val="000000F1"/>
    <w:lvl w:ilvl="0">
      <w:start w:val="1"/>
      <w:numFmt w:val="decimal"/>
      <w:lvlText w:val="(V)"/>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1">
    <w:nsid w:val="000000F2"/>
    <w:multiLevelType w:val="multilevel"/>
    <w:tmpl w:val="000000F2"/>
    <w:lvl w:ilvl="0">
      <w:start w:val="1"/>
      <w:numFmt w:val="upperRoman"/>
      <w:lvlText w:val="(%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2">
    <w:nsid w:val="000000F3"/>
    <w:multiLevelType w:val="multilevel"/>
    <w:tmpl w:val="000000F3"/>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3">
    <w:nsid w:val="000000F4"/>
    <w:multiLevelType w:val="multilevel"/>
    <w:tmpl w:val="000000F4"/>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4">
    <w:nsid w:val="000000F5"/>
    <w:multiLevelType w:val="multilevel"/>
    <w:tmpl w:val="000000F5"/>
    <w:lvl w:ilvl="0">
      <w:start w:val="1"/>
      <w:numFmt w:val="decimal"/>
      <w:lvlText w:val="(II)"/>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5">
    <w:nsid w:val="000000F6"/>
    <w:multiLevelType w:val="multilevel"/>
    <w:tmpl w:val="000000F6"/>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6">
    <w:nsid w:val="000000F7"/>
    <w:multiLevelType w:val="multilevel"/>
    <w:tmpl w:val="000000F7"/>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7">
    <w:nsid w:val="000000F8"/>
    <w:multiLevelType w:val="multilevel"/>
    <w:tmpl w:val="000000F8"/>
    <w:lvl w:ilvl="0">
      <w:start w:val="3"/>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8">
    <w:nsid w:val="000000F9"/>
    <w:multiLevelType w:val="multilevel"/>
    <w:tmpl w:val="000000F9"/>
    <w:lvl w:ilvl="0">
      <w:start w:val="4"/>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9">
    <w:nsid w:val="000000FA"/>
    <w:multiLevelType w:val="multilevel"/>
    <w:tmpl w:val="000000FA"/>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0">
    <w:nsid w:val="000000FB"/>
    <w:multiLevelType w:val="multilevel"/>
    <w:tmpl w:val="000000FB"/>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1">
    <w:nsid w:val="000000FC"/>
    <w:multiLevelType w:val="multilevel"/>
    <w:tmpl w:val="000000FC"/>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2">
    <w:nsid w:val="000000FD"/>
    <w:multiLevelType w:val="multilevel"/>
    <w:tmpl w:val="000000FD"/>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3">
    <w:nsid w:val="000000FE"/>
    <w:multiLevelType w:val="multilevel"/>
    <w:tmpl w:val="000000FE"/>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4">
    <w:nsid w:val="000000FF"/>
    <w:multiLevelType w:val="multilevel"/>
    <w:tmpl w:val="000000FF"/>
    <w:lvl w:ilvl="0">
      <w:start w:val="5"/>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5">
    <w:nsid w:val="00000100"/>
    <w:multiLevelType w:val="multilevel"/>
    <w:tmpl w:val="00000100"/>
    <w:lvl w:ilvl="0">
      <w:start w:val="6"/>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6">
    <w:nsid w:val="00000101"/>
    <w:multiLevelType w:val="multilevel"/>
    <w:tmpl w:val="00000101"/>
    <w:lvl w:ilvl="0">
      <w:start w:val="7"/>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7">
    <w:nsid w:val="00000102"/>
    <w:multiLevelType w:val="multilevel"/>
    <w:tmpl w:val="00000102"/>
    <w:lvl w:ilvl="0">
      <w:start w:val="8"/>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8">
    <w:nsid w:val="00000103"/>
    <w:multiLevelType w:val="multilevel"/>
    <w:tmpl w:val="00000103"/>
    <w:lvl w:ilvl="0">
      <w:start w:val="17"/>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9">
    <w:nsid w:val="00000104"/>
    <w:multiLevelType w:val="multilevel"/>
    <w:tmpl w:val="00000104"/>
    <w:lvl w:ilvl="0">
      <w:start w:val="9"/>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0">
    <w:nsid w:val="00000105"/>
    <w:multiLevelType w:val="multilevel"/>
    <w:tmpl w:val="00000105"/>
    <w:lvl w:ilvl="0">
      <w:start w:val="1"/>
      <w:numFmt w:val="decimal"/>
      <w:lvlText w:val="(1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1">
    <w:nsid w:val="00000106"/>
    <w:multiLevelType w:val="multilevel"/>
    <w:tmpl w:val="00000106"/>
    <w:lvl w:ilvl="0">
      <w:start w:val="1"/>
      <w:numFmt w:val="decimal"/>
      <w:lvlText w:val="(1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2">
    <w:nsid w:val="00000107"/>
    <w:multiLevelType w:val="multilevel"/>
    <w:tmpl w:val="00000107"/>
    <w:lvl w:ilvl="0">
      <w:start w:val="1"/>
      <w:numFmt w:val="decimal"/>
      <w:lvlText w:val="(1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3">
    <w:nsid w:val="00000108"/>
    <w:multiLevelType w:val="multilevel"/>
    <w:tmpl w:val="00000108"/>
    <w:lvl w:ilvl="0">
      <w:start w:val="1"/>
      <w:numFmt w:val="decimal"/>
      <w:lvlText w:val="(1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4">
    <w:nsid w:val="00000109"/>
    <w:multiLevelType w:val="multilevel"/>
    <w:tmpl w:val="00000109"/>
    <w:lvl w:ilvl="0">
      <w:start w:val="1"/>
      <w:numFmt w:val="decimal"/>
      <w:lvlText w:val="(1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5">
    <w:nsid w:val="0000010A"/>
    <w:multiLevelType w:val="multilevel"/>
    <w:tmpl w:val="0000010A"/>
    <w:lvl w:ilvl="0">
      <w:start w:val="1"/>
      <w:numFmt w:val="decimal"/>
      <w:lvlText w:val="(I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6">
    <w:nsid w:val="0000010B"/>
    <w:multiLevelType w:val="multilevel"/>
    <w:tmpl w:val="0000010B"/>
    <w:lvl w:ilvl="0">
      <w:start w:val="23"/>
      <w:numFmt w:val="upp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7">
    <w:nsid w:val="0000010C"/>
    <w:multiLevelType w:val="multilevel"/>
    <w:tmpl w:val="0000010C"/>
    <w:lvl w:ilvl="0">
      <w:start w:val="17"/>
      <w:numFmt w:val="upp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8">
    <w:nsid w:val="0000010D"/>
    <w:multiLevelType w:val="multilevel"/>
    <w:tmpl w:val="0000010D"/>
    <w:lvl w:ilvl="0">
      <w:start w:val="25"/>
      <w:numFmt w:val="upp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9">
    <w:nsid w:val="0000010E"/>
    <w:multiLevelType w:val="multilevel"/>
    <w:tmpl w:val="0000010E"/>
    <w:lvl w:ilvl="0">
      <w:start w:val="26"/>
      <w:numFmt w:val="upp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0">
    <w:nsid w:val="0000010F"/>
    <w:multiLevelType w:val="multilevel"/>
    <w:tmpl w:val="0000010F"/>
    <w:lvl w:ilvl="0">
      <w:start w:val="1"/>
      <w:numFmt w:val="decimal"/>
      <w:lvlText w:val="(AA)"/>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1">
    <w:nsid w:val="00000110"/>
    <w:multiLevelType w:val="multilevel"/>
    <w:tmpl w:val="00000110"/>
    <w:lvl w:ilvl="0">
      <w:start w:val="1"/>
      <w:numFmt w:val="decimal"/>
      <w:lvlText w:val="(BB)"/>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2">
    <w:nsid w:val="00000111"/>
    <w:multiLevelType w:val="multilevel"/>
    <w:tmpl w:val="00000111"/>
    <w:lvl w:ilvl="0">
      <w:start w:val="1"/>
      <w:numFmt w:val="upperRoman"/>
      <w:lvlText w:val="(%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3">
    <w:nsid w:val="00000112"/>
    <w:multiLevelType w:val="multilevel"/>
    <w:tmpl w:val="00000112"/>
    <w:lvl w:ilvl="0">
      <w:start w:val="1"/>
      <w:numFmt w:val="decimal"/>
      <w:lvlText w:val="(II)"/>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4">
    <w:nsid w:val="00000113"/>
    <w:multiLevelType w:val="multilevel"/>
    <w:tmpl w:val="00000113"/>
    <w:lvl w:ilvl="0">
      <w:start w:val="1"/>
      <w:numFmt w:val="decimal"/>
      <w:lvlText w:val="(III)"/>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5">
    <w:nsid w:val="00000114"/>
    <w:multiLevelType w:val="multilevel"/>
    <w:tmpl w:val="00000114"/>
    <w:lvl w:ilvl="0">
      <w:start w:val="1"/>
      <w:numFmt w:val="decimal"/>
      <w:lvlText w:val="(IV)"/>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6">
    <w:nsid w:val="00000115"/>
    <w:multiLevelType w:val="multilevel"/>
    <w:tmpl w:val="00000115"/>
    <w:lvl w:ilvl="0">
      <w:start w:val="1"/>
      <w:numFmt w:val="decimal"/>
      <w:lvlText w:val="s. 39(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7">
    <w:nsid w:val="00000116"/>
    <w:multiLevelType w:val="multilevel"/>
    <w:tmpl w:val="00000116"/>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8">
    <w:nsid w:val="00000117"/>
    <w:multiLevelType w:val="multilevel"/>
    <w:tmpl w:val="00000117"/>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9">
    <w:nsid w:val="00000118"/>
    <w:multiLevelType w:val="multilevel"/>
    <w:tmpl w:val="00000118"/>
    <w:lvl w:ilvl="0">
      <w:start w:val="1"/>
      <w:numFmt w:val="decimal"/>
      <w:lvlText w:val="(CC)"/>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0">
    <w:nsid w:val="00000119"/>
    <w:multiLevelType w:val="multilevel"/>
    <w:tmpl w:val="00000119"/>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1">
    <w:nsid w:val="0000011A"/>
    <w:multiLevelType w:val="multilevel"/>
    <w:tmpl w:val="0000011A"/>
    <w:lvl w:ilvl="0">
      <w:start w:val="1"/>
      <w:numFmt w:val="decimal"/>
      <w:lvlText w:val="(DD)"/>
      <w:lvlJc w:val="left"/>
      <w:pPr>
        <w:tabs>
          <w:tab w:val="num" w:pos="2560"/>
        </w:tabs>
        <w:ind w:left="25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2">
    <w:nsid w:val="00D88E8B"/>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3">
    <w:nsid w:val="04695DF3"/>
    <w:multiLevelType w:val="multilevel"/>
    <w:tmpl w:val="00000001"/>
    <w:lvl w:ilvl="0">
      <w:start w:val="1"/>
      <w:numFmt w:val="low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4">
    <w:nsid w:val="0664B5B9"/>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5">
    <w:nsid w:val="076610DA"/>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6">
    <w:nsid w:val="079A2C3B"/>
    <w:multiLevelType w:val="multilevel"/>
    <w:tmpl w:val="00000001"/>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7">
    <w:nsid w:val="0851DD7E"/>
    <w:multiLevelType w:val="multilevel"/>
    <w:tmpl w:val="00000001"/>
    <w:lvl w:ilvl="0">
      <w:start w:val="1"/>
      <w:numFmt w:val="decimal"/>
      <w:lvlText w:val="5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8">
    <w:nsid w:val="0CDCBB16"/>
    <w:multiLevelType w:val="multilevel"/>
    <w:tmpl w:val="00000001"/>
    <w:lvl w:ilvl="0">
      <w:start w:val="1"/>
      <w:numFmt w:val="low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9">
    <w:nsid w:val="13D3D590"/>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0">
    <w:nsid w:val="14B787AA"/>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1">
    <w:nsid w:val="1D00D95F"/>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2">
    <w:nsid w:val="1D779C40"/>
    <w:multiLevelType w:val="multilevel"/>
    <w:tmpl w:val="00000001"/>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3">
    <w:nsid w:val="205E4393"/>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4">
    <w:nsid w:val="234160C3"/>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5">
    <w:nsid w:val="2405CA8E"/>
    <w:multiLevelType w:val="multilevel"/>
    <w:tmpl w:val="00000001"/>
    <w:lvl w:ilvl="0">
      <w:start w:val="1"/>
      <w:numFmt w:val="lowerRoman"/>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6">
    <w:nsid w:val="2C59F83E"/>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7">
    <w:nsid w:val="2D3E5104"/>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8">
    <w:nsid w:val="308584B3"/>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9">
    <w:nsid w:val="321798EE"/>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0">
    <w:nsid w:val="35422EFB"/>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1">
    <w:nsid w:val="38714E05"/>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2">
    <w:nsid w:val="39C59F87"/>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3">
    <w:nsid w:val="3EAE8FBB"/>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4">
    <w:nsid w:val="462FAF0C"/>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5">
    <w:nsid w:val="4B8BD179"/>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6">
    <w:nsid w:val="4F66B1AD"/>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7">
    <w:nsid w:val="4F964101"/>
    <w:multiLevelType w:val="multilevel"/>
    <w:tmpl w:val="00000001"/>
    <w:lvl w:ilvl="0">
      <w:start w:val="4"/>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8">
    <w:nsid w:val="52F785CC"/>
    <w:multiLevelType w:val="multilevel"/>
    <w:tmpl w:val="00000001"/>
    <w:lvl w:ilvl="0">
      <w:start w:val="1"/>
      <w:numFmt w:val="lowerLetter"/>
      <w:lvlText w:val=" %1)"/>
      <w:lvlJc w:val="left"/>
      <w:pPr>
        <w:tabs>
          <w:tab w:val="num" w:pos="1120"/>
        </w:tabs>
        <w:ind w:left="112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9">
    <w:nsid w:val="56967EE2"/>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0">
    <w:nsid w:val="5977CE4D"/>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1">
    <w:nsid w:val="5F864BB0"/>
    <w:multiLevelType w:val="multilevel"/>
    <w:tmpl w:val="00000001"/>
    <w:lvl w:ilvl="0">
      <w:start w:val="1"/>
      <w:numFmt w:val="upp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2">
    <w:nsid w:val="6135475A"/>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3">
    <w:nsid w:val="61AFAF04"/>
    <w:multiLevelType w:val="multilevel"/>
    <w:tmpl w:val="00000001"/>
    <w:lvl w:ilvl="0">
      <w:start w:val="1"/>
      <w:numFmt w:val="decimal"/>
      <w:lvlText w:val="2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4">
    <w:nsid w:val="656134B6"/>
    <w:multiLevelType w:val="multilevel"/>
    <w:tmpl w:val="00000001"/>
    <w:lvl w:ilvl="0">
      <w:start w:val="4"/>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5">
    <w:nsid w:val="66577417"/>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6">
    <w:nsid w:val="6B11EE3C"/>
    <w:multiLevelType w:val="multilevel"/>
    <w:tmpl w:val="00000001"/>
    <w:lvl w:ilvl="0">
      <w:start w:val="1"/>
      <w:numFmt w:val="upperRoman"/>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7">
    <w:nsid w:val="6F048914"/>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8">
    <w:nsid w:val="7148C46F"/>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9">
    <w:nsid w:val="78F76EAB"/>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0">
    <w:nsid w:val="7AB2384B"/>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1">
    <w:nsid w:val="7C933CB2"/>
    <w:multiLevelType w:val="multilevel"/>
    <w:tmpl w:val="00000001"/>
    <w:lvl w:ilvl="0">
      <w:start w:val="1"/>
      <w:numFmt w:val="decimal"/>
      <w:lvlText w:val="67."/>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2">
    <w:nsid w:val="7F328923"/>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300"/>
  </w:num>
  <w:num w:numId="20">
    <w:abstractNumId w:val="305"/>
  </w:num>
  <w:num w:numId="21">
    <w:abstractNumId w:val="18"/>
  </w:num>
  <w:num w:numId="22">
    <w:abstractNumId w:val="19"/>
  </w:num>
  <w:num w:numId="23">
    <w:abstractNumId w:val="20"/>
  </w:num>
  <w:num w:numId="24">
    <w:abstractNumId w:val="21"/>
  </w:num>
  <w:num w:numId="25">
    <w:abstractNumId w:val="22"/>
  </w:num>
  <w:num w:numId="26">
    <w:abstractNumId w:val="23"/>
  </w:num>
  <w:num w:numId="27">
    <w:abstractNumId w:val="24"/>
  </w:num>
  <w:num w:numId="28">
    <w:abstractNumId w:val="25"/>
  </w:num>
  <w:num w:numId="29">
    <w:abstractNumId w:val="26"/>
  </w:num>
  <w:num w:numId="30">
    <w:abstractNumId w:val="27"/>
  </w:num>
  <w:num w:numId="31">
    <w:abstractNumId w:val="28"/>
  </w:num>
  <w:num w:numId="32">
    <w:abstractNumId w:val="29"/>
  </w:num>
  <w:num w:numId="33">
    <w:abstractNumId w:val="30"/>
  </w:num>
  <w:num w:numId="34">
    <w:abstractNumId w:val="31"/>
  </w:num>
  <w:num w:numId="35">
    <w:abstractNumId w:val="292"/>
  </w:num>
  <w:num w:numId="36">
    <w:abstractNumId w:val="319"/>
  </w:num>
  <w:num w:numId="37">
    <w:abstractNumId w:val="32"/>
  </w:num>
  <w:num w:numId="38">
    <w:abstractNumId w:val="33"/>
  </w:num>
  <w:num w:numId="39">
    <w:abstractNumId w:val="34"/>
  </w:num>
  <w:num w:numId="40">
    <w:abstractNumId w:val="35"/>
  </w:num>
  <w:num w:numId="41">
    <w:abstractNumId w:val="36"/>
  </w:num>
  <w:num w:numId="42">
    <w:abstractNumId w:val="37"/>
  </w:num>
  <w:num w:numId="43">
    <w:abstractNumId w:val="38"/>
  </w:num>
  <w:num w:numId="44">
    <w:abstractNumId w:val="39"/>
  </w:num>
  <w:num w:numId="45">
    <w:abstractNumId w:val="40"/>
  </w:num>
  <w:num w:numId="46">
    <w:abstractNumId w:val="41"/>
  </w:num>
  <w:num w:numId="47">
    <w:abstractNumId w:val="42"/>
  </w:num>
  <w:num w:numId="48">
    <w:abstractNumId w:val="43"/>
  </w:num>
  <w:num w:numId="49">
    <w:abstractNumId w:val="44"/>
  </w:num>
  <w:num w:numId="50">
    <w:abstractNumId w:val="45"/>
  </w:num>
  <w:num w:numId="51">
    <w:abstractNumId w:val="46"/>
  </w:num>
  <w:num w:numId="52">
    <w:abstractNumId w:val="286"/>
  </w:num>
  <w:num w:numId="53">
    <w:abstractNumId w:val="283"/>
  </w:num>
  <w:num w:numId="54">
    <w:abstractNumId w:val="47"/>
  </w:num>
  <w:num w:numId="55">
    <w:abstractNumId w:val="48"/>
  </w:num>
  <w:num w:numId="56">
    <w:abstractNumId w:val="49"/>
  </w:num>
  <w:num w:numId="57">
    <w:abstractNumId w:val="50"/>
  </w:num>
  <w:num w:numId="58">
    <w:abstractNumId w:val="51"/>
  </w:num>
  <w:num w:numId="59">
    <w:abstractNumId w:val="52"/>
  </w:num>
  <w:num w:numId="60">
    <w:abstractNumId w:val="53"/>
  </w:num>
  <w:num w:numId="61">
    <w:abstractNumId w:val="282"/>
  </w:num>
  <w:num w:numId="62">
    <w:abstractNumId w:val="285"/>
  </w:num>
  <w:num w:numId="63">
    <w:abstractNumId w:val="288"/>
  </w:num>
  <w:num w:numId="64">
    <w:abstractNumId w:val="322"/>
  </w:num>
  <w:num w:numId="65">
    <w:abstractNumId w:val="313"/>
  </w:num>
  <w:num w:numId="66">
    <w:abstractNumId w:val="295"/>
  </w:num>
  <w:num w:numId="67">
    <w:abstractNumId w:val="291"/>
  </w:num>
  <w:num w:numId="68">
    <w:abstractNumId w:val="289"/>
  </w:num>
  <w:num w:numId="69">
    <w:abstractNumId w:val="299"/>
  </w:num>
  <w:num w:numId="70">
    <w:abstractNumId w:val="290"/>
  </w:num>
  <w:num w:numId="71">
    <w:abstractNumId w:val="317"/>
  </w:num>
  <w:num w:numId="72">
    <w:abstractNumId w:val="303"/>
  </w:num>
  <w:num w:numId="73">
    <w:abstractNumId w:val="294"/>
  </w:num>
  <w:num w:numId="74">
    <w:abstractNumId w:val="321"/>
  </w:num>
  <w:num w:numId="75">
    <w:abstractNumId w:val="320"/>
  </w:num>
  <w:num w:numId="76">
    <w:abstractNumId w:val="297"/>
  </w:num>
  <w:num w:numId="77">
    <w:abstractNumId w:val="318"/>
  </w:num>
  <w:num w:numId="78">
    <w:abstractNumId w:val="312"/>
  </w:num>
  <w:num w:numId="79">
    <w:abstractNumId w:val="293"/>
  </w:num>
  <w:num w:numId="80">
    <w:abstractNumId w:val="309"/>
  </w:num>
  <w:num w:numId="81">
    <w:abstractNumId w:val="310"/>
  </w:num>
  <w:num w:numId="82">
    <w:abstractNumId w:val="315"/>
  </w:num>
  <w:num w:numId="83">
    <w:abstractNumId w:val="301"/>
  </w:num>
  <w:num w:numId="84">
    <w:abstractNumId w:val="308"/>
  </w:num>
  <w:num w:numId="85">
    <w:abstractNumId w:val="307"/>
  </w:num>
  <w:num w:numId="86">
    <w:abstractNumId w:val="316"/>
  </w:num>
  <w:num w:numId="87">
    <w:abstractNumId w:val="314"/>
  </w:num>
  <w:num w:numId="88">
    <w:abstractNumId w:val="311"/>
  </w:num>
  <w:num w:numId="89">
    <w:abstractNumId w:val="54"/>
  </w:num>
  <w:num w:numId="90">
    <w:abstractNumId w:val="55"/>
  </w:num>
  <w:num w:numId="91">
    <w:abstractNumId w:val="56"/>
  </w:num>
  <w:num w:numId="92">
    <w:abstractNumId w:val="57"/>
  </w:num>
  <w:num w:numId="93">
    <w:abstractNumId w:val="58"/>
  </w:num>
  <w:num w:numId="94">
    <w:abstractNumId w:val="59"/>
  </w:num>
  <w:num w:numId="95">
    <w:abstractNumId w:val="60"/>
  </w:num>
  <w:num w:numId="96">
    <w:abstractNumId w:val="61"/>
  </w:num>
  <w:num w:numId="97">
    <w:abstractNumId w:val="62"/>
  </w:num>
  <w:num w:numId="98">
    <w:abstractNumId w:val="63"/>
  </w:num>
  <w:num w:numId="99">
    <w:abstractNumId w:val="64"/>
  </w:num>
  <w:num w:numId="100">
    <w:abstractNumId w:val="65"/>
  </w:num>
  <w:num w:numId="101">
    <w:abstractNumId w:val="66"/>
  </w:num>
  <w:num w:numId="102">
    <w:abstractNumId w:val="67"/>
  </w:num>
  <w:num w:numId="103">
    <w:abstractNumId w:val="68"/>
  </w:num>
  <w:num w:numId="104">
    <w:abstractNumId w:val="69"/>
  </w:num>
  <w:num w:numId="105">
    <w:abstractNumId w:val="70"/>
  </w:num>
  <w:num w:numId="106">
    <w:abstractNumId w:val="71"/>
  </w:num>
  <w:num w:numId="107">
    <w:abstractNumId w:val="72"/>
  </w:num>
  <w:num w:numId="108">
    <w:abstractNumId w:val="73"/>
  </w:num>
  <w:num w:numId="109">
    <w:abstractNumId w:val="74"/>
  </w:num>
  <w:num w:numId="110">
    <w:abstractNumId w:val="75"/>
  </w:num>
  <w:num w:numId="111">
    <w:abstractNumId w:val="76"/>
  </w:num>
  <w:num w:numId="112">
    <w:abstractNumId w:val="77"/>
  </w:num>
  <w:num w:numId="113">
    <w:abstractNumId w:val="78"/>
  </w:num>
  <w:num w:numId="114">
    <w:abstractNumId w:val="79"/>
  </w:num>
  <w:num w:numId="115">
    <w:abstractNumId w:val="80"/>
  </w:num>
  <w:num w:numId="116">
    <w:abstractNumId w:val="81"/>
  </w:num>
  <w:num w:numId="117">
    <w:abstractNumId w:val="82"/>
  </w:num>
  <w:num w:numId="118">
    <w:abstractNumId w:val="83"/>
  </w:num>
  <w:num w:numId="119">
    <w:abstractNumId w:val="84"/>
  </w:num>
  <w:num w:numId="120">
    <w:abstractNumId w:val="85"/>
  </w:num>
  <w:num w:numId="121">
    <w:abstractNumId w:val="86"/>
  </w:num>
  <w:num w:numId="122">
    <w:abstractNumId w:val="87"/>
  </w:num>
  <w:num w:numId="123">
    <w:abstractNumId w:val="88"/>
  </w:num>
  <w:num w:numId="124">
    <w:abstractNumId w:val="89"/>
  </w:num>
  <w:num w:numId="125">
    <w:abstractNumId w:val="90"/>
  </w:num>
  <w:num w:numId="126">
    <w:abstractNumId w:val="91"/>
  </w:num>
  <w:num w:numId="127">
    <w:abstractNumId w:val="92"/>
  </w:num>
  <w:num w:numId="128">
    <w:abstractNumId w:val="93"/>
  </w:num>
  <w:num w:numId="129">
    <w:abstractNumId w:val="94"/>
  </w:num>
  <w:num w:numId="130">
    <w:abstractNumId w:val="95"/>
  </w:num>
  <w:num w:numId="131">
    <w:abstractNumId w:val="96"/>
  </w:num>
  <w:num w:numId="132">
    <w:abstractNumId w:val="97"/>
  </w:num>
  <w:num w:numId="133">
    <w:abstractNumId w:val="98"/>
  </w:num>
  <w:num w:numId="134">
    <w:abstractNumId w:val="99"/>
  </w:num>
  <w:num w:numId="135">
    <w:abstractNumId w:val="100"/>
  </w:num>
  <w:num w:numId="136">
    <w:abstractNumId w:val="101"/>
  </w:num>
  <w:num w:numId="137">
    <w:abstractNumId w:val="102"/>
  </w:num>
  <w:num w:numId="138">
    <w:abstractNumId w:val="103"/>
  </w:num>
  <w:num w:numId="139">
    <w:abstractNumId w:val="104"/>
  </w:num>
  <w:num w:numId="140">
    <w:abstractNumId w:val="105"/>
  </w:num>
  <w:num w:numId="141">
    <w:abstractNumId w:val="106"/>
  </w:num>
  <w:num w:numId="142">
    <w:abstractNumId w:val="107"/>
  </w:num>
  <w:num w:numId="143">
    <w:abstractNumId w:val="108"/>
  </w:num>
  <w:num w:numId="144">
    <w:abstractNumId w:val="109"/>
  </w:num>
  <w:num w:numId="145">
    <w:abstractNumId w:val="110"/>
  </w:num>
  <w:num w:numId="146">
    <w:abstractNumId w:val="111"/>
  </w:num>
  <w:num w:numId="147">
    <w:abstractNumId w:val="112"/>
  </w:num>
  <w:num w:numId="148">
    <w:abstractNumId w:val="113"/>
  </w:num>
  <w:num w:numId="149">
    <w:abstractNumId w:val="114"/>
  </w:num>
  <w:num w:numId="150">
    <w:abstractNumId w:val="115"/>
  </w:num>
  <w:num w:numId="151">
    <w:abstractNumId w:val="116"/>
  </w:num>
  <w:num w:numId="152">
    <w:abstractNumId w:val="117"/>
  </w:num>
  <w:num w:numId="153">
    <w:abstractNumId w:val="118"/>
  </w:num>
  <w:num w:numId="154">
    <w:abstractNumId w:val="119"/>
  </w:num>
  <w:num w:numId="155">
    <w:abstractNumId w:val="120"/>
  </w:num>
  <w:num w:numId="156">
    <w:abstractNumId w:val="121"/>
  </w:num>
  <w:num w:numId="157">
    <w:abstractNumId w:val="122"/>
  </w:num>
  <w:num w:numId="158">
    <w:abstractNumId w:val="123"/>
  </w:num>
  <w:num w:numId="159">
    <w:abstractNumId w:val="124"/>
  </w:num>
  <w:num w:numId="160">
    <w:abstractNumId w:val="125"/>
  </w:num>
  <w:num w:numId="161">
    <w:abstractNumId w:val="126"/>
  </w:num>
  <w:num w:numId="162">
    <w:abstractNumId w:val="127"/>
  </w:num>
  <w:num w:numId="163">
    <w:abstractNumId w:val="128"/>
  </w:num>
  <w:num w:numId="164">
    <w:abstractNumId w:val="129"/>
  </w:num>
  <w:num w:numId="165">
    <w:abstractNumId w:val="130"/>
  </w:num>
  <w:num w:numId="166">
    <w:abstractNumId w:val="131"/>
  </w:num>
  <w:num w:numId="167">
    <w:abstractNumId w:val="132"/>
  </w:num>
  <w:num w:numId="168">
    <w:abstractNumId w:val="133"/>
  </w:num>
  <w:num w:numId="169">
    <w:abstractNumId w:val="134"/>
  </w:num>
  <w:num w:numId="170">
    <w:abstractNumId w:val="135"/>
  </w:num>
  <w:num w:numId="171">
    <w:abstractNumId w:val="136"/>
  </w:num>
  <w:num w:numId="172">
    <w:abstractNumId w:val="137"/>
  </w:num>
  <w:num w:numId="173">
    <w:abstractNumId w:val="138"/>
  </w:num>
  <w:num w:numId="174">
    <w:abstractNumId w:val="139"/>
  </w:num>
  <w:num w:numId="175">
    <w:abstractNumId w:val="140"/>
  </w:num>
  <w:num w:numId="176">
    <w:abstractNumId w:val="141"/>
  </w:num>
  <w:num w:numId="177">
    <w:abstractNumId w:val="142"/>
  </w:num>
  <w:num w:numId="178">
    <w:abstractNumId w:val="143"/>
  </w:num>
  <w:num w:numId="179">
    <w:abstractNumId w:val="144"/>
  </w:num>
  <w:num w:numId="180">
    <w:abstractNumId w:val="145"/>
  </w:num>
  <w:num w:numId="181">
    <w:abstractNumId w:val="146"/>
  </w:num>
  <w:num w:numId="182">
    <w:abstractNumId w:val="147"/>
  </w:num>
  <w:num w:numId="183">
    <w:abstractNumId w:val="148"/>
  </w:num>
  <w:num w:numId="184">
    <w:abstractNumId w:val="149"/>
  </w:num>
  <w:num w:numId="185">
    <w:abstractNumId w:val="150"/>
  </w:num>
  <w:num w:numId="186">
    <w:abstractNumId w:val="151"/>
  </w:num>
  <w:num w:numId="187">
    <w:abstractNumId w:val="152"/>
  </w:num>
  <w:num w:numId="188">
    <w:abstractNumId w:val="153"/>
  </w:num>
  <w:num w:numId="189">
    <w:abstractNumId w:val="154"/>
  </w:num>
  <w:num w:numId="190">
    <w:abstractNumId w:val="155"/>
  </w:num>
  <w:num w:numId="191">
    <w:abstractNumId w:val="156"/>
  </w:num>
  <w:num w:numId="192">
    <w:abstractNumId w:val="157"/>
  </w:num>
  <w:num w:numId="193">
    <w:abstractNumId w:val="158"/>
  </w:num>
  <w:num w:numId="194">
    <w:abstractNumId w:val="159"/>
  </w:num>
  <w:num w:numId="195">
    <w:abstractNumId w:val="160"/>
  </w:num>
  <w:num w:numId="196">
    <w:abstractNumId w:val="161"/>
  </w:num>
  <w:num w:numId="197">
    <w:abstractNumId w:val="162"/>
  </w:num>
  <w:num w:numId="198">
    <w:abstractNumId w:val="163"/>
  </w:num>
  <w:num w:numId="199">
    <w:abstractNumId w:val="164"/>
  </w:num>
  <w:num w:numId="200">
    <w:abstractNumId w:val="165"/>
  </w:num>
  <w:num w:numId="201">
    <w:abstractNumId w:val="166"/>
  </w:num>
  <w:num w:numId="202">
    <w:abstractNumId w:val="167"/>
  </w:num>
  <w:num w:numId="203">
    <w:abstractNumId w:val="168"/>
  </w:num>
  <w:num w:numId="204">
    <w:abstractNumId w:val="169"/>
  </w:num>
  <w:num w:numId="205">
    <w:abstractNumId w:val="170"/>
  </w:num>
  <w:num w:numId="206">
    <w:abstractNumId w:val="171"/>
  </w:num>
  <w:num w:numId="207">
    <w:abstractNumId w:val="172"/>
  </w:num>
  <w:num w:numId="208">
    <w:abstractNumId w:val="173"/>
  </w:num>
  <w:num w:numId="209">
    <w:abstractNumId w:val="174"/>
  </w:num>
  <w:num w:numId="210">
    <w:abstractNumId w:val="175"/>
  </w:num>
  <w:num w:numId="211">
    <w:abstractNumId w:val="176"/>
  </w:num>
  <w:num w:numId="212">
    <w:abstractNumId w:val="177"/>
  </w:num>
  <w:num w:numId="213">
    <w:abstractNumId w:val="178"/>
  </w:num>
  <w:num w:numId="214">
    <w:abstractNumId w:val="179"/>
  </w:num>
  <w:num w:numId="215">
    <w:abstractNumId w:val="180"/>
  </w:num>
  <w:num w:numId="216">
    <w:abstractNumId w:val="181"/>
  </w:num>
  <w:num w:numId="217">
    <w:abstractNumId w:val="182"/>
  </w:num>
  <w:num w:numId="218">
    <w:abstractNumId w:val="183"/>
  </w:num>
  <w:num w:numId="219">
    <w:abstractNumId w:val="184"/>
  </w:num>
  <w:num w:numId="220">
    <w:abstractNumId w:val="185"/>
  </w:num>
  <w:num w:numId="221">
    <w:abstractNumId w:val="186"/>
  </w:num>
  <w:num w:numId="222">
    <w:abstractNumId w:val="187"/>
  </w:num>
  <w:num w:numId="223">
    <w:abstractNumId w:val="188"/>
  </w:num>
  <w:num w:numId="224">
    <w:abstractNumId w:val="189"/>
  </w:num>
  <w:num w:numId="225">
    <w:abstractNumId w:val="190"/>
  </w:num>
  <w:num w:numId="226">
    <w:abstractNumId w:val="191"/>
  </w:num>
  <w:num w:numId="227">
    <w:abstractNumId w:val="192"/>
  </w:num>
  <w:num w:numId="228">
    <w:abstractNumId w:val="193"/>
  </w:num>
  <w:num w:numId="229">
    <w:abstractNumId w:val="194"/>
  </w:num>
  <w:num w:numId="230">
    <w:abstractNumId w:val="195"/>
  </w:num>
  <w:num w:numId="231">
    <w:abstractNumId w:val="196"/>
  </w:num>
  <w:num w:numId="232">
    <w:abstractNumId w:val="197"/>
  </w:num>
  <w:num w:numId="233">
    <w:abstractNumId w:val="198"/>
  </w:num>
  <w:num w:numId="234">
    <w:abstractNumId w:val="199"/>
  </w:num>
  <w:num w:numId="235">
    <w:abstractNumId w:val="200"/>
  </w:num>
  <w:num w:numId="236">
    <w:abstractNumId w:val="201"/>
  </w:num>
  <w:num w:numId="237">
    <w:abstractNumId w:val="202"/>
  </w:num>
  <w:num w:numId="238">
    <w:abstractNumId w:val="203"/>
  </w:num>
  <w:num w:numId="239">
    <w:abstractNumId w:val="204"/>
  </w:num>
  <w:num w:numId="240">
    <w:abstractNumId w:val="205"/>
  </w:num>
  <w:num w:numId="241">
    <w:abstractNumId w:val="206"/>
  </w:num>
  <w:num w:numId="242">
    <w:abstractNumId w:val="207"/>
  </w:num>
  <w:num w:numId="243">
    <w:abstractNumId w:val="208"/>
  </w:num>
  <w:num w:numId="244">
    <w:abstractNumId w:val="209"/>
  </w:num>
  <w:num w:numId="245">
    <w:abstractNumId w:val="210"/>
  </w:num>
  <w:num w:numId="246">
    <w:abstractNumId w:val="211"/>
  </w:num>
  <w:num w:numId="247">
    <w:abstractNumId w:val="212"/>
  </w:num>
  <w:num w:numId="248">
    <w:abstractNumId w:val="213"/>
  </w:num>
  <w:num w:numId="249">
    <w:abstractNumId w:val="214"/>
  </w:num>
  <w:num w:numId="250">
    <w:abstractNumId w:val="215"/>
  </w:num>
  <w:num w:numId="251">
    <w:abstractNumId w:val="216"/>
  </w:num>
  <w:num w:numId="252">
    <w:abstractNumId w:val="217"/>
  </w:num>
  <w:num w:numId="253">
    <w:abstractNumId w:val="218"/>
  </w:num>
  <w:num w:numId="254">
    <w:abstractNumId w:val="219"/>
  </w:num>
  <w:num w:numId="255">
    <w:abstractNumId w:val="220"/>
  </w:num>
  <w:num w:numId="256">
    <w:abstractNumId w:val="221"/>
  </w:num>
  <w:num w:numId="257">
    <w:abstractNumId w:val="222"/>
  </w:num>
  <w:num w:numId="258">
    <w:abstractNumId w:val="223"/>
  </w:num>
  <w:num w:numId="259">
    <w:abstractNumId w:val="224"/>
  </w:num>
  <w:num w:numId="260">
    <w:abstractNumId w:val="225"/>
  </w:num>
  <w:num w:numId="261">
    <w:abstractNumId w:val="226"/>
  </w:num>
  <w:num w:numId="262">
    <w:abstractNumId w:val="227"/>
  </w:num>
  <w:num w:numId="263">
    <w:abstractNumId w:val="228"/>
  </w:num>
  <w:num w:numId="264">
    <w:abstractNumId w:val="229"/>
  </w:num>
  <w:num w:numId="265">
    <w:abstractNumId w:val="230"/>
  </w:num>
  <w:num w:numId="266">
    <w:abstractNumId w:val="231"/>
  </w:num>
  <w:num w:numId="267">
    <w:abstractNumId w:val="232"/>
  </w:num>
  <w:num w:numId="268">
    <w:abstractNumId w:val="233"/>
  </w:num>
  <w:num w:numId="269">
    <w:abstractNumId w:val="234"/>
  </w:num>
  <w:num w:numId="270">
    <w:abstractNumId w:val="235"/>
  </w:num>
  <w:num w:numId="271">
    <w:abstractNumId w:val="236"/>
  </w:num>
  <w:num w:numId="272">
    <w:abstractNumId w:val="237"/>
  </w:num>
  <w:num w:numId="273">
    <w:abstractNumId w:val="238"/>
  </w:num>
  <w:num w:numId="274">
    <w:abstractNumId w:val="239"/>
  </w:num>
  <w:num w:numId="275">
    <w:abstractNumId w:val="240"/>
  </w:num>
  <w:num w:numId="276">
    <w:abstractNumId w:val="241"/>
  </w:num>
  <w:num w:numId="277">
    <w:abstractNumId w:val="242"/>
  </w:num>
  <w:num w:numId="278">
    <w:abstractNumId w:val="243"/>
  </w:num>
  <w:num w:numId="279">
    <w:abstractNumId w:val="244"/>
  </w:num>
  <w:num w:numId="280">
    <w:abstractNumId w:val="245"/>
  </w:num>
  <w:num w:numId="281">
    <w:abstractNumId w:val="246"/>
  </w:num>
  <w:num w:numId="282">
    <w:abstractNumId w:val="247"/>
  </w:num>
  <w:num w:numId="283">
    <w:abstractNumId w:val="248"/>
  </w:num>
  <w:num w:numId="284">
    <w:abstractNumId w:val="249"/>
  </w:num>
  <w:num w:numId="285">
    <w:abstractNumId w:val="250"/>
  </w:num>
  <w:num w:numId="286">
    <w:abstractNumId w:val="251"/>
  </w:num>
  <w:num w:numId="287">
    <w:abstractNumId w:val="252"/>
  </w:num>
  <w:num w:numId="288">
    <w:abstractNumId w:val="253"/>
  </w:num>
  <w:num w:numId="289">
    <w:abstractNumId w:val="254"/>
  </w:num>
  <w:num w:numId="290">
    <w:abstractNumId w:val="255"/>
  </w:num>
  <w:num w:numId="291">
    <w:abstractNumId w:val="256"/>
  </w:num>
  <w:num w:numId="292">
    <w:abstractNumId w:val="257"/>
  </w:num>
  <w:num w:numId="293">
    <w:abstractNumId w:val="258"/>
  </w:num>
  <w:num w:numId="294">
    <w:abstractNumId w:val="259"/>
  </w:num>
  <w:num w:numId="295">
    <w:abstractNumId w:val="260"/>
  </w:num>
  <w:num w:numId="296">
    <w:abstractNumId w:val="261"/>
  </w:num>
  <w:num w:numId="297">
    <w:abstractNumId w:val="262"/>
  </w:num>
  <w:num w:numId="298">
    <w:abstractNumId w:val="263"/>
  </w:num>
  <w:num w:numId="299">
    <w:abstractNumId w:val="264"/>
  </w:num>
  <w:num w:numId="300">
    <w:abstractNumId w:val="265"/>
  </w:num>
  <w:num w:numId="301">
    <w:abstractNumId w:val="266"/>
  </w:num>
  <w:num w:numId="302">
    <w:abstractNumId w:val="267"/>
  </w:num>
  <w:num w:numId="303">
    <w:abstractNumId w:val="268"/>
  </w:num>
  <w:num w:numId="304">
    <w:abstractNumId w:val="269"/>
  </w:num>
  <w:num w:numId="305">
    <w:abstractNumId w:val="270"/>
  </w:num>
  <w:num w:numId="306">
    <w:abstractNumId w:val="271"/>
  </w:num>
  <w:num w:numId="307">
    <w:abstractNumId w:val="272"/>
  </w:num>
  <w:num w:numId="308">
    <w:abstractNumId w:val="273"/>
  </w:num>
  <w:num w:numId="309">
    <w:abstractNumId w:val="274"/>
  </w:num>
  <w:num w:numId="310">
    <w:abstractNumId w:val="275"/>
  </w:num>
  <w:num w:numId="311">
    <w:abstractNumId w:val="276"/>
  </w:num>
  <w:num w:numId="312">
    <w:abstractNumId w:val="277"/>
  </w:num>
  <w:num w:numId="313">
    <w:abstractNumId w:val="278"/>
  </w:num>
  <w:num w:numId="314">
    <w:abstractNumId w:val="279"/>
  </w:num>
  <w:num w:numId="315">
    <w:abstractNumId w:val="280"/>
  </w:num>
  <w:num w:numId="316">
    <w:abstractNumId w:val="281"/>
  </w:num>
  <w:num w:numId="317">
    <w:abstractNumId w:val="302"/>
  </w:num>
  <w:num w:numId="318">
    <w:abstractNumId w:val="298"/>
  </w:num>
  <w:num w:numId="319">
    <w:abstractNumId w:val="304"/>
  </w:num>
  <w:num w:numId="320">
    <w:abstractNumId w:val="284"/>
  </w:num>
  <w:num w:numId="321">
    <w:abstractNumId w:val="306"/>
  </w:num>
  <w:num w:numId="322">
    <w:abstractNumId w:val="287"/>
  </w:num>
  <w:num w:numId="323">
    <w:abstractNumId w:val="29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ca&amp;id=urn:contentItem:5F7T-S781-F06F-240K-00000-00&amp;context=" TargetMode="External" /><Relationship Id="rId100" Type="http://schemas.openxmlformats.org/officeDocument/2006/relationships/hyperlink" Target="https://advance.lexis.com/api/document?collection=cases-ca&amp;id=urn:contentItem:5F7T-S7J1-FGCG-S0N9-00000-00&amp;context=" TargetMode="External" /><Relationship Id="rId1000" Type="http://schemas.openxmlformats.org/officeDocument/2006/relationships/hyperlink" Target="https://advance.lexis.com/api/document?collection=legislation-ca&amp;id=urn:contentItem:5F41-1FH1-F361-M0F1-00000-00&amp;context=" TargetMode="External" /><Relationship Id="rId1001" Type="http://schemas.openxmlformats.org/officeDocument/2006/relationships/hyperlink" Target="https://advance.lexis.com/api/document?collection=cases-ca&amp;id=urn:contentItem:5F8T-N3T1-JGHR-M278-00000-00&amp;context=" TargetMode="External" /><Relationship Id="rId1002" Type="http://schemas.openxmlformats.org/officeDocument/2006/relationships/hyperlink" Target="https://advance.lexis.com/api/document?collection=cases-ca&amp;id=urn:contentItem:5F7T-S6T1-JJSF-212B-00000-00&amp;context=" TargetMode="External" /><Relationship Id="rId1003" Type="http://schemas.openxmlformats.org/officeDocument/2006/relationships/hyperlink" Target="https://advance.lexis.com/api/document?collection=cases-ca&amp;id=urn:contentItem:5F7T-S6V1-F2TK-226C-00000-00&amp;context=" TargetMode="External" /><Relationship Id="rId1004" Type="http://schemas.openxmlformats.org/officeDocument/2006/relationships/hyperlink" Target="https://advance.lexis.com/api/document?collection=cases-ca&amp;id=urn:contentItem:5F7T-S781-DYMS-61C9-00000-00&amp;context=" TargetMode="External" /><Relationship Id="rId1005" Type="http://schemas.openxmlformats.org/officeDocument/2006/relationships/hyperlink" Target="https://advance.lexis.com/api/document?collection=cases-ca&amp;id=urn:contentItem:5F7T-S761-FGJR-22T0-00000-00&amp;context=" TargetMode="External" /><Relationship Id="rId1006" Type="http://schemas.openxmlformats.org/officeDocument/2006/relationships/hyperlink" Target="https://advance.lexis.com/api/document?collection=cases-ca&amp;id=urn:contentItem:5F7T-S6X1-FCCX-60VY-00000-00&amp;context=" TargetMode="External" /><Relationship Id="rId1007" Type="http://schemas.openxmlformats.org/officeDocument/2006/relationships/hyperlink" Target="https://advance.lexis.com/api/document?collection=cases-ca&amp;id=urn:contentItem:5F81-YH41-JX8W-M05X-00000-00&amp;context=" TargetMode="External" /><Relationship Id="rId1008" Type="http://schemas.openxmlformats.org/officeDocument/2006/relationships/hyperlink" Target="https://advance.lexis.com/api/document?collection=cases-ca&amp;id=urn:contentItem:5F7T-S731-FFFC-B0W2-00000-00&amp;context=" TargetMode="External" /><Relationship Id="rId1009" Type="http://schemas.openxmlformats.org/officeDocument/2006/relationships/hyperlink" Target="https://advance.lexis.com/api/document?collection=cases-ca&amp;id=urn:contentItem:5F7T-S751-JGHR-M216-00000-00&amp;context=" TargetMode="External" /><Relationship Id="rId101" Type="http://schemas.openxmlformats.org/officeDocument/2006/relationships/hyperlink" Target="https://advance.lexis.com/api/document?collection=cases-ca&amp;id=urn:contentItem:5F7T-S741-F1H1-21B5-00000-00&amp;context=" TargetMode="External" /><Relationship Id="rId1010" Type="http://schemas.openxmlformats.org/officeDocument/2006/relationships/hyperlink" Target="https://advance.lexis.com/api/document?collection=cases-ca&amp;id=urn:contentItem:5F7T-S751-JBM1-M2CY-00000-00&amp;context=" TargetMode="External" /><Relationship Id="rId1011" Type="http://schemas.openxmlformats.org/officeDocument/2006/relationships/header" Target="header136.xml" /><Relationship Id="rId1012" Type="http://schemas.openxmlformats.org/officeDocument/2006/relationships/header" Target="header137.xml" /><Relationship Id="rId1013" Type="http://schemas.openxmlformats.org/officeDocument/2006/relationships/footer" Target="footer136.xml" /><Relationship Id="rId1014" Type="http://schemas.openxmlformats.org/officeDocument/2006/relationships/footer" Target="footer137.xml" /><Relationship Id="rId1015" Type="http://schemas.openxmlformats.org/officeDocument/2006/relationships/header" Target="header138.xml" /><Relationship Id="rId1016" Type="http://schemas.openxmlformats.org/officeDocument/2006/relationships/footer" Target="footer138.xml" /><Relationship Id="rId1017" Type="http://schemas.openxmlformats.org/officeDocument/2006/relationships/hyperlink" Target="https://advance.lexis.com/api/document?collection=cases-ca&amp;id=urn:contentItem:5F7T-S7G1-JPP5-223H-00000-00&amp;context=" TargetMode="External" /><Relationship Id="rId1018" Type="http://schemas.openxmlformats.org/officeDocument/2006/relationships/hyperlink" Target="https://advance.lexis.com/api/document?collection=legislation-ca&amp;id=urn:contentItem:5VYK-W9S1-JKHB-649S-00000-00&amp;context=" TargetMode="External" /><Relationship Id="rId1019" Type="http://schemas.openxmlformats.org/officeDocument/2006/relationships/hyperlink" Target="https://advance.lexis.com/api/document?collection=cases-ca&amp;id=urn:contentItem:5F8W-M491-JWBS-60H2-00000-00&amp;context=" TargetMode="External" /><Relationship Id="rId102" Type="http://schemas.openxmlformats.org/officeDocument/2006/relationships/hyperlink" Target="https://advance.lexis.com/api/document?collection=cases-ca&amp;id=urn:contentItem:5F7T-S7P1-F2TK-23DW-00000-00&amp;context=" TargetMode="External" /><Relationship Id="rId1020" Type="http://schemas.openxmlformats.org/officeDocument/2006/relationships/hyperlink" Target="https://advance.lexis.com/api/document?collection=cases-ca&amp;id=urn:contentItem:5F8W-M441-FG68-G2XD-00000-00&amp;context=" TargetMode="External" /><Relationship Id="rId1021" Type="http://schemas.openxmlformats.org/officeDocument/2006/relationships/hyperlink" Target="https://advance.lexis.com/api/document?collection=cases-ca&amp;id=urn:contentItem:5F7F-5RG1-JG02-S0WT-00000-00&amp;context=" TargetMode="External" /><Relationship Id="rId1022" Type="http://schemas.openxmlformats.org/officeDocument/2006/relationships/hyperlink" Target="https://advance.lexis.com/api/document?collection=cases-ca&amp;id=urn:contentItem:5F7F-5RF1-F4W2-60F5-00000-00&amp;context=" TargetMode="External" /><Relationship Id="rId1023" Type="http://schemas.openxmlformats.org/officeDocument/2006/relationships/hyperlink" Target="https://iclr.co.uk/pubrefLookup/redirectTo?ref=1892+P.+179" TargetMode="External" /><Relationship Id="rId1024" Type="http://schemas.openxmlformats.org/officeDocument/2006/relationships/image" Target="media/image3.png" /><Relationship Id="rId1025" Type="http://schemas.openxmlformats.org/officeDocument/2006/relationships/hyperlink" Target="https://advance.lexis.com/api/document?collection=cases-ca&amp;id=urn:contentItem:5F7T-S6Y1-F65M-60G4-00000-00&amp;context=" TargetMode="External" /><Relationship Id="rId1026" Type="http://schemas.openxmlformats.org/officeDocument/2006/relationships/hyperlink" Target="https://advance.lexis.com/api/document?collection=cases-ca&amp;id=urn:contentItem:5F7T-S7C1-JSRM-60T7-00000-00&amp;context=" TargetMode="External" /><Relationship Id="rId1027" Type="http://schemas.openxmlformats.org/officeDocument/2006/relationships/hyperlink" Target="https://advance.lexis.com/api/document?collection=cases-ca&amp;id=urn:contentItem:5F7D-YKB1-JKB3-X0GX-00000-00&amp;context=" TargetMode="External" /><Relationship Id="rId1028" Type="http://schemas.openxmlformats.org/officeDocument/2006/relationships/hyperlink" Target="https://advance.lexis.com/api/document?collection=cases-ca&amp;id=urn:contentItem:5F7T-S7F1-JFKM-61SK-00000-00&amp;context=" TargetMode="External" /><Relationship Id="rId1029" Type="http://schemas.openxmlformats.org/officeDocument/2006/relationships/header" Target="header139.xml" /><Relationship Id="rId103" Type="http://schemas.openxmlformats.org/officeDocument/2006/relationships/hyperlink" Target="https://advance.lexis.com/api/document?collection=cases-ca&amp;id=urn:contentItem:5F7T-S6T1-F361-M02C-00000-00&amp;context=" TargetMode="External" /><Relationship Id="rId1030" Type="http://schemas.openxmlformats.org/officeDocument/2006/relationships/header" Target="header140.xml" /><Relationship Id="rId1031" Type="http://schemas.openxmlformats.org/officeDocument/2006/relationships/footer" Target="footer139.xml" /><Relationship Id="rId1032" Type="http://schemas.openxmlformats.org/officeDocument/2006/relationships/footer" Target="footer140.xml" /><Relationship Id="rId1033" Type="http://schemas.openxmlformats.org/officeDocument/2006/relationships/header" Target="header141.xml" /><Relationship Id="rId1034" Type="http://schemas.openxmlformats.org/officeDocument/2006/relationships/footer" Target="footer141.xml" /><Relationship Id="rId1035" Type="http://schemas.openxmlformats.org/officeDocument/2006/relationships/hyperlink" Target="https://advance.lexis.com/api/document?collection=cases-ca&amp;id=urn:contentItem:5KKC-9731-JCBX-S2FV-00000-00&amp;context=" TargetMode="External" /><Relationship Id="rId1036" Type="http://schemas.openxmlformats.org/officeDocument/2006/relationships/hyperlink" Target="https://advance.lexis.com/api/document?collection=cases-ca&amp;id=urn:contentItem:5F7T-S7P1-F2TK-23BX-00000-00&amp;context=" TargetMode="External" /><Relationship Id="rId1037" Type="http://schemas.openxmlformats.org/officeDocument/2006/relationships/hyperlink" Target="https://advance.lexis.com/api/document?collection=cases-ca&amp;id=urn:contentItem:5F7T-S6W1-JYYX-61WY-00000-00&amp;context=" TargetMode="External" /><Relationship Id="rId1038" Type="http://schemas.openxmlformats.org/officeDocument/2006/relationships/hyperlink" Target="https://advance.lexis.com/api/document?collection=cases-ca&amp;id=urn:contentItem:5F7T-S7K1-JKHB-62SX-00000-00&amp;context=" TargetMode="External" /><Relationship Id="rId1039" Type="http://schemas.openxmlformats.org/officeDocument/2006/relationships/hyperlink" Target="https://advance.lexis.com/api/document?collection=legislation-ca&amp;id=urn:contentItem:5VYK-4RY1-JKB3-X1CT-00000-00&amp;context=" TargetMode="External" /><Relationship Id="rId104" Type="http://schemas.openxmlformats.org/officeDocument/2006/relationships/hyperlink" Target="https://advance.lexis.com/api/document?collection=cases-ca&amp;id=urn:contentItem:5F7T-S7G1-JX3N-B2JF-00000-00&amp;context=" TargetMode="External" /><Relationship Id="rId1040" Type="http://schemas.openxmlformats.org/officeDocument/2006/relationships/hyperlink" Target="https://advance.lexis.com/api/document?collection=cases-ca&amp;id=urn:contentItem:5F7T-S711-JNY7-X36P-00000-00&amp;context=" TargetMode="External" /><Relationship Id="rId1041" Type="http://schemas.openxmlformats.org/officeDocument/2006/relationships/hyperlink" Target="https://advance.lexis.com/api/document?collection=cases-ca&amp;id=urn:contentItem:5F7T-S7F1-FBN1-21S3-00000-00&amp;context=" TargetMode="External" /><Relationship Id="rId1042" Type="http://schemas.openxmlformats.org/officeDocument/2006/relationships/header" Target="header142.xml" /><Relationship Id="rId1043" Type="http://schemas.openxmlformats.org/officeDocument/2006/relationships/header" Target="header143.xml" /><Relationship Id="rId1044" Type="http://schemas.openxmlformats.org/officeDocument/2006/relationships/footer" Target="footer142.xml" /><Relationship Id="rId1045" Type="http://schemas.openxmlformats.org/officeDocument/2006/relationships/footer" Target="footer143.xml" /><Relationship Id="rId1046" Type="http://schemas.openxmlformats.org/officeDocument/2006/relationships/header" Target="header144.xml" /><Relationship Id="rId1047" Type="http://schemas.openxmlformats.org/officeDocument/2006/relationships/footer" Target="footer144.xml" /><Relationship Id="rId1048" Type="http://schemas.openxmlformats.org/officeDocument/2006/relationships/hyperlink" Target="https://advance.lexis.com/api/document?collection=cases-ca&amp;id=urn:contentItem:5JY7-RCM1-DXHD-G2T8-00000-00&amp;context=" TargetMode="External" /><Relationship Id="rId1049" Type="http://schemas.openxmlformats.org/officeDocument/2006/relationships/hyperlink" Target="https://advance.lexis.com/api/document?collection=cases-ca&amp;id=urn:contentItem:5F7T-S7D1-FBFS-S1WC-00000-00&amp;context=" TargetMode="External" /><Relationship Id="rId105" Type="http://schemas.openxmlformats.org/officeDocument/2006/relationships/hyperlink" Target="https://advance.lexis.com/api/document?collection=cases-ca&amp;id=urn:contentItem:5F7T-S7H1-F016-S3TY-00000-00&amp;context=" TargetMode="External" /><Relationship Id="rId1050" Type="http://schemas.openxmlformats.org/officeDocument/2006/relationships/hyperlink" Target="https://advance.lexis.com/api/document?collection=cases-ca&amp;id=urn:contentItem:5F8W-M451-JW5H-X0SH-00000-00&amp;context=" TargetMode="External" /><Relationship Id="rId1051" Type="http://schemas.openxmlformats.org/officeDocument/2006/relationships/hyperlink" Target="https://advance.lexis.com/api/document?collection=cases-ca&amp;id=urn:contentItem:5F8W-M441-JP4G-64H1-00000-00&amp;context=" TargetMode="External" /><Relationship Id="rId1052" Type="http://schemas.openxmlformats.org/officeDocument/2006/relationships/hyperlink" Target="https://advance.lexis.com/api/document?collection=cases-ca&amp;id=urn:contentItem:5F7T-S7D1-FFFC-B1FW-00000-00&amp;context=" TargetMode="External" /><Relationship Id="rId1053" Type="http://schemas.openxmlformats.org/officeDocument/2006/relationships/hyperlink" Target="https://advance.lexis.com/api/document?collection=cases-ca&amp;id=urn:contentItem:5F7T-S6Y1-JSC5-M348-00000-00&amp;context=" TargetMode="External" /><Relationship Id="rId1054" Type="http://schemas.openxmlformats.org/officeDocument/2006/relationships/hyperlink" Target="https://advance.lexis.com/api/document?collection=cases-ca&amp;id=urn:contentItem:5F7T-S6X1-F7ND-G3F1-00000-00&amp;context=" TargetMode="External" /><Relationship Id="rId1055" Type="http://schemas.openxmlformats.org/officeDocument/2006/relationships/hyperlink" Target="https://advance.lexis.com/api/document?collection=cases-ca&amp;id=urn:contentItem:5F7T-S771-JWBS-619Y-00000-00&amp;context=" TargetMode="External" /><Relationship Id="rId1056" Type="http://schemas.openxmlformats.org/officeDocument/2006/relationships/hyperlink" Target="https://advance.lexis.com/api/document?collection=cases-ca&amp;id=urn:contentItem:5GNX-CV61-JFSV-G424-00000-00&amp;context=" TargetMode="External" /><Relationship Id="rId1057" Type="http://schemas.openxmlformats.org/officeDocument/2006/relationships/hyperlink" Target="https://advance.lexis.com/api/document?collection=cases-ca&amp;id=urn:contentItem:5F16-9371-JBT7-X209-00000-00&amp;context=" TargetMode="External" /><Relationship Id="rId1058" Type="http://schemas.openxmlformats.org/officeDocument/2006/relationships/hyperlink" Target="https://advance.lexis.com/api/document?collection=cases-ca&amp;id=urn:contentItem:5F8W-M4D1-FJM6-63X4-00000-00&amp;context=" TargetMode="External" /><Relationship Id="rId1059" Type="http://schemas.openxmlformats.org/officeDocument/2006/relationships/hyperlink" Target="https://advance.lexis.com/api/document?collection=cases-ca&amp;id=urn:contentItem:5GTH-VWN1-JT99-21JS-00000-00&amp;context=" TargetMode="External" /><Relationship Id="rId106" Type="http://schemas.openxmlformats.org/officeDocument/2006/relationships/hyperlink" Target="https://advance.lexis.com/api/document?collection=cases-ca&amp;id=urn:contentItem:5F7T-S7M1-DYMS-62G2-00000-00&amp;context=" TargetMode="External" /><Relationship Id="rId1060" Type="http://schemas.openxmlformats.org/officeDocument/2006/relationships/hyperlink" Target="https://advance.lexis.com/api/document?collection=cases-ca&amp;id=urn:contentItem:5F8W-M491-JWBS-60MT-00000-00&amp;context=" TargetMode="External" /><Relationship Id="rId1061" Type="http://schemas.openxmlformats.org/officeDocument/2006/relationships/hyperlink" Target="https://advance.lexis.com/api/document?collection=cases-ca&amp;id=urn:contentItem:5F7T-S6Y1-JNY7-X2P3-00000-00&amp;context=" TargetMode="External" /><Relationship Id="rId1062" Type="http://schemas.openxmlformats.org/officeDocument/2006/relationships/hyperlink" Target="https://advance.lexis.com/api/document?collection=cases-ca&amp;id=urn:contentItem:5F7T-S711-JNS1-M0XF-00000-00&amp;context=" TargetMode="External" /><Relationship Id="rId1063" Type="http://schemas.openxmlformats.org/officeDocument/2006/relationships/header" Target="header145.xml" /><Relationship Id="rId1064" Type="http://schemas.openxmlformats.org/officeDocument/2006/relationships/header" Target="header146.xml" /><Relationship Id="rId1065" Type="http://schemas.openxmlformats.org/officeDocument/2006/relationships/footer" Target="footer145.xml" /><Relationship Id="rId1066" Type="http://schemas.openxmlformats.org/officeDocument/2006/relationships/footer" Target="footer146.xml" /><Relationship Id="rId1067" Type="http://schemas.openxmlformats.org/officeDocument/2006/relationships/header" Target="header147.xml" /><Relationship Id="rId1068" Type="http://schemas.openxmlformats.org/officeDocument/2006/relationships/footer" Target="footer147.xml" /><Relationship Id="rId1069" Type="http://schemas.openxmlformats.org/officeDocument/2006/relationships/hyperlink" Target="https://advance.lexis.com/api/document?collection=cases-ca&amp;id=urn:contentItem:5F7T-S7J1-FGCG-S02G-00000-00&amp;context=" TargetMode="External" /><Relationship Id="rId107" Type="http://schemas.openxmlformats.org/officeDocument/2006/relationships/hyperlink" Target="https://advance.lexis.com/api/document?collection=cases-ca&amp;id=urn:contentItem:5F7T-S7N1-JGHR-M381-00000-00&amp;context=" TargetMode="External" /><Relationship Id="rId1070" Type="http://schemas.openxmlformats.org/officeDocument/2006/relationships/hyperlink" Target="https://advance.lexis.com/api/document?collection=cases-ca&amp;id=urn:contentItem:5K6Y-81M1-DXHD-G2T1-00000-00&amp;context=" TargetMode="External" /><Relationship Id="rId1071" Type="http://schemas.openxmlformats.org/officeDocument/2006/relationships/hyperlink" Target="https://advance.lexis.com/api/document?collection=cases-ca&amp;id=urn:contentItem:5F8P-SF01-JS0R-20D4-00000-00&amp;context=" TargetMode="External" /><Relationship Id="rId1072" Type="http://schemas.openxmlformats.org/officeDocument/2006/relationships/hyperlink" Target="https://advance.lexis.com/api/document?collection=cases-ca&amp;id=urn:contentItem:5F7T-S7C1-JCJ5-20KG-00000-00&amp;context=" TargetMode="External" /><Relationship Id="rId1073" Type="http://schemas.openxmlformats.org/officeDocument/2006/relationships/header" Target="header148.xml" /><Relationship Id="rId1074" Type="http://schemas.openxmlformats.org/officeDocument/2006/relationships/header" Target="header149.xml" /><Relationship Id="rId1075" Type="http://schemas.openxmlformats.org/officeDocument/2006/relationships/footer" Target="footer148.xml" /><Relationship Id="rId1076" Type="http://schemas.openxmlformats.org/officeDocument/2006/relationships/footer" Target="footer149.xml" /><Relationship Id="rId1077" Type="http://schemas.openxmlformats.org/officeDocument/2006/relationships/header" Target="header150.xml" /><Relationship Id="rId1078" Type="http://schemas.openxmlformats.org/officeDocument/2006/relationships/footer" Target="footer150.xml" /><Relationship Id="rId1079" Type="http://schemas.openxmlformats.org/officeDocument/2006/relationships/hyperlink" Target="https://advance.lexis.com/api/document?collection=cases-ca&amp;id=urn:contentItem:5K6X-H241-JNS1-M0R9-00000-00&amp;context=" TargetMode="External" /><Relationship Id="rId108" Type="http://schemas.openxmlformats.org/officeDocument/2006/relationships/hyperlink" Target="https://advance.lexis.com/api/document?collection=cases-ca&amp;id=urn:contentItem:5F7T-S7P1-JG02-S418-00000-00&amp;context=" TargetMode="External" /><Relationship Id="rId1080" Type="http://schemas.openxmlformats.org/officeDocument/2006/relationships/hyperlink" Target="https://advance.lexis.com/api/document?collection=cases-ca&amp;id=urn:contentItem:5F7T-S7K1-JKHB-62R4-00000-00&amp;context=" TargetMode="External" /><Relationship Id="rId1081" Type="http://schemas.openxmlformats.org/officeDocument/2006/relationships/hyperlink" Target="https://advance.lexis.com/api/document?collection=legislation-ca&amp;id=urn:contentItem:5W3Y-TSR1-FC6N-X0HD-00000-00&amp;context=" TargetMode="External" /><Relationship Id="rId1082" Type="http://schemas.openxmlformats.org/officeDocument/2006/relationships/numbering" Target="numbering.xml" /><Relationship Id="rId1083" Type="http://schemas.openxmlformats.org/officeDocument/2006/relationships/styles" Target="styles.xml" /><Relationship Id="rId109" Type="http://schemas.openxmlformats.org/officeDocument/2006/relationships/hyperlink" Target="https://advance.lexis.com/api/document?collection=cases-ca&amp;id=urn:contentItem:5F7T-S7P1-JP4G-61P9-00000-00&amp;context=" TargetMode="External" /><Relationship Id="rId11" Type="http://schemas.openxmlformats.org/officeDocument/2006/relationships/hyperlink" Target="https://advance.lexis.com/api/document?collection=cases-ca&amp;id=urn:contentItem:5F8T-N3T1-JJSF-2339-00000-00&amp;context=" TargetMode="External" /><Relationship Id="rId110" Type="http://schemas.openxmlformats.org/officeDocument/2006/relationships/hyperlink" Target="https://advance.lexis.com/api/document?collection=cases-ca&amp;id=urn:contentItem:5F8T-N3V1-JTGH-B188-00000-00&amp;context=" TargetMode="External" /><Relationship Id="rId111" Type="http://schemas.openxmlformats.org/officeDocument/2006/relationships/hyperlink" Target="https://advance.lexis.com/api/document?collection=cases-ca&amp;id=urn:contentItem:5F7T-S771-JSJC-X00T-00000-00&amp;context=" TargetMode="External" /><Relationship Id="rId112" Type="http://schemas.openxmlformats.org/officeDocument/2006/relationships/hyperlink" Target="https://advance.lexis.com/api/document?collection=cases-ca&amp;id=urn:contentItem:5F7T-S731-JNJT-B1T3-00000-00&amp;context=" TargetMode="External" /><Relationship Id="rId113" Type="http://schemas.openxmlformats.org/officeDocument/2006/relationships/hyperlink" Target="https://advance.lexis.com/api/document?collection=cases-ca&amp;id=urn:contentItem:5F7T-S721-FG12-6275-00000-00&amp;context=" TargetMode="External" /><Relationship Id="rId114" Type="http://schemas.openxmlformats.org/officeDocument/2006/relationships/hyperlink" Target="https://advance.lexis.com/api/document?collection=cases-ca&amp;id=urn:contentItem:5F7T-S6Y1-JF75-M3V6-00000-00&amp;context=" TargetMode="External" /><Relationship Id="rId115" Type="http://schemas.openxmlformats.org/officeDocument/2006/relationships/hyperlink" Target="https://advance.lexis.com/api/document?collection=cases-ca&amp;id=urn:contentItem:5F7T-S761-F81W-21P6-00000-00&amp;context=" TargetMode="External" /><Relationship Id="rId116" Type="http://schemas.openxmlformats.org/officeDocument/2006/relationships/hyperlink" Target="https://advance.lexis.com/api/document?collection=cases-ca&amp;id=urn:contentItem:5F7T-S741-DY89-M38G-00000-00&amp;context=" TargetMode="External" /><Relationship Id="rId117" Type="http://schemas.openxmlformats.org/officeDocument/2006/relationships/hyperlink" Target="https://advance.lexis.com/api/document?collection=cases-ca&amp;id=urn:contentItem:5F7T-S7D1-FCSB-S2Y5-00000-00&amp;context=" TargetMode="External" /><Relationship Id="rId118" Type="http://schemas.openxmlformats.org/officeDocument/2006/relationships/hyperlink" Target="https://advance.lexis.com/api/document?collection=cases-ca&amp;id=urn:contentItem:5F7T-S7F1-F7VM-S4DS-00000-00&amp;context=" TargetMode="External" /><Relationship Id="rId119" Type="http://schemas.openxmlformats.org/officeDocument/2006/relationships/hyperlink" Target="https://advance.lexis.com/api/document?collection=cases-ca&amp;id=urn:contentItem:5F7T-S7N1-F57G-S2KX-00000-00&amp;context=" TargetMode="External" /><Relationship Id="rId12" Type="http://schemas.openxmlformats.org/officeDocument/2006/relationships/hyperlink" Target="https://advance.lexis.com/api/document?collection=cases-ca&amp;id=urn:contentItem:5F8T-N3T1-JFKM-652M-00000-00&amp;context=" TargetMode="External" /><Relationship Id="rId120" Type="http://schemas.openxmlformats.org/officeDocument/2006/relationships/hyperlink" Target="https://advance.lexis.com/api/document?collection=cases-ca&amp;id=urn:contentItem:5F7T-S7P1-JP4G-61V3-00000-00&amp;context=" TargetMode="External" /><Relationship Id="rId121" Type="http://schemas.openxmlformats.org/officeDocument/2006/relationships/hyperlink" Target="https://advance.lexis.com/api/document?collection=cases-ca&amp;id=urn:contentItem:5F7T-S7H1-FCSB-S3PW-00000-00&amp;context=" TargetMode="External" /><Relationship Id="rId122" Type="http://schemas.openxmlformats.org/officeDocument/2006/relationships/hyperlink" Target="https://advance.lexis.com/api/document?collection=cases-ca&amp;id=urn:contentItem:5F7T-S7J1-DXWW-253D-00000-00&amp;context=" TargetMode="External" /><Relationship Id="rId123" Type="http://schemas.openxmlformats.org/officeDocument/2006/relationships/hyperlink" Target="https://advance.lexis.com/api/document?collection=cases-ca&amp;id=urn:contentItem:5F7T-S7K1-JSJC-X125-00000-00&amp;context=" TargetMode="External" /><Relationship Id="rId124" Type="http://schemas.openxmlformats.org/officeDocument/2006/relationships/hyperlink" Target="https://advance.lexis.com/api/document?collection=cases-ca&amp;id=urn:contentItem:5F7T-S7N1-DXWW-204W-00000-00&amp;context=" TargetMode="External" /><Relationship Id="rId125" Type="http://schemas.openxmlformats.org/officeDocument/2006/relationships/hyperlink" Target="https://advance.lexis.com/api/document?collection=cases-ca&amp;id=urn:contentItem:5F7T-S7H1-JCRC-B0XG-00000-00&amp;context=" TargetMode="External" /><Relationship Id="rId126" Type="http://schemas.openxmlformats.org/officeDocument/2006/relationships/hyperlink" Target="https://advance.lexis.com/api/document?collection=cases-ca&amp;id=urn:contentItem:5F7T-S7K1-F1H1-223T-00000-00&amp;context=" TargetMode="External" /><Relationship Id="rId127" Type="http://schemas.openxmlformats.org/officeDocument/2006/relationships/hyperlink" Target="https://advance.lexis.com/api/document?collection=cases-ca&amp;id=urn:contentItem:5F7T-S6X1-F06F-22SH-00000-00&amp;context=" TargetMode="External" /><Relationship Id="rId128" Type="http://schemas.openxmlformats.org/officeDocument/2006/relationships/hyperlink" Target="https://advance.lexis.com/api/document?collection=cases-ca&amp;id=urn:contentItem:5F7T-S731-F1WF-M229-00000-00&amp;context=" TargetMode="External" /><Relationship Id="rId129" Type="http://schemas.openxmlformats.org/officeDocument/2006/relationships/hyperlink" Target="https://advance.lexis.com/api/document?collection=cases-ca&amp;id=urn:contentItem:5F7T-S7H1-JS5Y-B35X-00000-00&amp;context=" TargetMode="External" /><Relationship Id="rId13" Type="http://schemas.openxmlformats.org/officeDocument/2006/relationships/hyperlink" Target="https://advance.lexis.com/api/document?collection=cases-ca&amp;id=urn:contentItem:5F8T-N3T1-JFKM-652N-00000-00&amp;context=" TargetMode="External" /><Relationship Id="rId130" Type="http://schemas.openxmlformats.org/officeDocument/2006/relationships/hyperlink" Target="https://advance.lexis.com/api/document?collection=cases-ca&amp;id=urn:contentItem:5F7T-S781-F7G6-63BD-00000-00&amp;context=" TargetMode="External" /><Relationship Id="rId131" Type="http://schemas.openxmlformats.org/officeDocument/2006/relationships/hyperlink" Target="https://advance.lexis.com/api/document?collection=cases-ca&amp;id=urn:contentItem:5F7T-S7J1-JNS1-M223-00000-00&amp;context=" TargetMode="External" /><Relationship Id="rId132" Type="http://schemas.openxmlformats.org/officeDocument/2006/relationships/hyperlink" Target="https://advance.lexis.com/api/document?collection=cases-ca&amp;id=urn:contentItem:5F7T-S7M1-JJK6-S26H-00000-00&amp;context=" TargetMode="External" /><Relationship Id="rId133" Type="http://schemas.openxmlformats.org/officeDocument/2006/relationships/hyperlink" Target="https://advance.lexis.com/api/document?collection=cases-ca&amp;id=urn:contentItem:5F7T-S7K1-F528-G2V7-00000-00&amp;context=" TargetMode="External" /><Relationship Id="rId134" Type="http://schemas.openxmlformats.org/officeDocument/2006/relationships/header" Target="header13.xml" /><Relationship Id="rId135" Type="http://schemas.openxmlformats.org/officeDocument/2006/relationships/header" Target="header14.xml" /><Relationship Id="rId136" Type="http://schemas.openxmlformats.org/officeDocument/2006/relationships/footer" Target="footer13.xml" /><Relationship Id="rId137" Type="http://schemas.openxmlformats.org/officeDocument/2006/relationships/footer" Target="footer14.xml" /><Relationship Id="rId138" Type="http://schemas.openxmlformats.org/officeDocument/2006/relationships/header" Target="header15.xml" /><Relationship Id="rId139" Type="http://schemas.openxmlformats.org/officeDocument/2006/relationships/footer" Target="footer15.xml" /><Relationship Id="rId14" Type="http://schemas.openxmlformats.org/officeDocument/2006/relationships/hyperlink" Target="https://advance.lexis.com/api/document?collection=cases-ca&amp;id=urn:contentItem:5F8T-N3V1-JF75-M3CF-00000-00&amp;context=" TargetMode="External" /><Relationship Id="rId140" Type="http://schemas.openxmlformats.org/officeDocument/2006/relationships/hyperlink" Target="https://advance.lexis.com/api/document?collection=cases-ca&amp;id=urn:contentItem:5F7T-S7K1-JKHB-6349-00000-00&amp;context=" TargetMode="External" /><Relationship Id="rId141" Type="http://schemas.openxmlformats.org/officeDocument/2006/relationships/hyperlink" Target="https://advance.lexis.com/api/document?collection=legislation-ca&amp;id=urn:contentItem:5F41-1FJ1-JPGX-S0S5-00000-00&amp;context=" TargetMode="External" /><Relationship Id="rId142" Type="http://schemas.openxmlformats.org/officeDocument/2006/relationships/hyperlink" Target="https://advance.lexis.com/api/document?collection=cases-ca&amp;id=urn:contentItem:5F8T-N3V1-JTGH-B1GX-00000-00&amp;context=" TargetMode="External" /><Relationship Id="rId143" Type="http://schemas.openxmlformats.org/officeDocument/2006/relationships/hyperlink" Target="https://advance.lexis.com/api/document?collection=cases-ca&amp;id=urn:contentItem:5F8T-N3V1-JF75-M3K1-00000-00&amp;context=" TargetMode="External" /><Relationship Id="rId144" Type="http://schemas.openxmlformats.org/officeDocument/2006/relationships/hyperlink" Target="https://advance.lexis.com/api/document?collection=cases-ca&amp;id=urn:contentItem:5F8P-T8W1-F900-G47W-00000-00&amp;context=" TargetMode="External" /><Relationship Id="rId145" Type="http://schemas.openxmlformats.org/officeDocument/2006/relationships/hyperlink" Target="https://advance.lexis.com/api/document?collection=cases-ca&amp;id=urn:contentItem:5F8T-N3V1-JF75-M3K6-00000-00&amp;context=" TargetMode="External" /><Relationship Id="rId146" Type="http://schemas.openxmlformats.org/officeDocument/2006/relationships/hyperlink" Target="https://advance.lexis.com/api/document?collection=cases-ca&amp;id=urn:contentItem:5F8T-N3S1-JBDT-B032-00000-00&amp;context=" TargetMode="External" /><Relationship Id="rId147" Type="http://schemas.openxmlformats.org/officeDocument/2006/relationships/hyperlink" Target="https://advance.lexis.com/api/document?collection=cases-ca&amp;id=urn:contentItem:5F7T-S7J1-JGBH-B2FV-00000-00&amp;context=" TargetMode="External" /><Relationship Id="rId148" Type="http://schemas.openxmlformats.org/officeDocument/2006/relationships/hyperlink" Target="https://advance.lexis.com/api/document?collection=cases-ca&amp;id=urn:contentItem:5F8T-N3R1-JNS1-M110-00000-00&amp;context=" TargetMode="External" /><Relationship Id="rId149" Type="http://schemas.openxmlformats.org/officeDocument/2006/relationships/hyperlink" Target="https://advance.lexis.com/api/document?collection=cases-ca&amp;id=urn:contentItem:5F7T-S761-FFMK-M0T6-00000-00&amp;context=" TargetMode="External" /><Relationship Id="rId15" Type="http://schemas.openxmlformats.org/officeDocument/2006/relationships/hyperlink" Target="https://advance.lexis.com/api/document?collection=cases-ca&amp;id=urn:contentItem:5F8T-N3T1-JJSF-23NR-00000-00&amp;context=" TargetMode="External" /><Relationship Id="rId150" Type="http://schemas.openxmlformats.org/officeDocument/2006/relationships/hyperlink" Target="https://advance.lexis.com/api/document?collection=cases-ca&amp;id=urn:contentItem:5F7T-S761-FFMK-M13T-00000-00&amp;context=" TargetMode="External" /><Relationship Id="rId151" Type="http://schemas.openxmlformats.org/officeDocument/2006/relationships/hyperlink" Target="https://advance.lexis.com/api/document?collection=cases-ca&amp;id=urn:contentItem:5F7T-S7G1-JBT7-X47S-00000-00&amp;context=" TargetMode="External" /><Relationship Id="rId152" Type="http://schemas.openxmlformats.org/officeDocument/2006/relationships/hyperlink" Target="https://advance.lexis.com/api/document?collection=cases-ca&amp;id=urn:contentItem:5F7T-S7G1-JX3N-B2BH-00000-00&amp;context=" TargetMode="External" /><Relationship Id="rId153" Type="http://schemas.openxmlformats.org/officeDocument/2006/relationships/hyperlink" Target="https://advance.lexis.com/api/document?collection=cases-ca&amp;id=urn:contentItem:5F7T-S761-FFMK-M0TX-00000-00&amp;context=" TargetMode="External" /><Relationship Id="rId154" Type="http://schemas.openxmlformats.org/officeDocument/2006/relationships/hyperlink" Target="https://advance.lexis.com/api/document?collection=cases-ca&amp;id=urn:contentItem:5F7T-S7J1-JYYX-626T-00000-00&amp;context=" TargetMode="External" /><Relationship Id="rId155" Type="http://schemas.openxmlformats.org/officeDocument/2006/relationships/hyperlink" Target="https://advance.lexis.com/api/document?collection=cases-ca&amp;id=urn:contentItem:5F7T-S7K1-JSJC-X16N-00000-00&amp;context=" TargetMode="External" /><Relationship Id="rId156" Type="http://schemas.openxmlformats.org/officeDocument/2006/relationships/header" Target="header16.xml" /><Relationship Id="rId157" Type="http://schemas.openxmlformats.org/officeDocument/2006/relationships/header" Target="header17.xml" /><Relationship Id="rId158" Type="http://schemas.openxmlformats.org/officeDocument/2006/relationships/footer" Target="footer16.xml" /><Relationship Id="rId159" Type="http://schemas.openxmlformats.org/officeDocument/2006/relationships/footer" Target="footer17.xml" /><Relationship Id="rId16" Type="http://schemas.openxmlformats.org/officeDocument/2006/relationships/hyperlink" Target="https://advance.lexis.com/api/document?collection=cases-ca&amp;id=urn:contentItem:5F8T-N3T1-JGHR-M1X6-00000-00&amp;context=" TargetMode="External" /><Relationship Id="rId160" Type="http://schemas.openxmlformats.org/officeDocument/2006/relationships/header" Target="header18.xml" /><Relationship Id="rId161" Type="http://schemas.openxmlformats.org/officeDocument/2006/relationships/footer" Target="footer18.xml" /><Relationship Id="rId162" Type="http://schemas.openxmlformats.org/officeDocument/2006/relationships/hyperlink" Target="https://advance.lexis.com/api/document?collection=cases-ca&amp;id=urn:contentItem:5F7T-S7H1-F4GK-M33C-00000-00&amp;context=" TargetMode="External" /><Relationship Id="rId163" Type="http://schemas.openxmlformats.org/officeDocument/2006/relationships/hyperlink" Target="https://advance.lexis.com/api/document?collection=cases-ca&amp;id=urn:contentItem:5K6Y-81M1-DXHD-G2B4-00000-00&amp;context=" TargetMode="External" /><Relationship Id="rId164" Type="http://schemas.openxmlformats.org/officeDocument/2006/relationships/hyperlink" Target="https://advance.lexis.com/api/document?collection=legislation-ca&amp;id=urn:contentItem:5F41-1FH1-F361-M0HC-00000-00&amp;context=" TargetMode="External" /><Relationship Id="rId165" Type="http://schemas.openxmlformats.org/officeDocument/2006/relationships/hyperlink" Target="https://advance.lexis.com/api/document?collection=cases-ca&amp;id=urn:contentItem:5F7T-S781-JC5P-G1W4-00000-00&amp;context=" TargetMode="External" /><Relationship Id="rId166" Type="http://schemas.openxmlformats.org/officeDocument/2006/relationships/hyperlink" Target="https://advance.lexis.com/api/document?collection=cases-ca&amp;id=urn:contentItem:5F7T-S7G1-JWR6-S21H-00000-00&amp;context=" TargetMode="External" /><Relationship Id="rId167" Type="http://schemas.openxmlformats.org/officeDocument/2006/relationships/hyperlink" Target="https://advance.lexis.com/api/document?collection=cases-ca&amp;id=urn:contentItem:5F7T-S7G1-JWR6-S1MK-00000-00&amp;context=" TargetMode="External" /><Relationship Id="rId168" Type="http://schemas.openxmlformats.org/officeDocument/2006/relationships/hyperlink" Target="https://advance.lexis.com/api/document?collection=cases-ca&amp;id=urn:contentItem:5F7T-S7F1-DXWW-23RN-00000-00&amp;context=" TargetMode="External" /><Relationship Id="rId169" Type="http://schemas.openxmlformats.org/officeDocument/2006/relationships/hyperlink" Target="https://advance.lexis.com/api/document?collection=cases-ca&amp;id=urn:contentItem:5F7T-S7D1-JN6B-S184-00000-00&amp;context=" TargetMode="External" /><Relationship Id="rId17" Type="http://schemas.openxmlformats.org/officeDocument/2006/relationships/hyperlink" Target="https://advance.lexis.com/api/document?collection=cases-ca&amp;id=urn:contentItem:5F8T-N3V1-FC1F-M44F-00000-00&amp;context=" TargetMode="External" /><Relationship Id="rId170" Type="http://schemas.openxmlformats.org/officeDocument/2006/relationships/hyperlink" Target="https://advance.lexis.com/api/document?collection=cases-ca&amp;id=urn:contentItem:5F7T-S7H1-JFSV-G35Y-00000-00&amp;context=" TargetMode="External" /><Relationship Id="rId171" Type="http://schemas.openxmlformats.org/officeDocument/2006/relationships/hyperlink" Target="https://advance.lexis.com/api/document?collection=cases-ca&amp;id=urn:contentItem:5F7T-S7D1-JN6B-S119-00000-00&amp;context=" TargetMode="External" /><Relationship Id="rId172" Type="http://schemas.openxmlformats.org/officeDocument/2006/relationships/hyperlink" Target="https://advance.lexis.com/api/document?collection=cases-ca&amp;id=urn:contentItem:5F7T-S6W1-JYYX-61TX-00000-00&amp;context=" TargetMode="External" /><Relationship Id="rId173" Type="http://schemas.openxmlformats.org/officeDocument/2006/relationships/hyperlink" Target="https://advance.lexis.com/api/document?collection=cases-ca&amp;id=urn:contentItem:5F7T-S771-JN14-G2PR-00000-00&amp;context=" TargetMode="External" /><Relationship Id="rId174" Type="http://schemas.openxmlformats.org/officeDocument/2006/relationships/hyperlink" Target="https://advance.lexis.com/api/document?collection=cases-ca&amp;id=urn:contentItem:5F7T-S7F1-DXWW-242B-00000-00&amp;context=" TargetMode="External" /><Relationship Id="rId175" Type="http://schemas.openxmlformats.org/officeDocument/2006/relationships/hyperlink" Target="https://advance.lexis.com/api/document?collection=cases-ca&amp;id=urn:contentItem:5F7T-S761-F81W-21RK-00000-00&amp;context=" TargetMode="External" /><Relationship Id="rId176" Type="http://schemas.openxmlformats.org/officeDocument/2006/relationships/hyperlink" Target="https://advance.lexis.com/api/document?collection=cases-ca&amp;id=urn:contentItem:5F7T-S7D1-FBFS-S1TD-00000-00&amp;context=" TargetMode="External" /><Relationship Id="rId177" Type="http://schemas.openxmlformats.org/officeDocument/2006/relationships/hyperlink" Target="https://advance.lexis.com/api/document?collection=cases-ca&amp;id=urn:contentItem:5F7T-S751-JX3N-B15P-00000-00&amp;context=" TargetMode="External" /><Relationship Id="rId178" Type="http://schemas.openxmlformats.org/officeDocument/2006/relationships/hyperlink" Target="https://advance.lexis.com/api/document?collection=cases-ca&amp;id=urn:contentItem:5F7T-S791-FJTD-G327-00000-00&amp;context=" TargetMode="External" /><Relationship Id="rId179" Type="http://schemas.openxmlformats.org/officeDocument/2006/relationships/hyperlink" Target="https://advance.lexis.com/api/document?collection=cases-ca&amp;id=urn:contentItem:5F7T-S7C1-JSRM-60XK-00000-00&amp;context=" TargetMode="External" /><Relationship Id="rId18" Type="http://schemas.openxmlformats.org/officeDocument/2006/relationships/hyperlink" Target="https://advance.lexis.com/api/document?collection=cases-ca&amp;id=urn:contentItem:5F8T-N3V1-FC1F-M41V-00000-00&amp;context=" TargetMode="External" /><Relationship Id="rId180" Type="http://schemas.openxmlformats.org/officeDocument/2006/relationships/hyperlink" Target="https://advance.lexis.com/api/document?collection=cases-ca&amp;id=urn:contentItem:5F7T-S7G1-FCYK-207V-00000-00&amp;context=" TargetMode="External" /><Relationship Id="rId181" Type="http://schemas.openxmlformats.org/officeDocument/2006/relationships/header" Target="header19.xml" /><Relationship Id="rId182" Type="http://schemas.openxmlformats.org/officeDocument/2006/relationships/header" Target="header20.xml" /><Relationship Id="rId183" Type="http://schemas.openxmlformats.org/officeDocument/2006/relationships/footer" Target="footer19.xml" /><Relationship Id="rId184" Type="http://schemas.openxmlformats.org/officeDocument/2006/relationships/footer" Target="footer20.xml" /><Relationship Id="rId185" Type="http://schemas.openxmlformats.org/officeDocument/2006/relationships/header" Target="header21.xml" /><Relationship Id="rId186" Type="http://schemas.openxmlformats.org/officeDocument/2006/relationships/footer" Target="footer21.xml" /><Relationship Id="rId187" Type="http://schemas.openxmlformats.org/officeDocument/2006/relationships/hyperlink" Target="https://advance.lexis.com/api/document?collection=cases-ca&amp;id=urn:contentItem:5H07-8561-F06F-21RY-00000-00&amp;context=" TargetMode="External" /><Relationship Id="rId188" Type="http://schemas.openxmlformats.org/officeDocument/2006/relationships/hyperlink" Target="https://advance.lexis.com/api/document?collection=legislation-ca&amp;id=urn:contentItem:5F3B-BB71-FJM6-60GS-00000-00&amp;context=" TargetMode="External" /><Relationship Id="rId189" Type="http://schemas.openxmlformats.org/officeDocument/2006/relationships/hyperlink" Target="https://advance.lexis.com/api/document?collection=cases-ca&amp;id=urn:contentItem:5F7T-S7K1-DY33-B1N9-00000-00&amp;context=" TargetMode="External" /><Relationship Id="rId19" Type="http://schemas.openxmlformats.org/officeDocument/2006/relationships/header" Target="header4.xml" /><Relationship Id="rId190" Type="http://schemas.openxmlformats.org/officeDocument/2006/relationships/hyperlink" Target="https://advance.lexis.com/api/document?collection=cases-ca&amp;id=urn:contentItem:5F7T-S6Y1-FJDY-X23K-00000-00&amp;context=" TargetMode="External" /><Relationship Id="rId191" Type="http://schemas.openxmlformats.org/officeDocument/2006/relationships/hyperlink" Target="https://advance.lexis.com/api/document?collection=cases-ca&amp;id=urn:contentItem:5F7T-S7D1-FFFC-B1DT-00000-00&amp;context=" TargetMode="External" /><Relationship Id="rId192" Type="http://schemas.openxmlformats.org/officeDocument/2006/relationships/hyperlink" Target="https://advance.lexis.com/api/document?collection=cases-ca&amp;id=urn:contentItem:5F7T-S7F1-FJTD-G3D8-00000-00&amp;context=" TargetMode="External" /><Relationship Id="rId193" Type="http://schemas.openxmlformats.org/officeDocument/2006/relationships/hyperlink" Target="https://advance.lexis.com/api/document?collection=cases-ca&amp;id=urn:contentItem:5F7T-S7D1-FCSB-S33F-00000-00&amp;context=" TargetMode="External" /><Relationship Id="rId194" Type="http://schemas.openxmlformats.org/officeDocument/2006/relationships/hyperlink" Target="https://advance.lexis.com/api/document?collection=cases-ca&amp;id=urn:contentItem:5F7T-S781-JC5P-G1HX-00000-00&amp;context=" TargetMode="External" /><Relationship Id="rId195" Type="http://schemas.openxmlformats.org/officeDocument/2006/relationships/hyperlink" Target="https://advance.lexis.com/api/document?collection=cases-ca&amp;id=urn:contentItem:5F8T-N3V1-FH4C-X252-00000-00&amp;context=" TargetMode="External" /><Relationship Id="rId196" Type="http://schemas.openxmlformats.org/officeDocument/2006/relationships/hyperlink" Target="https://advance.lexis.com/api/document?collection=cases-ca&amp;id=urn:contentItem:5F7T-S7P1-JP4G-61SG-00000-00&amp;context=" TargetMode="External" /><Relationship Id="rId197" Type="http://schemas.openxmlformats.org/officeDocument/2006/relationships/hyperlink" Target="https://advance.lexis.com/api/document?collection=cases-ca&amp;id=urn:contentItem:5F7T-S7P1-JG02-S4DF-00000-00&amp;context=" TargetMode="External" /><Relationship Id="rId198" Type="http://schemas.openxmlformats.org/officeDocument/2006/relationships/hyperlink" Target="https://advance.lexis.com/api/document?collection=cases-ca&amp;id=urn:contentItem:5GCC-XVB1-JGHR-M47K-00000-00&amp;context=" TargetMode="External" /><Relationship Id="rId199" Type="http://schemas.openxmlformats.org/officeDocument/2006/relationships/hyperlink" Target="https://advance.lexis.com/api/document?collection=cases-ca&amp;id=urn:contentItem:5F7T-S7H1-JFSV-G34D-00000-00&amp;context=" TargetMode="External" /><Relationship Id="rId2" Type="http://schemas.openxmlformats.org/officeDocument/2006/relationships/webSettings" Target="webSettings.xml" /><Relationship Id="rId20" Type="http://schemas.openxmlformats.org/officeDocument/2006/relationships/header" Target="header5.xml" /><Relationship Id="rId200" Type="http://schemas.openxmlformats.org/officeDocument/2006/relationships/hyperlink" Target="https://advance.lexis.com/api/document?collection=cases-ca&amp;id=urn:contentItem:5GN2-DCK1-FGRY-B3MS-00000-00&amp;context=" TargetMode="External" /><Relationship Id="rId201" Type="http://schemas.openxmlformats.org/officeDocument/2006/relationships/hyperlink" Target="https://advance.lexis.com/api/document?collection=cases-ca&amp;id=urn:contentItem:5F8P-SFN1-F2TK-23WX-00000-00&amp;context=" TargetMode="External" /><Relationship Id="rId202" Type="http://schemas.openxmlformats.org/officeDocument/2006/relationships/hyperlink" Target="https://advance.lexis.com/api/document?collection=cases-ca&amp;id=urn:contentItem:5F8P-SFR1-JG02-S23K-00000-00&amp;context=" TargetMode="External" /><Relationship Id="rId203" Type="http://schemas.openxmlformats.org/officeDocument/2006/relationships/hyperlink" Target="https://advance.lexis.com/api/document?collection=cases-ca&amp;id=urn:contentItem:5F8P-SFY1-F5DR-21SP-00000-00&amp;context=" TargetMode="External" /><Relationship Id="rId204" Type="http://schemas.openxmlformats.org/officeDocument/2006/relationships/hyperlink" Target="https://advance.lexis.com/api/document?collection=cases-ca&amp;id=urn:contentItem:5GC0-VTM1-F873-B50J-00000-00&amp;context=" TargetMode="External" /><Relationship Id="rId205" Type="http://schemas.openxmlformats.org/officeDocument/2006/relationships/hyperlink" Target="https://advance.lexis.com/api/document?collection=cases-ca&amp;id=urn:contentItem:5F8P-SFJ1-F4GK-M2JG-00000-00&amp;context=" TargetMode="External" /><Relationship Id="rId206" Type="http://schemas.openxmlformats.org/officeDocument/2006/relationships/hyperlink" Target="https://advance.lexis.com/api/document?collection=cases-ca&amp;id=urn:contentItem:5F81-VJX1-F5KY-B445-00000-00&amp;context=" TargetMode="External" /><Relationship Id="rId207" Type="http://schemas.openxmlformats.org/officeDocument/2006/relationships/hyperlink" Target="https://advance.lexis.com/api/document?collection=cases-ca&amp;id=urn:contentItem:5F81-VJW1-K0HK-223G-00000-00&amp;context=" TargetMode="External" /><Relationship Id="rId208" Type="http://schemas.openxmlformats.org/officeDocument/2006/relationships/hyperlink" Target="https://advance.lexis.com/api/document?collection=cases-ca&amp;id=urn:contentItem:5F8T-N3S1-JBDT-B02N-00000-00&amp;context=" TargetMode="External" /><Relationship Id="rId209" Type="http://schemas.openxmlformats.org/officeDocument/2006/relationships/hyperlink" Target="https://advance.lexis.com/api/document?collection=cases-ca&amp;id=urn:contentItem:5F8P-SFC1-FCK4-G015-00000-00&amp;context=" TargetMode="External" /><Relationship Id="rId21" Type="http://schemas.openxmlformats.org/officeDocument/2006/relationships/footer" Target="footer4.xml" /><Relationship Id="rId210" Type="http://schemas.openxmlformats.org/officeDocument/2006/relationships/hyperlink" Target="https://advance.lexis.com/api/document?collection=cases-ca&amp;id=urn:contentItem:5FX0-MRR1-JSJC-X155-00000-00&amp;context=" TargetMode="External" /><Relationship Id="rId211" Type="http://schemas.openxmlformats.org/officeDocument/2006/relationships/hyperlink" Target="https://advance.lexis.com/api/document?collection=cases-ca&amp;id=urn:contentItem:5FXJ-PSX1-JNJT-B0JG-00000-00&amp;context=" TargetMode="External" /><Relationship Id="rId212" Type="http://schemas.openxmlformats.org/officeDocument/2006/relationships/hyperlink" Target="https://advance.lexis.com/api/document?collection=cases-ca&amp;id=urn:contentItem:5G7S-1GH1-JBDT-B3FC-00000-00&amp;context=" TargetMode="External" /><Relationship Id="rId213" Type="http://schemas.openxmlformats.org/officeDocument/2006/relationships/hyperlink" Target="https://advance.lexis.com/api/document?collection=cases-ca&amp;id=urn:contentItem:5F81-VJX1-JP9P-G463-00000-00&amp;context=" TargetMode="External" /><Relationship Id="rId214" Type="http://schemas.openxmlformats.org/officeDocument/2006/relationships/hyperlink" Target="https://advance.lexis.com/api/document?collection=cases-ca&amp;id=urn:contentItem:5F8T-N3T1-JJSF-23DJ-00000-00&amp;context=" TargetMode="External" /><Relationship Id="rId215" Type="http://schemas.openxmlformats.org/officeDocument/2006/relationships/hyperlink" Target="https://advance.lexis.com/api/document?collection=cases-ca&amp;id=urn:contentItem:5F8P-SCP1-JCJ5-23B3-00000-00&amp;context=" TargetMode="External" /><Relationship Id="rId216" Type="http://schemas.openxmlformats.org/officeDocument/2006/relationships/header" Target="header22.xml" /><Relationship Id="rId217" Type="http://schemas.openxmlformats.org/officeDocument/2006/relationships/header" Target="header23.xml" /><Relationship Id="rId218" Type="http://schemas.openxmlformats.org/officeDocument/2006/relationships/footer" Target="footer22.xml" /><Relationship Id="rId219" Type="http://schemas.openxmlformats.org/officeDocument/2006/relationships/footer" Target="footer23.xml" /><Relationship Id="rId22" Type="http://schemas.openxmlformats.org/officeDocument/2006/relationships/footer" Target="footer5.xml" /><Relationship Id="rId220" Type="http://schemas.openxmlformats.org/officeDocument/2006/relationships/header" Target="header24.xml" /><Relationship Id="rId221" Type="http://schemas.openxmlformats.org/officeDocument/2006/relationships/footer" Target="footer24.xml" /><Relationship Id="rId222" Type="http://schemas.openxmlformats.org/officeDocument/2006/relationships/hyperlink" Target="https://advance.lexis.com/api/document?collection=cases-ca&amp;id=urn:contentItem:5F7T-S7P1-F2TK-23JN-00000-00&amp;context=" TargetMode="External" /><Relationship Id="rId223" Type="http://schemas.openxmlformats.org/officeDocument/2006/relationships/hyperlink" Target="https://advance.lexis.com/api/document?collection=cases-ca&amp;id=urn:contentItem:5F7T-S7G1-JX3N-B2JB-00000-00&amp;context=" TargetMode="External" /><Relationship Id="rId224" Type="http://schemas.openxmlformats.org/officeDocument/2006/relationships/header" Target="header25.xml" /><Relationship Id="rId225" Type="http://schemas.openxmlformats.org/officeDocument/2006/relationships/header" Target="header26.xml" /><Relationship Id="rId226" Type="http://schemas.openxmlformats.org/officeDocument/2006/relationships/footer" Target="footer25.xml" /><Relationship Id="rId227" Type="http://schemas.openxmlformats.org/officeDocument/2006/relationships/footer" Target="footer26.xml" /><Relationship Id="rId228" Type="http://schemas.openxmlformats.org/officeDocument/2006/relationships/header" Target="header27.xml" /><Relationship Id="rId229" Type="http://schemas.openxmlformats.org/officeDocument/2006/relationships/footer" Target="footer27.xml" /><Relationship Id="rId23" Type="http://schemas.openxmlformats.org/officeDocument/2006/relationships/header" Target="header6.xml" /><Relationship Id="rId230" Type="http://schemas.openxmlformats.org/officeDocument/2006/relationships/hyperlink" Target="https://advance.lexis.com/api/document?collection=cases-ca&amp;id=urn:contentItem:5F7D-TK01-F016-S00X-00000-00&amp;context=" TargetMode="External" /><Relationship Id="rId231" Type="http://schemas.openxmlformats.org/officeDocument/2006/relationships/hyperlink" Target="https://advance.lexis.com/api/document?collection=cases-ca&amp;id=urn:contentItem:5F7T-S7M1-JNCK-22PH-00000-00&amp;context=" TargetMode="External" /><Relationship Id="rId232" Type="http://schemas.openxmlformats.org/officeDocument/2006/relationships/hyperlink" Target="https://advance.lexis.com/api/document?collection=legislation-ca&amp;id=urn:contentItem:5VYK-W9V1-JS0R-23X0-00000-00&amp;context=" TargetMode="External" /><Relationship Id="rId233" Type="http://schemas.openxmlformats.org/officeDocument/2006/relationships/hyperlink" Target="https://advance.lexis.com/api/document?collection=cases-ca&amp;id=urn:contentItem:5F8T-N3V1-FC1F-M49J-00000-00&amp;context=" TargetMode="External" /><Relationship Id="rId234" Type="http://schemas.openxmlformats.org/officeDocument/2006/relationships/hyperlink" Target="https://advance.lexis.com/api/document?collection=cases-ca&amp;id=urn:contentItem:5F8T-N3V1-FC1F-M49K-00000-00&amp;context=" TargetMode="External" /><Relationship Id="rId235" Type="http://schemas.openxmlformats.org/officeDocument/2006/relationships/hyperlink" Target="https://advance.lexis.com/api/document?collection=cases-ca&amp;id=urn:contentItem:5F8T-N3V1-JTGH-B1H4-00000-00&amp;context=" TargetMode="External" /><Relationship Id="rId236" Type="http://schemas.openxmlformats.org/officeDocument/2006/relationships/hyperlink" Target="https://advance.lexis.com/api/document?collection=cases-ca&amp;id=urn:contentItem:5F7T-S7D1-JXG3-X0W9-00000-00&amp;context=" TargetMode="External" /><Relationship Id="rId237" Type="http://schemas.openxmlformats.org/officeDocument/2006/relationships/hyperlink" Target="https://advance.lexis.com/api/document?collection=cases-ca&amp;id=urn:contentItem:5F7D-TK01-JW5H-X03S-00000-00&amp;context=" TargetMode="External" /><Relationship Id="rId238" Type="http://schemas.openxmlformats.org/officeDocument/2006/relationships/hyperlink" Target="https://advance.lexis.com/api/document?collection=cases-ca&amp;id=urn:contentItem:5F8T-N3V1-FC1F-M3WX-00000-00&amp;context=" TargetMode="External" /><Relationship Id="rId239" Type="http://schemas.openxmlformats.org/officeDocument/2006/relationships/hyperlink" Target="https://advance.lexis.com/api/document?collection=cases-ca&amp;id=urn:contentItem:5F8W-M471-JC0G-6143-00000-00&amp;context=" TargetMode="External" /><Relationship Id="rId24" Type="http://schemas.openxmlformats.org/officeDocument/2006/relationships/footer" Target="footer6.xml" /><Relationship Id="rId240" Type="http://schemas.openxmlformats.org/officeDocument/2006/relationships/hyperlink" Target="https://advance.lexis.com/api/document?collection=cases-ca&amp;id=urn:contentItem:5F8W-M491-JJYN-B13M-00000-00&amp;context=" TargetMode="External" /><Relationship Id="rId241" Type="http://schemas.openxmlformats.org/officeDocument/2006/relationships/header" Target="header28.xml" /><Relationship Id="rId242" Type="http://schemas.openxmlformats.org/officeDocument/2006/relationships/header" Target="header29.xml" /><Relationship Id="rId243" Type="http://schemas.openxmlformats.org/officeDocument/2006/relationships/footer" Target="footer28.xml" /><Relationship Id="rId244" Type="http://schemas.openxmlformats.org/officeDocument/2006/relationships/footer" Target="footer29.xml" /><Relationship Id="rId245" Type="http://schemas.openxmlformats.org/officeDocument/2006/relationships/header" Target="header30.xml" /><Relationship Id="rId246" Type="http://schemas.openxmlformats.org/officeDocument/2006/relationships/footer" Target="footer30.xml" /><Relationship Id="rId247" Type="http://schemas.openxmlformats.org/officeDocument/2006/relationships/hyperlink" Target="https://advance.lexis.com/api/document?collection=cases-ca&amp;id=urn:contentItem:5F7T-S7F1-DXWW-23VJ-00000-00&amp;context=" TargetMode="External" /><Relationship Id="rId248" Type="http://schemas.openxmlformats.org/officeDocument/2006/relationships/hyperlink" Target="https://advance.lexis.com/api/document?collection=cases-ca&amp;id=urn:contentItem:5F7T-S771-JN14-G2DF-00000-00&amp;context=" TargetMode="External" /><Relationship Id="rId249" Type="http://schemas.openxmlformats.org/officeDocument/2006/relationships/hyperlink" Target="https://advance.lexis.com/api/document?collection=cases-ca&amp;id=urn:contentItem:5F7T-S7C1-F7VM-S3SN-00000-00&amp;context=" TargetMode="External" /><Relationship Id="rId25" Type="http://schemas.openxmlformats.org/officeDocument/2006/relationships/hyperlink" Target="https://advance.lexis.com/api/document?collection=cases-ca&amp;id=urn:contentItem:5F7T-S7K1-DY33-B1B2-00000-00&amp;context=" TargetMode="External" /><Relationship Id="rId250" Type="http://schemas.openxmlformats.org/officeDocument/2006/relationships/hyperlink" Target="https://advance.lexis.com/api/document?collection=cases-ca&amp;id=urn:contentItem:5F7T-S7B1-FH4C-X3GF-00000-00&amp;context=" TargetMode="External" /><Relationship Id="rId251" Type="http://schemas.openxmlformats.org/officeDocument/2006/relationships/hyperlink" Target="https://advance.lexis.com/api/document?collection=cases-ca&amp;id=urn:contentItem:5F7T-S7C1-F7VM-S3JB-00000-00&amp;context=" TargetMode="External" /><Relationship Id="rId252" Type="http://schemas.openxmlformats.org/officeDocument/2006/relationships/hyperlink" Target="https://advance.lexis.com/api/document?collection=cases-ca&amp;id=urn:contentItem:5F8T-N3R1-JBDT-B566-00000-00&amp;context=" TargetMode="External" /><Relationship Id="rId253" Type="http://schemas.openxmlformats.org/officeDocument/2006/relationships/hyperlink" Target="https://advance.lexis.com/api/document?collection=cases-ca&amp;id=urn:contentItem:5F7T-S721-F06F-23C3-00000-00&amp;context=" TargetMode="External" /><Relationship Id="rId254" Type="http://schemas.openxmlformats.org/officeDocument/2006/relationships/hyperlink" Target="https://advance.lexis.com/api/document?collection=cases-ca&amp;id=urn:contentItem:5F8T-N3V1-FC1F-M3WV-00000-00&amp;context=" TargetMode="External" /><Relationship Id="rId255" Type="http://schemas.openxmlformats.org/officeDocument/2006/relationships/hyperlink" Target="https://advance.lexis.com/api/document?collection=cases-ca&amp;id=urn:contentItem:5F81-YGK1-JJ1H-X4TJ-00000-00&amp;context=" TargetMode="External" /><Relationship Id="rId256" Type="http://schemas.openxmlformats.org/officeDocument/2006/relationships/hyperlink" Target="https://advance.lexis.com/api/document?collection=cases-ca&amp;id=urn:contentItem:5F8T-N3V1-JTGH-B0Y8-00000-00&amp;context=" TargetMode="External" /><Relationship Id="rId257" Type="http://schemas.openxmlformats.org/officeDocument/2006/relationships/hyperlink" Target="https://advance.lexis.com/api/document?collection=cases-ca&amp;id=urn:contentItem:5F81-YGM1-JG02-S0TB-00000-00&amp;context=" TargetMode="External" /><Relationship Id="rId258" Type="http://schemas.openxmlformats.org/officeDocument/2006/relationships/header" Target="header31.xml" /><Relationship Id="rId259" Type="http://schemas.openxmlformats.org/officeDocument/2006/relationships/header" Target="header32.xml" /><Relationship Id="rId26" Type="http://schemas.openxmlformats.org/officeDocument/2006/relationships/hyperlink" Target="https://advance.lexis.com/api/document?collection=cases-ca&amp;id=urn:contentItem:5K6Y-81N1-JN14-G1PJ-00000-00&amp;context=" TargetMode="External" /><Relationship Id="rId260" Type="http://schemas.openxmlformats.org/officeDocument/2006/relationships/footer" Target="footer31.xml" /><Relationship Id="rId261" Type="http://schemas.openxmlformats.org/officeDocument/2006/relationships/footer" Target="footer32.xml" /><Relationship Id="rId262" Type="http://schemas.openxmlformats.org/officeDocument/2006/relationships/header" Target="header33.xml" /><Relationship Id="rId263" Type="http://schemas.openxmlformats.org/officeDocument/2006/relationships/footer" Target="footer33.xml" /><Relationship Id="rId264" Type="http://schemas.openxmlformats.org/officeDocument/2006/relationships/hyperlink" Target="https://advance.lexis.com/api/document?collection=cases-ca&amp;id=urn:contentItem:5F7T-S7M1-JJK6-S1KF-00000-00&amp;context=" TargetMode="External" /><Relationship Id="rId265" Type="http://schemas.openxmlformats.org/officeDocument/2006/relationships/hyperlink" Target="https://advance.lexis.com/api/document?collection=cases-ca&amp;id=urn:contentItem:5F8T-N3V1-JTGH-B16R-00000-00&amp;context=" TargetMode="External" /><Relationship Id="rId266" Type="http://schemas.openxmlformats.org/officeDocument/2006/relationships/hyperlink" Target="https://advance.lexis.com/api/document?collection=cases-ca&amp;id=urn:contentItem:5F7T-S7K1-JWXF-20X0-00000-00&amp;context=" TargetMode="External" /><Relationship Id="rId267" Type="http://schemas.openxmlformats.org/officeDocument/2006/relationships/hyperlink" Target="https://advance.lexis.com/api/document?collection=cases-ca&amp;id=urn:contentItem:5F8T-N3V1-JF75-M3S6-00000-00&amp;context=" TargetMode="External" /><Relationship Id="rId268" Type="http://schemas.openxmlformats.org/officeDocument/2006/relationships/hyperlink" Target="https://advance.lexis.com/api/document?collection=cases-ca&amp;id=urn:contentItem:5F8T-N3V1-JTGH-B18F-00000-00&amp;context=" TargetMode="External" /><Relationship Id="rId269" Type="http://schemas.openxmlformats.org/officeDocument/2006/relationships/header" Target="header34.xml" /><Relationship Id="rId27" Type="http://schemas.openxmlformats.org/officeDocument/2006/relationships/hyperlink" Target="https://advance.lexis.com/api/document?collection=cases-ca&amp;id=urn:contentItem:5F8P-SFG1-FG12-62NW-00000-00&amp;context=" TargetMode="External" /><Relationship Id="rId270" Type="http://schemas.openxmlformats.org/officeDocument/2006/relationships/header" Target="header35.xml" /><Relationship Id="rId271" Type="http://schemas.openxmlformats.org/officeDocument/2006/relationships/footer" Target="footer34.xml" /><Relationship Id="rId272" Type="http://schemas.openxmlformats.org/officeDocument/2006/relationships/footer" Target="footer35.xml" /><Relationship Id="rId273" Type="http://schemas.openxmlformats.org/officeDocument/2006/relationships/header" Target="header36.xml" /><Relationship Id="rId274" Type="http://schemas.openxmlformats.org/officeDocument/2006/relationships/footer" Target="footer36.xml" /><Relationship Id="rId275" Type="http://schemas.openxmlformats.org/officeDocument/2006/relationships/hyperlink" Target="https://advance.lexis.com/api/document?collection=cases-ca&amp;id=urn:contentItem:5F7T-S7K1-JX3N-B318-00000-00&amp;context=" TargetMode="External" /><Relationship Id="rId276" Type="http://schemas.openxmlformats.org/officeDocument/2006/relationships/hyperlink" Target="https://advance.lexis.com/api/document?collection=legislation-ca&amp;id=urn:contentItem:5F41-1FP1-JXNB-60KG-00000-00&amp;context=" TargetMode="External" /><Relationship Id="rId277" Type="http://schemas.openxmlformats.org/officeDocument/2006/relationships/hyperlink" Target="https://advance.lexis.com/api/document?collection=legislation-ca&amp;id=urn:contentItem:5F41-1FK1-JSXV-G0R0-00000-00&amp;context=" TargetMode="External" /><Relationship Id="rId278" Type="http://schemas.openxmlformats.org/officeDocument/2006/relationships/hyperlink" Target="https://advance.lexis.com/api/document?collection=legislation-ca&amp;id=urn:contentItem:5F41-1FG1-F4NT-X0JR-00000-00&amp;context=" TargetMode="External" /><Relationship Id="rId279" Type="http://schemas.openxmlformats.org/officeDocument/2006/relationships/hyperlink" Target="https://advance.lexis.com/api/document?collection=legislation-ca&amp;id=urn:contentItem:5F41-1FJ1-F5KY-B21M-00000-00&amp;context=" TargetMode="External" /><Relationship Id="rId28" Type="http://schemas.openxmlformats.org/officeDocument/2006/relationships/hyperlink" Target="https://advance.lexis.com/api/document?collection=legislation-ca&amp;id=urn:contentItem:5VYK-47Y1-F06F-21ND-00000-00&amp;context=" TargetMode="External" /><Relationship Id="rId280" Type="http://schemas.openxmlformats.org/officeDocument/2006/relationships/hyperlink" Target="https://advance.lexis.com/api/document?collection=cases-ca&amp;id=urn:contentItem:5F7T-S7F1-DXWW-23FX-00000-00&amp;context=" TargetMode="External" /><Relationship Id="rId281" Type="http://schemas.openxmlformats.org/officeDocument/2006/relationships/hyperlink" Target="https://advance.lexis.com/api/document?collection=cases-ca&amp;id=urn:contentItem:5F7T-S701-JF75-M48M-00000-00&amp;context=" TargetMode="External" /><Relationship Id="rId282" Type="http://schemas.openxmlformats.org/officeDocument/2006/relationships/hyperlink" Target="https://advance.lexis.com/api/document?collection=cases-ca&amp;id=urn:contentItem:5F8T-N3V1-FC1F-M491-00000-00&amp;context=" TargetMode="External" /><Relationship Id="rId283" Type="http://schemas.openxmlformats.org/officeDocument/2006/relationships/hyperlink" Target="https://advance.lexis.com/api/document?collection=cases-ca&amp;id=urn:contentItem:5F8T-N3V1-JTGH-B0Y9-00000-00&amp;context=" TargetMode="External" /><Relationship Id="rId284" Type="http://schemas.openxmlformats.org/officeDocument/2006/relationships/hyperlink" Target="https://advance.lexis.com/api/document?collection=cases-ca&amp;id=urn:contentItem:5F8T-N3V1-JTGH-B0YB-00000-00&amp;context=" TargetMode="External" /><Relationship Id="rId285" Type="http://schemas.openxmlformats.org/officeDocument/2006/relationships/hyperlink" Target="https://advance.lexis.com/api/document?collection=cases-ca&amp;id=urn:contentItem:5F8T-N3V1-JTGH-B0YX-00000-00&amp;context=" TargetMode="External" /><Relationship Id="rId286" Type="http://schemas.openxmlformats.org/officeDocument/2006/relationships/hyperlink" Target="https://advance.lexis.com/api/document?collection=cases-ca&amp;id=urn:contentItem:5F8T-N3V1-JTGH-B1CS-00000-00&amp;context=" TargetMode="External" /><Relationship Id="rId287" Type="http://schemas.openxmlformats.org/officeDocument/2006/relationships/hyperlink" Target="https://advance.lexis.com/api/document?collection=cases-ca&amp;id=urn:contentItem:5F8N-K711-F1P7-B3DK-00000-00&amp;context=" TargetMode="External" /><Relationship Id="rId288" Type="http://schemas.openxmlformats.org/officeDocument/2006/relationships/hyperlink" Target="https://advance.lexis.com/api/document?collection=cases-ca&amp;id=urn:contentItem:5F81-VJY1-JWBS-64NS-00000-00&amp;context=" TargetMode="External" /><Relationship Id="rId289" Type="http://schemas.openxmlformats.org/officeDocument/2006/relationships/hyperlink" Target="https://advance.lexis.com/api/document?collection=cases-ca&amp;id=urn:contentItem:5F82-1SH1-JF1Y-B2VG-00000-00&amp;context=" TargetMode="External" /><Relationship Id="rId29" Type="http://schemas.openxmlformats.org/officeDocument/2006/relationships/hyperlink" Target="https://advance.lexis.com/api/document?collection=legislation-ca&amp;id=urn:contentItem:5X76-XJ31-JJ1H-X142-00000-00&amp;context=" TargetMode="External" /><Relationship Id="rId290" Type="http://schemas.openxmlformats.org/officeDocument/2006/relationships/header" Target="header37.xml" /><Relationship Id="rId291" Type="http://schemas.openxmlformats.org/officeDocument/2006/relationships/header" Target="header38.xml" /><Relationship Id="rId292" Type="http://schemas.openxmlformats.org/officeDocument/2006/relationships/footer" Target="footer37.xml" /><Relationship Id="rId293" Type="http://schemas.openxmlformats.org/officeDocument/2006/relationships/footer" Target="footer38.xml" /><Relationship Id="rId294" Type="http://schemas.openxmlformats.org/officeDocument/2006/relationships/header" Target="header39.xml" /><Relationship Id="rId295" Type="http://schemas.openxmlformats.org/officeDocument/2006/relationships/footer" Target="footer39.xml" /><Relationship Id="rId296" Type="http://schemas.openxmlformats.org/officeDocument/2006/relationships/hyperlink" Target="https://advance.lexis.com/api/document?collection=cases-ca&amp;id=urn:contentItem:5F7T-S7F1-F7VM-S4FG-00000-00&amp;context=" TargetMode="External" /><Relationship Id="rId297" Type="http://schemas.openxmlformats.org/officeDocument/2006/relationships/hyperlink" Target="https://advance.lexis.com/api/document?collection=cases-ca&amp;id=urn:contentItem:5K6Y-81M1-JGPY-X258-00000-00&amp;context=" TargetMode="External" /><Relationship Id="rId298" Type="http://schemas.openxmlformats.org/officeDocument/2006/relationships/hyperlink" Target="https://advance.lexis.com/api/document?collection=cases-ca&amp;id=urn:contentItem:5F8T-N3T1-JFKM-6545-00000-00&amp;context=" TargetMode="External" /><Relationship Id="rId299" Type="http://schemas.openxmlformats.org/officeDocument/2006/relationships/hyperlink" Target="https://advance.lexis.com/api/document?collection=cases-ca&amp;id=urn:contentItem:5F7H-KW61-F7VM-S020-00000-00&amp;context=" TargetMode="External" /><Relationship Id="rId3" Type="http://schemas.openxmlformats.org/officeDocument/2006/relationships/fontTable" Target="fontTable.xml" /><Relationship Id="rId30" Type="http://schemas.openxmlformats.org/officeDocument/2006/relationships/hyperlink" Target="https://advance.lexis.com/api/document?collection=cases-ca&amp;id=urn:contentItem:5F7T-S7K1-F528-G32W-00000-00&amp;context=" TargetMode="External" /><Relationship Id="rId300" Type="http://schemas.openxmlformats.org/officeDocument/2006/relationships/hyperlink" Target="https://advance.lexis.com/api/document?collection=cases-ca&amp;id=urn:contentItem:5F7T-S771-JW5H-X21M-00000-00&amp;context=" TargetMode="External" /><Relationship Id="rId301" Type="http://schemas.openxmlformats.org/officeDocument/2006/relationships/hyperlink" Target="https://advance.lexis.com/api/document?collection=cases-ca&amp;id=urn:contentItem:5F7T-S771-JWBS-61G8-00000-00&amp;context=" TargetMode="External" /><Relationship Id="rId302" Type="http://schemas.openxmlformats.org/officeDocument/2006/relationships/hyperlink" Target="https://advance.lexis.com/api/document?collection=cases-ca&amp;id=urn:contentItem:5F8T-N3V1-JF75-M3GT-00000-00&amp;context=" TargetMode="External" /><Relationship Id="rId303" Type="http://schemas.openxmlformats.org/officeDocument/2006/relationships/hyperlink" Target="https://advance.lexis.com/api/document?collection=cases-ca&amp;id=urn:contentItem:5F8T-N3R1-JNS1-M0R1-00000-00&amp;context=" TargetMode="External" /><Relationship Id="rId304" Type="http://schemas.openxmlformats.org/officeDocument/2006/relationships/hyperlink" Target="https://advance.lexis.com/api/document?collection=cases-ca&amp;id=urn:contentItem:5F7T-S7D1-FFFC-B1FJ-00000-00&amp;context=" TargetMode="External" /><Relationship Id="rId305" Type="http://schemas.openxmlformats.org/officeDocument/2006/relationships/hyperlink" Target="https://advance.lexis.com/api/document?collection=cases-ca&amp;id=urn:contentItem:5F7T-S711-F27X-60JN-00000-00&amp;context=" TargetMode="External" /><Relationship Id="rId306" Type="http://schemas.openxmlformats.org/officeDocument/2006/relationships/hyperlink" Target="https://advance.lexis.com/api/document?collection=cases-ca&amp;id=urn:contentItem:5F8N-K711-FG68-G48F-00000-00&amp;context=" TargetMode="External" /><Relationship Id="rId307" Type="http://schemas.openxmlformats.org/officeDocument/2006/relationships/hyperlink" Target="https://advance.lexis.com/api/document?collection=cases-ca&amp;id=urn:contentItem:5F7V-3DH1-FCK4-G0SS-00000-00&amp;context=" TargetMode="External" /><Relationship Id="rId308" Type="http://schemas.openxmlformats.org/officeDocument/2006/relationships/hyperlink" Target="https://advance.lexis.com/api/document?collection=cases-ca&amp;id=urn:contentItem:5F8P-SDK1-JP9P-G3DN-00000-00&amp;context=" TargetMode="External" /><Relationship Id="rId309" Type="http://schemas.openxmlformats.org/officeDocument/2006/relationships/hyperlink" Target="https://advance.lexis.com/api/document?collection=cases-ca&amp;id=urn:contentItem:5F8P-SGC1-JG02-S2CW-00000-00&amp;context=" TargetMode="External" /><Relationship Id="rId31" Type="http://schemas.openxmlformats.org/officeDocument/2006/relationships/hyperlink" Target="https://advance.lexis.com/api/document?collection=cases-ca&amp;id=urn:contentItem:5F7T-S7F1-JFKM-622J-00000-00&amp;context=" TargetMode="External" /><Relationship Id="rId310" Type="http://schemas.openxmlformats.org/officeDocument/2006/relationships/hyperlink" Target="https://advance.lexis.com/api/document?collection=cases-ca&amp;id=urn:contentItem:5F7T-S7D1-FC6N-X11F-00000-00&amp;context=" TargetMode="External" /><Relationship Id="rId311" Type="http://schemas.openxmlformats.org/officeDocument/2006/relationships/hyperlink" Target="https://advance.lexis.com/api/document?collection=cases-ca&amp;id=urn:contentItem:5F7T-S6V1-F956-S055-00000-00&amp;context=" TargetMode="External" /><Relationship Id="rId312" Type="http://schemas.openxmlformats.org/officeDocument/2006/relationships/hyperlink" Target="https://advance.lexis.com/api/document?collection=cases-ca&amp;id=urn:contentItem:5F7T-S6X1-F7ND-G3DV-00000-00&amp;context=" TargetMode="External" /><Relationship Id="rId313" Type="http://schemas.openxmlformats.org/officeDocument/2006/relationships/hyperlink" Target="https://advance.lexis.com/api/document?collection=cases-ca&amp;id=urn:contentItem:5F7T-S7F1-F7VM-S45B-00000-00&amp;context=" TargetMode="External" /><Relationship Id="rId314" Type="http://schemas.openxmlformats.org/officeDocument/2006/relationships/hyperlink" Target="https://advance.lexis.com/api/document?collection=cases-ca&amp;id=urn:contentItem:5F81-VJX1-FCK4-G1GC-00000-00&amp;context=" TargetMode="External" /><Relationship Id="rId315" Type="http://schemas.openxmlformats.org/officeDocument/2006/relationships/hyperlink" Target="https://advance.lexis.com/api/document?collection=cases-ca&amp;id=urn:contentItem:5F7T-XPY1-JBDT-B0CC-00000-00&amp;context=" TargetMode="External" /><Relationship Id="rId316" Type="http://schemas.openxmlformats.org/officeDocument/2006/relationships/hyperlink" Target="https://advance.lexis.com/api/document?collection=cases-ca&amp;id=urn:contentItem:5F7T-S7F1-JX3N-B1N8-00000-00&amp;context=" TargetMode="External" /><Relationship Id="rId317" Type="http://schemas.openxmlformats.org/officeDocument/2006/relationships/hyperlink" Target="https://advance.lexis.com/api/document?collection=cases-ca&amp;id=urn:contentItem:5F7T-S6W1-JB7K-21K9-00000-00&amp;context=" TargetMode="External" /><Relationship Id="rId318" Type="http://schemas.openxmlformats.org/officeDocument/2006/relationships/hyperlink" Target="https://advance.lexis.com/api/document?collection=cases-ca&amp;id=urn:contentItem:5F7T-S741-F528-G2CX-00000-00&amp;context=" TargetMode="External" /><Relationship Id="rId319" Type="http://schemas.openxmlformats.org/officeDocument/2006/relationships/hyperlink" Target="https://advance.lexis.com/api/document?collection=cases-ca&amp;id=urn:contentItem:5F7T-S761-FGJR-22KJ-00000-00&amp;context=" TargetMode="External" /><Relationship Id="rId32" Type="http://schemas.openxmlformats.org/officeDocument/2006/relationships/hyperlink" Target="https://advance.lexis.com/api/document?collection=cases-ca&amp;id=urn:contentItem:5F7T-S7B1-F7ND-G51J-00000-00&amp;context=" TargetMode="External" /><Relationship Id="rId320" Type="http://schemas.openxmlformats.org/officeDocument/2006/relationships/header" Target="header40.xml" /><Relationship Id="rId321" Type="http://schemas.openxmlformats.org/officeDocument/2006/relationships/header" Target="header41.xml" /><Relationship Id="rId322" Type="http://schemas.openxmlformats.org/officeDocument/2006/relationships/footer" Target="footer40.xml" /><Relationship Id="rId323" Type="http://schemas.openxmlformats.org/officeDocument/2006/relationships/footer" Target="footer41.xml" /><Relationship Id="rId324" Type="http://schemas.openxmlformats.org/officeDocument/2006/relationships/header" Target="header42.xml" /><Relationship Id="rId325" Type="http://schemas.openxmlformats.org/officeDocument/2006/relationships/footer" Target="footer42.xml" /><Relationship Id="rId326" Type="http://schemas.openxmlformats.org/officeDocument/2006/relationships/hyperlink" Target="https://advance.lexis.com/api/document?collection=cases-ca&amp;id=urn:contentItem:5JBT-WT01-JT42-S162-00000-00&amp;context=" TargetMode="External" /><Relationship Id="rId327" Type="http://schemas.openxmlformats.org/officeDocument/2006/relationships/hyperlink" Target="https://advance.lexis.com/api/document?collection=cases-ca&amp;id=urn:contentItem:5K6Y-81T1-JYYX-623F-00000-00&amp;context=" TargetMode="External" /><Relationship Id="rId328" Type="http://schemas.openxmlformats.org/officeDocument/2006/relationships/hyperlink" Target="https://advance.lexis.com/api/document?collection=cases-ca&amp;id=urn:contentItem:5F7T-S7M1-JNCK-22VC-00000-00&amp;context=" TargetMode="External" /><Relationship Id="rId329" Type="http://schemas.openxmlformats.org/officeDocument/2006/relationships/hyperlink" Target="https://advance.lexis.com/api/document?collection=cases-ca&amp;id=urn:contentItem:5F7T-S781-F900-G0RT-00000-00&amp;context=" TargetMode="External" /><Relationship Id="rId33" Type="http://schemas.openxmlformats.org/officeDocument/2006/relationships/hyperlink" Target="https://advance.lexis.com/api/document?collection=cases-ca&amp;id=urn:contentItem:5F7T-S7C1-JSRM-60VC-00000-00&amp;context=" TargetMode="External" /><Relationship Id="rId330" Type="http://schemas.openxmlformats.org/officeDocument/2006/relationships/hyperlink" Target="https://advance.lexis.com/api/document?collection=cases-ca&amp;id=urn:contentItem:5F8T-N3V1-JF75-M3SJ-00000-00&amp;context=" TargetMode="External" /><Relationship Id="rId331" Type="http://schemas.openxmlformats.org/officeDocument/2006/relationships/hyperlink" Target="https://advance.lexis.com/api/document?collection=cases-ca&amp;id=urn:contentItem:5F7T-S7K1-JSJC-X0PR-00000-00&amp;context=" TargetMode="External" /><Relationship Id="rId332" Type="http://schemas.openxmlformats.org/officeDocument/2006/relationships/hyperlink" Target="https://advance.lexis.com/api/document?collection=cases-ca&amp;id=urn:contentItem:5F7T-S7K1-JWXF-2194-00000-00&amp;context=" TargetMode="External" /><Relationship Id="rId333" Type="http://schemas.openxmlformats.org/officeDocument/2006/relationships/hyperlink" Target="https://advance.lexis.com/api/document?collection=cases-ca&amp;id=urn:contentItem:5F7T-S7J1-JNS1-M24M-00000-00&amp;context=" TargetMode="External" /><Relationship Id="rId334" Type="http://schemas.openxmlformats.org/officeDocument/2006/relationships/hyperlink" Target="https://advance.lexis.com/api/document?collection=cases-ca&amp;id=urn:contentItem:5F7T-S7J1-JYYX-62BC-00000-00&amp;context=" TargetMode="External" /><Relationship Id="rId335" Type="http://schemas.openxmlformats.org/officeDocument/2006/relationships/hyperlink" Target="https://advance.lexis.com/api/document?collection=cases-ca&amp;id=urn:contentItem:5F7T-S7D1-JG02-S2W7-00000-00&amp;context=" TargetMode="External" /><Relationship Id="rId336" Type="http://schemas.openxmlformats.org/officeDocument/2006/relationships/hyperlink" Target="https://advance.lexis.com/api/document?collection=cases-ca&amp;id=urn:contentItem:5F16-9351-FFFC-B32K-00000-00&amp;context=" TargetMode="External" /><Relationship Id="rId337" Type="http://schemas.openxmlformats.org/officeDocument/2006/relationships/hyperlink" Target="https://advance.lexis.com/api/document?collection=cases-ca&amp;id=urn:contentItem:5F8T-N3V1-JFKM-609G-00000-00&amp;context=" TargetMode="External" /><Relationship Id="rId338" Type="http://schemas.openxmlformats.org/officeDocument/2006/relationships/header" Target="header43.xml" /><Relationship Id="rId339" Type="http://schemas.openxmlformats.org/officeDocument/2006/relationships/header" Target="header44.xml" /><Relationship Id="rId34" Type="http://schemas.openxmlformats.org/officeDocument/2006/relationships/hyperlink" Target="https://advance.lexis.com/api/document?collection=cases-ca&amp;id=urn:contentItem:5F7T-S7G1-JWR6-S1KB-00000-00&amp;context=" TargetMode="External" /><Relationship Id="rId340" Type="http://schemas.openxmlformats.org/officeDocument/2006/relationships/footer" Target="footer43.xml" /><Relationship Id="rId341" Type="http://schemas.openxmlformats.org/officeDocument/2006/relationships/footer" Target="footer44.xml" /><Relationship Id="rId342" Type="http://schemas.openxmlformats.org/officeDocument/2006/relationships/header" Target="header45.xml" /><Relationship Id="rId343" Type="http://schemas.openxmlformats.org/officeDocument/2006/relationships/footer" Target="footer45.xml" /><Relationship Id="rId344" Type="http://schemas.openxmlformats.org/officeDocument/2006/relationships/hyperlink" Target="https://advance.lexis.com/api/document?collection=cases-ca&amp;id=urn:contentItem:5F7T-S7N1-F57G-S2BC-00000-00&amp;context=" TargetMode="External" /><Relationship Id="rId345" Type="http://schemas.openxmlformats.org/officeDocument/2006/relationships/hyperlink" Target="https://advance.lexis.com/api/document?collection=cases-ca&amp;id=urn:contentItem:5K6Y-81N1-JN14-G217-00000-00&amp;context=" TargetMode="External" /><Relationship Id="rId346" Type="http://schemas.openxmlformats.org/officeDocument/2006/relationships/hyperlink" Target="https://advance.lexis.com/api/document?collection=cases-ca&amp;id=urn:contentItem:5F8T-N3V1-JTGH-B1J4-00000-00&amp;context=" TargetMode="External" /><Relationship Id="rId347" Type="http://schemas.openxmlformats.org/officeDocument/2006/relationships/hyperlink" Target="https://advance.lexis.com/api/document?collection=cases-ca&amp;id=urn:contentItem:5F8T-N3V1-JFKM-609S-00000-00&amp;context=" TargetMode="External" /><Relationship Id="rId348" Type="http://schemas.openxmlformats.org/officeDocument/2006/relationships/hyperlink" Target="https://advance.lexis.com/api/document?collection=cases-ca&amp;id=urn:contentItem:5F8N-K711-JJ6S-61W2-00000-00&amp;context=" TargetMode="External" /><Relationship Id="rId349" Type="http://schemas.openxmlformats.org/officeDocument/2006/relationships/hyperlink" Target="https://advance.lexis.com/api/document?collection=cases-ca&amp;id=urn:contentItem:5F7T-XPW1-JG59-21S0-00000-00&amp;context=" TargetMode="External" /><Relationship Id="rId35" Type="http://schemas.openxmlformats.org/officeDocument/2006/relationships/hyperlink" Target="https://advance.lexis.com/api/document?collection=cases-ca&amp;id=urn:contentItem:5F7T-S711-JC0G-62R6-00000-00&amp;context=" TargetMode="External" /><Relationship Id="rId350" Type="http://schemas.openxmlformats.org/officeDocument/2006/relationships/hyperlink" Target="https://advance.lexis.com/api/document?collection=cases-ca&amp;id=urn:contentItem:5F81-VJX1-F5KY-B42H-00000-00&amp;context=" TargetMode="External" /><Relationship Id="rId351" Type="http://schemas.openxmlformats.org/officeDocument/2006/relationships/hyperlink" Target="https://advance.lexis.com/api/document?collection=cases-ca&amp;id=urn:contentItem:5F8N-K711-JJ6S-62RJ-00000-00&amp;context=" TargetMode="External" /><Relationship Id="rId352" Type="http://schemas.openxmlformats.org/officeDocument/2006/relationships/hyperlink" Target="https://advance.lexis.com/api/document?collection=cases-ca&amp;id=urn:contentItem:5F7T-S711-JG02-S1TY-00000-00&amp;context=" TargetMode="External" /><Relationship Id="rId353" Type="http://schemas.openxmlformats.org/officeDocument/2006/relationships/hyperlink" Target="https://advance.lexis.com/api/document?collection=cases-ca&amp;id=urn:contentItem:5F7T-S781-F900-G0SR-00000-00&amp;context=" TargetMode="External" /><Relationship Id="rId354" Type="http://schemas.openxmlformats.org/officeDocument/2006/relationships/hyperlink" Target="https://advance.lexis.com/api/document?collection=cases-ca&amp;id=urn:contentItem:5F8T-N3R1-JNS1-M14G-00000-00&amp;context=" TargetMode="External" /><Relationship Id="rId355" Type="http://schemas.openxmlformats.org/officeDocument/2006/relationships/hyperlink" Target="https://advance.lexis.com/api/document?collection=cases-ca&amp;id=urn:contentItem:5F8T-N3R1-FBV7-B06H-00000-00&amp;context=" TargetMode="External" /><Relationship Id="rId356" Type="http://schemas.openxmlformats.org/officeDocument/2006/relationships/hyperlink" Target="https://advance.lexis.com/api/document?collection=cases-ca&amp;id=urn:contentItem:5F7T-S751-F361-M10D-00000-00&amp;context=" TargetMode="External" /><Relationship Id="rId357" Type="http://schemas.openxmlformats.org/officeDocument/2006/relationships/hyperlink" Target="https://advance.lexis.com/api/document?collection=cases-ca&amp;id=urn:contentItem:5F8P-SFB1-FCK4-G552-00000-00&amp;context=" TargetMode="External" /><Relationship Id="rId358" Type="http://schemas.openxmlformats.org/officeDocument/2006/relationships/hyperlink" Target="https://advance.lexis.com/api/document?collection=cases-ca&amp;id=urn:contentItem:5F81-VJX1-F5KY-B46F-00000-00&amp;context=" TargetMode="External" /><Relationship Id="rId359" Type="http://schemas.openxmlformats.org/officeDocument/2006/relationships/hyperlink" Target="https://advance.lexis.com/api/document?collection=cases-ca&amp;id=urn:contentItem:5F7H-KW81-JW5H-X0N9-00000-00&amp;context=" TargetMode="External" /><Relationship Id="rId36" Type="http://schemas.openxmlformats.org/officeDocument/2006/relationships/hyperlink" Target="https://advance.lexis.com/api/document?collection=cases-ca&amp;id=urn:contentItem:5F82-1SB1-F8SS-647Y-00000-00&amp;context=" TargetMode="External" /><Relationship Id="rId360" Type="http://schemas.openxmlformats.org/officeDocument/2006/relationships/header" Target="header46.xml" /><Relationship Id="rId361" Type="http://schemas.openxmlformats.org/officeDocument/2006/relationships/header" Target="header47.xml" /><Relationship Id="rId362" Type="http://schemas.openxmlformats.org/officeDocument/2006/relationships/footer" Target="footer46.xml" /><Relationship Id="rId363" Type="http://schemas.openxmlformats.org/officeDocument/2006/relationships/footer" Target="footer47.xml" /><Relationship Id="rId364" Type="http://schemas.openxmlformats.org/officeDocument/2006/relationships/header" Target="header48.xml" /><Relationship Id="rId365" Type="http://schemas.openxmlformats.org/officeDocument/2006/relationships/footer" Target="footer48.xml" /><Relationship Id="rId366" Type="http://schemas.openxmlformats.org/officeDocument/2006/relationships/hyperlink" Target="https://advance.lexis.com/api/document?collection=cases-ca&amp;id=urn:contentItem:5F7T-S7N1-F57G-S2KT-00000-00&amp;context=" TargetMode="External" /><Relationship Id="rId367" Type="http://schemas.openxmlformats.org/officeDocument/2006/relationships/hyperlink" Target="https://advance.lexis.com/api/document?collection=legislation-ca&amp;id=urn:contentItem:5F41-1FG1-JJYN-B04K-00000-00&amp;context=" TargetMode="External" /><Relationship Id="rId368" Type="http://schemas.openxmlformats.org/officeDocument/2006/relationships/hyperlink" Target="https://advance.lexis.com/api/document?collection=legislation-ca&amp;id=urn:contentItem:5F41-1FG1-JJYN-B06G-00000-00&amp;context=" TargetMode="External" /><Relationship Id="rId369" Type="http://schemas.openxmlformats.org/officeDocument/2006/relationships/hyperlink" Target="https://advance.lexis.com/api/document?collection=cases-ca&amp;id=urn:contentItem:5F7T-S7F1-FBN1-21JK-00000-00&amp;context=" TargetMode="External" /><Relationship Id="rId37" Type="http://schemas.openxmlformats.org/officeDocument/2006/relationships/hyperlink" Target="https://advance.lexis.com/api/document?collection=cases-ca&amp;id=urn:contentItem:5F7T-S7K1-JWXF-2193-00000-00&amp;context=" TargetMode="External" /><Relationship Id="rId370" Type="http://schemas.openxmlformats.org/officeDocument/2006/relationships/hyperlink" Target="https://advance.lexis.com/api/document?collection=cases-ca&amp;id=urn:contentItem:5F81-VJY1-FBN1-235Y-00000-00&amp;context=" TargetMode="External" /><Relationship Id="rId371" Type="http://schemas.openxmlformats.org/officeDocument/2006/relationships/hyperlink" Target="https://advance.lexis.com/api/document?collection=cases-ca&amp;id=urn:contentItem:5F7T-S7N1-F06F-24V8-00000-00&amp;context=" TargetMode="External" /><Relationship Id="rId372" Type="http://schemas.openxmlformats.org/officeDocument/2006/relationships/hyperlink" Target="https://advance.lexis.com/api/document?collection=cases-ca&amp;id=urn:contentItem:5F7T-S7K1-JX3N-B2RD-00000-00&amp;context=" TargetMode="External" /><Relationship Id="rId373" Type="http://schemas.openxmlformats.org/officeDocument/2006/relationships/hyperlink" Target="https://advance.lexis.com/api/document?collection=cases-ca&amp;id=urn:contentItem:5F81-VJX1-FGY5-M3CW-00000-00&amp;context=" TargetMode="External" /><Relationship Id="rId374" Type="http://schemas.openxmlformats.org/officeDocument/2006/relationships/hyperlink" Target="https://advance.lexis.com/api/document?collection=cases-ca&amp;id=urn:contentItem:5F81-VJV1-JG59-22K7-00000-00&amp;context=" TargetMode="External" /><Relationship Id="rId375" Type="http://schemas.openxmlformats.org/officeDocument/2006/relationships/hyperlink" Target="https://advance.lexis.com/api/document?collection=cases-ca&amp;id=urn:contentItem:5F7T-S7M1-F4W2-621J-00000-00&amp;context=" TargetMode="External" /><Relationship Id="rId376" Type="http://schemas.openxmlformats.org/officeDocument/2006/relationships/hyperlink" Target="https://advance.lexis.com/api/document?collection=cases-ca&amp;id=urn:contentItem:5F7T-S7M1-DYMS-61YF-00000-00&amp;context=" TargetMode="External" /><Relationship Id="rId377" Type="http://schemas.openxmlformats.org/officeDocument/2006/relationships/hyperlink" Target="https://advance.lexis.com/api/document?collection=cases-ca&amp;id=urn:contentItem:5F7T-S7D1-FC6N-X0TJ-00000-00&amp;context=" TargetMode="External" /><Relationship Id="rId378" Type="http://schemas.openxmlformats.org/officeDocument/2006/relationships/header" Target="header49.xml" /><Relationship Id="rId379" Type="http://schemas.openxmlformats.org/officeDocument/2006/relationships/header" Target="header50.xml" /><Relationship Id="rId38" Type="http://schemas.openxmlformats.org/officeDocument/2006/relationships/hyperlink" Target="https://advance.lexis.com/api/document?collection=cases-ca&amp;id=urn:contentItem:5F7T-S7C1-FGRY-B0JX-00000-00&amp;context=" TargetMode="External" /><Relationship Id="rId380" Type="http://schemas.openxmlformats.org/officeDocument/2006/relationships/footer" Target="footer49.xml" /><Relationship Id="rId381" Type="http://schemas.openxmlformats.org/officeDocument/2006/relationships/footer" Target="footer50.xml" /><Relationship Id="rId382" Type="http://schemas.openxmlformats.org/officeDocument/2006/relationships/header" Target="header51.xml" /><Relationship Id="rId383" Type="http://schemas.openxmlformats.org/officeDocument/2006/relationships/footer" Target="footer51.xml" /><Relationship Id="rId384" Type="http://schemas.openxmlformats.org/officeDocument/2006/relationships/hyperlink" Target="https://advance.lexis.com/api/document?collection=cases-ca&amp;id=urn:contentItem:5F7T-S7P1-JG02-S3WT-00000-00&amp;context=" TargetMode="External" /><Relationship Id="rId385" Type="http://schemas.openxmlformats.org/officeDocument/2006/relationships/hyperlink" Target="https://advance.lexis.com/api/document?collection=cases-ca&amp;id=urn:contentItem:5F8T-N3V1-FH4C-X20M-00000-00&amp;context=" TargetMode="External" /><Relationship Id="rId386" Type="http://schemas.openxmlformats.org/officeDocument/2006/relationships/hyperlink" Target="https://advance.lexis.com/api/document?collection=cases-ca&amp;id=urn:contentItem:5F8T-N3T1-JFKM-655K-00000-00&amp;context=" TargetMode="External" /><Relationship Id="rId387" Type="http://schemas.openxmlformats.org/officeDocument/2006/relationships/hyperlink" Target="https://advance.lexis.com/api/document?collection=cases-ca&amp;id=urn:contentItem:5F8T-N3V1-JTGH-B1C7-00000-00&amp;context=" TargetMode="External" /><Relationship Id="rId388" Type="http://schemas.openxmlformats.org/officeDocument/2006/relationships/hyperlink" Target="https://advance.lexis.com/api/document?collection=cases-ca&amp;id=urn:contentItem:5F7T-S7N1-DXWW-206B-00000-00&amp;context=" TargetMode="External" /><Relationship Id="rId389" Type="http://schemas.openxmlformats.org/officeDocument/2006/relationships/hyperlink" Target="https://advance.lexis.com/api/document?collection=cases-ca&amp;id=urn:contentItem:5F7T-S721-F06F-230Y-00000-00&amp;context=" TargetMode="External" /><Relationship Id="rId39" Type="http://schemas.openxmlformats.org/officeDocument/2006/relationships/hyperlink" Target="https://advance.lexis.com/api/document?collection=cases-ca&amp;id=urn:contentItem:5F7T-S721-F5T5-M2F4-00000-00&amp;context=" TargetMode="External" /><Relationship Id="rId390" Type="http://schemas.openxmlformats.org/officeDocument/2006/relationships/hyperlink" Target="https://advance.lexis.com/api/document?collection=cases-ca&amp;id=urn:contentItem:5F7T-S7B1-FH4C-X381-00000-00&amp;context=" TargetMode="External" /><Relationship Id="rId391" Type="http://schemas.openxmlformats.org/officeDocument/2006/relationships/hyperlink" Target="https://advance.lexis.com/api/document?collection=cases-ca&amp;id=urn:contentItem:5F8T-N3T1-JJSF-2361-00000-00&amp;context=" TargetMode="External" /><Relationship Id="rId392" Type="http://schemas.openxmlformats.org/officeDocument/2006/relationships/hyperlink" Target="https://advance.lexis.com/api/document?collection=cases-ca&amp;id=urn:contentItem:5F7T-S7K1-DY33-B1K8-00000-00&amp;context=" TargetMode="External" /><Relationship Id="rId393" Type="http://schemas.openxmlformats.org/officeDocument/2006/relationships/hyperlink" Target="https://advance.lexis.com/api/document?collection=cases-ca&amp;id=urn:contentItem:5F7T-S7K1-DY33-B1KS-00000-00&amp;context=" TargetMode="External" /><Relationship Id="rId394" Type="http://schemas.openxmlformats.org/officeDocument/2006/relationships/hyperlink" Target="https://advance.lexis.com/api/document?collection=cases-ca&amp;id=urn:contentItem:5F7T-S7D1-FBFS-S1M7-00000-00&amp;context=" TargetMode="External" /><Relationship Id="rId395" Type="http://schemas.openxmlformats.org/officeDocument/2006/relationships/hyperlink" Target="https://advance.lexis.com/api/document?collection=cases-ca&amp;id=urn:contentItem:5F7T-S7M1-JCRC-B1DM-00000-00&amp;context=" TargetMode="External" /><Relationship Id="rId396" Type="http://schemas.openxmlformats.org/officeDocument/2006/relationships/hyperlink" Target="https://advance.lexis.com/api/document?collection=cases-ca&amp;id=urn:contentItem:5F7T-S7K1-JNY7-X4GM-00000-00&amp;context=" TargetMode="External" /><Relationship Id="rId397" Type="http://schemas.openxmlformats.org/officeDocument/2006/relationships/hyperlink" Target="https://advance.lexis.com/api/document?collection=cases-ca&amp;id=urn:contentItem:5F7T-S7M1-JFSV-G3S1-00000-00&amp;context=" TargetMode="External" /><Relationship Id="rId398" Type="http://schemas.openxmlformats.org/officeDocument/2006/relationships/hyperlink" Target="https://advance.lexis.com/api/document?collection=cases-ca&amp;id=urn:contentItem:5F7T-S7M1-JPP5-22H2-00000-00&amp;context=" TargetMode="External" /><Relationship Id="rId399" Type="http://schemas.openxmlformats.org/officeDocument/2006/relationships/hyperlink" Target="https://advance.lexis.com/api/document?collection=cases-ca&amp;id=urn:contentItem:5F7T-S7N1-JJ1H-X33X-00000-00&amp;context=" TargetMode="External" /><Relationship Id="rId4" Type="http://schemas.openxmlformats.org/officeDocument/2006/relationships/header" Target="header1.xml" /><Relationship Id="rId40" Type="http://schemas.openxmlformats.org/officeDocument/2006/relationships/hyperlink" Target="https://advance.lexis.com/api/document?collection=cases-ca&amp;id=urn:contentItem:5F7T-S7F1-F7VM-S4BV-00000-00&amp;context=" TargetMode="External" /><Relationship Id="rId400" Type="http://schemas.openxmlformats.org/officeDocument/2006/relationships/hyperlink" Target="https://advance.lexis.com/api/document?collection=cases-ca&amp;id=urn:contentItem:5F7T-S7N1-JGHR-M3DK-00000-00&amp;context=" TargetMode="External" /><Relationship Id="rId401" Type="http://schemas.openxmlformats.org/officeDocument/2006/relationships/hyperlink" Target="https://advance.lexis.com/api/document?collection=cases-ca&amp;id=urn:contentItem:5F7T-S7K1-F1H1-22C1-00000-00&amp;context=" TargetMode="External" /><Relationship Id="rId402" Type="http://schemas.openxmlformats.org/officeDocument/2006/relationships/hyperlink" Target="https://advance.lexis.com/api/document?collection=cases-ca&amp;id=urn:contentItem:5F7T-S7M1-JNCK-22R0-00000-00&amp;context=" TargetMode="External" /><Relationship Id="rId403" Type="http://schemas.openxmlformats.org/officeDocument/2006/relationships/hyperlink" Target="https://advance.lexis.com/api/document?collection=cases-ca&amp;id=urn:contentItem:5F7T-S7N1-JJ1H-X2NX-00000-00&amp;context=" TargetMode="External" /><Relationship Id="rId404" Type="http://schemas.openxmlformats.org/officeDocument/2006/relationships/hyperlink" Target="https://advance.lexis.com/api/document?collection=cases-ca&amp;id=urn:contentItem:5F7T-S7K1-JKHB-62PC-00000-00&amp;context=" TargetMode="External" /><Relationship Id="rId405" Type="http://schemas.openxmlformats.org/officeDocument/2006/relationships/hyperlink" Target="https://advance.lexis.com/api/document?collection=cases-ca&amp;id=urn:contentItem:5F7T-S7K1-DY33-B1KT-00000-00&amp;context=" TargetMode="External" /><Relationship Id="rId406" Type="http://schemas.openxmlformats.org/officeDocument/2006/relationships/hyperlink" Target="https://advance.lexis.com/api/document?collection=cases-ca&amp;id=urn:contentItem:5F7T-S731-DY33-B0YN-00000-00&amp;context=" TargetMode="External" /><Relationship Id="rId407" Type="http://schemas.openxmlformats.org/officeDocument/2006/relationships/hyperlink" Target="https://advance.lexis.com/api/document?collection=cases-ca&amp;id=urn:contentItem:5F7T-S6W1-JB7K-21F4-00000-00&amp;context=" TargetMode="External" /><Relationship Id="rId408" Type="http://schemas.openxmlformats.org/officeDocument/2006/relationships/hyperlink" Target="https://advance.lexis.com/api/document?collection=cases-ca&amp;id=urn:contentItem:5F7T-S6X1-JTNR-M3X3-00000-00&amp;context=" TargetMode="External" /><Relationship Id="rId409" Type="http://schemas.openxmlformats.org/officeDocument/2006/relationships/hyperlink" Target="https://advance.lexis.com/api/document?collection=cases-ca&amp;id=urn:contentItem:5F7T-S7K1-JSJC-X168-00000-00&amp;context=" TargetMode="External" /><Relationship Id="rId41" Type="http://schemas.openxmlformats.org/officeDocument/2006/relationships/hyperlink" Target="https://advance.lexis.com/api/document?collection=cases-ca&amp;id=urn:contentItem:5F7T-S7K1-JSJC-X161-00000-00&amp;context=" TargetMode="External" /><Relationship Id="rId410" Type="http://schemas.openxmlformats.org/officeDocument/2006/relationships/hyperlink" Target="https://advance.lexis.com/api/document?collection=cases-ca&amp;id=urn:contentItem:5F7T-S7F1-F7VM-S475-00000-00&amp;context=" TargetMode="External" /><Relationship Id="rId411" Type="http://schemas.openxmlformats.org/officeDocument/2006/relationships/hyperlink" Target="https://advance.lexis.com/api/document?collection=cases-ca&amp;id=urn:contentItem:5F7T-S7K1-JSJC-X0R5-00000-00&amp;context=" TargetMode="External" /><Relationship Id="rId412" Type="http://schemas.openxmlformats.org/officeDocument/2006/relationships/hyperlink" Target="https://advance.lexis.com/api/document?collection=cases-ca&amp;id=urn:contentItem:5F7T-S701-JF75-M4N2-00000-00&amp;context=" TargetMode="External" /><Relationship Id="rId413" Type="http://schemas.openxmlformats.org/officeDocument/2006/relationships/hyperlink" Target="https://advance.lexis.com/api/document?collection=cases-ca&amp;id=urn:contentItem:5F7T-S731-FFFC-B0K2-00000-00&amp;context=" TargetMode="External" /><Relationship Id="rId414" Type="http://schemas.openxmlformats.org/officeDocument/2006/relationships/header" Target="header52.xml" /><Relationship Id="rId415" Type="http://schemas.openxmlformats.org/officeDocument/2006/relationships/header" Target="header53.xml" /><Relationship Id="rId416" Type="http://schemas.openxmlformats.org/officeDocument/2006/relationships/footer" Target="footer52.xml" /><Relationship Id="rId417" Type="http://schemas.openxmlformats.org/officeDocument/2006/relationships/footer" Target="footer53.xml" /><Relationship Id="rId418" Type="http://schemas.openxmlformats.org/officeDocument/2006/relationships/header" Target="header54.xml" /><Relationship Id="rId419" Type="http://schemas.openxmlformats.org/officeDocument/2006/relationships/footer" Target="footer54.xml" /><Relationship Id="rId42" Type="http://schemas.openxmlformats.org/officeDocument/2006/relationships/hyperlink" Target="https://advance.lexis.com/api/document?collection=cases-ca&amp;id=urn:contentItem:5F7T-S791-JCJ5-2547-00000-00&amp;context=" TargetMode="External" /><Relationship Id="rId420" Type="http://schemas.openxmlformats.org/officeDocument/2006/relationships/hyperlink" Target="https://advance.lexis.com/api/document?collection=cases-ca&amp;id=urn:contentItem:5JY7-RCM1-DXHD-G2S7-00000-00&amp;context=" TargetMode="External" /><Relationship Id="rId421" Type="http://schemas.openxmlformats.org/officeDocument/2006/relationships/hyperlink" Target="https://advance.lexis.com/api/document?collection=cases-ca&amp;id=urn:contentItem:5F8P-SCK1-JCJ5-22YM-00000-00&amp;context=" TargetMode="External" /><Relationship Id="rId422" Type="http://schemas.openxmlformats.org/officeDocument/2006/relationships/hyperlink" Target="https://advance.lexis.com/api/document?collection=cases-ca&amp;id=urn:contentItem:5F7T-S7N1-JW09-M0W0-00000-00&amp;context=" TargetMode="External" /><Relationship Id="rId423" Type="http://schemas.openxmlformats.org/officeDocument/2006/relationships/hyperlink" Target="https://advance.lexis.com/api/document?collection=cases-ca&amp;id=urn:contentItem:5F8T-N3V1-JTGH-B153-00000-00&amp;context=" TargetMode="External" /><Relationship Id="rId424" Type="http://schemas.openxmlformats.org/officeDocument/2006/relationships/hyperlink" Target="https://advance.lexis.com/api/document?collection=cases-ca&amp;id=urn:contentItem:5F7T-S7F1-JX3N-B1MN-00000-00&amp;context=" TargetMode="External" /><Relationship Id="rId425" Type="http://schemas.openxmlformats.org/officeDocument/2006/relationships/hyperlink" Target="https://advance.lexis.com/api/document?collection=cases-ca&amp;id=urn:contentItem:5F7T-S7C1-JSRM-60TP-00000-00&amp;context=" TargetMode="External" /><Relationship Id="rId426" Type="http://schemas.openxmlformats.org/officeDocument/2006/relationships/hyperlink" Target="https://advance.lexis.com/api/document?collection=cases-ca&amp;id=urn:contentItem:5F7T-S751-JP4G-61BC-00000-00&amp;context=" TargetMode="External" /><Relationship Id="rId427" Type="http://schemas.openxmlformats.org/officeDocument/2006/relationships/hyperlink" Target="https://advance.lexis.com/api/document?collection=cases-ca&amp;id=urn:contentItem:5F7T-S781-F7G6-63KX-00000-00&amp;context=" TargetMode="External" /><Relationship Id="rId428" Type="http://schemas.openxmlformats.org/officeDocument/2006/relationships/hyperlink" Target="https://advance.lexis.com/api/document?collection=cases-ca&amp;id=urn:contentItem:5F7T-S7K1-DXWW-2019-00000-00&amp;context=" TargetMode="External" /><Relationship Id="rId429" Type="http://schemas.openxmlformats.org/officeDocument/2006/relationships/hyperlink" Target="https://advance.lexis.com/api/document?collection=cases-ca&amp;id=urn:contentItem:5F7T-S7G1-JNY7-X3K8-00000-00&amp;context=" TargetMode="External" /><Relationship Id="rId43" Type="http://schemas.openxmlformats.org/officeDocument/2006/relationships/hyperlink" Target="https://advance.lexis.com/api/document?collection=cases-ca&amp;id=urn:contentItem:5F7T-S7D1-JN6B-S0N4-00000-00&amp;context=" TargetMode="External" /><Relationship Id="rId430" Type="http://schemas.openxmlformats.org/officeDocument/2006/relationships/hyperlink" Target="https://advance.lexis.com/api/document?collection=cases-ca&amp;id=urn:contentItem:5F8T-N3S1-JT99-250W-00000-00&amp;context=" TargetMode="External" /><Relationship Id="rId431" Type="http://schemas.openxmlformats.org/officeDocument/2006/relationships/hyperlink" Target="https://advance.lexis.com/api/document?collection=cases-ca&amp;id=urn:contentItem:5F7T-S7C1-F7VM-S3T7-00000-00&amp;context=" TargetMode="External" /><Relationship Id="rId432" Type="http://schemas.openxmlformats.org/officeDocument/2006/relationships/hyperlink" Target="https://advance.lexis.com/api/document?collection=cases-ca&amp;id=urn:contentItem:5F7T-S7D1-JN6B-S131-00000-00&amp;context=" TargetMode="External" /><Relationship Id="rId433" Type="http://schemas.openxmlformats.org/officeDocument/2006/relationships/hyperlink" Target="https://advance.lexis.com/api/document?collection=cases-ca&amp;id=urn:contentItem:5F7T-S7M1-DYMS-6268-00000-00&amp;context=" TargetMode="External" /><Relationship Id="rId434" Type="http://schemas.openxmlformats.org/officeDocument/2006/relationships/hyperlink" Target="https://advance.lexis.com/api/document?collection=cases-ca&amp;id=urn:contentItem:5F7T-S7P1-F2TK-23R4-00000-00&amp;context=" TargetMode="External" /><Relationship Id="rId435" Type="http://schemas.openxmlformats.org/officeDocument/2006/relationships/header" Target="header55.xml" /><Relationship Id="rId436" Type="http://schemas.openxmlformats.org/officeDocument/2006/relationships/header" Target="header56.xml" /><Relationship Id="rId437" Type="http://schemas.openxmlformats.org/officeDocument/2006/relationships/footer" Target="footer55.xml" /><Relationship Id="rId438" Type="http://schemas.openxmlformats.org/officeDocument/2006/relationships/footer" Target="footer56.xml" /><Relationship Id="rId439" Type="http://schemas.openxmlformats.org/officeDocument/2006/relationships/header" Target="header57.xml" /><Relationship Id="rId44" Type="http://schemas.openxmlformats.org/officeDocument/2006/relationships/hyperlink" Target="https://advance.lexis.com/api/document?collection=cases-ca&amp;id=urn:contentItem:5F7T-S7D1-FC6N-X0P6-00000-00&amp;context=" TargetMode="External" /><Relationship Id="rId440" Type="http://schemas.openxmlformats.org/officeDocument/2006/relationships/footer" Target="footer57.xml" /><Relationship Id="rId441" Type="http://schemas.openxmlformats.org/officeDocument/2006/relationships/hyperlink" Target="https://advance.lexis.com/api/document?collection=cases-ca&amp;id=urn:contentItem:5K6X-JJV1-JSJC-X0T8-00000-00&amp;context=" TargetMode="External" /><Relationship Id="rId442" Type="http://schemas.openxmlformats.org/officeDocument/2006/relationships/hyperlink" Target="https://advance.lexis.com/api/document?collection=cases-ca&amp;id=urn:contentItem:5F7T-S7G1-JPP5-21T8-00000-00&amp;context=" TargetMode="External" /><Relationship Id="rId443" Type="http://schemas.openxmlformats.org/officeDocument/2006/relationships/hyperlink" Target="https://advance.lexis.com/api/document?collection=cases-ca&amp;id=urn:contentItem:5F7T-S761-FFMK-M151-00000-00&amp;context=" TargetMode="External" /><Relationship Id="rId444" Type="http://schemas.openxmlformats.org/officeDocument/2006/relationships/hyperlink" Target="https://advance.lexis.com/api/document?collection=cases-ca&amp;id=urn:contentItem:5F7T-S731-JNJT-B288-00000-00&amp;context=" TargetMode="External" /><Relationship Id="rId445" Type="http://schemas.openxmlformats.org/officeDocument/2006/relationships/hyperlink" Target="https://advance.lexis.com/api/document?collection=cases-ca&amp;id=urn:contentItem:5F7T-S741-F1H1-2197-00000-00&amp;context=" TargetMode="External" /><Relationship Id="rId446" Type="http://schemas.openxmlformats.org/officeDocument/2006/relationships/hyperlink" Target="https://advance.lexis.com/api/document?collection=cases-ca&amp;id=urn:contentItem:5F7T-S731-JC0G-63HG-00000-00&amp;context=" TargetMode="External" /><Relationship Id="rId447" Type="http://schemas.openxmlformats.org/officeDocument/2006/relationships/hyperlink" Target="https://advance.lexis.com/api/document?collection=cases-ca&amp;id=urn:contentItem:5F7T-S781-F06F-23YH-00000-00&amp;context=" TargetMode="External" /><Relationship Id="rId448" Type="http://schemas.openxmlformats.org/officeDocument/2006/relationships/hyperlink" Target="https://advance.lexis.com/api/document?collection=cases-ca&amp;id=urn:contentItem:5F7T-S7D1-F7ND-G0SX-00000-00&amp;context=" TargetMode="External" /><Relationship Id="rId449" Type="http://schemas.openxmlformats.org/officeDocument/2006/relationships/header" Target="header58.xml" /><Relationship Id="rId45" Type="http://schemas.openxmlformats.org/officeDocument/2006/relationships/hyperlink" Target="https://advance.lexis.com/api/document?collection=cases-ca&amp;id=urn:contentItem:5F7T-S761-JX8W-M343-00000-00&amp;context=" TargetMode="External" /><Relationship Id="rId450" Type="http://schemas.openxmlformats.org/officeDocument/2006/relationships/header" Target="header59.xml" /><Relationship Id="rId451" Type="http://schemas.openxmlformats.org/officeDocument/2006/relationships/footer" Target="footer58.xml" /><Relationship Id="rId452" Type="http://schemas.openxmlformats.org/officeDocument/2006/relationships/footer" Target="footer59.xml" /><Relationship Id="rId453" Type="http://schemas.openxmlformats.org/officeDocument/2006/relationships/header" Target="header60.xml" /><Relationship Id="rId454" Type="http://schemas.openxmlformats.org/officeDocument/2006/relationships/footer" Target="footer60.xml" /><Relationship Id="rId455" Type="http://schemas.openxmlformats.org/officeDocument/2006/relationships/hyperlink" Target="https://advance.lexis.com/api/document?collection=cases-ca&amp;id=urn:contentItem:5F7T-S7D1-JS5Y-B27S-00000-00&amp;context=" TargetMode="External" /><Relationship Id="rId456" Type="http://schemas.openxmlformats.org/officeDocument/2006/relationships/hyperlink" Target="https://advance.lexis.com/api/document?collection=legislation-ca&amp;id=urn:contentItem:5F41-1FJ1-JPGX-S02N-00000-00&amp;context=" TargetMode="External" /><Relationship Id="rId457" Type="http://schemas.openxmlformats.org/officeDocument/2006/relationships/hyperlink" Target="https://advance.lexis.com/api/document?collection=legislation-ca&amp;id=urn:contentItem:5W2C-X5N1-FBV7-B019-00000-00&amp;context=" TargetMode="External" /><Relationship Id="rId458" Type="http://schemas.openxmlformats.org/officeDocument/2006/relationships/hyperlink" Target="https://advance.lexis.com/api/document?collection=legislation-ca&amp;id=urn:contentItem:5KDP-V8P1-JPGX-S1FN-00000-00&amp;context=" TargetMode="External" /><Relationship Id="rId459" Type="http://schemas.openxmlformats.org/officeDocument/2006/relationships/hyperlink" Target="https://advance.lexis.com/api/document?collection=cases-ca&amp;id=urn:contentItem:5F8T-N3T1-JJSF-238G-00000-00&amp;context=" TargetMode="External" /><Relationship Id="rId46" Type="http://schemas.openxmlformats.org/officeDocument/2006/relationships/hyperlink" Target="https://advance.lexis.com/api/document?collection=cases-ca&amp;id=urn:contentItem:5F7T-S7F1-JX3N-B1MK-00000-00&amp;context=" TargetMode="External" /><Relationship Id="rId460" Type="http://schemas.openxmlformats.org/officeDocument/2006/relationships/hyperlink" Target="https://advance.lexis.com/api/document?collection=cases-ca&amp;id=urn:contentItem:5F8T-N3V1-FC1F-M41S-00000-00&amp;context=" TargetMode="External" /><Relationship Id="rId461" Type="http://schemas.openxmlformats.org/officeDocument/2006/relationships/hyperlink" Target="https://advance.lexis.com/api/document?collection=cases-ca&amp;id=urn:contentItem:5F7T-S7C1-JSRM-611R-00000-00&amp;context=" TargetMode="External" /><Relationship Id="rId462" Type="http://schemas.openxmlformats.org/officeDocument/2006/relationships/hyperlink" Target="https://advance.lexis.com/api/document?collection=cases-ca&amp;id=urn:contentItem:5F7T-S7B1-JCJ5-202W-00000-00&amp;context=" TargetMode="External" /><Relationship Id="rId463" Type="http://schemas.openxmlformats.org/officeDocument/2006/relationships/hyperlink" Target="https://advance.lexis.com/api/document?collection=cases-ca&amp;id=urn:contentItem:5F7T-S7C1-F30T-B2JM-00000-00&amp;context=" TargetMode="External" /><Relationship Id="rId464" Type="http://schemas.openxmlformats.org/officeDocument/2006/relationships/hyperlink" Target="https://advance.lexis.com/api/document?collection=cases-ca&amp;id=urn:contentItem:5F8T-N3V1-JF75-M3X0-00000-00&amp;context=" TargetMode="External" /><Relationship Id="rId465" Type="http://schemas.openxmlformats.org/officeDocument/2006/relationships/hyperlink" Target="https://advance.lexis.com/api/document?collection=cases-ca&amp;id=urn:contentItem:5F8T-N3V1-JF75-M3TB-00000-00&amp;context=" TargetMode="External" /><Relationship Id="rId466" Type="http://schemas.openxmlformats.org/officeDocument/2006/relationships/hyperlink" Target="https://advance.lexis.com/api/document?collection=cases-ca&amp;id=urn:contentItem:5F8T-N3V1-FC1F-M4DG-00000-00&amp;context=" TargetMode="External" /><Relationship Id="rId467" Type="http://schemas.openxmlformats.org/officeDocument/2006/relationships/hyperlink" Target="https://advance.lexis.com/api/document?collection=cases-ca&amp;id=urn:contentItem:5F8T-N3V1-JTGH-B116-00000-00&amp;context=" TargetMode="External" /><Relationship Id="rId468" Type="http://schemas.openxmlformats.org/officeDocument/2006/relationships/hyperlink" Target="https://advance.lexis.com/api/document?collection=cases-ca&amp;id=urn:contentItem:5F8W-W641-FGY5-M46F-00000-00&amp;context=" TargetMode="External" /><Relationship Id="rId469" Type="http://schemas.openxmlformats.org/officeDocument/2006/relationships/hyperlink" Target="https://advance.lexis.com/api/document?collection=cases-ca&amp;id=urn:contentItem:5F8W-W641-FGY5-M44M-00000-00&amp;context=" TargetMode="External" /><Relationship Id="rId47" Type="http://schemas.openxmlformats.org/officeDocument/2006/relationships/hyperlink" Target="https://advance.lexis.com/api/document?collection=cases-ca&amp;id=urn:contentItem:5F7T-S711-JNS1-M117-00000-00&amp;context=" TargetMode="External" /><Relationship Id="rId470" Type="http://schemas.openxmlformats.org/officeDocument/2006/relationships/hyperlink" Target="https://advance.lexis.com/api/document?collection=cases-ca&amp;id=urn:contentItem:5F8T-N3V1-JTGH-B12V-00000-00&amp;context=" TargetMode="External" /><Relationship Id="rId471" Type="http://schemas.openxmlformats.org/officeDocument/2006/relationships/hyperlink" Target="https://advance.lexis.com/api/document?collection=cases-ca&amp;id=urn:contentItem:5F8T-N3V1-JTGH-B127-00000-00&amp;context=" TargetMode="External" /><Relationship Id="rId472" Type="http://schemas.openxmlformats.org/officeDocument/2006/relationships/hyperlink" Target="https://advance.lexis.com/api/document?collection=cases-ca&amp;id=urn:contentItem:5F8T-N3V1-JFKM-60CD-00000-00&amp;context=" TargetMode="External" /><Relationship Id="rId473" Type="http://schemas.openxmlformats.org/officeDocument/2006/relationships/hyperlink" Target="https://advance.lexis.com/api/document?collection=cases-ca&amp;id=urn:contentItem:5F8T-N3T1-JJSF-23MW-00000-00&amp;context=" TargetMode="External" /><Relationship Id="rId474" Type="http://schemas.openxmlformats.org/officeDocument/2006/relationships/hyperlink" Target="https://advance.lexis.com/api/document?collection=cases-ca&amp;id=urn:contentItem:5F7T-S7B1-JSRM-601J-00000-00&amp;context=" TargetMode="External" /><Relationship Id="rId475" Type="http://schemas.openxmlformats.org/officeDocument/2006/relationships/hyperlink" Target="https://advance.lexis.com/api/document?collection=cases-ca&amp;id=urn:contentItem:5F8T-N3V1-JF75-M3J8-00000-00&amp;context=" TargetMode="External" /><Relationship Id="rId476" Type="http://schemas.openxmlformats.org/officeDocument/2006/relationships/hyperlink" Target="https://advance.lexis.com/api/document?collection=cases-ca&amp;id=urn:contentItem:5F8T-N3V1-JF75-M3J9-00000-00&amp;context=" TargetMode="External" /><Relationship Id="rId477" Type="http://schemas.openxmlformats.org/officeDocument/2006/relationships/hyperlink" Target="https://advance.lexis.com/api/document?collection=cases-ca&amp;id=urn:contentItem:5F8T-N3V1-JF75-M396-00000-00&amp;context=" TargetMode="External" /><Relationship Id="rId478" Type="http://schemas.openxmlformats.org/officeDocument/2006/relationships/hyperlink" Target="https://advance.lexis.com/api/document?collection=cases-ca&amp;id=urn:contentItem:5F7T-S7D1-F7ND-G0K8-00000-00&amp;context=" TargetMode="External" /><Relationship Id="rId479" Type="http://schemas.openxmlformats.org/officeDocument/2006/relationships/hyperlink" Target="https://advance.lexis.com/api/document?collection=cases-ca&amp;id=urn:contentItem:5F8T-N3V1-FC1F-M4BH-00000-00&amp;context=" TargetMode="External" /><Relationship Id="rId48" Type="http://schemas.openxmlformats.org/officeDocument/2006/relationships/hyperlink" Target="https://advance.lexis.com/api/document?collection=cases-ca&amp;id=urn:contentItem:5F7T-S7J1-JNS1-M268-00000-00&amp;context=" TargetMode="External" /><Relationship Id="rId480" Type="http://schemas.openxmlformats.org/officeDocument/2006/relationships/hyperlink" Target="https://advance.lexis.com/api/document?collection=cases-ca&amp;id=urn:contentItem:5F8T-N3V1-JF75-M3RV-00000-00&amp;context=" TargetMode="External" /><Relationship Id="rId481" Type="http://schemas.openxmlformats.org/officeDocument/2006/relationships/hyperlink" Target="https://advance.lexis.com/api/document?collection=cases-ca&amp;id=urn:contentItem:5F2P-NNW1-JC0G-6281-00000-00&amp;context=" TargetMode="External" /><Relationship Id="rId482" Type="http://schemas.openxmlformats.org/officeDocument/2006/relationships/hyperlink" Target="https://advance.lexis.com/api/document?collection=cases-ca&amp;id=urn:contentItem:5F8T-N3R1-JJSF-22FM-00000-00&amp;context=" TargetMode="External" /><Relationship Id="rId483" Type="http://schemas.openxmlformats.org/officeDocument/2006/relationships/hyperlink" Target="https://advance.lexis.com/api/document?collection=cases-ca&amp;id=urn:contentItem:5F81-VJW1-FGY5-M306-00000-00&amp;context=" TargetMode="External" /><Relationship Id="rId484" Type="http://schemas.openxmlformats.org/officeDocument/2006/relationships/header" Target="header61.xml" /><Relationship Id="rId485" Type="http://schemas.openxmlformats.org/officeDocument/2006/relationships/header" Target="header62.xml" /><Relationship Id="rId486" Type="http://schemas.openxmlformats.org/officeDocument/2006/relationships/footer" Target="footer61.xml" /><Relationship Id="rId487" Type="http://schemas.openxmlformats.org/officeDocument/2006/relationships/footer" Target="footer62.xml" /><Relationship Id="rId488" Type="http://schemas.openxmlformats.org/officeDocument/2006/relationships/header" Target="header63.xml" /><Relationship Id="rId489" Type="http://schemas.openxmlformats.org/officeDocument/2006/relationships/footer" Target="footer63.xml" /><Relationship Id="rId49" Type="http://schemas.openxmlformats.org/officeDocument/2006/relationships/hyperlink" Target="https://advance.lexis.com/api/document?collection=cases-ca&amp;id=urn:contentItem:5F7T-S721-F956-S1G8-00000-00&amp;context=" TargetMode="External" /><Relationship Id="rId490" Type="http://schemas.openxmlformats.org/officeDocument/2006/relationships/hyperlink" Target="https://advance.lexis.com/api/document?collection=cases-ca&amp;id=urn:contentItem:5F7T-S7P1-JBDT-B18P-00000-00&amp;context=" TargetMode="External" /><Relationship Id="rId491" Type="http://schemas.openxmlformats.org/officeDocument/2006/relationships/hyperlink" Target="https://advance.lexis.com/api/document?collection=cases-ca&amp;id=urn:contentItem:5F7T-V421-JP9P-G2DY-00000-00&amp;context=" TargetMode="External" /><Relationship Id="rId492" Type="http://schemas.openxmlformats.org/officeDocument/2006/relationships/hyperlink" Target="https://advance.lexis.com/api/document?collection=legislation-ca&amp;id=urn:contentItem:5VYK-W9V1-F4NT-X507-00000-00&amp;context=" TargetMode="External" /><Relationship Id="rId493" Type="http://schemas.openxmlformats.org/officeDocument/2006/relationships/hyperlink" Target="https://advance.lexis.com/api/document?collection=cases-ca&amp;id=urn:contentItem:5F7T-S741-F7VM-S32X-00000-00&amp;context=" TargetMode="External" /><Relationship Id="rId494" Type="http://schemas.openxmlformats.org/officeDocument/2006/relationships/hyperlink" Target="https://advance.lexis.com/api/document?collection=cases-ca&amp;id=urn:contentItem:5F7T-S6S1-FFTT-X0FW-00000-00&amp;context=" TargetMode="External" /><Relationship Id="rId495" Type="http://schemas.openxmlformats.org/officeDocument/2006/relationships/hyperlink" Target="https://advance.lexis.com/api/document?collection=cases-ca&amp;id=urn:contentItem:5F7T-S7K1-JX3N-B2V1-00000-00&amp;context=" TargetMode="External" /><Relationship Id="rId496" Type="http://schemas.openxmlformats.org/officeDocument/2006/relationships/hyperlink" Target="https://advance.lexis.com/api/document?collection=cases-ca&amp;id=urn:contentItem:5F8T-N3V1-JTGH-B1GJ-00000-00&amp;context=" TargetMode="External" /><Relationship Id="rId497" Type="http://schemas.openxmlformats.org/officeDocument/2006/relationships/hyperlink" Target="https://advance.lexis.com/api/document?collection=cases-ca&amp;id=urn:contentItem:5F8T-N3V1-FC1F-M495-00000-00&amp;context=" TargetMode="External" /><Relationship Id="rId498" Type="http://schemas.openxmlformats.org/officeDocument/2006/relationships/hyperlink" Target="https://advance.lexis.com/api/document?collection=cases-ca&amp;id=urn:contentItem:5F7T-S7J1-FGCG-S0JT-00000-00&amp;context=" TargetMode="External" /><Relationship Id="rId499" Type="http://schemas.openxmlformats.org/officeDocument/2006/relationships/hyperlink" Target="https://advance.lexis.com/api/document?collection=cases-ca&amp;id=urn:contentItem:5F8T-N3T1-JFKM-651D-00000-00&amp;context=" TargetMode="External" /><Relationship Id="rId5" Type="http://schemas.openxmlformats.org/officeDocument/2006/relationships/header" Target="header2.xml" /><Relationship Id="rId50" Type="http://schemas.openxmlformats.org/officeDocument/2006/relationships/hyperlink" Target="https://advance.lexis.com/api/document?collection=cases-ca&amp;id=urn:contentItem:5F7T-S781-JC5P-G1R2-00000-00&amp;context=" TargetMode="External" /><Relationship Id="rId500" Type="http://schemas.openxmlformats.org/officeDocument/2006/relationships/hyperlink" Target="https://advance.lexis.com/api/document?collection=cases-ca&amp;id=urn:contentItem:5F7T-S7P1-JP4G-61XV-00000-00&amp;context=" TargetMode="External" /><Relationship Id="rId501" Type="http://schemas.openxmlformats.org/officeDocument/2006/relationships/hyperlink" Target="https://advance.lexis.com/api/document?collection=cases-ca&amp;id=urn:contentItem:5F8T-N3T1-JJSF-23CF-00000-00&amp;context=" TargetMode="External" /><Relationship Id="rId502" Type="http://schemas.openxmlformats.org/officeDocument/2006/relationships/hyperlink" Target="https://advance.lexis.com/api/document?collection=cases-ca&amp;id=urn:contentItem:5F7T-S7D1-FCSB-S33R-00000-00&amp;context=" TargetMode="External" /><Relationship Id="rId503" Type="http://schemas.openxmlformats.org/officeDocument/2006/relationships/hyperlink" Target="https://advance.lexis.com/api/document?collection=cases-ca&amp;id=urn:contentItem:5F7T-S771-JJD0-G1M1-00000-00&amp;context=" TargetMode="External" /><Relationship Id="rId504" Type="http://schemas.openxmlformats.org/officeDocument/2006/relationships/hyperlink" Target="https://advance.lexis.com/api/document?collection=cases-ca&amp;id=urn:contentItem:5F8T-N3V1-FC1F-M41X-00000-00&amp;context=" TargetMode="External" /><Relationship Id="rId505" Type="http://schemas.openxmlformats.org/officeDocument/2006/relationships/hyperlink" Target="https://advance.lexis.com/api/document?collection=cases-ca&amp;id=urn:contentItem:5F8P-SFB1-FCSB-S4CV-00000-00&amp;context=" TargetMode="External" /><Relationship Id="rId506" Type="http://schemas.openxmlformats.org/officeDocument/2006/relationships/header" Target="header64.xml" /><Relationship Id="rId507" Type="http://schemas.openxmlformats.org/officeDocument/2006/relationships/header" Target="header65.xml" /><Relationship Id="rId508" Type="http://schemas.openxmlformats.org/officeDocument/2006/relationships/footer" Target="footer64.xml" /><Relationship Id="rId509" Type="http://schemas.openxmlformats.org/officeDocument/2006/relationships/footer" Target="footer65.xml" /><Relationship Id="rId51" Type="http://schemas.openxmlformats.org/officeDocument/2006/relationships/hyperlink" Target="https://advance.lexis.com/api/document?collection=cases-ca&amp;id=urn:contentItem:5F7T-S7D1-F7ND-G0P2-00000-00&amp;context=" TargetMode="External" /><Relationship Id="rId510" Type="http://schemas.openxmlformats.org/officeDocument/2006/relationships/header" Target="header66.xml" /><Relationship Id="rId511" Type="http://schemas.openxmlformats.org/officeDocument/2006/relationships/footer" Target="footer66.xml" /><Relationship Id="rId512" Type="http://schemas.openxmlformats.org/officeDocument/2006/relationships/hyperlink" Target="https://advance.lexis.com/api/document?collection=cases-ca&amp;id=urn:contentItem:5F7T-S7N1-DXWW-20DM-00000-00&amp;context=" TargetMode="External" /><Relationship Id="rId513" Type="http://schemas.openxmlformats.org/officeDocument/2006/relationships/hyperlink" Target="https://advance.lexis.com/api/document?collection=legislation-ca&amp;id=urn:contentItem:5F41-1FH1-F361-M0HG-00000-00&amp;context=" TargetMode="External" /><Relationship Id="rId514" Type="http://schemas.openxmlformats.org/officeDocument/2006/relationships/hyperlink" Target="https://advance.lexis.com/api/document?collection=cases-ca&amp;id=urn:contentItem:5F7T-S7K1-JWXF-20XW-00000-00&amp;context=" TargetMode="External" /><Relationship Id="rId515" Type="http://schemas.openxmlformats.org/officeDocument/2006/relationships/hyperlink" Target="https://advance.lexis.com/api/document?collection=cases-ca&amp;id=urn:contentItem:5F7T-S701-JF75-M47G-00000-00&amp;context=" TargetMode="External" /><Relationship Id="rId516" Type="http://schemas.openxmlformats.org/officeDocument/2006/relationships/hyperlink" Target="https://advance.lexis.com/api/document?collection=cases-ca&amp;id=urn:contentItem:5F8T-N3R1-JNS1-M0YN-00000-00&amp;context=" TargetMode="External" /><Relationship Id="rId517" Type="http://schemas.openxmlformats.org/officeDocument/2006/relationships/hyperlink" Target="https://advance.lexis.com/api/document?collection=cases-ca&amp;id=urn:contentItem:5F8T-N3P1-FC6N-X1BS-00000-00&amp;context=" TargetMode="External" /><Relationship Id="rId518" Type="http://schemas.openxmlformats.org/officeDocument/2006/relationships/hyperlink" Target="https://advance.lexis.com/api/document?collection=cases-ca&amp;id=urn:contentItem:5F8T-N3P1-FC6N-X1C4-00000-00&amp;context=" TargetMode="External" /><Relationship Id="rId519" Type="http://schemas.openxmlformats.org/officeDocument/2006/relationships/hyperlink" Target="https://advance.lexis.com/api/document?collection=cases-ca&amp;id=urn:contentItem:5F7T-S7C1-F30T-B2JK-00000-00&amp;context=" TargetMode="External" /><Relationship Id="rId52" Type="http://schemas.openxmlformats.org/officeDocument/2006/relationships/hyperlink" Target="https://advance.lexis.com/api/document?collection=cases-ca&amp;id=urn:contentItem:5F7T-S751-JGHR-M20V-00000-00&amp;context=" TargetMode="External" /><Relationship Id="rId520" Type="http://schemas.openxmlformats.org/officeDocument/2006/relationships/hyperlink" Target="https://advance.lexis.com/api/document?collection=cases-ca&amp;id=urn:contentItem:5F7T-S741-DY89-M397-00000-00&amp;context=" TargetMode="External" /><Relationship Id="rId521" Type="http://schemas.openxmlformats.org/officeDocument/2006/relationships/hyperlink" Target="https://advance.lexis.com/api/document?collection=cases-ca&amp;id=urn:contentItem:5F7T-S711-F4W2-619X-00000-00&amp;context=" TargetMode="External" /><Relationship Id="rId522" Type="http://schemas.openxmlformats.org/officeDocument/2006/relationships/hyperlink" Target="https://advance.lexis.com/api/document?collection=cases-ca&amp;id=urn:contentItem:5F7T-S7J1-JYYX-624K-00000-00&amp;context=" TargetMode="External" /><Relationship Id="rId523" Type="http://schemas.openxmlformats.org/officeDocument/2006/relationships/hyperlink" Target="https://advance.lexis.com/api/document?collection=cases-ca&amp;id=urn:contentItem:5F7T-S7B1-F7ND-G567-00000-00&amp;context=" TargetMode="External" /><Relationship Id="rId524" Type="http://schemas.openxmlformats.org/officeDocument/2006/relationships/hyperlink" Target="https://advance.lexis.com/api/document?collection=cases-ca&amp;id=urn:contentItem:5F7T-S7C1-F7VM-S3MK-00000-00&amp;context=" TargetMode="External" /><Relationship Id="rId525" Type="http://schemas.openxmlformats.org/officeDocument/2006/relationships/hyperlink" Target="https://advance.lexis.com/api/document?collection=cases-ca&amp;id=urn:contentItem:5F7T-S7J1-JYYX-623D-00000-00&amp;context=" TargetMode="External" /><Relationship Id="rId526" Type="http://schemas.openxmlformats.org/officeDocument/2006/relationships/hyperlink" Target="https://advance.lexis.com/api/document?collection=cases-ca&amp;id=urn:contentItem:5F7T-S7C1-F7VM-S3N8-00000-00&amp;context=" TargetMode="External" /><Relationship Id="rId527" Type="http://schemas.openxmlformats.org/officeDocument/2006/relationships/hyperlink" Target="https://advance.lexis.com/api/document?collection=cases-ca&amp;id=urn:contentItem:5F7T-S741-DY89-M3M0-00000-00&amp;context=" TargetMode="External" /><Relationship Id="rId528" Type="http://schemas.openxmlformats.org/officeDocument/2006/relationships/hyperlink" Target="https://advance.lexis.com/api/document?collection=cases-ca&amp;id=urn:contentItem:5F7T-S7F1-DXWW-24CX-00000-00&amp;context=" TargetMode="External" /><Relationship Id="rId529" Type="http://schemas.openxmlformats.org/officeDocument/2006/relationships/hyperlink" Target="https://advance.lexis.com/api/document?collection=cases-ca&amp;id=urn:contentItem:5F7T-S7D1-F7ND-G0NM-00000-00&amp;context=" TargetMode="External" /><Relationship Id="rId53" Type="http://schemas.openxmlformats.org/officeDocument/2006/relationships/hyperlink" Target="https://advance.lexis.com/api/document?collection=cases-ca&amp;id=urn:contentItem:5F7T-S741-FJM6-61VS-00000-00&amp;context=" TargetMode="External" /><Relationship Id="rId530" Type="http://schemas.openxmlformats.org/officeDocument/2006/relationships/hyperlink" Target="https://advance.lexis.com/api/document?collection=cases-ca&amp;id=urn:contentItem:5F7T-S7F1-F7VM-S3V2-00000-00&amp;context=" TargetMode="External" /><Relationship Id="rId531" Type="http://schemas.openxmlformats.org/officeDocument/2006/relationships/hyperlink" Target="https://advance.lexis.com/api/document?collection=cases-ca&amp;id=urn:contentItem:5F7T-S6X1-JXNB-62N4-00000-00&amp;context=" TargetMode="External" /><Relationship Id="rId532" Type="http://schemas.openxmlformats.org/officeDocument/2006/relationships/hyperlink" Target="https://advance.lexis.com/api/document?collection=cases-ca&amp;id=urn:contentItem:5F7T-S7C1-JXG3-X02B-00000-00&amp;context=" TargetMode="External" /><Relationship Id="rId533" Type="http://schemas.openxmlformats.org/officeDocument/2006/relationships/hyperlink" Target="https://advance.lexis.com/api/document?collection=cases-ca&amp;id=urn:contentItem:5F7T-S7N1-JWR6-S23S-00000-00&amp;context=" TargetMode="External" /><Relationship Id="rId534" Type="http://schemas.openxmlformats.org/officeDocument/2006/relationships/hyperlink" Target="https://advance.lexis.com/api/document?collection=cases-ca&amp;id=urn:contentItem:5F7T-S7M1-JPP5-22RH-00000-00&amp;context=" TargetMode="External" /><Relationship Id="rId535" Type="http://schemas.openxmlformats.org/officeDocument/2006/relationships/hyperlink" Target="https://advance.lexis.com/api/document?collection=cases-ca&amp;id=urn:contentItem:5F7T-S7H1-JCRC-B0Y6-00000-00&amp;context=" TargetMode="External" /><Relationship Id="rId536" Type="http://schemas.openxmlformats.org/officeDocument/2006/relationships/hyperlink" Target="https://advance.lexis.com/api/document?collection=cases-ca&amp;id=urn:contentItem:5F7T-S7N1-JWR6-S24Y-00000-00&amp;context=" TargetMode="External" /><Relationship Id="rId537" Type="http://schemas.openxmlformats.org/officeDocument/2006/relationships/hyperlink" Target="https://advance.lexis.com/api/document?collection=cases-ca&amp;id=urn:contentItem:5F7T-S7M1-DYMS-6270-00000-00&amp;context=" TargetMode="External" /><Relationship Id="rId538" Type="http://schemas.openxmlformats.org/officeDocument/2006/relationships/hyperlink" Target="https://advance.lexis.com/api/document?collection=cases-ca&amp;id=urn:contentItem:5F7T-S7M1-JCRC-B1X4-00000-00&amp;context=" TargetMode="External" /><Relationship Id="rId539" Type="http://schemas.openxmlformats.org/officeDocument/2006/relationships/header" Target="header67.xml" /><Relationship Id="rId54" Type="http://schemas.openxmlformats.org/officeDocument/2006/relationships/hyperlink" Target="https://advance.lexis.com/api/document?collection=cases-ca&amp;id=urn:contentItem:5F7T-S7K1-JWXF-210Y-00000-00&amp;context=" TargetMode="External" /><Relationship Id="rId540" Type="http://schemas.openxmlformats.org/officeDocument/2006/relationships/header" Target="header68.xml" /><Relationship Id="rId541" Type="http://schemas.openxmlformats.org/officeDocument/2006/relationships/footer" Target="footer67.xml" /><Relationship Id="rId542" Type="http://schemas.openxmlformats.org/officeDocument/2006/relationships/footer" Target="footer68.xml" /><Relationship Id="rId543" Type="http://schemas.openxmlformats.org/officeDocument/2006/relationships/header" Target="header69.xml" /><Relationship Id="rId544" Type="http://schemas.openxmlformats.org/officeDocument/2006/relationships/footer" Target="footer69.xml" /><Relationship Id="rId545" Type="http://schemas.openxmlformats.org/officeDocument/2006/relationships/hyperlink" Target="https://advance.lexis.com/api/document?collection=cases-ca&amp;id=urn:contentItem:5F7T-S781-FH4C-X2PS-00000-00&amp;context=" TargetMode="External" /><Relationship Id="rId546" Type="http://schemas.openxmlformats.org/officeDocument/2006/relationships/hyperlink" Target="https://advance.lexis.com/api/document?collection=cases-ca&amp;id=urn:contentItem:5F7T-S711-JB2B-S0W5-00000-00&amp;context=" TargetMode="External" /><Relationship Id="rId547" Type="http://schemas.openxmlformats.org/officeDocument/2006/relationships/hyperlink" Target="https://advance.lexis.com/api/document?collection=cases-ca&amp;id=urn:contentItem:5F7T-S721-F8D9-M12W-00000-00&amp;context=" TargetMode="External" /><Relationship Id="rId548" Type="http://schemas.openxmlformats.org/officeDocument/2006/relationships/hyperlink" Target="https://advance.lexis.com/api/document?collection=cases-ca&amp;id=urn:contentItem:5F7T-S6Y1-F81W-21G3-00000-00&amp;context=" TargetMode="External" /><Relationship Id="rId549" Type="http://schemas.openxmlformats.org/officeDocument/2006/relationships/hyperlink" Target="https://advance.lexis.com/api/document?collection=legislation-ca&amp;id=urn:contentItem:5F41-1FG1-FC1F-M0TW-00000-00&amp;context=" TargetMode="External" /><Relationship Id="rId55" Type="http://schemas.openxmlformats.org/officeDocument/2006/relationships/header" Target="header7.xml" /><Relationship Id="rId550" Type="http://schemas.openxmlformats.org/officeDocument/2006/relationships/hyperlink" Target="https://advance.lexis.com/api/document?collection=cases-ca&amp;id=urn:contentItem:5F8P-SCW1-F22N-X077-00000-00&amp;context=" TargetMode="External" /><Relationship Id="rId551" Type="http://schemas.openxmlformats.org/officeDocument/2006/relationships/header" Target="header70.xml" /><Relationship Id="rId552" Type="http://schemas.openxmlformats.org/officeDocument/2006/relationships/header" Target="header71.xml" /><Relationship Id="rId553" Type="http://schemas.openxmlformats.org/officeDocument/2006/relationships/footer" Target="footer70.xml" /><Relationship Id="rId554" Type="http://schemas.openxmlformats.org/officeDocument/2006/relationships/footer" Target="footer71.xml" /><Relationship Id="rId555" Type="http://schemas.openxmlformats.org/officeDocument/2006/relationships/header" Target="header72.xml" /><Relationship Id="rId556" Type="http://schemas.openxmlformats.org/officeDocument/2006/relationships/footer" Target="footer72.xml" /><Relationship Id="rId557" Type="http://schemas.openxmlformats.org/officeDocument/2006/relationships/hyperlink" Target="https://advance.lexis.com/api/document?collection=cases-ca&amp;id=urn:contentItem:5F7T-S7F1-FJTD-G3HN-00000-00&amp;context=" TargetMode="External" /><Relationship Id="rId558" Type="http://schemas.openxmlformats.org/officeDocument/2006/relationships/hyperlink" Target="https://advance.lexis.com/api/document?collection=legislation-ca&amp;id=urn:contentItem:5F41-1FJ1-JBDT-B066-00000-00&amp;context=" TargetMode="External" /><Relationship Id="rId559" Type="http://schemas.openxmlformats.org/officeDocument/2006/relationships/hyperlink" Target="https://advance.lexis.com/api/document?collection=legislation-ca&amp;id=urn:contentItem:5F41-1FH1-F361-M0H8-00000-00&amp;context=" TargetMode="External" /><Relationship Id="rId56" Type="http://schemas.openxmlformats.org/officeDocument/2006/relationships/header" Target="header8.xml" /><Relationship Id="rId560" Type="http://schemas.openxmlformats.org/officeDocument/2006/relationships/hyperlink" Target="https://advance.lexis.com/api/document?collection=cases-ca&amp;id=urn:contentItem:5F7T-S781-FH4C-X308-00000-00&amp;context=" TargetMode="External" /><Relationship Id="rId561" Type="http://schemas.openxmlformats.org/officeDocument/2006/relationships/hyperlink" Target="https://advance.lexis.com/api/document?collection=cases-ca&amp;id=urn:contentItem:5F81-YH41-JX8W-M05P-00000-00&amp;context=" TargetMode="External" /><Relationship Id="rId562" Type="http://schemas.openxmlformats.org/officeDocument/2006/relationships/hyperlink" Target="https://advance.lexis.com/api/document?collection=cases-ca&amp;id=urn:contentItem:5F7T-S751-JNS1-M1TY-00000-00&amp;context=" TargetMode="External" /><Relationship Id="rId563" Type="http://schemas.openxmlformats.org/officeDocument/2006/relationships/hyperlink" Target="https://advance.lexis.com/api/document?collection=cases-ca&amp;id=urn:contentItem:5F7T-S6T1-JJ1H-X262-00000-00&amp;context=" TargetMode="External" /><Relationship Id="rId564" Type="http://schemas.openxmlformats.org/officeDocument/2006/relationships/hyperlink" Target="https://advance.lexis.com/api/document?collection=cases-ca&amp;id=urn:contentItem:5F7T-XPY1-DY33-B1YJ-00000-00&amp;context=" TargetMode="External" /><Relationship Id="rId565" Type="http://schemas.openxmlformats.org/officeDocument/2006/relationships/header" Target="header73.xml" /><Relationship Id="rId566" Type="http://schemas.openxmlformats.org/officeDocument/2006/relationships/header" Target="header74.xml" /><Relationship Id="rId567" Type="http://schemas.openxmlformats.org/officeDocument/2006/relationships/footer" Target="footer73.xml" /><Relationship Id="rId568" Type="http://schemas.openxmlformats.org/officeDocument/2006/relationships/footer" Target="footer74.xml" /><Relationship Id="rId569" Type="http://schemas.openxmlformats.org/officeDocument/2006/relationships/header" Target="header75.xml" /><Relationship Id="rId57" Type="http://schemas.openxmlformats.org/officeDocument/2006/relationships/footer" Target="footer7.xml" /><Relationship Id="rId570" Type="http://schemas.openxmlformats.org/officeDocument/2006/relationships/footer" Target="footer75.xml" /><Relationship Id="rId571" Type="http://schemas.openxmlformats.org/officeDocument/2006/relationships/hyperlink" Target="https://advance.lexis.com/api/document?collection=cases-ca&amp;id=urn:contentItem:5F7T-S781-F900-G0XN-00000-00&amp;context=" TargetMode="External" /><Relationship Id="rId572" Type="http://schemas.openxmlformats.org/officeDocument/2006/relationships/header" Target="header76.xml" /><Relationship Id="rId573" Type="http://schemas.openxmlformats.org/officeDocument/2006/relationships/header" Target="header77.xml" /><Relationship Id="rId574" Type="http://schemas.openxmlformats.org/officeDocument/2006/relationships/footer" Target="footer76.xml" /><Relationship Id="rId575" Type="http://schemas.openxmlformats.org/officeDocument/2006/relationships/footer" Target="footer77.xml" /><Relationship Id="rId576" Type="http://schemas.openxmlformats.org/officeDocument/2006/relationships/header" Target="header78.xml" /><Relationship Id="rId577" Type="http://schemas.openxmlformats.org/officeDocument/2006/relationships/footer" Target="footer78.xml" /><Relationship Id="rId578" Type="http://schemas.openxmlformats.org/officeDocument/2006/relationships/hyperlink" Target="https://advance.lexis.com/api/document?collection=cases-ca&amp;id=urn:contentItem:5RYJ-DV21-JKPJ-G15W-00000-00&amp;context=" TargetMode="External" /><Relationship Id="rId579" Type="http://schemas.openxmlformats.org/officeDocument/2006/relationships/hyperlink" Target="https://advance.lexis.com/api/document?collection=legislation-ca&amp;id=urn:contentItem:5F41-1FJ1-JKPJ-G0PG-00000-00&amp;context=" TargetMode="External" /><Relationship Id="rId58" Type="http://schemas.openxmlformats.org/officeDocument/2006/relationships/footer" Target="footer8.xml" /><Relationship Id="rId580" Type="http://schemas.openxmlformats.org/officeDocument/2006/relationships/hyperlink" Target="https://advance.lexis.com/api/document?collection=cases-ca&amp;id=urn:contentItem:5KYT-SNP1-F8SS-63W2-00000-00&amp;context=" TargetMode="External" /><Relationship Id="rId581" Type="http://schemas.openxmlformats.org/officeDocument/2006/relationships/hyperlink" Target="https://advance.lexis.com/api/document?collection=cases-ca&amp;id=urn:contentItem:5F7T-S7N1-JW09-M134-00000-00&amp;context=" TargetMode="External" /><Relationship Id="rId582" Type="http://schemas.openxmlformats.org/officeDocument/2006/relationships/hyperlink" Target="https://advance.lexis.com/api/document?collection=cases-ca&amp;id=urn:contentItem:5F7T-S7C1-FGRY-B08S-00000-00&amp;context=" TargetMode="External" /><Relationship Id="rId583" Type="http://schemas.openxmlformats.org/officeDocument/2006/relationships/hyperlink" Target="https://advance.lexis.com/api/document?collection=cases-ca&amp;id=urn:contentItem:5F7T-S7N1-DXWW-20N9-00000-00&amp;context=" TargetMode="External" /><Relationship Id="rId584" Type="http://schemas.openxmlformats.org/officeDocument/2006/relationships/hyperlink" Target="https://advance.lexis.com/api/document?collection=cases-ca&amp;id=urn:contentItem:5F7T-S6V1-JNS1-M03G-00000-00&amp;context=" TargetMode="External" /><Relationship Id="rId585" Type="http://schemas.openxmlformats.org/officeDocument/2006/relationships/hyperlink" Target="https://advance.lexis.com/api/document?collection=cases-ca&amp;id=urn:contentItem:5F7T-S6Y1-F7G6-630H-00000-00&amp;context=" TargetMode="External" /><Relationship Id="rId586" Type="http://schemas.openxmlformats.org/officeDocument/2006/relationships/hyperlink" Target="https://advance.lexis.com/api/document?collection=cases-ca&amp;id=urn:contentItem:5F7T-S751-F361-M195-00000-00&amp;context=" TargetMode="External" /><Relationship Id="rId587" Type="http://schemas.openxmlformats.org/officeDocument/2006/relationships/hyperlink" Target="https://advance.lexis.com/api/document?collection=cases-ca&amp;id=urn:contentItem:5F7T-S721-FD4T-B0XB-00000-00&amp;context=" TargetMode="External" /><Relationship Id="rId588" Type="http://schemas.openxmlformats.org/officeDocument/2006/relationships/hyperlink" Target="https://advance.lexis.com/api/document?collection=cases-ca&amp;id=urn:contentItem:5F7T-S6T1-JJ1H-X2D3-00000-00&amp;context=" TargetMode="External" /><Relationship Id="rId589" Type="http://schemas.openxmlformats.org/officeDocument/2006/relationships/header" Target="header79.xml" /><Relationship Id="rId59" Type="http://schemas.openxmlformats.org/officeDocument/2006/relationships/header" Target="header9.xml" /><Relationship Id="rId590" Type="http://schemas.openxmlformats.org/officeDocument/2006/relationships/header" Target="header80.xml" /><Relationship Id="rId591" Type="http://schemas.openxmlformats.org/officeDocument/2006/relationships/footer" Target="footer79.xml" /><Relationship Id="rId592" Type="http://schemas.openxmlformats.org/officeDocument/2006/relationships/footer" Target="footer80.xml" /><Relationship Id="rId593" Type="http://schemas.openxmlformats.org/officeDocument/2006/relationships/header" Target="header81.xml" /><Relationship Id="rId594" Type="http://schemas.openxmlformats.org/officeDocument/2006/relationships/footer" Target="footer81.xml" /><Relationship Id="rId595" Type="http://schemas.openxmlformats.org/officeDocument/2006/relationships/hyperlink" Target="https://advance.lexis.com/api/document?collection=cases-ca&amp;id=urn:contentItem:5F7T-S781-DYMS-61PP-00000-00&amp;context=" TargetMode="External" /><Relationship Id="rId596" Type="http://schemas.openxmlformats.org/officeDocument/2006/relationships/hyperlink" Target="https://advance.lexis.com/api/document?collection=cases-ca&amp;id=urn:contentItem:5F7T-S761-FFMK-M16Y-00000-00&amp;context=" TargetMode="External" /><Relationship Id="rId597" Type="http://schemas.openxmlformats.org/officeDocument/2006/relationships/hyperlink" Target="https://advance.lexis.com/api/document?collection=cases-ca&amp;id=urn:contentItem:5F8P-SCF1-F5KY-B1RN-00000-00&amp;context=" TargetMode="External" /><Relationship Id="rId598" Type="http://schemas.openxmlformats.org/officeDocument/2006/relationships/hyperlink" Target="https://advance.lexis.com/api/document?collection=cases-ca&amp;id=urn:contentItem:5F16-9341-JJD0-G15B-00000-00&amp;context=" TargetMode="External" /><Relationship Id="rId599" Type="http://schemas.openxmlformats.org/officeDocument/2006/relationships/hyperlink" Target="https://advance.lexis.com/api/document?collection=cases-ca&amp;id=urn:contentItem:5F7T-S741-F57G-S1X8-00000-00&amp;context=" TargetMode="External" /><Relationship Id="rId6" Type="http://schemas.openxmlformats.org/officeDocument/2006/relationships/footer" Target="footer1.xml" /><Relationship Id="rId60" Type="http://schemas.openxmlformats.org/officeDocument/2006/relationships/footer" Target="footer9.xml" /><Relationship Id="rId600" Type="http://schemas.openxmlformats.org/officeDocument/2006/relationships/header" Target="header82.xml" /><Relationship Id="rId601" Type="http://schemas.openxmlformats.org/officeDocument/2006/relationships/header" Target="header83.xml" /><Relationship Id="rId602" Type="http://schemas.openxmlformats.org/officeDocument/2006/relationships/footer" Target="footer82.xml" /><Relationship Id="rId603" Type="http://schemas.openxmlformats.org/officeDocument/2006/relationships/footer" Target="footer83.xml" /><Relationship Id="rId604" Type="http://schemas.openxmlformats.org/officeDocument/2006/relationships/header" Target="header84.xml" /><Relationship Id="rId605" Type="http://schemas.openxmlformats.org/officeDocument/2006/relationships/footer" Target="footer84.xml" /><Relationship Id="rId606" Type="http://schemas.openxmlformats.org/officeDocument/2006/relationships/hyperlink" Target="https://advance.lexis.com/api/document?collection=cases-ca&amp;id=urn:contentItem:5M0F-RTK1-JBT7-X1XB-00000-00&amp;context=" TargetMode="External" /><Relationship Id="rId607" Type="http://schemas.openxmlformats.org/officeDocument/2006/relationships/hyperlink" Target="https://advance.lexis.com/api/document?collection=cases-ca&amp;id=urn:contentItem:5MNF-8191-FC6N-X2H3-00000-00&amp;context=" TargetMode="External" /><Relationship Id="rId608" Type="http://schemas.openxmlformats.org/officeDocument/2006/relationships/hyperlink" Target="https://advance.lexis.com/api/document?collection=legislation-ca&amp;id=urn:contentItem:5F41-1FH1-F361-M0FY-00000-00&amp;context=" TargetMode="External" /><Relationship Id="rId609" Type="http://schemas.openxmlformats.org/officeDocument/2006/relationships/hyperlink" Target="https://advance.lexis.com/api/document?collection=cases-ca&amp;id=urn:contentItem:5F7T-S7K1-JKHB-6307-00000-00&amp;context=" TargetMode="External" /><Relationship Id="rId61" Type="http://schemas.openxmlformats.org/officeDocument/2006/relationships/hyperlink" Target="https://advance.lexis.com/api/document?collection=cases-ca&amp;id=urn:contentItem:5M77-J9C1-JN14-G09F-00000-00&amp;context=" TargetMode="External" /><Relationship Id="rId610" Type="http://schemas.openxmlformats.org/officeDocument/2006/relationships/hyperlink" Target="https://advance.lexis.com/api/document?collection=cases-ca&amp;id=urn:contentItem:5F7T-S7K1-JSJC-X0S6-00000-00&amp;context=" TargetMode="External" /><Relationship Id="rId611" Type="http://schemas.openxmlformats.org/officeDocument/2006/relationships/hyperlink" Target="https://advance.lexis.com/api/document?collection=cases-ca&amp;id=urn:contentItem:5F7T-S7N1-F06F-24BG-00000-00&amp;context=" TargetMode="External" /><Relationship Id="rId612" Type="http://schemas.openxmlformats.org/officeDocument/2006/relationships/hyperlink" Target="https://advance.lexis.com/api/document?collection=cases-ca&amp;id=urn:contentItem:5F7T-S7G1-JPP5-21NY-00000-00&amp;context=" TargetMode="External" /><Relationship Id="rId613" Type="http://schemas.openxmlformats.org/officeDocument/2006/relationships/hyperlink" Target="https://advance.lexis.com/api/document?collection=cases-ca&amp;id=urn:contentItem:5F7T-S741-F1H1-21CC-00000-00&amp;context=" TargetMode="External" /><Relationship Id="rId614" Type="http://schemas.openxmlformats.org/officeDocument/2006/relationships/hyperlink" Target="https://advance.lexis.com/api/document?collection=cases-ca&amp;id=urn:contentItem:5F7T-S7K1-JWXF-20S7-00000-00&amp;context=" TargetMode="External" /><Relationship Id="rId615" Type="http://schemas.openxmlformats.org/officeDocument/2006/relationships/header" Target="header85.xml" /><Relationship Id="rId616" Type="http://schemas.openxmlformats.org/officeDocument/2006/relationships/header" Target="header86.xml" /><Relationship Id="rId617" Type="http://schemas.openxmlformats.org/officeDocument/2006/relationships/footer" Target="footer85.xml" /><Relationship Id="rId618" Type="http://schemas.openxmlformats.org/officeDocument/2006/relationships/footer" Target="footer86.xml" /><Relationship Id="rId619" Type="http://schemas.openxmlformats.org/officeDocument/2006/relationships/header" Target="header87.xml" /><Relationship Id="rId62" Type="http://schemas.openxmlformats.org/officeDocument/2006/relationships/hyperlink" Target="https://advance.lexis.com/api/document?collection=legislation-ca&amp;id=urn:contentItem:5F41-1FG1-FBN1-20VW-00000-00&amp;context=" TargetMode="External" /><Relationship Id="rId620" Type="http://schemas.openxmlformats.org/officeDocument/2006/relationships/footer" Target="footer87.xml" /><Relationship Id="rId621" Type="http://schemas.openxmlformats.org/officeDocument/2006/relationships/hyperlink" Target="https://advance.lexis.com/api/document?collection=cases-ca&amp;id=urn:contentItem:5F7T-S7F1-FJTD-G390-00000-00&amp;context=" TargetMode="External" /><Relationship Id="rId622" Type="http://schemas.openxmlformats.org/officeDocument/2006/relationships/hyperlink" Target="https://advance.lexis.com/api/document?collection=cases-ca&amp;id=urn:contentItem:5F8T-N3T1-JGHR-M1Y2-00000-00&amp;context=" TargetMode="External" /><Relationship Id="rId623" Type="http://schemas.openxmlformats.org/officeDocument/2006/relationships/hyperlink" Target="https://advance.lexis.com/api/document?collection=cases-ca&amp;id=urn:contentItem:5F81-VJX1-FGY5-M3F4-00000-00&amp;context=" TargetMode="External" /><Relationship Id="rId624" Type="http://schemas.openxmlformats.org/officeDocument/2006/relationships/hyperlink" Target="https://advance.lexis.com/api/document?collection=cases-ca&amp;id=urn:contentItem:5F16-9371-JJK6-S2JC-00000-00&amp;context=" TargetMode="External" /><Relationship Id="rId625" Type="http://schemas.openxmlformats.org/officeDocument/2006/relationships/hyperlink" Target="https://advance.lexis.com/api/document?collection=cases-ca&amp;id=urn:contentItem:5F7T-S711-JC0G-62N8-00000-00&amp;context=" TargetMode="External" /><Relationship Id="rId626" Type="http://schemas.openxmlformats.org/officeDocument/2006/relationships/header" Target="header88.xml" /><Relationship Id="rId627" Type="http://schemas.openxmlformats.org/officeDocument/2006/relationships/header" Target="header89.xml" /><Relationship Id="rId628" Type="http://schemas.openxmlformats.org/officeDocument/2006/relationships/footer" Target="footer88.xml" /><Relationship Id="rId629" Type="http://schemas.openxmlformats.org/officeDocument/2006/relationships/footer" Target="footer89.xml" /><Relationship Id="rId63" Type="http://schemas.openxmlformats.org/officeDocument/2006/relationships/hyperlink" Target="https://advance.lexis.com/api/document?collection=legislation-ca&amp;id=urn:contentItem:5F41-1FG1-FC1F-M0SS-00000-00&amp;context=" TargetMode="External" /><Relationship Id="rId630" Type="http://schemas.openxmlformats.org/officeDocument/2006/relationships/header" Target="header90.xml" /><Relationship Id="rId631" Type="http://schemas.openxmlformats.org/officeDocument/2006/relationships/footer" Target="footer90.xml" /><Relationship Id="rId632" Type="http://schemas.openxmlformats.org/officeDocument/2006/relationships/hyperlink" Target="https://advance.lexis.com/api/document?collection=cases-ca&amp;id=urn:contentItem:5F7T-S771-JTGH-B1D3-00000-00&amp;context=" TargetMode="External" /><Relationship Id="rId633" Type="http://schemas.openxmlformats.org/officeDocument/2006/relationships/hyperlink" Target="https://advance.lexis.com/api/document?collection=cases-ca&amp;id=urn:contentItem:5F8T-N3V1-FC1F-M41J-00000-00&amp;context=" TargetMode="External" /><Relationship Id="rId634" Type="http://schemas.openxmlformats.org/officeDocument/2006/relationships/header" Target="header91.xml" /><Relationship Id="rId635" Type="http://schemas.openxmlformats.org/officeDocument/2006/relationships/header" Target="header92.xml" /><Relationship Id="rId636" Type="http://schemas.openxmlformats.org/officeDocument/2006/relationships/footer" Target="footer91.xml" /><Relationship Id="rId637" Type="http://schemas.openxmlformats.org/officeDocument/2006/relationships/footer" Target="footer92.xml" /><Relationship Id="rId638" Type="http://schemas.openxmlformats.org/officeDocument/2006/relationships/header" Target="header93.xml" /><Relationship Id="rId639" Type="http://schemas.openxmlformats.org/officeDocument/2006/relationships/footer" Target="footer93.xml" /><Relationship Id="rId64" Type="http://schemas.openxmlformats.org/officeDocument/2006/relationships/hyperlink" Target="https://advance.lexis.com/api/document?collection=cases-ca&amp;id=urn:contentItem:5F7T-S771-JWBS-61V8-00000-00&amp;context=" TargetMode="External" /><Relationship Id="rId640" Type="http://schemas.openxmlformats.org/officeDocument/2006/relationships/hyperlink" Target="https://advance.lexis.com/api/document?collection=cases-ca&amp;id=urn:contentItem:5F7T-S7M1-JFSV-G3PJ-00000-00&amp;context=" TargetMode="External" /><Relationship Id="rId641" Type="http://schemas.openxmlformats.org/officeDocument/2006/relationships/hyperlink" Target="https://advance.lexis.com/api/document?collection=cases-ca&amp;id=urn:contentItem:5F7T-S771-JJD0-G19X-00000-00&amp;context=" TargetMode="External" /><Relationship Id="rId642" Type="http://schemas.openxmlformats.org/officeDocument/2006/relationships/hyperlink" Target="https://advance.lexis.com/api/document?collection=cases-ca&amp;id=urn:contentItem:5F7T-S711-F4W2-61JR-00000-00&amp;context=" TargetMode="External" /><Relationship Id="rId643" Type="http://schemas.openxmlformats.org/officeDocument/2006/relationships/hyperlink" Target="https://advance.lexis.com/api/document?collection=cases-ca&amp;id=urn:contentItem:5F7T-S6T1-JT99-20X1-00000-00&amp;context=" TargetMode="External" /><Relationship Id="rId644" Type="http://schemas.openxmlformats.org/officeDocument/2006/relationships/hyperlink" Target="https://advance.lexis.com/api/document?collection=cases-ca&amp;id=urn:contentItem:5F7T-S751-JCJ5-24PY-00000-00&amp;context=" TargetMode="External" /><Relationship Id="rId645" Type="http://schemas.openxmlformats.org/officeDocument/2006/relationships/hyperlink" Target="https://advance.lexis.com/api/document?collection=cases-ca&amp;id=urn:contentItem:5F7T-S6S1-F60C-X0X7-00000-00&amp;context=" TargetMode="External" /><Relationship Id="rId646" Type="http://schemas.openxmlformats.org/officeDocument/2006/relationships/hyperlink" Target="https://advance.lexis.com/api/document?collection=cases-ca&amp;id=urn:contentItem:5F7T-S7H1-JCRC-B10N-00000-00&amp;context=" TargetMode="External" /><Relationship Id="rId647" Type="http://schemas.openxmlformats.org/officeDocument/2006/relationships/hyperlink" Target="https://advance.lexis.com/api/document?collection=cases-ca&amp;id=urn:contentItem:5F7T-S7H1-JFSV-G37G-00000-00&amp;context=" TargetMode="External" /><Relationship Id="rId648" Type="http://schemas.openxmlformats.org/officeDocument/2006/relationships/hyperlink" Target="https://advance.lexis.com/api/document?collection=cases-ca&amp;id=urn:contentItem:5F7T-S701-F8KH-X1FF-00000-00&amp;context=" TargetMode="External" /><Relationship Id="rId649" Type="http://schemas.openxmlformats.org/officeDocument/2006/relationships/hyperlink" Target="https://advance.lexis.com/api/document?collection=cases-ca&amp;id=urn:contentItem:5F7T-S6W1-JB7K-21GH-00000-00&amp;context=" TargetMode="External" /><Relationship Id="rId65" Type="http://schemas.openxmlformats.org/officeDocument/2006/relationships/hyperlink" Target="https://advance.lexis.com/api/document?collection=cases-ca&amp;id=urn:contentItem:5F7T-S7G1-JBT7-X416-00000-00&amp;context=" TargetMode="External" /><Relationship Id="rId650" Type="http://schemas.openxmlformats.org/officeDocument/2006/relationships/hyperlink" Target="https://advance.lexis.com/api/document?collection=cases-ca&amp;id=urn:contentItem:5F7T-S7M1-F4W2-61YR-00000-00&amp;context=" TargetMode="External" /><Relationship Id="rId651" Type="http://schemas.openxmlformats.org/officeDocument/2006/relationships/hyperlink" Target="https://advance.lexis.com/api/document?collection=cases-ca&amp;id=urn:contentItem:5F7T-S751-JP4G-616F-00000-00&amp;context=" TargetMode="External" /><Relationship Id="rId652" Type="http://schemas.openxmlformats.org/officeDocument/2006/relationships/hyperlink" Target="https://advance.lexis.com/api/document?collection=cases-ca&amp;id=urn:contentItem:5F7T-S731-F016-S3FM-00000-00&amp;context=" TargetMode="External" /><Relationship Id="rId653" Type="http://schemas.openxmlformats.org/officeDocument/2006/relationships/header" Target="header94.xml" /><Relationship Id="rId654" Type="http://schemas.openxmlformats.org/officeDocument/2006/relationships/header" Target="header95.xml" /><Relationship Id="rId655" Type="http://schemas.openxmlformats.org/officeDocument/2006/relationships/footer" Target="footer94.xml" /><Relationship Id="rId656" Type="http://schemas.openxmlformats.org/officeDocument/2006/relationships/footer" Target="footer95.xml" /><Relationship Id="rId657" Type="http://schemas.openxmlformats.org/officeDocument/2006/relationships/header" Target="header96.xml" /><Relationship Id="rId658" Type="http://schemas.openxmlformats.org/officeDocument/2006/relationships/footer" Target="footer96.xml" /><Relationship Id="rId659" Type="http://schemas.openxmlformats.org/officeDocument/2006/relationships/hyperlink" Target="https://advance.lexis.com/api/document?collection=cases-ca&amp;id=urn:contentItem:5F7T-S7G1-JWR6-S1SV-00000-00&amp;context=" TargetMode="External" /><Relationship Id="rId66" Type="http://schemas.openxmlformats.org/officeDocument/2006/relationships/hyperlink" Target="https://advance.lexis.com/api/document?collection=cases-ca&amp;id=urn:contentItem:5F7T-S7F1-JBT7-X2N8-00000-00&amp;context=" TargetMode="External" /><Relationship Id="rId660" Type="http://schemas.openxmlformats.org/officeDocument/2006/relationships/hyperlink" Target="https://advance.lexis.com/api/document?collection=cases-ca&amp;id=urn:contentItem:5F8T-N3V1-JF75-M3KJ-00000-00&amp;context=" TargetMode="External" /><Relationship Id="rId661" Type="http://schemas.openxmlformats.org/officeDocument/2006/relationships/hyperlink" Target="https://advance.lexis.com/api/document?collection=cases-ca&amp;id=urn:contentItem:5F16-9371-JGPY-X0WP-00000-00&amp;context=" TargetMode="External" /><Relationship Id="rId662" Type="http://schemas.openxmlformats.org/officeDocument/2006/relationships/hyperlink" Target="https://advance.lexis.com/api/document?collection=cases-ca&amp;id=urn:contentItem:5F8T-N3V1-JF75-M3MF-00000-00&amp;context=" TargetMode="External" /><Relationship Id="rId663" Type="http://schemas.openxmlformats.org/officeDocument/2006/relationships/hyperlink" Target="https://advance.lexis.com/api/document?collection=cases-ca&amp;id=urn:contentItem:5F8T-N3V1-JFKM-60C2-00000-00&amp;context=" TargetMode="External" /><Relationship Id="rId664" Type="http://schemas.openxmlformats.org/officeDocument/2006/relationships/hyperlink" Target="https://advance.lexis.com/api/document?collection=cases-ca&amp;id=urn:contentItem:5F7T-S731-DY33-B0RF-00000-00&amp;context=" TargetMode="External" /><Relationship Id="rId665" Type="http://schemas.openxmlformats.org/officeDocument/2006/relationships/hyperlink" Target="https://advance.lexis.com/api/document?collection=cases-ca&amp;id=urn:contentItem:5F8T-N3V1-JF75-M3W7-00000-00&amp;context=" TargetMode="External" /><Relationship Id="rId666" Type="http://schemas.openxmlformats.org/officeDocument/2006/relationships/hyperlink" Target="https://advance.lexis.com/api/document?collection=cases-ca&amp;id=urn:contentItem:5F7T-S7F1-JK4W-M1X7-00000-00&amp;context=" TargetMode="External" /><Relationship Id="rId667" Type="http://schemas.openxmlformats.org/officeDocument/2006/relationships/hyperlink" Target="https://advance.lexis.com/api/document?collection=cases-ca&amp;id=urn:contentItem:5F7T-S7G1-FCYK-208M-00000-00&amp;context=" TargetMode="External" /><Relationship Id="rId668" Type="http://schemas.openxmlformats.org/officeDocument/2006/relationships/hyperlink" Target="https://advance.lexis.com/api/document?collection=cases-ca&amp;id=urn:contentItem:5F7T-S7F1-DXWW-24FM-00000-00&amp;context=" TargetMode="External" /><Relationship Id="rId669" Type="http://schemas.openxmlformats.org/officeDocument/2006/relationships/header" Target="header97.xml" /><Relationship Id="rId67" Type="http://schemas.openxmlformats.org/officeDocument/2006/relationships/hyperlink" Target="https://advance.lexis.com/api/document?collection=cases-ca&amp;id=urn:contentItem:5GCC-XVC1-JSRM-60HJ-00000-00&amp;context=" TargetMode="External" /><Relationship Id="rId670" Type="http://schemas.openxmlformats.org/officeDocument/2006/relationships/header" Target="header98.xml" /><Relationship Id="rId671" Type="http://schemas.openxmlformats.org/officeDocument/2006/relationships/footer" Target="footer97.xml" /><Relationship Id="rId672" Type="http://schemas.openxmlformats.org/officeDocument/2006/relationships/footer" Target="footer98.xml" /><Relationship Id="rId673" Type="http://schemas.openxmlformats.org/officeDocument/2006/relationships/header" Target="header99.xml" /><Relationship Id="rId674" Type="http://schemas.openxmlformats.org/officeDocument/2006/relationships/footer" Target="footer99.xml" /><Relationship Id="rId675" Type="http://schemas.openxmlformats.org/officeDocument/2006/relationships/hyperlink" Target="https://advance.lexis.com/api/document?collection=cases-ca&amp;id=urn:contentItem:5K6X-JJV1-JB2B-S090-00000-00&amp;context=" TargetMode="External" /><Relationship Id="rId676" Type="http://schemas.openxmlformats.org/officeDocument/2006/relationships/hyperlink" Target="https://advance.lexis.com/api/document?collection=cases-ca&amp;id=urn:contentItem:5J1W-BKB1-F1P7-B4W0-00000-00&amp;context=" TargetMode="External" /><Relationship Id="rId677" Type="http://schemas.openxmlformats.org/officeDocument/2006/relationships/hyperlink" Target="https://advance.lexis.com/api/document?collection=legislation-ca&amp;id=urn:contentItem:5F41-1FP1-JKHB-60WN-00000-00&amp;context=" TargetMode="External" /><Relationship Id="rId678" Type="http://schemas.openxmlformats.org/officeDocument/2006/relationships/header" Target="header100.xml" /><Relationship Id="rId679" Type="http://schemas.openxmlformats.org/officeDocument/2006/relationships/header" Target="header101.xml" /><Relationship Id="rId68" Type="http://schemas.openxmlformats.org/officeDocument/2006/relationships/hyperlink" Target="https://advance.lexis.com/api/document?collection=cases-ca&amp;id=urn:contentItem:5F7T-S7N1-JWR6-S238-00000-00&amp;context=" TargetMode="External" /><Relationship Id="rId680" Type="http://schemas.openxmlformats.org/officeDocument/2006/relationships/footer" Target="footer100.xml" /><Relationship Id="rId681" Type="http://schemas.openxmlformats.org/officeDocument/2006/relationships/footer" Target="footer101.xml" /><Relationship Id="rId682" Type="http://schemas.openxmlformats.org/officeDocument/2006/relationships/header" Target="header102.xml" /><Relationship Id="rId683" Type="http://schemas.openxmlformats.org/officeDocument/2006/relationships/footer" Target="footer102.xml" /><Relationship Id="rId684" Type="http://schemas.openxmlformats.org/officeDocument/2006/relationships/hyperlink" Target="https://advance.lexis.com/api/document?collection=cases-ca&amp;id=urn:contentItem:5F7T-S7F1-FBN1-21NF-00000-00&amp;context=" TargetMode="External" /><Relationship Id="rId685" Type="http://schemas.openxmlformats.org/officeDocument/2006/relationships/hyperlink" Target="https://advance.lexis.com/api/document?collection=cases-ca&amp;id=urn:contentItem:5F8T-N3R1-FBV7-B04P-00000-00&amp;context=" TargetMode="External" /><Relationship Id="rId686" Type="http://schemas.openxmlformats.org/officeDocument/2006/relationships/hyperlink" Target="https://advance.lexis.com/api/document?collection=cases-ca&amp;id=urn:contentItem:5F7T-S7H1-K054-G24F-00000-00&amp;context=" TargetMode="External" /><Relationship Id="rId687" Type="http://schemas.openxmlformats.org/officeDocument/2006/relationships/hyperlink" Target="https://advance.lexis.com/api/document?collection=cases-ca&amp;id=urn:contentItem:5F7T-S711-JG02-S19K-00000-00&amp;context=" TargetMode="External" /><Relationship Id="rId688" Type="http://schemas.openxmlformats.org/officeDocument/2006/relationships/hyperlink" Target="https://advance.lexis.com/api/document?collection=cases-ca&amp;id=urn:contentItem:5F8T-N3R1-JJSF-22TF-00000-00&amp;context=" TargetMode="External" /><Relationship Id="rId689" Type="http://schemas.openxmlformats.org/officeDocument/2006/relationships/hyperlink" Target="https://advance.lexis.com/api/document?collection=cases-ca&amp;id=urn:contentItem:5F7T-S781-FH4C-X2V6-00000-00&amp;context=" TargetMode="External" /><Relationship Id="rId69" Type="http://schemas.openxmlformats.org/officeDocument/2006/relationships/hyperlink" Target="https://advance.lexis.com/api/document?collection=cases-ca&amp;id=urn:contentItem:5F7T-S741-F528-G22X-00000-00&amp;context=" TargetMode="External" /><Relationship Id="rId690" Type="http://schemas.openxmlformats.org/officeDocument/2006/relationships/hyperlink" Target="https://advance.lexis.com/api/document?collection=cases-ca&amp;id=urn:contentItem:5F7T-S721-FD4T-B0RH-00000-00&amp;context=" TargetMode="External" /><Relationship Id="rId691" Type="http://schemas.openxmlformats.org/officeDocument/2006/relationships/hyperlink" Target="https://advance.lexis.com/api/document?collection=cases-ca&amp;id=urn:contentItem:5F7T-S6W1-JYYX-61T6-00000-00&amp;context=" TargetMode="External" /><Relationship Id="rId692" Type="http://schemas.openxmlformats.org/officeDocument/2006/relationships/hyperlink" Target="https://advance.lexis.com/api/document?collection=cases-ca&amp;id=urn:contentItem:5F8T-N3S1-JBDT-B04B-00000-00&amp;context=" TargetMode="External" /><Relationship Id="rId693" Type="http://schemas.openxmlformats.org/officeDocument/2006/relationships/hyperlink" Target="https://advance.lexis.com/api/document?collection=cases-ca&amp;id=urn:contentItem:5F7T-S7F1-JFKM-61GW-00000-00&amp;context=" TargetMode="External" /><Relationship Id="rId694" Type="http://schemas.openxmlformats.org/officeDocument/2006/relationships/hyperlink" Target="https://advance.lexis.com/api/document?collection=cases-ca&amp;id=urn:contentItem:5F7T-S7D1-FBFS-S1T2-00000-00&amp;context=" TargetMode="External" /><Relationship Id="rId695" Type="http://schemas.openxmlformats.org/officeDocument/2006/relationships/hyperlink" Target="https://advance.lexis.com/api/document?collection=cases-ca&amp;id=urn:contentItem:5F7T-S7D1-JG02-S32G-00000-00&amp;context=" TargetMode="External" /><Relationship Id="rId696" Type="http://schemas.openxmlformats.org/officeDocument/2006/relationships/hyperlink" Target="https://advance.lexis.com/api/document?collection=cases-ca&amp;id=urn:contentItem:5F7T-S7D1-FFFC-B1GR-00000-00&amp;context=" TargetMode="External" /><Relationship Id="rId697" Type="http://schemas.openxmlformats.org/officeDocument/2006/relationships/hyperlink" Target="https://advance.lexis.com/api/document?collection=cases-ca&amp;id=urn:contentItem:5F7T-S7F1-JX3N-B1C8-00000-00&amp;context=" TargetMode="External" /><Relationship Id="rId698" Type="http://schemas.openxmlformats.org/officeDocument/2006/relationships/hyperlink" Target="https://advance.lexis.com/api/document?collection=cases-ca&amp;id=urn:contentItem:5F7T-S771-F81W-22VS-00000-00&amp;context=" TargetMode="External" /><Relationship Id="rId699" Type="http://schemas.openxmlformats.org/officeDocument/2006/relationships/hyperlink" Target="https://advance.lexis.com/api/document?collection=cases-ca&amp;id=urn:contentItem:5F7T-S7B1-F7ND-G50F-00000-00&amp;context=" TargetMode="External" /><Relationship Id="rId7" Type="http://schemas.openxmlformats.org/officeDocument/2006/relationships/footer" Target="footer2.xml" /><Relationship Id="rId70" Type="http://schemas.openxmlformats.org/officeDocument/2006/relationships/hyperlink" Target="https://advance.lexis.com/api/document?collection=cases-ca&amp;id=urn:contentItem:5F7T-S7P1-JNJT-B2PV-00000-00&amp;context=" TargetMode="External" /><Relationship Id="rId700" Type="http://schemas.openxmlformats.org/officeDocument/2006/relationships/hyperlink" Target="https://advance.lexis.com/api/document?collection=cases-ca&amp;id=urn:contentItem:5F7T-S7F1-JX3N-B1CS-00000-00&amp;context=" TargetMode="External" /><Relationship Id="rId701" Type="http://schemas.openxmlformats.org/officeDocument/2006/relationships/hyperlink" Target="https://advance.lexis.com/api/document?collection=cases-ca&amp;id=urn:contentItem:5F7T-S7F1-DXWW-249J-00000-00&amp;context=" TargetMode="External" /><Relationship Id="rId702" Type="http://schemas.openxmlformats.org/officeDocument/2006/relationships/hyperlink" Target="https://advance.lexis.com/api/document?collection=cases-ca&amp;id=urn:contentItem:5F7T-S7D1-FC6N-X0P7-00000-00&amp;context=" TargetMode="External" /><Relationship Id="rId703" Type="http://schemas.openxmlformats.org/officeDocument/2006/relationships/hyperlink" Target="https://advance.lexis.com/api/document?collection=cases-ca&amp;id=urn:contentItem:5F7T-S791-JCJ5-250J-00000-00&amp;context=" TargetMode="External" /><Relationship Id="rId704" Type="http://schemas.openxmlformats.org/officeDocument/2006/relationships/header" Target="header103.xml" /><Relationship Id="rId705" Type="http://schemas.openxmlformats.org/officeDocument/2006/relationships/header" Target="header104.xml" /><Relationship Id="rId706" Type="http://schemas.openxmlformats.org/officeDocument/2006/relationships/footer" Target="footer103.xml" /><Relationship Id="rId707" Type="http://schemas.openxmlformats.org/officeDocument/2006/relationships/footer" Target="footer104.xml" /><Relationship Id="rId708" Type="http://schemas.openxmlformats.org/officeDocument/2006/relationships/header" Target="header105.xml" /><Relationship Id="rId709" Type="http://schemas.openxmlformats.org/officeDocument/2006/relationships/footer" Target="footer105.xml" /><Relationship Id="rId71" Type="http://schemas.openxmlformats.org/officeDocument/2006/relationships/hyperlink" Target="https://advance.lexis.com/api/document?collection=cases-ca&amp;id=urn:contentItem:5F7T-S6W1-FBFS-S1BY-00000-00&amp;context=" TargetMode="External" /><Relationship Id="rId710" Type="http://schemas.openxmlformats.org/officeDocument/2006/relationships/hyperlink" Target="https://advance.lexis.com/api/document?collection=cases-ca&amp;id=urn:contentItem:5F7T-S7N1-JJ1H-X2RF-00000-00&amp;context=" TargetMode="External" /><Relationship Id="rId711" Type="http://schemas.openxmlformats.org/officeDocument/2006/relationships/hyperlink" Target="https://advance.lexis.com/api/document?collection=cases-ca&amp;id=urn:contentItem:5F81-VJV1-F8D9-M0NM-00000-00&amp;context=" TargetMode="External" /><Relationship Id="rId712" Type="http://schemas.openxmlformats.org/officeDocument/2006/relationships/hyperlink" Target="https://advance.lexis.com/api/document?collection=cases-ca&amp;id=urn:contentItem:5F81-VJT1-JK4W-M4G8-00000-00&amp;context=" TargetMode="External" /><Relationship Id="rId713" Type="http://schemas.openxmlformats.org/officeDocument/2006/relationships/hyperlink" Target="https://advance.lexis.com/api/document?collection=cases-ca&amp;id=urn:contentItem:5F81-VJT1-JF75-M11Y-00000-00&amp;context=" TargetMode="External" /><Relationship Id="rId714" Type="http://schemas.openxmlformats.org/officeDocument/2006/relationships/header" Target="header106.xml" /><Relationship Id="rId715" Type="http://schemas.openxmlformats.org/officeDocument/2006/relationships/header" Target="header107.xml" /><Relationship Id="rId716" Type="http://schemas.openxmlformats.org/officeDocument/2006/relationships/footer" Target="footer106.xml" /><Relationship Id="rId717" Type="http://schemas.openxmlformats.org/officeDocument/2006/relationships/footer" Target="footer107.xml" /><Relationship Id="rId718" Type="http://schemas.openxmlformats.org/officeDocument/2006/relationships/header" Target="header108.xml" /><Relationship Id="rId719" Type="http://schemas.openxmlformats.org/officeDocument/2006/relationships/footer" Target="footer108.xml" /><Relationship Id="rId72" Type="http://schemas.openxmlformats.org/officeDocument/2006/relationships/hyperlink" Target="https://advance.lexis.com/api/document?collection=cases-ca&amp;id=urn:contentItem:5F81-VJX1-JJYN-B4KF-00000-00&amp;context=" TargetMode="External" /><Relationship Id="rId720" Type="http://schemas.openxmlformats.org/officeDocument/2006/relationships/hyperlink" Target="https://advance.lexis.com/api/document?collection=cases-ca&amp;id=urn:contentItem:5GCC-XVC1-JSRM-60FH-00000-00&amp;context=" TargetMode="External" /><Relationship Id="rId721" Type="http://schemas.openxmlformats.org/officeDocument/2006/relationships/hyperlink" Target="https://advance.lexis.com/api/document?collection=legislation-ca&amp;id=urn:contentItem:5F41-1FJ1-JK4W-M0C8-00000-00&amp;context=" TargetMode="External" /><Relationship Id="rId722" Type="http://schemas.openxmlformats.org/officeDocument/2006/relationships/image" Target="media/image2.jpeg" /><Relationship Id="rId723" Type="http://schemas.openxmlformats.org/officeDocument/2006/relationships/header" Target="header109.xml" /><Relationship Id="rId724" Type="http://schemas.openxmlformats.org/officeDocument/2006/relationships/header" Target="header110.xml" /><Relationship Id="rId725" Type="http://schemas.openxmlformats.org/officeDocument/2006/relationships/footer" Target="footer109.xml" /><Relationship Id="rId726" Type="http://schemas.openxmlformats.org/officeDocument/2006/relationships/footer" Target="footer110.xml" /><Relationship Id="rId727" Type="http://schemas.openxmlformats.org/officeDocument/2006/relationships/header" Target="header111.xml" /><Relationship Id="rId728" Type="http://schemas.openxmlformats.org/officeDocument/2006/relationships/footer" Target="footer111.xml" /><Relationship Id="rId729" Type="http://schemas.openxmlformats.org/officeDocument/2006/relationships/hyperlink" Target="https://advance.lexis.com/api/document?collection=cases-ca&amp;id=urn:contentItem:5F7T-S7K1-F528-G2SR-00000-00&amp;context=" TargetMode="External" /><Relationship Id="rId73" Type="http://schemas.openxmlformats.org/officeDocument/2006/relationships/hyperlink" Target="https://advance.lexis.com/api/document?collection=cases-ca&amp;id=urn:contentItem:5F7T-S781-F900-G0RD-00000-00&amp;context=" TargetMode="External" /><Relationship Id="rId730" Type="http://schemas.openxmlformats.org/officeDocument/2006/relationships/hyperlink" Target="https://advance.lexis.com/api/document?collection=cases-ca&amp;id=urn:contentItem:5K6Y-81N1-JN14-G1R0-00000-00&amp;context=" TargetMode="External" /><Relationship Id="rId731" Type="http://schemas.openxmlformats.org/officeDocument/2006/relationships/hyperlink" Target="https://advance.lexis.com/api/document?collection=cases-ca&amp;id=urn:contentItem:5F7T-S7K1-JWXF-2115-00000-00&amp;context=" TargetMode="External" /><Relationship Id="rId732" Type="http://schemas.openxmlformats.org/officeDocument/2006/relationships/hyperlink" Target="https://advance.lexis.com/api/document?collection=cases-ca&amp;id=urn:contentItem:5F8T-N3V1-FC1F-M48M-00000-00&amp;context=" TargetMode="External" /><Relationship Id="rId733" Type="http://schemas.openxmlformats.org/officeDocument/2006/relationships/hyperlink" Target="https://advance.lexis.com/api/document?collection=cases-ca&amp;id=urn:contentItem:5F8T-N3V1-JTGH-B16V-00000-00&amp;context=" TargetMode="External" /><Relationship Id="rId734" Type="http://schemas.openxmlformats.org/officeDocument/2006/relationships/hyperlink" Target="https://advance.lexis.com/api/document?collection=cases-ca&amp;id=urn:contentItem:5F8T-N3V1-FC1F-M44Y-00000-00&amp;context=" TargetMode="External" /><Relationship Id="rId735" Type="http://schemas.openxmlformats.org/officeDocument/2006/relationships/hyperlink" Target="https://advance.lexis.com/api/document?collection=cases-ca&amp;id=urn:contentItem:5F8P-T8X1-JTGH-B0DH-00000-00&amp;context=" TargetMode="External" /><Relationship Id="rId736" Type="http://schemas.openxmlformats.org/officeDocument/2006/relationships/hyperlink" Target="https://advance.lexis.com/api/document?collection=cases-ca&amp;id=urn:contentItem:5F8T-N3T1-JGHR-M26Y-00000-00&amp;context=" TargetMode="External" /><Relationship Id="rId737" Type="http://schemas.openxmlformats.org/officeDocument/2006/relationships/hyperlink" Target="https://advance.lexis.com/api/document?collection=cases-ca&amp;id=urn:contentItem:5F8T-N3V1-JTGH-B1GV-00000-00&amp;context=" TargetMode="External" /><Relationship Id="rId738" Type="http://schemas.openxmlformats.org/officeDocument/2006/relationships/hyperlink" Target="https://advance.lexis.com/api/document?collection=cases-ca&amp;id=urn:contentItem:5F8T-N3T1-JGHR-M1TY-00000-00&amp;context=" TargetMode="External" /><Relationship Id="rId739" Type="http://schemas.openxmlformats.org/officeDocument/2006/relationships/hyperlink" Target="https://advance.lexis.com/api/document?collection=cases-ca&amp;id=urn:contentItem:5F16-9371-JKHB-62RC-00000-00&amp;context=" TargetMode="External" /><Relationship Id="rId74" Type="http://schemas.openxmlformats.org/officeDocument/2006/relationships/hyperlink" Target="https://advance.lexis.com/api/document?collection=cases-ca&amp;id=urn:contentItem:5F7T-S751-F361-M0PG-00000-00&amp;context=" TargetMode="External" /><Relationship Id="rId740" Type="http://schemas.openxmlformats.org/officeDocument/2006/relationships/hyperlink" Target="https://advance.lexis.com/api/document?collection=cases-ca&amp;id=urn:contentItem:5F8P-SGB1-JKB3-X169-00000-00&amp;context=" TargetMode="External" /><Relationship Id="rId741" Type="http://schemas.openxmlformats.org/officeDocument/2006/relationships/hyperlink" Target="https://advance.lexis.com/api/document?collection=cases-ca&amp;id=urn:contentItem:5F81-VJX1-FGY5-M3B7-00000-00&amp;context=" TargetMode="External" /><Relationship Id="rId742" Type="http://schemas.openxmlformats.org/officeDocument/2006/relationships/hyperlink" Target="https://advance.lexis.com/api/document?collection=cases-ca&amp;id=urn:contentItem:5F82-1SF1-JKPJ-G25D-00000-00&amp;context=" TargetMode="External" /><Relationship Id="rId743" Type="http://schemas.openxmlformats.org/officeDocument/2006/relationships/hyperlink" Target="https://advance.lexis.com/api/document?collection=cases-ca&amp;id=urn:contentItem:5F8P-SDS1-JP4G-624K-00000-00&amp;context=" TargetMode="External" /><Relationship Id="rId744" Type="http://schemas.openxmlformats.org/officeDocument/2006/relationships/hyperlink" Target="https://advance.lexis.com/api/document?collection=cases-ca&amp;id=urn:contentItem:5F81-VJX1-FCK4-G1DM-00000-00&amp;context=" TargetMode="External" /><Relationship Id="rId745" Type="http://schemas.openxmlformats.org/officeDocument/2006/relationships/hyperlink" Target="https://advance.lexis.com/api/document?collection=cases-ca&amp;id=urn:contentItem:5F81-VJX1-F5T5-M40R-00000-00&amp;context=" TargetMode="External" /><Relationship Id="rId746" Type="http://schemas.openxmlformats.org/officeDocument/2006/relationships/hyperlink" Target="https://advance.lexis.com/api/document?collection=cases-ca&amp;id=urn:contentItem:5F82-1SB1-JPP5-24PJ-00000-00&amp;context=" TargetMode="External" /><Relationship Id="rId747" Type="http://schemas.openxmlformats.org/officeDocument/2006/relationships/hyperlink" Target="https://advance.lexis.com/api/document?collection=cases-ca&amp;id=urn:contentItem:5F81-VJX1-FGY5-M3B4-00000-00&amp;context=" TargetMode="External" /><Relationship Id="rId748" Type="http://schemas.openxmlformats.org/officeDocument/2006/relationships/hyperlink" Target="https://advance.lexis.com/api/document?collection=cases-ca&amp;id=urn:contentItem:5F7T-S751-JNS1-M1C6-00000-00&amp;context=" TargetMode="External" /><Relationship Id="rId749" Type="http://schemas.openxmlformats.org/officeDocument/2006/relationships/header" Target="header112.xml" /><Relationship Id="rId75" Type="http://schemas.openxmlformats.org/officeDocument/2006/relationships/hyperlink" Target="https://advance.lexis.com/api/document?collection=cases-ca&amp;id=urn:contentItem:5F8P-SDT1-F7ND-G4JM-00000-00&amp;context=" TargetMode="External" /><Relationship Id="rId750" Type="http://schemas.openxmlformats.org/officeDocument/2006/relationships/header" Target="header113.xml" /><Relationship Id="rId751" Type="http://schemas.openxmlformats.org/officeDocument/2006/relationships/footer" Target="footer112.xml" /><Relationship Id="rId752" Type="http://schemas.openxmlformats.org/officeDocument/2006/relationships/footer" Target="footer113.xml" /><Relationship Id="rId753" Type="http://schemas.openxmlformats.org/officeDocument/2006/relationships/header" Target="header114.xml" /><Relationship Id="rId754" Type="http://schemas.openxmlformats.org/officeDocument/2006/relationships/footer" Target="footer114.xml" /><Relationship Id="rId755" Type="http://schemas.openxmlformats.org/officeDocument/2006/relationships/hyperlink" Target="https://advance.lexis.com/api/document?collection=cases-ca&amp;id=urn:contentItem:5F7T-S771-F81W-22JV-00000-00&amp;context=" TargetMode="External" /><Relationship Id="rId756" Type="http://schemas.openxmlformats.org/officeDocument/2006/relationships/hyperlink" Target="https://advance.lexis.com/api/document?collection=cases-ca&amp;id=urn:contentItem:5F7T-S6Y1-F4GK-M25F-00000-00&amp;context=" TargetMode="External" /><Relationship Id="rId757" Type="http://schemas.openxmlformats.org/officeDocument/2006/relationships/hyperlink" Target="https://advance.lexis.com/api/document?collection=cases-ca&amp;id=urn:contentItem:5F7T-S731-JNJT-B20C-00000-00&amp;context=" TargetMode="External" /><Relationship Id="rId758" Type="http://schemas.openxmlformats.org/officeDocument/2006/relationships/hyperlink" Target="https://advance.lexis.com/api/document?collection=cases-ca&amp;id=urn:contentItem:5F7T-S741-F2F4-G2FF-00000-00&amp;context=" TargetMode="External" /><Relationship Id="rId759" Type="http://schemas.openxmlformats.org/officeDocument/2006/relationships/hyperlink" Target="https://advance.lexis.com/api/document?collection=cases-ca&amp;id=urn:contentItem:5F7T-S701-JJ6S-61FW-00000-00&amp;context=" TargetMode="External" /><Relationship Id="rId76" Type="http://schemas.openxmlformats.org/officeDocument/2006/relationships/hyperlink" Target="https://advance.lexis.com/api/document?collection=cases-ca&amp;id=urn:contentItem:5F7H-SCN1-DY89-M1W4-00000-00&amp;context=" TargetMode="External" /><Relationship Id="rId760" Type="http://schemas.openxmlformats.org/officeDocument/2006/relationships/hyperlink" Target="https://advance.lexis.com/api/document?collection=cases-ca&amp;id=urn:contentItem:5F7T-S731-FFFC-B0W6-00000-00&amp;context=" TargetMode="External" /><Relationship Id="rId761" Type="http://schemas.openxmlformats.org/officeDocument/2006/relationships/hyperlink" Target="https://advance.lexis.com/api/document?collection=cases-ca&amp;id=urn:contentItem:5F8T-N3S1-JBDT-B087-00000-00&amp;context=" TargetMode="External" /><Relationship Id="rId762" Type="http://schemas.openxmlformats.org/officeDocument/2006/relationships/hyperlink" Target="https://advance.lexis.com/api/document?collection=cases-ca&amp;id=urn:contentItem:5F7T-S7G1-JX3N-B1Y6-00000-00&amp;context=" TargetMode="External" /><Relationship Id="rId763" Type="http://schemas.openxmlformats.org/officeDocument/2006/relationships/hyperlink" Target="https://advance.lexis.com/api/document?collection=cases-ca&amp;id=urn:contentItem:5F7T-S7G1-JBT7-X49G-00000-00&amp;context=" TargetMode="External" /><Relationship Id="rId764" Type="http://schemas.openxmlformats.org/officeDocument/2006/relationships/hyperlink" Target="https://advance.lexis.com/api/document?collection=cases-ca&amp;id=urn:contentItem:5F7T-S6X1-F7ND-G40Y-00000-00&amp;context=" TargetMode="External" /><Relationship Id="rId765" Type="http://schemas.openxmlformats.org/officeDocument/2006/relationships/hyperlink" Target="https://advance.lexis.com/api/document?collection=cases-ca&amp;id=urn:contentItem:5F7T-S751-JNS1-M1H9-00000-00&amp;context=" TargetMode="External" /><Relationship Id="rId766" Type="http://schemas.openxmlformats.org/officeDocument/2006/relationships/hyperlink" Target="https://advance.lexis.com/api/document?collection=cases-ca&amp;id=urn:contentItem:5F7T-S701-F8KH-X1GH-00000-00&amp;context=" TargetMode="External" /><Relationship Id="rId767" Type="http://schemas.openxmlformats.org/officeDocument/2006/relationships/hyperlink" Target="https://advance.lexis.com/api/document?collection=cases-ca&amp;id=urn:contentItem:5F7T-S731-JC0G-63GD-00000-00&amp;context=" TargetMode="External" /><Relationship Id="rId768" Type="http://schemas.openxmlformats.org/officeDocument/2006/relationships/hyperlink" Target="https://advance.lexis.com/api/document?collection=cases-ca&amp;id=urn:contentItem:5F7T-S761-JCBX-S0DR-00000-00&amp;context=" TargetMode="External" /><Relationship Id="rId769" Type="http://schemas.openxmlformats.org/officeDocument/2006/relationships/hyperlink" Target="https://advance.lexis.com/api/document?collection=cases-ca&amp;id=urn:contentItem:5F7T-S711-JC0G-62X7-00000-00&amp;context=" TargetMode="External" /><Relationship Id="rId77" Type="http://schemas.openxmlformats.org/officeDocument/2006/relationships/hyperlink" Target="https://advance.lexis.com/api/document?collection=cases-ca&amp;id=urn:contentItem:5F7T-S7F1-DXWW-23DB-00000-00&amp;context=" TargetMode="External" /><Relationship Id="rId770" Type="http://schemas.openxmlformats.org/officeDocument/2006/relationships/header" Target="header115.xml" /><Relationship Id="rId771" Type="http://schemas.openxmlformats.org/officeDocument/2006/relationships/header" Target="header116.xml" /><Relationship Id="rId772" Type="http://schemas.openxmlformats.org/officeDocument/2006/relationships/footer" Target="footer115.xml" /><Relationship Id="rId773" Type="http://schemas.openxmlformats.org/officeDocument/2006/relationships/footer" Target="footer116.xml" /><Relationship Id="rId774" Type="http://schemas.openxmlformats.org/officeDocument/2006/relationships/header" Target="header117.xml" /><Relationship Id="rId775" Type="http://schemas.openxmlformats.org/officeDocument/2006/relationships/footer" Target="footer117.xml" /><Relationship Id="rId776" Type="http://schemas.openxmlformats.org/officeDocument/2006/relationships/hyperlink" Target="https://advance.lexis.com/api/document?collection=cases-ca&amp;id=urn:contentItem:5F7T-S7M1-JPP5-22P3-00000-00&amp;context=" TargetMode="External" /><Relationship Id="rId777" Type="http://schemas.openxmlformats.org/officeDocument/2006/relationships/hyperlink" Target="https://advance.lexis.com/api/document?collection=cases-ca&amp;id=urn:contentItem:5F7T-S7J1-JNS1-M200-00000-00&amp;context=" TargetMode="External" /><Relationship Id="rId778" Type="http://schemas.openxmlformats.org/officeDocument/2006/relationships/hyperlink" Target="https://advance.lexis.com/api/document?collection=cases-ca&amp;id=urn:contentItem:5F7T-S7J1-DXWW-24P4-00000-00&amp;context=" TargetMode="External" /><Relationship Id="rId779" Type="http://schemas.openxmlformats.org/officeDocument/2006/relationships/hyperlink" Target="https://advance.lexis.com/api/document?collection=cases-ca&amp;id=urn:contentItem:5F7T-S7M1-JJK6-S22V-00000-00&amp;context=" TargetMode="External" /><Relationship Id="rId78" Type="http://schemas.openxmlformats.org/officeDocument/2006/relationships/hyperlink" Target="https://advance.lexis.com/api/document?collection=cases-ca&amp;id=urn:contentItem:5F7T-S7C1-F4NT-X345-00000-00&amp;context=" TargetMode="External" /><Relationship Id="rId780" Type="http://schemas.openxmlformats.org/officeDocument/2006/relationships/hyperlink" Target="https://advance.lexis.com/api/document?collection=cases-ca&amp;id=urn:contentItem:5F7T-S7D1-JG02-S31T-00000-00&amp;context=" TargetMode="External" /><Relationship Id="rId781" Type="http://schemas.openxmlformats.org/officeDocument/2006/relationships/hyperlink" Target="https://advance.lexis.com/api/document?collection=cases-ca&amp;id=urn:contentItem:5F8T-N3V1-JF75-M3TF-00000-00&amp;context=" TargetMode="External" /><Relationship Id="rId782" Type="http://schemas.openxmlformats.org/officeDocument/2006/relationships/hyperlink" Target="https://advance.lexis.com/api/document?collection=cases-ca&amp;id=urn:contentItem:5F7T-S7F1-JK4W-M1SC-00000-00&amp;context=" TargetMode="External" /><Relationship Id="rId783" Type="http://schemas.openxmlformats.org/officeDocument/2006/relationships/header" Target="header118.xml" /><Relationship Id="rId784" Type="http://schemas.openxmlformats.org/officeDocument/2006/relationships/header" Target="header119.xml" /><Relationship Id="rId785" Type="http://schemas.openxmlformats.org/officeDocument/2006/relationships/footer" Target="footer118.xml" /><Relationship Id="rId786" Type="http://schemas.openxmlformats.org/officeDocument/2006/relationships/footer" Target="footer119.xml" /><Relationship Id="rId787" Type="http://schemas.openxmlformats.org/officeDocument/2006/relationships/header" Target="header120.xml" /><Relationship Id="rId788" Type="http://schemas.openxmlformats.org/officeDocument/2006/relationships/footer" Target="footer120.xml" /><Relationship Id="rId789" Type="http://schemas.openxmlformats.org/officeDocument/2006/relationships/hyperlink" Target="https://advance.lexis.com/api/document?collection=cases-ca&amp;id=urn:contentItem:5F7T-S7H1-JG02-S3D5-00000-00&amp;context=" TargetMode="External" /><Relationship Id="rId79" Type="http://schemas.openxmlformats.org/officeDocument/2006/relationships/hyperlink" Target="https://advance.lexis.com/api/document?collection=cases-ca&amp;id=urn:contentItem:5F7T-S701-JGPY-X1BM-00000-00&amp;context=" TargetMode="External" /><Relationship Id="rId790" Type="http://schemas.openxmlformats.org/officeDocument/2006/relationships/hyperlink" Target="https://advance.lexis.com/api/document?collection=legislation-ca&amp;id=urn:contentItem:5F41-1FM1-FGJR-216H-00000-00&amp;context=" TargetMode="External" /><Relationship Id="rId791" Type="http://schemas.openxmlformats.org/officeDocument/2006/relationships/hyperlink" Target="https://advance.lexis.com/api/document?collection=cases-ca&amp;id=urn:contentItem:5F7T-S7G1-JWR6-S1NB-00000-00&amp;context=" TargetMode="External" /><Relationship Id="rId792" Type="http://schemas.openxmlformats.org/officeDocument/2006/relationships/hyperlink" Target="https://advance.lexis.com/api/document?collection=cases-ca&amp;id=urn:contentItem:5F7T-S781-JC5P-G1HW-00000-00&amp;context=" TargetMode="External" /><Relationship Id="rId793" Type="http://schemas.openxmlformats.org/officeDocument/2006/relationships/hyperlink" Target="https://advance.lexis.com/api/document?collection=cases-ca&amp;id=urn:contentItem:5F7T-S7G1-FCYK-209C-00000-00&amp;context=" TargetMode="External" /><Relationship Id="rId794" Type="http://schemas.openxmlformats.org/officeDocument/2006/relationships/hyperlink" Target="https://advance.lexis.com/api/document?collection=cases-ca&amp;id=urn:contentItem:5F7T-S7C1-JS0R-2269-00000-00&amp;context=" TargetMode="External" /><Relationship Id="rId795" Type="http://schemas.openxmlformats.org/officeDocument/2006/relationships/hyperlink" Target="https://advance.lexis.com/api/document?collection=cases-ca&amp;id=urn:contentItem:5F7T-S741-F2F4-G262-00000-00&amp;context=" TargetMode="External" /><Relationship Id="rId796" Type="http://schemas.openxmlformats.org/officeDocument/2006/relationships/hyperlink" Target="https://advance.lexis.com/api/document?collection=cases-ca&amp;id=urn:contentItem:5F8T-N3S1-JBDT-B09R-00000-00&amp;context=" TargetMode="External" /><Relationship Id="rId797" Type="http://schemas.openxmlformats.org/officeDocument/2006/relationships/hyperlink" Target="https://advance.lexis.com/api/document?collection=cases-ca&amp;id=urn:contentItem:5F7T-S771-F81W-2293-00000-00&amp;context=" TargetMode="External" /><Relationship Id="rId798" Type="http://schemas.openxmlformats.org/officeDocument/2006/relationships/hyperlink" Target="https://advance.lexis.com/api/document?collection=cases-ca&amp;id=urn:contentItem:5F7T-S751-F361-M0WH-00000-00&amp;context=" TargetMode="External" /><Relationship Id="rId799" Type="http://schemas.openxmlformats.org/officeDocument/2006/relationships/hyperlink" Target="https://advance.lexis.com/api/document?collection=cases-ca&amp;id=urn:contentItem:5F7T-S7F1-DXWW-24J3-00000-00&amp;context=" TargetMode="External" /><Relationship Id="rId8" Type="http://schemas.openxmlformats.org/officeDocument/2006/relationships/header" Target="header3.xml" /><Relationship Id="rId80" Type="http://schemas.openxmlformats.org/officeDocument/2006/relationships/hyperlink" Target="https://advance.lexis.com/api/document?collection=cases-ca&amp;id=urn:contentItem:5F7T-S6Y1-F4GK-M1SJ-00000-00&amp;context=" TargetMode="External" /><Relationship Id="rId800" Type="http://schemas.openxmlformats.org/officeDocument/2006/relationships/hyperlink" Target="https://advance.lexis.com/api/document?collection=cases-ca&amp;id=urn:contentItem:5F8T-N3V1-JFKM-60BM-00000-00&amp;context=" TargetMode="External" /><Relationship Id="rId801" Type="http://schemas.openxmlformats.org/officeDocument/2006/relationships/hyperlink" Target="https://advance.lexis.com/api/document?collection=cases-ca&amp;id=urn:contentItem:5F7T-S7G1-JNY7-X3Y9-00000-00&amp;context=" TargetMode="External" /><Relationship Id="rId802" Type="http://schemas.openxmlformats.org/officeDocument/2006/relationships/header" Target="header121.xml" /><Relationship Id="rId803" Type="http://schemas.openxmlformats.org/officeDocument/2006/relationships/header" Target="header122.xml" /><Relationship Id="rId804" Type="http://schemas.openxmlformats.org/officeDocument/2006/relationships/footer" Target="footer121.xml" /><Relationship Id="rId805" Type="http://schemas.openxmlformats.org/officeDocument/2006/relationships/footer" Target="footer122.xml" /><Relationship Id="rId806" Type="http://schemas.openxmlformats.org/officeDocument/2006/relationships/header" Target="header123.xml" /><Relationship Id="rId807" Type="http://schemas.openxmlformats.org/officeDocument/2006/relationships/footer" Target="footer123.xml" /><Relationship Id="rId808" Type="http://schemas.openxmlformats.org/officeDocument/2006/relationships/hyperlink" Target="https://advance.lexis.com/api/document?collection=cases-ca&amp;id=urn:contentItem:5F7T-S7B1-JSRM-60FC-00000-00&amp;context=" TargetMode="External" /><Relationship Id="rId809" Type="http://schemas.openxmlformats.org/officeDocument/2006/relationships/hyperlink" Target="https://advance.lexis.com/api/document?collection=legislation-ca&amp;id=urn:contentItem:5F41-1FG1-F4NT-X0C6-00000-00&amp;context=" TargetMode="External" /><Relationship Id="rId81" Type="http://schemas.openxmlformats.org/officeDocument/2006/relationships/hyperlink" Target="https://advance.lexis.com/api/document?collection=cases-ca&amp;id=urn:contentItem:5F7T-S7K1-JWXF-2142-00000-00&amp;context=" TargetMode="External" /><Relationship Id="rId810" Type="http://schemas.openxmlformats.org/officeDocument/2006/relationships/hyperlink" Target="https://advance.lexis.com/api/document?collection=cases-ca&amp;id=urn:contentItem:5F8T-N3T1-JJSF-23BN-00000-00&amp;context=" TargetMode="External" /><Relationship Id="rId811" Type="http://schemas.openxmlformats.org/officeDocument/2006/relationships/hyperlink" Target="https://advance.lexis.com/api/document?collection=cases-ca&amp;id=urn:contentItem:5F8T-N3V1-JFKM-609F-00000-00&amp;context=" TargetMode="External" /><Relationship Id="rId812" Type="http://schemas.openxmlformats.org/officeDocument/2006/relationships/hyperlink" Target="https://advance.lexis.com/api/document?collection=cases-ca&amp;id=urn:contentItem:5F8T-N3T1-JGHR-M1VY-00000-00&amp;context=" TargetMode="External" /><Relationship Id="rId813" Type="http://schemas.openxmlformats.org/officeDocument/2006/relationships/hyperlink" Target="https://advance.lexis.com/api/document?collection=cases-ca&amp;id=urn:contentItem:5F8P-SCV1-JX3N-B1FF-00000-00&amp;context=" TargetMode="External" /><Relationship Id="rId814" Type="http://schemas.openxmlformats.org/officeDocument/2006/relationships/hyperlink" Target="https://advance.lexis.com/api/document?collection=cases-ca&amp;id=urn:contentItem:5F7H-KW51-JX8W-M191-00000-00&amp;context=" TargetMode="External" /><Relationship Id="rId815" Type="http://schemas.openxmlformats.org/officeDocument/2006/relationships/hyperlink" Target="https://advance.lexis.com/api/document?collection=cases-ca&amp;id=urn:contentItem:5F7T-S731-FFFC-B0D7-00000-00&amp;context=" TargetMode="External" /><Relationship Id="rId816" Type="http://schemas.openxmlformats.org/officeDocument/2006/relationships/hyperlink" Target="https://advance.lexis.com/api/document?collection=cases-ca&amp;id=urn:contentItem:5F7T-XPW1-F1H1-20X3-00000-00&amp;context=" TargetMode="External" /><Relationship Id="rId817" Type="http://schemas.openxmlformats.org/officeDocument/2006/relationships/hyperlink" Target="https://advance.lexis.com/api/document?collection=cases-ca&amp;id=urn:contentItem:5F7T-XPW1-F1WF-M2TV-00000-00&amp;context=" TargetMode="External" /><Relationship Id="rId818" Type="http://schemas.openxmlformats.org/officeDocument/2006/relationships/hyperlink" Target="https://advance.lexis.com/api/document?collection=cases-ca&amp;id=urn:contentItem:5F8W-M3Y1-FG68-G24W-00000-00&amp;context=" TargetMode="External" /><Relationship Id="rId819" Type="http://schemas.openxmlformats.org/officeDocument/2006/relationships/hyperlink" Target="https://advance.lexis.com/api/document?collection=cases-ca&amp;id=urn:contentItem:5F8T-N3V1-FC1F-M41Y-00000-00&amp;context=" TargetMode="External" /><Relationship Id="rId82" Type="http://schemas.openxmlformats.org/officeDocument/2006/relationships/hyperlink" Target="https://advance.lexis.com/api/document?collection=cases-ca&amp;id=urn:contentItem:5F7T-S7K1-JKHB-62X4-00000-00&amp;context=" TargetMode="External" /><Relationship Id="rId820" Type="http://schemas.openxmlformats.org/officeDocument/2006/relationships/hyperlink" Target="https://advance.lexis.com/api/document?collection=cases-ca&amp;id=urn:contentItem:5F7T-S731-JNJT-B210-00000-00&amp;context=" TargetMode="External" /><Relationship Id="rId821" Type="http://schemas.openxmlformats.org/officeDocument/2006/relationships/hyperlink" Target="https://advance.lexis.com/api/document?collection=cases-ca&amp;id=urn:contentItem:5F7T-S751-JX3N-B12Y-00000-00&amp;context=" TargetMode="External" /><Relationship Id="rId822" Type="http://schemas.openxmlformats.org/officeDocument/2006/relationships/hyperlink" Target="https://advance.lexis.com/api/document?collection=cases-ca&amp;id=urn:contentItem:5F7T-S6W1-JF75-M33H-00000-00&amp;context=" TargetMode="External" /><Relationship Id="rId823" Type="http://schemas.openxmlformats.org/officeDocument/2006/relationships/hyperlink" Target="https://advance.lexis.com/api/document?collection=cases-ca&amp;id=urn:contentItem:5F7T-S741-F57G-S1S7-00000-00&amp;context=" TargetMode="External" /><Relationship Id="rId824" Type="http://schemas.openxmlformats.org/officeDocument/2006/relationships/hyperlink" Target="https://advance.lexis.com/api/document?collection=cases-ca&amp;id=urn:contentItem:5F8P-SC71-JPP5-208S-00000-00&amp;context=" TargetMode="External" /><Relationship Id="rId825" Type="http://schemas.openxmlformats.org/officeDocument/2006/relationships/hyperlink" Target="https://advance.lexis.com/api/document?collection=cases-ca&amp;id=urn:contentItem:5F16-9331-FBV7-B558-00000-00&amp;context=" TargetMode="External" /><Relationship Id="rId826" Type="http://schemas.openxmlformats.org/officeDocument/2006/relationships/hyperlink" Target="https://advance.lexis.com/api/document?collection=cases-ca&amp;id=urn:contentItem:5F16-9331-FBV7-B530-00000-00&amp;context=" TargetMode="External" /><Relationship Id="rId827" Type="http://schemas.openxmlformats.org/officeDocument/2006/relationships/hyperlink" Target="https://advance.lexis.com/api/document?collection=cases-ca&amp;id=urn:contentItem:5F8T-N3T1-JGHR-M24N-00000-00&amp;context=" TargetMode="External" /><Relationship Id="rId828" Type="http://schemas.openxmlformats.org/officeDocument/2006/relationships/hyperlink" Target="https://advance.lexis.com/api/document?collection=cases-ca&amp;id=urn:contentItem:5F7T-S711-F4GK-M2FC-00000-00&amp;context=" TargetMode="External" /><Relationship Id="rId829" Type="http://schemas.openxmlformats.org/officeDocument/2006/relationships/hyperlink" Target="https://advance.lexis.com/api/document?collection=cases-ca&amp;id=urn:contentItem:5F8T-N3V1-JF75-M39F-00000-00&amp;context=" TargetMode="External" /><Relationship Id="rId83" Type="http://schemas.openxmlformats.org/officeDocument/2006/relationships/hyperlink" Target="https://advance.lexis.com/api/document?collection=cases-ca&amp;id=urn:contentItem:5F7T-S7M1-JPP5-22FX-00000-00&amp;context=" TargetMode="External" /><Relationship Id="rId830" Type="http://schemas.openxmlformats.org/officeDocument/2006/relationships/hyperlink" Target="https://advance.lexis.com/api/document?collection=cases-ca&amp;id=urn:contentItem:5F8P-SFH1-JS0R-210F-00000-00&amp;context=" TargetMode="External" /><Relationship Id="rId831" Type="http://schemas.openxmlformats.org/officeDocument/2006/relationships/hyperlink" Target="https://advance.lexis.com/api/document?collection=cases-ca&amp;id=urn:contentItem:5F8P-SCN1-JW5H-X2KT-00000-00&amp;context=" TargetMode="External" /><Relationship Id="rId832" Type="http://schemas.openxmlformats.org/officeDocument/2006/relationships/hyperlink" Target="https://advance.lexis.com/api/document?collection=cases-ca&amp;id=urn:contentItem:5F8P-SCH1-F57G-S48X-00000-00&amp;context=" TargetMode="External" /><Relationship Id="rId833" Type="http://schemas.openxmlformats.org/officeDocument/2006/relationships/hyperlink" Target="https://advance.lexis.com/api/document?collection=cases-ca&amp;id=urn:contentItem:5F7T-S771-JSJC-X013-00000-00&amp;context=" TargetMode="External" /><Relationship Id="rId834" Type="http://schemas.openxmlformats.org/officeDocument/2006/relationships/hyperlink" Target="https://advance.lexis.com/api/document?collection=cases-ca&amp;id=urn:contentItem:5F82-1SD1-F8D9-M2YR-00000-00&amp;context=" TargetMode="External" /><Relationship Id="rId835" Type="http://schemas.openxmlformats.org/officeDocument/2006/relationships/hyperlink" Target="https://advance.lexis.com/api/document?collection=cases-ca&amp;id=urn:contentItem:5F81-VJX1-F5T5-M4C9-00000-00&amp;context=" TargetMode="External" /><Relationship Id="rId836" Type="http://schemas.openxmlformats.org/officeDocument/2006/relationships/hyperlink" Target="https://advance.lexis.com/api/document?collection=cases-ca&amp;id=urn:contentItem:5F8P-SDB1-JJ6S-6515-00000-00&amp;context=" TargetMode="External" /><Relationship Id="rId837" Type="http://schemas.openxmlformats.org/officeDocument/2006/relationships/hyperlink" Target="https://advance.lexis.com/api/document?collection=cases-ca&amp;id=urn:contentItem:5F7T-S721-F57G-S13M-00000-00&amp;context=" TargetMode="External" /><Relationship Id="rId838" Type="http://schemas.openxmlformats.org/officeDocument/2006/relationships/hyperlink" Target="https://advance.lexis.com/api/document?collection=cases-ca&amp;id=urn:contentItem:5F7T-S771-F2TK-22N8-00000-00&amp;context=" TargetMode="External" /><Relationship Id="rId839" Type="http://schemas.openxmlformats.org/officeDocument/2006/relationships/hyperlink" Target="https://advance.lexis.com/api/document?collection=cases-ca&amp;id=urn:contentItem:5F8P-T8T1-JT99-23YY-00000-00&amp;context=" TargetMode="External" /><Relationship Id="rId84" Type="http://schemas.openxmlformats.org/officeDocument/2006/relationships/hyperlink" Target="https://advance.lexis.com/api/document?collection=cases-ca&amp;id=urn:contentItem:5F7T-S6S1-FFTT-X0CB-00000-00&amp;context=" TargetMode="External" /><Relationship Id="rId840" Type="http://schemas.openxmlformats.org/officeDocument/2006/relationships/hyperlink" Target="https://advance.lexis.com/api/document?collection=cases-ca&amp;id=urn:contentItem:5F8W-M411-F7G6-61WT-00000-00&amp;context=" TargetMode="External" /><Relationship Id="rId841" Type="http://schemas.openxmlformats.org/officeDocument/2006/relationships/hyperlink" Target="https://advance.lexis.com/api/document?collection=cases-ca&amp;id=urn:contentItem:5F7T-S761-FGJR-22T2-00000-00&amp;context=" TargetMode="External" /><Relationship Id="rId842" Type="http://schemas.openxmlformats.org/officeDocument/2006/relationships/hyperlink" Target="https://advance.lexis.com/api/document?collection=cases-ca&amp;id=urn:contentItem:5F7V-3DF1-JWR6-S3B2-00000-00&amp;context=" TargetMode="External" /><Relationship Id="rId843" Type="http://schemas.openxmlformats.org/officeDocument/2006/relationships/hyperlink" Target="https://advance.lexis.com/api/document?collection=cases-ca&amp;id=urn:contentItem:5F8P-SCW1-FCSB-S1J9-00000-00&amp;context=" TargetMode="External" /><Relationship Id="rId844" Type="http://schemas.openxmlformats.org/officeDocument/2006/relationships/hyperlink" Target="https://advance.lexis.com/api/document?collection=cases-ca&amp;id=urn:contentItem:5J58-VC91-FGJR-232G-00000-00&amp;context=" TargetMode="External" /><Relationship Id="rId845" Type="http://schemas.openxmlformats.org/officeDocument/2006/relationships/hyperlink" Target="https://advance.lexis.com/api/document?collection=cases-ca&amp;id=urn:contentItem:5F7V-3DK1-FCYK-2427-00000-00&amp;context=" TargetMode="External" /><Relationship Id="rId846" Type="http://schemas.openxmlformats.org/officeDocument/2006/relationships/hyperlink" Target="https://advance.lexis.com/api/document?collection=cases-ca&amp;id=urn:contentItem:5F7T-S741-F57G-S1MC-00000-00&amp;context=" TargetMode="External" /><Relationship Id="rId847" Type="http://schemas.openxmlformats.org/officeDocument/2006/relationships/hyperlink" Target="https://advance.lexis.com/api/document?collection=cases-ca&amp;id=urn:contentItem:5F16-9301-JFDC-X1YF-00000-00&amp;context=" TargetMode="External" /><Relationship Id="rId848" Type="http://schemas.openxmlformats.org/officeDocument/2006/relationships/hyperlink" Target="https://advance.lexis.com/api/document?collection=cases-ca&amp;id=urn:contentItem:5F7T-S6T1-JJ1H-X219-00000-00&amp;context=" TargetMode="External" /><Relationship Id="rId849" Type="http://schemas.openxmlformats.org/officeDocument/2006/relationships/hyperlink" Target="https://advance.lexis.com/api/document?collection=cases-ca&amp;id=urn:contentItem:5F7T-S751-JG02-S224-00000-00&amp;context=" TargetMode="External" /><Relationship Id="rId85" Type="http://schemas.openxmlformats.org/officeDocument/2006/relationships/hyperlink" Target="https://advance.lexis.com/api/document?collection=cases-ca&amp;id=urn:contentItem:5F7T-S7D1-JS5Y-B21X-00000-00&amp;context=" TargetMode="External" /><Relationship Id="rId850" Type="http://schemas.openxmlformats.org/officeDocument/2006/relationships/hyperlink" Target="https://advance.lexis.com/api/document?collection=cases-ca&amp;id=urn:contentItem:5F7T-S741-F57G-S1NV-00000-00&amp;context=" TargetMode="External" /><Relationship Id="rId851" Type="http://schemas.openxmlformats.org/officeDocument/2006/relationships/hyperlink" Target="https://advance.lexis.com/api/document?collection=cases-ca&amp;id=urn:contentItem:5F7T-S751-JX3N-B12X-00000-00&amp;context=" TargetMode="External" /><Relationship Id="rId852" Type="http://schemas.openxmlformats.org/officeDocument/2006/relationships/hyperlink" Target="https://advance.lexis.com/api/document?collection=cases-ca&amp;id=urn:contentItem:5F8T-N3V1-JFKM-6045-00000-00&amp;context=" TargetMode="External" /><Relationship Id="rId853" Type="http://schemas.openxmlformats.org/officeDocument/2006/relationships/hyperlink" Target="https://advance.lexis.com/api/document?collection=cases-ca&amp;id=urn:contentItem:5F81-VJS1-JN6B-S3D8-00000-00&amp;context=" TargetMode="External" /><Relationship Id="rId854" Type="http://schemas.openxmlformats.org/officeDocument/2006/relationships/hyperlink" Target="https://advance.lexis.com/api/document?collection=cases-ca&amp;id=urn:contentItem:5F7T-XPT1-F22N-X125-00000-00&amp;context=" TargetMode="External" /><Relationship Id="rId855" Type="http://schemas.openxmlformats.org/officeDocument/2006/relationships/hyperlink" Target="https://advance.lexis.com/api/document?collection=cases-ca&amp;id=urn:contentItem:5F8T-N3S1-JBDT-B0FR-00000-00&amp;context=" TargetMode="External" /><Relationship Id="rId856" Type="http://schemas.openxmlformats.org/officeDocument/2006/relationships/hyperlink" Target="https://advance.lexis.com/api/document?collection=cases-ca&amp;id=urn:contentItem:5F16-9311-K0BB-S34S-00000-00&amp;context=" TargetMode="External" /><Relationship Id="rId857" Type="http://schemas.openxmlformats.org/officeDocument/2006/relationships/hyperlink" Target="https://advance.lexis.com/api/document?collection=cases-ca&amp;id=urn:contentItem:5F7T-S6X1-FCCX-60FB-00000-00&amp;context=" TargetMode="External" /><Relationship Id="rId858" Type="http://schemas.openxmlformats.org/officeDocument/2006/relationships/hyperlink" Target="https://advance.lexis.com/api/document?collection=cases-ca&amp;id=urn:contentItem:5F8W-M3Y1-JKPJ-G1M8-00000-00&amp;context=" TargetMode="External" /><Relationship Id="rId859" Type="http://schemas.openxmlformats.org/officeDocument/2006/relationships/hyperlink" Target="https://advance.lexis.com/api/document?collection=cases-ca&amp;id=urn:contentItem:5F8P-SCF1-F900-G36D-00000-00&amp;context=" TargetMode="External" /><Relationship Id="rId86" Type="http://schemas.openxmlformats.org/officeDocument/2006/relationships/hyperlink" Target="https://advance.lexis.com/api/document?collection=cases-ca&amp;id=urn:contentItem:5F7T-S7J1-JNS1-M26H-00000-00&amp;context=" TargetMode="External" /><Relationship Id="rId860" Type="http://schemas.openxmlformats.org/officeDocument/2006/relationships/hyperlink" Target="https://advance.lexis.com/api/document?collection=cases-ca&amp;id=urn:contentItem:5F7T-S751-JP4G-61DN-00000-00&amp;context=" TargetMode="External" /><Relationship Id="rId861" Type="http://schemas.openxmlformats.org/officeDocument/2006/relationships/hyperlink" Target="https://advance.lexis.com/api/document?collection=cases-ca&amp;id=urn:contentItem:5F16-9321-JW09-M0C5-00000-00&amp;context=" TargetMode="External" /><Relationship Id="rId862" Type="http://schemas.openxmlformats.org/officeDocument/2006/relationships/hyperlink" Target="https://advance.lexis.com/api/document?collection=cases-ca&amp;id=urn:contentItem:5F7T-S721-F5T5-M2B1-00000-00&amp;context=" TargetMode="External" /><Relationship Id="rId863" Type="http://schemas.openxmlformats.org/officeDocument/2006/relationships/hyperlink" Target="https://advance.lexis.com/api/document?collection=cases-ca&amp;id=urn:contentItem:5F8T-N3P1-JYYX-60B2-00000-00&amp;context=" TargetMode="External" /><Relationship Id="rId864" Type="http://schemas.openxmlformats.org/officeDocument/2006/relationships/hyperlink" Target="https://advance.lexis.com/api/document?collection=cases-ca&amp;id=urn:contentItem:5F7T-S7G1-JBT7-X42T-00000-00&amp;context=" TargetMode="External" /><Relationship Id="rId865" Type="http://schemas.openxmlformats.org/officeDocument/2006/relationships/hyperlink" Target="https://advance.lexis.com/api/document?collection=cases-ca&amp;id=urn:contentItem:5F8P-SCJ1-F900-G3KX-00000-00&amp;context=" TargetMode="External" /><Relationship Id="rId866" Type="http://schemas.openxmlformats.org/officeDocument/2006/relationships/hyperlink" Target="https://advance.lexis.com/api/document?collection=cases-ca&amp;id=urn:contentItem:5F7T-S751-FJDY-X434-00000-00&amp;context=" TargetMode="External" /><Relationship Id="rId867" Type="http://schemas.openxmlformats.org/officeDocument/2006/relationships/hyperlink" Target="https://advance.lexis.com/api/document?collection=cases-ca&amp;id=urn:contentItem:5F8T-N3V1-JF75-M3VR-00000-00&amp;context=" TargetMode="External" /><Relationship Id="rId868" Type="http://schemas.openxmlformats.org/officeDocument/2006/relationships/hyperlink" Target="https://advance.lexis.com/api/document?collection=cases-ca&amp;id=urn:contentItem:5F8N-K6V1-FH4C-X063-00000-00&amp;context=" TargetMode="External" /><Relationship Id="rId869" Type="http://schemas.openxmlformats.org/officeDocument/2006/relationships/hyperlink" Target="https://advance.lexis.com/api/document?collection=cases-ca&amp;id=urn:contentItem:5F16-9341-JK4W-M3JX-00000-00&amp;context=" TargetMode="External" /><Relationship Id="rId87" Type="http://schemas.openxmlformats.org/officeDocument/2006/relationships/header" Target="header10.xml" /><Relationship Id="rId870" Type="http://schemas.openxmlformats.org/officeDocument/2006/relationships/hyperlink" Target="https://advance.lexis.com/api/document?collection=cases-ca&amp;id=urn:contentItem:5F16-9351-FFFC-B32M-00000-00&amp;context=" TargetMode="External" /><Relationship Id="rId871" Type="http://schemas.openxmlformats.org/officeDocument/2006/relationships/hyperlink" Target="https://advance.lexis.com/api/document?collection=cases-ca&amp;id=urn:contentItem:5F7T-S6V1-FJTD-G26F-00000-00&amp;context=" TargetMode="External" /><Relationship Id="rId872" Type="http://schemas.openxmlformats.org/officeDocument/2006/relationships/hyperlink" Target="https://advance.lexis.com/api/document?collection=cases-ca&amp;id=urn:contentItem:5F7T-S731-F016-S308-00000-00&amp;context=" TargetMode="External" /><Relationship Id="rId873" Type="http://schemas.openxmlformats.org/officeDocument/2006/relationships/hyperlink" Target="https://advance.lexis.com/api/document?collection=cases-ca&amp;id=urn:contentItem:5F8P-T8V1-FBN1-20VJ-00000-00&amp;context=" TargetMode="External" /><Relationship Id="rId874" Type="http://schemas.openxmlformats.org/officeDocument/2006/relationships/hyperlink" Target="https://advance.lexis.com/api/document?collection=cases-ca&amp;id=urn:contentItem:5F8W-M411-FG12-64BH-00000-00&amp;context=" TargetMode="External" /><Relationship Id="rId875" Type="http://schemas.openxmlformats.org/officeDocument/2006/relationships/hyperlink" Target="https://advance.lexis.com/api/document?collection=cases-ca&amp;id=urn:contentItem:5F7T-S6V1-F2TK-222W-00000-00&amp;context=" TargetMode="External" /><Relationship Id="rId876" Type="http://schemas.openxmlformats.org/officeDocument/2006/relationships/hyperlink" Target="https://advance.lexis.com/api/document?collection=cases-ca&amp;id=urn:contentItem:5F7T-S771-FG68-G0V3-00000-00&amp;context=" TargetMode="External" /><Relationship Id="rId877" Type="http://schemas.openxmlformats.org/officeDocument/2006/relationships/hyperlink" Target="https://advance.lexis.com/api/document?collection=cases-ca&amp;id=urn:contentItem:5F8T-N3S1-JT99-253F-00000-00&amp;context=" TargetMode="External" /><Relationship Id="rId878" Type="http://schemas.openxmlformats.org/officeDocument/2006/relationships/hyperlink" Target="https://advance.lexis.com/api/document?collection=cases-ca&amp;id=urn:contentItem:5F7T-S771-F81W-22PC-00000-00&amp;context=" TargetMode="External" /><Relationship Id="rId879" Type="http://schemas.openxmlformats.org/officeDocument/2006/relationships/hyperlink" Target="https://advance.lexis.com/api/document?collection=cases-ca&amp;id=urn:contentItem:5F7T-S6W1-FBFS-S15S-00000-00&amp;context=" TargetMode="External" /><Relationship Id="rId88" Type="http://schemas.openxmlformats.org/officeDocument/2006/relationships/header" Target="header11.xml" /><Relationship Id="rId880" Type="http://schemas.openxmlformats.org/officeDocument/2006/relationships/hyperlink" Target="https://advance.lexis.com/api/document?collection=cases-ca&amp;id=urn:contentItem:5F81-VJX1-F5T5-M3Y3-00000-00&amp;context=" TargetMode="External" /><Relationship Id="rId881" Type="http://schemas.openxmlformats.org/officeDocument/2006/relationships/hyperlink" Target="https://advance.lexis.com/api/document?collection=cases-ca&amp;id=urn:contentItem:5F7T-S701-FJDY-X2S7-00000-00&amp;context=" TargetMode="External" /><Relationship Id="rId882" Type="http://schemas.openxmlformats.org/officeDocument/2006/relationships/hyperlink" Target="https://advance.lexis.com/api/document?collection=cases-ca&amp;id=urn:contentItem:5F82-1SB1-JPP5-24JJ-00000-00&amp;context=" TargetMode="External" /><Relationship Id="rId883" Type="http://schemas.openxmlformats.org/officeDocument/2006/relationships/hyperlink" Target="https://advance.lexis.com/api/document?collection=cases-ca&amp;id=urn:contentItem:5F81-VJW1-JGPY-X4CN-00000-00&amp;context=" TargetMode="External" /><Relationship Id="rId884" Type="http://schemas.openxmlformats.org/officeDocument/2006/relationships/hyperlink" Target="https://advance.lexis.com/api/document?collection=cases-ca&amp;id=urn:contentItem:5F7T-S6Y1-JNY7-X2BJ-00000-00&amp;context=" TargetMode="External" /><Relationship Id="rId885" Type="http://schemas.openxmlformats.org/officeDocument/2006/relationships/hyperlink" Target="https://advance.lexis.com/api/document?collection=cases-ca&amp;id=urn:contentItem:5F7T-S6Y1-JP9P-G1KS-00000-00&amp;context=" TargetMode="External" /><Relationship Id="rId886" Type="http://schemas.openxmlformats.org/officeDocument/2006/relationships/hyperlink" Target="https://advance.lexis.com/api/document?collection=cases-ca&amp;id=urn:contentItem:5F7V-3DH1-JF1Y-B1BS-00000-00&amp;context=" TargetMode="External" /><Relationship Id="rId887" Type="http://schemas.openxmlformats.org/officeDocument/2006/relationships/hyperlink" Target="https://advance.lexis.com/api/document?collection=cases-ca&amp;id=urn:contentItem:5F7T-XPT1-FFMK-M1G2-00000-00&amp;context=" TargetMode="External" /><Relationship Id="rId888" Type="http://schemas.openxmlformats.org/officeDocument/2006/relationships/hyperlink" Target="https://advance.lexis.com/api/document?collection=cases-ca&amp;id=urn:contentItem:5F7T-S6W1-JYYX-61MM-00000-00&amp;context=" TargetMode="External" /><Relationship Id="rId889" Type="http://schemas.openxmlformats.org/officeDocument/2006/relationships/hyperlink" Target="https://advance.lexis.com/api/document?collection=cases-ca&amp;id=urn:contentItem:5F7T-S741-F2F4-G20K-00000-00&amp;context=" TargetMode="External" /><Relationship Id="rId89" Type="http://schemas.openxmlformats.org/officeDocument/2006/relationships/footer" Target="footer10.xml" /><Relationship Id="rId890" Type="http://schemas.openxmlformats.org/officeDocument/2006/relationships/hyperlink" Target="https://advance.lexis.com/api/document?collection=cases-ca&amp;id=urn:contentItem:5F7T-S751-JP4G-6101-00000-00&amp;context=" TargetMode="External" /><Relationship Id="rId891" Type="http://schemas.openxmlformats.org/officeDocument/2006/relationships/hyperlink" Target="https://advance.lexis.com/api/document?collection=cases-ca&amp;id=urn:contentItem:5F7T-S6Y1-JPP5-2129-00000-00&amp;context=" TargetMode="External" /><Relationship Id="rId892" Type="http://schemas.openxmlformats.org/officeDocument/2006/relationships/hyperlink" Target="https://advance.lexis.com/api/document?collection=cases-ca&amp;id=urn:contentItem:5F7T-S741-F1H1-21V6-00000-00&amp;context=" TargetMode="External" /><Relationship Id="rId893" Type="http://schemas.openxmlformats.org/officeDocument/2006/relationships/hyperlink" Target="https://advance.lexis.com/api/document?collection=cases-ca&amp;id=urn:contentItem:5F7T-S701-F8KH-X1KF-00000-00&amp;context=" TargetMode="External" /><Relationship Id="rId894" Type="http://schemas.openxmlformats.org/officeDocument/2006/relationships/hyperlink" Target="https://advance.lexis.com/api/document?collection=cases-ca&amp;id=urn:contentItem:5F7T-S741-DXPM-S168-00000-00&amp;context=" TargetMode="External" /><Relationship Id="rId895" Type="http://schemas.openxmlformats.org/officeDocument/2006/relationships/hyperlink" Target="https://advance.lexis.com/api/document?collection=cases-ca&amp;id=urn:contentItem:5F7T-S721-FG12-6276-00000-00&amp;context=" TargetMode="External" /><Relationship Id="rId896" Type="http://schemas.openxmlformats.org/officeDocument/2006/relationships/hyperlink" Target="https://advance.lexis.com/api/document?collection=cases-ca&amp;id=urn:contentItem:5F7T-S6Y1-JP9P-G1SK-00000-00&amp;context=" TargetMode="External" /><Relationship Id="rId897" Type="http://schemas.openxmlformats.org/officeDocument/2006/relationships/hyperlink" Target="https://advance.lexis.com/api/document?collection=cases-ca&amp;id=urn:contentItem:5F7T-S711-F5KY-B0T4-00000-00&amp;context=" TargetMode="External" /><Relationship Id="rId898" Type="http://schemas.openxmlformats.org/officeDocument/2006/relationships/hyperlink" Target="https://advance.lexis.com/api/document?collection=cases-ca&amp;id=urn:contentItem:5F8T-N3V1-FC1F-M41H-00000-00&amp;context=" TargetMode="External" /><Relationship Id="rId899" Type="http://schemas.openxmlformats.org/officeDocument/2006/relationships/hyperlink" Target="https://advance.lexis.com/api/document?collection=cases-ca&amp;id=urn:contentItem:5F7T-S731-JC0G-638D-00000-00&amp;context=" TargetMode="External" /><Relationship Id="rId9" Type="http://schemas.openxmlformats.org/officeDocument/2006/relationships/footer" Target="footer3.xml" /><Relationship Id="rId90" Type="http://schemas.openxmlformats.org/officeDocument/2006/relationships/footer" Target="footer11.xml" /><Relationship Id="rId900" Type="http://schemas.openxmlformats.org/officeDocument/2006/relationships/hyperlink" Target="https://advance.lexis.com/api/document?collection=cases-ca&amp;id=urn:contentItem:5F7T-S6Y1-JTNR-M48J-00000-00&amp;context=" TargetMode="External" /><Relationship Id="rId901" Type="http://schemas.openxmlformats.org/officeDocument/2006/relationships/hyperlink" Target="https://advance.lexis.com/api/document?collection=cases-ca&amp;id=urn:contentItem:5F7T-S771-JSJC-X0FT-00000-00&amp;context=" TargetMode="External" /><Relationship Id="rId902" Type="http://schemas.openxmlformats.org/officeDocument/2006/relationships/hyperlink" Target="https://advance.lexis.com/api/document?collection=cases-ca&amp;id=urn:contentItem:5F8T-N3V1-JF75-M3FN-00000-00&amp;context=" TargetMode="External" /><Relationship Id="rId903" Type="http://schemas.openxmlformats.org/officeDocument/2006/relationships/hyperlink" Target="https://advance.lexis.com/api/document?collection=cases-ca&amp;id=urn:contentItem:5F7T-S711-JNS1-M19X-00000-00&amp;context=" TargetMode="External" /><Relationship Id="rId904" Type="http://schemas.openxmlformats.org/officeDocument/2006/relationships/hyperlink" Target="https://advance.lexis.com/api/document?collection=cases-ca&amp;id=urn:contentItem:5F7T-S6X1-F06F-22P8-00000-00&amp;context=" TargetMode="External" /><Relationship Id="rId905" Type="http://schemas.openxmlformats.org/officeDocument/2006/relationships/hyperlink" Target="https://advance.lexis.com/api/document?collection=cases-ca&amp;id=urn:contentItem:5F7T-S701-JF75-M4BP-00000-00&amp;context=" TargetMode="External" /><Relationship Id="rId906" Type="http://schemas.openxmlformats.org/officeDocument/2006/relationships/hyperlink" Target="https://advance.lexis.com/api/document?collection=cases-ca&amp;id=urn:contentItem:5F8P-SCB1-JJ1H-X0HS-00000-00&amp;context=" TargetMode="External" /><Relationship Id="rId907" Type="http://schemas.openxmlformats.org/officeDocument/2006/relationships/hyperlink" Target="https://advance.lexis.com/api/document?collection=cases-ca&amp;id=urn:contentItem:5F7T-S7G1-JX3N-B278-00000-00&amp;context=" TargetMode="External" /><Relationship Id="rId908" Type="http://schemas.openxmlformats.org/officeDocument/2006/relationships/hyperlink" Target="https://advance.lexis.com/api/document?collection=cases-ca&amp;id=urn:contentItem:5F8T-N3R1-FJDY-X3BN-00000-00&amp;context=" TargetMode="External" /><Relationship Id="rId909" Type="http://schemas.openxmlformats.org/officeDocument/2006/relationships/hyperlink" Target="https://advance.lexis.com/api/document?collection=cases-ca&amp;id=urn:contentItem:5F7T-S6V1-F956-S0KM-00000-00&amp;context=" TargetMode="External" /><Relationship Id="rId91" Type="http://schemas.openxmlformats.org/officeDocument/2006/relationships/header" Target="header12.xml" /><Relationship Id="rId910" Type="http://schemas.openxmlformats.org/officeDocument/2006/relationships/hyperlink" Target="https://advance.lexis.com/api/document?collection=cases-ca&amp;id=urn:contentItem:5F7T-S6T1-JP9P-G128-00000-00&amp;context=" TargetMode="External" /><Relationship Id="rId911" Type="http://schemas.openxmlformats.org/officeDocument/2006/relationships/hyperlink" Target="https://advance.lexis.com/api/document?collection=cases-ca&amp;id=urn:contentItem:5F7T-S721-JSC5-M3SY-00000-00&amp;context=" TargetMode="External" /><Relationship Id="rId912" Type="http://schemas.openxmlformats.org/officeDocument/2006/relationships/hyperlink" Target="https://advance.lexis.com/api/document?collection=cases-ca&amp;id=urn:contentItem:5F7T-S701-JBT7-X2D1-00000-00&amp;context=" TargetMode="External" /><Relationship Id="rId913" Type="http://schemas.openxmlformats.org/officeDocument/2006/relationships/hyperlink" Target="https://advance.lexis.com/api/document?collection=cases-ca&amp;id=urn:contentItem:5F7T-S6X1-FCCX-60T0-00000-00&amp;context=" TargetMode="External" /><Relationship Id="rId914" Type="http://schemas.openxmlformats.org/officeDocument/2006/relationships/hyperlink" Target="https://advance.lexis.com/api/document?collection=cases-ca&amp;id=urn:contentItem:5F7T-S6V1-F956-S0JJ-00000-00&amp;context=" TargetMode="External" /><Relationship Id="rId915" Type="http://schemas.openxmlformats.org/officeDocument/2006/relationships/hyperlink" Target="https://advance.lexis.com/api/document?collection=cases-ca&amp;id=urn:contentItem:5F7T-S771-JSJC-X0KN-00000-00&amp;context=" TargetMode="External" /><Relationship Id="rId916" Type="http://schemas.openxmlformats.org/officeDocument/2006/relationships/hyperlink" Target="https://advance.lexis.com/api/document?collection=cases-ca&amp;id=urn:contentItem:5F7T-S731-FG12-62TV-00000-00&amp;context=" TargetMode="External" /><Relationship Id="rId917" Type="http://schemas.openxmlformats.org/officeDocument/2006/relationships/hyperlink" Target="https://advance.lexis.com/api/document?collection=cases-ca&amp;id=urn:contentItem:5F7T-S731-F016-S35H-00000-00&amp;context=" TargetMode="External" /><Relationship Id="rId918" Type="http://schemas.openxmlformats.org/officeDocument/2006/relationships/hyperlink" Target="https://advance.lexis.com/api/document?collection=cases-ca&amp;id=urn:contentItem:5F7T-S701-JJ6S-61HD-00000-00&amp;context=" TargetMode="External" /><Relationship Id="rId919" Type="http://schemas.openxmlformats.org/officeDocument/2006/relationships/hyperlink" Target="https://advance.lexis.com/api/document?collection=cases-ca&amp;id=urn:contentItem:5F7T-S6W1-JJK6-S10S-00000-00&amp;context=" TargetMode="External" /><Relationship Id="rId92" Type="http://schemas.openxmlformats.org/officeDocument/2006/relationships/footer" Target="footer12.xml" /><Relationship Id="rId920" Type="http://schemas.openxmlformats.org/officeDocument/2006/relationships/hyperlink" Target="https://advance.lexis.com/api/document?collection=cases-ca&amp;id=urn:contentItem:5F7T-S6W1-F956-S0SN-00000-00&amp;context=" TargetMode="External" /><Relationship Id="rId921" Type="http://schemas.openxmlformats.org/officeDocument/2006/relationships/hyperlink" Target="https://advance.lexis.com/api/document?collection=cases-ca&amp;id=urn:contentItem:5F7T-S6T1-JP9P-G11B-00000-00&amp;context=" TargetMode="External" /><Relationship Id="rId922" Type="http://schemas.openxmlformats.org/officeDocument/2006/relationships/hyperlink" Target="https://advance.lexis.com/api/document?collection=legislation-ca&amp;id=urn:contentItem:5F41-1FG1-F016-S4H6-00000-00&amp;context=" TargetMode="External" /><Relationship Id="rId923" Type="http://schemas.openxmlformats.org/officeDocument/2006/relationships/hyperlink" Target="https://advance.lexis.com/api/document?collection=cases-ca&amp;id=urn:contentItem:5F8T-N3R1-JNS1-M16S-00000-00&amp;context=" TargetMode="External" /><Relationship Id="rId924" Type="http://schemas.openxmlformats.org/officeDocument/2006/relationships/hyperlink" Target="https://advance.lexis.com/api/document?collection=cases-ca&amp;id=urn:contentItem:5F81-WC31-F5KY-B4SJ-00000-00&amp;context=" TargetMode="External" /><Relationship Id="rId925" Type="http://schemas.openxmlformats.org/officeDocument/2006/relationships/hyperlink" Target="https://advance.lexis.com/api/document?collection=cases-ca&amp;id=urn:contentItem:5F7T-S6X1-K0BB-S05C-00000-00&amp;context=" TargetMode="External" /><Relationship Id="rId926" Type="http://schemas.openxmlformats.org/officeDocument/2006/relationships/hyperlink" Target="https://advance.lexis.com/api/document?collection=cases-ca&amp;id=urn:contentItem:5F7T-S761-JS5Y-B1FF-00000-00&amp;context=" TargetMode="External" /><Relationship Id="rId927" Type="http://schemas.openxmlformats.org/officeDocument/2006/relationships/hyperlink" Target="https://advance.lexis.com/api/document?collection=cases-ca&amp;id=urn:contentItem:5F7T-S6W1-F4GK-M1DF-00000-00&amp;context=" TargetMode="External" /><Relationship Id="rId928" Type="http://schemas.openxmlformats.org/officeDocument/2006/relationships/hyperlink" Target="https://advance.lexis.com/api/document?collection=cases-ca&amp;id=urn:contentItem:5F7T-S6Y1-JSC5-M32W-00000-00&amp;context=" TargetMode="External" /><Relationship Id="rId929" Type="http://schemas.openxmlformats.org/officeDocument/2006/relationships/hyperlink" Target="https://advance.lexis.com/api/document?collection=cases-ca&amp;id=urn:contentItem:5F7T-S751-JBM1-M2BM-00000-00&amp;context=" TargetMode="External" /><Relationship Id="rId93" Type="http://schemas.openxmlformats.org/officeDocument/2006/relationships/hyperlink" Target="https://advance.lexis.com/api/document?collection=cases-ca&amp;id=urn:contentItem:5F7T-S7P1-JBDT-B13D-00000-00&amp;context=" TargetMode="External" /><Relationship Id="rId930" Type="http://schemas.openxmlformats.org/officeDocument/2006/relationships/hyperlink" Target="https://advance.lexis.com/api/document?collection=cases-ca&amp;id=urn:contentItem:5F8N-K6Y1-JB2B-S03R-00000-00&amp;context=" TargetMode="External" /><Relationship Id="rId931" Type="http://schemas.openxmlformats.org/officeDocument/2006/relationships/hyperlink" Target="https://advance.lexis.com/api/document?collection=cases-ca&amp;id=urn:contentItem:5F7T-XPW1-JFKM-63C2-00000-00&amp;context=" TargetMode="External" /><Relationship Id="rId932" Type="http://schemas.openxmlformats.org/officeDocument/2006/relationships/hyperlink" Target="https://advance.lexis.com/api/document?collection=cases-ca&amp;id=urn:contentItem:5F8T-N3T1-JJSF-233P-00000-00&amp;context=" TargetMode="External" /><Relationship Id="rId933" Type="http://schemas.openxmlformats.org/officeDocument/2006/relationships/hyperlink" Target="https://advance.lexis.com/api/document?collection=cases-ca&amp;id=urn:contentItem:5F81-VJV1-JK4W-M51N-00000-00&amp;context=" TargetMode="External" /><Relationship Id="rId934" Type="http://schemas.openxmlformats.org/officeDocument/2006/relationships/hyperlink" Target="https://advance.lexis.com/api/document?collection=cases-ca&amp;id=urn:contentItem:5F81-VJV1-JG59-22MG-00000-00&amp;context=" TargetMode="External" /><Relationship Id="rId935" Type="http://schemas.openxmlformats.org/officeDocument/2006/relationships/hyperlink" Target="https://advance.lexis.com/api/document?collection=cases-ca&amp;id=urn:contentItem:5F7T-S6W1-JB7K-210G-00000-00&amp;context=" TargetMode="External" /><Relationship Id="rId936" Type="http://schemas.openxmlformats.org/officeDocument/2006/relationships/hyperlink" Target="https://advance.lexis.com/api/document?collection=cases-ca&amp;id=urn:contentItem:5F7T-S6T1-JP9P-G17Y-00000-00&amp;context=" TargetMode="External" /><Relationship Id="rId937" Type="http://schemas.openxmlformats.org/officeDocument/2006/relationships/hyperlink" Target="https://advance.lexis.com/api/document?collection=cases-ca&amp;id=urn:contentItem:5F7T-S6T1-JK4W-M056-00000-00&amp;context=" TargetMode="External" /><Relationship Id="rId938" Type="http://schemas.openxmlformats.org/officeDocument/2006/relationships/hyperlink" Target="https://advance.lexis.com/api/document?collection=cases-ca&amp;id=urn:contentItem:5F7T-S6W1-JB7K-210H-00000-00&amp;context=" TargetMode="External" /><Relationship Id="rId939" Type="http://schemas.openxmlformats.org/officeDocument/2006/relationships/hyperlink" Target="https://advance.lexis.com/api/document?collection=cases-ca&amp;id=urn:contentItem:5F7T-S6W1-F5T5-M1W3-00000-00&amp;context=" TargetMode="External" /><Relationship Id="rId94" Type="http://schemas.openxmlformats.org/officeDocument/2006/relationships/hyperlink" Target="https://advance.lexis.com/api/document?collection=legislation-ca&amp;id=urn:contentItem:5YP5-7N61-F8KH-X2KN-00000-00&amp;context=" TargetMode="External" /><Relationship Id="rId940" Type="http://schemas.openxmlformats.org/officeDocument/2006/relationships/hyperlink" Target="https://advance.lexis.com/api/document?collection=cases-ca&amp;id=urn:contentItem:5F7T-S6X1-F7ND-G3SX-00000-00&amp;context=" TargetMode="External" /><Relationship Id="rId941" Type="http://schemas.openxmlformats.org/officeDocument/2006/relationships/hyperlink" Target="https://advance.lexis.com/api/document?collection=cases-ca&amp;id=urn:contentItem:5F7T-S6W1-JF75-M307-00000-00&amp;context=" TargetMode="External" /><Relationship Id="rId942" Type="http://schemas.openxmlformats.org/officeDocument/2006/relationships/hyperlink" Target="https://advance.lexis.com/api/document?collection=cases-ca&amp;id=urn:contentItem:5F8P-SCN1-DY33-B05C-00000-00&amp;context=" TargetMode="External" /><Relationship Id="rId943" Type="http://schemas.openxmlformats.org/officeDocument/2006/relationships/hyperlink" Target="https://advance.lexis.com/api/document?collection=cases-ca&amp;id=urn:contentItem:5F7T-S6X1-JXNB-6322-00000-00&amp;context=" TargetMode="External" /><Relationship Id="rId944" Type="http://schemas.openxmlformats.org/officeDocument/2006/relationships/hyperlink" Target="https://advance.lexis.com/api/document?collection=cases-ca&amp;id=urn:contentItem:5F7T-S6W1-F7ND-G2H9-00000-00&amp;context=" TargetMode="External" /><Relationship Id="rId945" Type="http://schemas.openxmlformats.org/officeDocument/2006/relationships/hyperlink" Target="https://advance.lexis.com/api/document?collection=cases-ca&amp;id=urn:contentItem:5F7T-S711-JB2B-S111-00000-00&amp;context=" TargetMode="External" /><Relationship Id="rId946" Type="http://schemas.openxmlformats.org/officeDocument/2006/relationships/hyperlink" Target="https://advance.lexis.com/api/document?collection=cases-ca&amp;id=urn:contentItem:5F7T-S6Y1-F65M-6050-00000-00&amp;context=" TargetMode="External" /><Relationship Id="rId947" Type="http://schemas.openxmlformats.org/officeDocument/2006/relationships/hyperlink" Target="https://advance.lexis.com/api/document?collection=cases-ca&amp;id=urn:contentItem:5F7T-S6T1-JTNR-M2BK-00000-00&amp;context=" TargetMode="External" /><Relationship Id="rId948" Type="http://schemas.openxmlformats.org/officeDocument/2006/relationships/hyperlink" Target="https://advance.lexis.com/api/document?collection=cases-ca&amp;id=urn:contentItem:5F7T-S6V1-JNS1-M07N-00000-00&amp;context=" TargetMode="External" /><Relationship Id="rId949" Type="http://schemas.openxmlformats.org/officeDocument/2006/relationships/hyperlink" Target="https://advance.lexis.com/api/document?collection=cases-ca&amp;id=urn:contentItem:5F7T-S731-JC0G-63C7-00000-00&amp;context=" TargetMode="External" /><Relationship Id="rId95" Type="http://schemas.openxmlformats.org/officeDocument/2006/relationships/image" Target="media/image1.png" /><Relationship Id="rId950" Type="http://schemas.openxmlformats.org/officeDocument/2006/relationships/hyperlink" Target="https://advance.lexis.com/api/document?collection=cases-ca&amp;id=urn:contentItem:5F7T-S741-DY89-M3FJ-00000-00&amp;context=" TargetMode="External" /><Relationship Id="rId951" Type="http://schemas.openxmlformats.org/officeDocument/2006/relationships/hyperlink" Target="https://advance.lexis.com/api/document?collection=cases-ca&amp;id=urn:contentItem:5F7T-S741-F57G-S1MH-00000-00&amp;context=" TargetMode="External" /><Relationship Id="rId952" Type="http://schemas.openxmlformats.org/officeDocument/2006/relationships/hyperlink" Target="https://advance.lexis.com/api/document?collection=cases-ca&amp;id=urn:contentItem:5F7T-S721-FD4T-B0N4-00000-00&amp;context=" TargetMode="External" /><Relationship Id="rId953" Type="http://schemas.openxmlformats.org/officeDocument/2006/relationships/hyperlink" Target="https://advance.lexis.com/api/document?collection=cases-ca&amp;id=urn:contentItem:5F7T-S751-JNS1-M1FH-00000-00&amp;context=" TargetMode="External" /><Relationship Id="rId954" Type="http://schemas.openxmlformats.org/officeDocument/2006/relationships/hyperlink" Target="https://advance.lexis.com/api/document?collection=cases-ca&amp;id=urn:contentItem:5F7T-S721-F06F-2348-00000-00&amp;context=" TargetMode="External" /><Relationship Id="rId955" Type="http://schemas.openxmlformats.org/officeDocument/2006/relationships/hyperlink" Target="https://advance.lexis.com/api/document?collection=cases-ca&amp;id=urn:contentItem:5F7T-S761-JGHR-M2MR-00000-00&amp;context=" TargetMode="External" /><Relationship Id="rId956" Type="http://schemas.openxmlformats.org/officeDocument/2006/relationships/header" Target="header124.xml" /><Relationship Id="rId957" Type="http://schemas.openxmlformats.org/officeDocument/2006/relationships/header" Target="header125.xml" /><Relationship Id="rId958" Type="http://schemas.openxmlformats.org/officeDocument/2006/relationships/footer" Target="footer124.xml" /><Relationship Id="rId959" Type="http://schemas.openxmlformats.org/officeDocument/2006/relationships/footer" Target="footer125.xml" /><Relationship Id="rId96" Type="http://schemas.openxmlformats.org/officeDocument/2006/relationships/hyperlink" Target="https://advance.lexis.com/api/document?collection=cases-ca&amp;id=urn:contentItem:5F7T-S7P1-JP4G-61YJ-00000-00&amp;context=" TargetMode="External" /><Relationship Id="rId960" Type="http://schemas.openxmlformats.org/officeDocument/2006/relationships/header" Target="header126.xml" /><Relationship Id="rId961" Type="http://schemas.openxmlformats.org/officeDocument/2006/relationships/footer" Target="footer126.xml" /><Relationship Id="rId962" Type="http://schemas.openxmlformats.org/officeDocument/2006/relationships/hyperlink" Target="https://advance.lexis.com/api/document?collection=cases-ca&amp;id=urn:contentItem:5RRK-9081-JCBX-S0FR-00000-00&amp;context=" TargetMode="External" /><Relationship Id="rId963" Type="http://schemas.openxmlformats.org/officeDocument/2006/relationships/header" Target="header127.xml" /><Relationship Id="rId964" Type="http://schemas.openxmlformats.org/officeDocument/2006/relationships/header" Target="header128.xml" /><Relationship Id="rId965" Type="http://schemas.openxmlformats.org/officeDocument/2006/relationships/footer" Target="footer127.xml" /><Relationship Id="rId966" Type="http://schemas.openxmlformats.org/officeDocument/2006/relationships/footer" Target="footer128.xml" /><Relationship Id="rId967" Type="http://schemas.openxmlformats.org/officeDocument/2006/relationships/header" Target="header129.xml" /><Relationship Id="rId968" Type="http://schemas.openxmlformats.org/officeDocument/2006/relationships/footer" Target="footer129.xml" /><Relationship Id="rId969" Type="http://schemas.openxmlformats.org/officeDocument/2006/relationships/hyperlink" Target="https://advance.lexis.com/api/document?collection=cases-ca&amp;id=urn:contentItem:5F7T-S7F1-F7VM-S460-00000-00&amp;context=" TargetMode="External" /><Relationship Id="rId97" Type="http://schemas.openxmlformats.org/officeDocument/2006/relationships/hyperlink" Target="https://advance.lexis.com/api/document?collection=cases-ca&amp;id=urn:contentItem:5F7T-S7P1-JSJC-X1R0-00000-00&amp;context=" TargetMode="External" /><Relationship Id="rId970" Type="http://schemas.openxmlformats.org/officeDocument/2006/relationships/hyperlink" Target="https://advance.lexis.com/api/document?collection=cases-ca&amp;id=urn:contentItem:5F7T-S7D1-JXG3-X0RT-00000-00&amp;context=" TargetMode="External" /><Relationship Id="rId971" Type="http://schemas.openxmlformats.org/officeDocument/2006/relationships/hyperlink" Target="https://advance.lexis.com/api/document?collection=cases-ca&amp;id=urn:contentItem:5F8T-N3S1-JT99-24KW-00000-00&amp;context=" TargetMode="External" /><Relationship Id="rId972" Type="http://schemas.openxmlformats.org/officeDocument/2006/relationships/hyperlink" Target="https://advance.lexis.com/api/document?collection=cases-ca&amp;id=urn:contentItem:5F8T-N3S1-JT99-24M9-00000-00&amp;context=" TargetMode="External" /><Relationship Id="rId973" Type="http://schemas.openxmlformats.org/officeDocument/2006/relationships/hyperlink" Target="https://advance.lexis.com/api/document?collection=cases-ca&amp;id=urn:contentItem:5F8T-N3S1-JT99-2520-00000-00&amp;context=" TargetMode="External" /><Relationship Id="rId974" Type="http://schemas.openxmlformats.org/officeDocument/2006/relationships/hyperlink" Target="https://advance.lexis.com/api/document?collection=cases-ca&amp;id=urn:contentItem:5F7T-S711-JG02-S1VJ-00000-00&amp;context=" TargetMode="External" /><Relationship Id="rId975" Type="http://schemas.openxmlformats.org/officeDocument/2006/relationships/header" Target="header130.xml" /><Relationship Id="rId976" Type="http://schemas.openxmlformats.org/officeDocument/2006/relationships/header" Target="header131.xml" /><Relationship Id="rId977" Type="http://schemas.openxmlformats.org/officeDocument/2006/relationships/footer" Target="footer130.xml" /><Relationship Id="rId978" Type="http://schemas.openxmlformats.org/officeDocument/2006/relationships/footer" Target="footer131.xml" /><Relationship Id="rId979" Type="http://schemas.openxmlformats.org/officeDocument/2006/relationships/header" Target="header132.xml" /><Relationship Id="rId98" Type="http://schemas.openxmlformats.org/officeDocument/2006/relationships/hyperlink" Target="https://advance.lexis.com/api/document?collection=cases-ca&amp;id=urn:contentItem:5F7T-S7N1-JWR6-S2DX-00000-00&amp;context=" TargetMode="External" /><Relationship Id="rId980" Type="http://schemas.openxmlformats.org/officeDocument/2006/relationships/footer" Target="footer132.xml" /><Relationship Id="rId981" Type="http://schemas.openxmlformats.org/officeDocument/2006/relationships/hyperlink" Target="https://advance.lexis.com/api/document?collection=cases-ca&amp;id=urn:contentItem:5H4P-HBF1-JJYN-B294-00000-00&amp;context=" TargetMode="External" /><Relationship Id="rId982" Type="http://schemas.openxmlformats.org/officeDocument/2006/relationships/hyperlink" Target="https://advance.lexis.com/api/document?collection=cases-ca&amp;id=urn:contentItem:5F8T-N3V1-JF75-M3D0-00000-00&amp;context=" TargetMode="External" /><Relationship Id="rId983" Type="http://schemas.openxmlformats.org/officeDocument/2006/relationships/hyperlink" Target="https://advance.lexis.com/api/document?collection=cases-ca&amp;id=urn:contentItem:5F7V-3DK1-JNY7-X2CK-00000-00&amp;context=" TargetMode="External" /><Relationship Id="rId984" Type="http://schemas.openxmlformats.org/officeDocument/2006/relationships/hyperlink" Target="https://advance.lexis.com/api/document?collection=cases-ca&amp;id=urn:contentItem:5F8T-N3V1-JTGH-B19N-00000-00&amp;context=" TargetMode="External" /><Relationship Id="rId985" Type="http://schemas.openxmlformats.org/officeDocument/2006/relationships/hyperlink" Target="https://advance.lexis.com/api/document?collection=cases-ca&amp;id=urn:contentItem:5F81-VJX1-FD4T-B30G-00000-00&amp;context=" TargetMode="External" /><Relationship Id="rId986" Type="http://schemas.openxmlformats.org/officeDocument/2006/relationships/hyperlink" Target="https://advance.lexis.com/api/document?collection=cases-ca&amp;id=urn:contentItem:5GB3-MY31-JX3N-B2D7-00000-00&amp;context=" TargetMode="External" /><Relationship Id="rId987" Type="http://schemas.openxmlformats.org/officeDocument/2006/relationships/hyperlink" Target="https://advance.lexis.com/api/document?collection=cases-ca&amp;id=urn:contentItem:5F8T-N3T1-JGHR-M251-00000-00&amp;context=" TargetMode="External" /><Relationship Id="rId988" Type="http://schemas.openxmlformats.org/officeDocument/2006/relationships/hyperlink" Target="https://advance.lexis.com/api/document?collection=cases-ca&amp;id=urn:contentItem:5F7T-S6Y1-F7G6-62PG-00000-00&amp;context=" TargetMode="External" /><Relationship Id="rId989" Type="http://schemas.openxmlformats.org/officeDocument/2006/relationships/hyperlink" Target="https://advance.lexis.com/api/document?collection=cases-ca&amp;id=urn:contentItem:5G9F-PMC1-F2MB-S4KG-00000-00&amp;context=" TargetMode="External" /><Relationship Id="rId99" Type="http://schemas.openxmlformats.org/officeDocument/2006/relationships/hyperlink" Target="https://advance.lexis.com/api/document?collection=cases-ca&amp;id=urn:contentItem:5F7T-S7M1-DYMS-6206-00000-00&amp;context=" TargetMode="External" /><Relationship Id="rId990" Type="http://schemas.openxmlformats.org/officeDocument/2006/relationships/hyperlink" Target="https://advance.lexis.com/api/document?collection=cases-ca&amp;id=urn:contentItem:5F7T-XR01-JGPY-X3TN-00000-00&amp;context=" TargetMode="External" /><Relationship Id="rId991" Type="http://schemas.openxmlformats.org/officeDocument/2006/relationships/hyperlink" Target="https://advance.lexis.com/api/document?collection=cases-ca&amp;id=urn:contentItem:5F7T-S7D1-DY89-M3VD-00000-00&amp;context=" TargetMode="External" /><Relationship Id="rId992" Type="http://schemas.openxmlformats.org/officeDocument/2006/relationships/hyperlink" Target="https://advance.lexis.com/api/document?collection=cases-ca&amp;id=urn:contentItem:5F7T-S7K1-JX3N-B30Y-00000-00&amp;context=" TargetMode="External" /><Relationship Id="rId993" Type="http://schemas.openxmlformats.org/officeDocument/2006/relationships/header" Target="header133.xml" /><Relationship Id="rId994" Type="http://schemas.openxmlformats.org/officeDocument/2006/relationships/header" Target="header134.xml" /><Relationship Id="rId995" Type="http://schemas.openxmlformats.org/officeDocument/2006/relationships/footer" Target="footer133.xml" /><Relationship Id="rId996" Type="http://schemas.openxmlformats.org/officeDocument/2006/relationships/footer" Target="footer134.xml" /><Relationship Id="rId997" Type="http://schemas.openxmlformats.org/officeDocument/2006/relationships/header" Target="header135.xml" /><Relationship Id="rId998" Type="http://schemas.openxmlformats.org/officeDocument/2006/relationships/footer" Target="footer135.xml" /><Relationship Id="rId999" Type="http://schemas.openxmlformats.org/officeDocument/2006/relationships/hyperlink" Target="https://advance.lexis.com/api/document?collection=cases-ca&amp;id=urn:contentItem:5F7T-S7G1-JN6B-S197-00000-00&amp;context="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Logan v. Dermatech, 2010 CHFL para. 15,581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115044408</vt:lpwstr>
  </property>
  <property fmtid="{D5CDD505-2E9C-101B-9397-08002B2CF9AE}" pid="3" name="LADocCount">
    <vt:i4>50</vt:i4>
  </property>
  <property fmtid="{D5CDD505-2E9C-101B-9397-08002B2CF9AE}" pid="4" name="Language">
    <vt:lpwstr>en-CA</vt:lpwstr>
  </property>
  <property fmtid="{D5CDD505-2E9C-101B-9397-08002B2CF9AE}" pid="5" name="UserPermID">
    <vt:lpwstr>urn:user:PA187417739</vt:lpwstr>
  </property>
</Properties>
</file>